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44141" w14:textId="77777777" w:rsidR="00000000" w:rsidRDefault="00832D71">
      <w:pPr>
        <w:divId w:val="1863781016"/>
        <w:rPr>
          <w:rFonts w:eastAsia="Times New Roman"/>
          <w:vanish/>
        </w:rPr>
      </w:pPr>
      <w:r>
        <w:rPr>
          <w:rFonts w:eastAsia="Times New Roman"/>
          <w:vanish/>
        </w:rPr>
        <w:t>0.50.50P7MSUBURBAN PROPANE PARTNERS LPfalse0002024-08-310NA00000010052100000FY02024-02-290--09-24000000001005210us-gaap:PensionPlansDefinedBenefitMember2020-09-272021-09-250001005210</w:t>
      </w:r>
      <w:r>
        <w:rPr>
          <w:rFonts w:eastAsia="Times New Roman"/>
          <w:vanish/>
        </w:rPr>
        <w:t>us-gaap:RevolvingCreditFacilityMembersph:ThirdAmendedAndRestatedCreditMember2021-09-250001005210us-gaap:AccumulatedDefinedBenefitPlansAdjustmentMember2022-09-240001005210us-gaap:RevolvingCreditFacilityMember2021-09-262022-09-240001005210us-gaap:Accumulated</w:t>
      </w:r>
      <w:r>
        <w:rPr>
          <w:rFonts w:eastAsia="Times New Roman"/>
          <w:vanish/>
        </w:rPr>
        <w:t>OtherComprehensiveIncomeMember2022-09-2400010052102021-12-262022-03-2600010052102019-09-292019-12-2800010052102019-09-290001005210us-gaap:RevolvingCreditFacilityMember2020-03-052020-03-050001005210sph:SeniorNotesDue2031Member2021-09-250001005210us-gaap:Bui</w:t>
      </w:r>
      <w:r>
        <w:rPr>
          <w:rFonts w:eastAsia="Times New Roman"/>
          <w:vanish/>
        </w:rPr>
        <w:t>ldingAndBuildingImprovementsMember2021-09-2500010052102019-09-280001005210sph:DebtInstrumentRedemptionPeriodEightAndThereafterMembersph:SeniorNotesDue2031Memberus-gaap:SeniorNotesMember2021-09-262022-09-240001005210us-gaap:AllowanceForCreditLossMember2021-</w:t>
      </w:r>
      <w:r>
        <w:rPr>
          <w:rFonts w:eastAsia="Times New Roman"/>
          <w:vanish/>
        </w:rPr>
        <w:t>09-2500010052102022-11-2200010052102021-03-282021-06-260001005210sph:SeniorNotesDue2031Member2021-09-262022-09-240001005210sph:PropaneMember2021-09-262022-09-240001005210us-gaap:EquitySecuritiesMembercountry:US2022-09-240001005210sph:MultiEmployerPlanIndiv</w:t>
      </w:r>
      <w:r>
        <w:rPr>
          <w:rFonts w:eastAsia="Times New Roman"/>
          <w:vanish/>
        </w:rPr>
        <w:t>iduallyInsignificantMultiEmployerPlan3Memberus-gaap:PensionPlansDefinedBenefitMember2021-09-262022-09-240001005210sph:OtherSalesRevenueNetMember2020-09-272021-09-250001005210us-gaap:ValuationAllowanceOfDeferredTaxAssetsMember2020-09-272021-09-250001005210s</w:t>
      </w:r>
      <w:r>
        <w:rPr>
          <w:rFonts w:eastAsia="Times New Roman"/>
          <w:vanish/>
        </w:rPr>
        <w:t>ph:TwoThousandAndNineAndTwoThousandEighteenRestrictedUnitPlanMembersrt:MaximumMember2021-09-2500010052102022-09-240001005210sph:TwoThousandAndNineRestrictedUnitPlanMember2021-09-262022-09-240001005210us-gaap:ValuationAllowanceOfDeferredTaxAssetsMember2020-</w:t>
      </w:r>
      <w:r>
        <w:rPr>
          <w:rFonts w:eastAsia="Times New Roman"/>
          <w:vanish/>
        </w:rPr>
        <w:t>09-260001005210country:US2021-09-250001005210sph:EquipmentPrimarilyTanksAndCylindersMember2022-09-240001005210us-gaap:AccumulatedDefinedBenefitPlansAdjustmentMember2019-09-292020-09-260001005210sph:NaturalGasAndElectricityMember2022-09-240001005210us-gaap:</w:t>
      </w:r>
      <w:r>
        <w:rPr>
          <w:rFonts w:eastAsia="Times New Roman"/>
          <w:vanish/>
        </w:rPr>
        <w:t>OperatingSegmentsMemberus-gaap:AllOtherSegmentsMember2020-09-272021-09-250001005210sph:PropaneRetailerHeadquarteredInNorthCarolinaMember2021-09-262022-09-240001005210sph:ThirdAmendedAndRestatedCreditMemberus-gaap:RevolvingCreditFacilityMember2022-09-240001</w:t>
      </w:r>
      <w:r>
        <w:rPr>
          <w:rFonts w:eastAsia="Times New Roman"/>
          <w:vanish/>
        </w:rPr>
        <w:t>005210sph:TwoThousandAndNineRestrictedUnitPlanMember2019-09-292020-09-260001005210us-gaap:CommodityOptionMember2021-09-250001005210us-gaap:RetailMembersph:IndustrialSectorMember2021-09-262022-09-240001005210sph:PropaneMember2021-09-262022-09-240001005210sp</w:t>
      </w:r>
      <w:r>
        <w:rPr>
          <w:rFonts w:eastAsia="Times New Roman"/>
          <w:vanish/>
        </w:rPr>
        <w:t>h:TwoThousandAndNineRestrictedUnitPlanMember2019-09-280001005210sph:OtherSalesRevenueNetMember2019-09-292020-09-260001005210sph:TwoThousandAndNineRestrictedUnitPlanMember2020-09-260001005210sph:SoftwareMember2022-09-240001005210us-gaap:RevolvingCreditFacil</w:t>
      </w:r>
      <w:r>
        <w:rPr>
          <w:rFonts w:eastAsia="Times New Roman"/>
          <w:vanish/>
        </w:rPr>
        <w:t>ityMember2022-09-240001005210sph:SoftwareMember2021-09-250001005210us-gaap:CostOfSalesMemberus-gaap:NondesignatedMemberus-gaap:CommodityOptionMember2021-09-262022-09-240001005210us-gaap:NondesignatedMemberus-gaap:OtherCurrentLiabilitiesMemberus-gaap:Commod</w:t>
      </w:r>
      <w:r>
        <w:rPr>
          <w:rFonts w:eastAsia="Times New Roman"/>
          <w:vanish/>
        </w:rPr>
        <w:t>ityOptionMember2021-09-250001005210us-gaap:PensionPlansDefinedBenefitMembersph:DomesticEquitySecuritiesMember2022-09-240001005210us-gaap:CustomerRelationshipsMember2021-09-250001005210sph:PostRetirementBenefitsMember2021-09-262022-09-240001005210us-gaap:No</w:t>
      </w:r>
      <w:r>
        <w:rPr>
          <w:rFonts w:eastAsia="Times New Roman"/>
          <w:vanish/>
        </w:rPr>
        <w:t>ndesignatedMemberus-gaap:OtherNoncurrentAssetsMemberus-gaap:CommodityOptionMember2021-09-250001005210us-gaap:GovernmentSectorMemberus-gaap:RetailMember2021-09-262022-09-240001005210sph:AccumulatedDefinedBenefitPlansAdjustmentPostretirementBenefitsNetPriorS</w:t>
      </w:r>
      <w:r>
        <w:rPr>
          <w:rFonts w:eastAsia="Times New Roman"/>
          <w:vanish/>
        </w:rPr>
        <w:t>erviceCostCreditMember2021-09-262022-09-240001005210sph:RetirementSavingsAndInvestmentPlan401KMember2020-09-272021-09-250001005210sph:PropaneRetailerHeadquarteredInNewMexicoMember2021-09-262022-09-240001005210us-gaap:AccumulatedOtherComprehensiveIncomeMemb</w:t>
      </w:r>
      <w:r>
        <w:rPr>
          <w:rFonts w:eastAsia="Times New Roman"/>
          <w:vanish/>
        </w:rPr>
        <w:t>er2021-09-262022-09-240001005210sph:PropaneAndPropaneRetailerMember2022-02-172022-02-170001005210sph:BuildingAndLandImprovementsMember2021-09-262022-09-240001005210sph:NaturalGasAndElectricityMember2019-09-292020-09-260001005210us-gaap:CommodityContractMem</w:t>
      </w:r>
      <w:r>
        <w:rPr>
          <w:rFonts w:eastAsia="Times New Roman"/>
          <w:vanish/>
        </w:rPr>
        <w:t>ber2020-09-272021-09-250001005210us-gaap:SupplierConcentrationRiskMemberus-gaap:CostOfGoodsProductLineMembersph:CrestwoodEquityPartnersLPMember2021-09-262022-09-2400010052102022-06-262022-09-240001005210us-gaap:OperatingSegmentsMembersph:FuelOilAndRefinedF</w:t>
      </w:r>
      <w:r>
        <w:rPr>
          <w:rFonts w:eastAsia="Times New Roman"/>
          <w:vanish/>
        </w:rPr>
        <w:t>uelsMember2021-09-262022-09-240001005210us-gaap:PensionPlansDefinedBenefitMembersrt:MaximumMemberus-gaap:EquitySecuritiesMember2022-09-240001005210srt:MaximumMemberus-gaap:RestrictedStockUnitsRSUMember2022-09-240001005210sph:PostRetirementBenefitsMember201</w:t>
      </w:r>
      <w:r>
        <w:rPr>
          <w:rFonts w:eastAsia="Times New Roman"/>
          <w:vanish/>
        </w:rPr>
        <w:t>9-09-280001005210sph:SuburbanPropanePartnersLPMember2021-09-262022-09-240001005210srt:MaximumMembersph:RetirementSavingsAndInvestmentPlan401KMember2021-09-262022-09-240001005210us-gaap:PensionPlansDefinedBenefitMembersph:MultiEmployerPlanIndividuallySignif</w:t>
      </w:r>
      <w:r>
        <w:rPr>
          <w:rFonts w:eastAsia="Times New Roman"/>
          <w:vanish/>
        </w:rPr>
        <w:t>icantMultiEmployerPlan1Member2019-09-292020-09-260001005210us-gaap:NondesignatedMemberus-gaap:OtherCurrentLiabilitiesMemberus-gaap:CommodityOptionMember2022-09-240001005210us-gaap:SupplierConcentrationRiskMemberus-gaap:CostOfGoodsProductLineMembersph:Targa</w:t>
      </w:r>
      <w:r>
        <w:rPr>
          <w:rFonts w:eastAsia="Times New Roman"/>
          <w:vanish/>
        </w:rPr>
        <w:t>LiquidsMarketingMember2021-09-262022-09-240001005210us-gaap:PensionPlansDefinedBenefitMembersph:InternationalEquitySecuritiesMember2021-09-250001005210us-gaap:LondonInterbankOfferedRateLIBORMembersph:AmendedRevolvingCreditFacilityDue2021Member2021-09-26202</w:t>
      </w:r>
      <w:r>
        <w:rPr>
          <w:rFonts w:eastAsia="Times New Roman"/>
          <w:vanish/>
        </w:rPr>
        <w:t>2-09-240001005210srt:MaximumMemberus-gaap:ComputerSoftwareIntangibleAssetMember2021-09-262022-09-240001005210us-gaap:RestrictedStockUnitsRSUMember2022-09-240001005210us-gaap:ValuationAllowanceOfDeferredTaxAssetsMember2019-09-292020-09-260001005210us-gaap:R</w:t>
      </w:r>
      <w:r>
        <w:rPr>
          <w:rFonts w:eastAsia="Times New Roman"/>
          <w:vanish/>
        </w:rPr>
        <w:t>estrictedStockUnitsRSUMember2019-09-292020-09-260001005210us-gaap:OperatingSegmentsMemberus-gaap:AllOtherSegmentsMember2021-09-262022-09-240001005210us-gaap:LandAndLandImprovementsMember2022-09-240001005210us-gaap:FairValueInputsLevel3Member2021-09-2500010</w:t>
      </w:r>
      <w:r>
        <w:rPr>
          <w:rFonts w:eastAsia="Times New Roman"/>
          <w:vanish/>
        </w:rPr>
        <w:t>05210us-gaap:RetailMembersph:ResidentialSectorMember2019-09-292020-09-260001005210sph:FuelOilAndRefinedFuelsMember2020-09-272021-09-250001005210us-gaap:FixedIncomeSecuritiesMembercountry:US2022-09-240001005210us-gaap:AccumulatedOtherComprehensiveIncomeMemb</w:t>
      </w:r>
      <w:r>
        <w:rPr>
          <w:rFonts w:eastAsia="Times New Roman"/>
          <w:vanish/>
        </w:rPr>
        <w:t>er2021-09-250001005210sph:CommercialSectorMemberus-gaap:RetailMember2019-09-292020-09-260001005210sph:PropaneMember2021-09-250001005210us-gaap:OperatingSegmentsMembersph:FuelOilAndRefinedFuelsMember2022-09-240001005210us-gaap:DebtInstrumentRedemptionPeriod</w:t>
      </w:r>
      <w:r>
        <w:rPr>
          <w:rFonts w:eastAsia="Times New Roman"/>
          <w:vanish/>
        </w:rPr>
        <w:t>TwoMemberus-gaap:SeniorNotesMembersph:SeniorNotesDue2027Member2021-09-262022-09-240001005210us-gaap:OperatingSegmentsMemberus-gaap:CorporateMember2020-09-272021-09-250001005210sph:PropaneRetailerHeadquarteredInGeorgiaAndCaliforniaMember2021-09-262022-09-24</w:t>
      </w:r>
      <w:r>
        <w:rPr>
          <w:rFonts w:eastAsia="Times New Roman"/>
          <w:vanish/>
        </w:rPr>
        <w:t>0001005210sph:PropaneMember2022-09-240001005210sph:PropaneRetailerHeadquarteredInNewMexicoMember2021-09-262022-09-240001005210us-gaap:AccumulatedOtherComprehensiveIncomeMember2020-09-2600010052102020-09-272020-12-260001005210sph:SeniorNotesDue2031Memberus-</w:t>
      </w:r>
      <w:r>
        <w:rPr>
          <w:rFonts w:eastAsia="Times New Roman"/>
          <w:vanish/>
        </w:rPr>
        <w:t>gaap:SeniorNotesMember2021-09-2500010052102020-09-260001005210sph:NaturalGasAndElectricityMember2021-09-262022-09-240001005210us-gaap:NoncompeteAgreementsMember2021-09-250001005210sph:PostRetirementBenefitsMember2021-09-250001005210sph:DefinedBenefitPostre</w:t>
      </w:r>
      <w:r>
        <w:rPr>
          <w:rFonts w:eastAsia="Times New Roman"/>
          <w:vanish/>
        </w:rPr>
        <w:t>tirementHealthAndLifeBenefitsMember2021-09-250001005210us-gaap:PensionPlansDefinedBenefitMember2020-09-260001005210sph:PropaneAndPropaneRetailerMember2021-12-262022-03-260001005210us-gaap:PensionPlansDefinedBenefitMembersrt:MaximumMemberus-gaap:FixedIncome</w:t>
      </w:r>
      <w:r>
        <w:rPr>
          <w:rFonts w:eastAsia="Times New Roman"/>
          <w:vanish/>
        </w:rPr>
        <w:t>SecuritiesMember2022-09-240001005210us-gaap:OperatingSegmentsMembersph:NaturalGasAndElectricityMember2020-09-272021-09-250001005210sph:SeniorNotesDue2031Memberus-gaap:DebtInstrumentRedemptionPeriodFiveMemberus-gaap:SeniorNotesMember2021-09-262022-09-240001</w:t>
      </w:r>
      <w:r>
        <w:rPr>
          <w:rFonts w:eastAsia="Times New Roman"/>
          <w:vanish/>
        </w:rPr>
        <w:t>005210sph:LongTermIncentivePlanMember2019-09-292020-09-260001005210srt:MaximumMemberus-gaap:OfficeEquipmentMember2021-09-262022-09-2400010052102020-03-292020-06-270001005210us-gaap:AllowanceForCreditLossMember2020-09-260001005210us-gaap:AccumulatedDefinedB</w:t>
      </w:r>
      <w:r>
        <w:rPr>
          <w:rFonts w:eastAsia="Times New Roman"/>
          <w:vanish/>
        </w:rPr>
        <w:t>enefitPlansAdjustmentNetPriorServiceCostCreditMember2021-09-262022-09-240001005210us-gaap:OperatingSegmentsMembersph:NaturalGasAndElectricityMember2021-09-262022-09-240001005210us-gaap:EquitySecuritiesMembercountry:US2021-09-250001005210us-gaap:AllowanceFo</w:t>
      </w:r>
      <w:r>
        <w:rPr>
          <w:rFonts w:eastAsia="Times New Roman"/>
          <w:vanish/>
        </w:rPr>
        <w:t>rCreditLossMember2020-09-272021-09-250001005210sph:SeniorNotesDue2031Member2022-09-240001005210us-gaap:TransportationEquipmentMembersrt:MinimumMember2021-09-262022-09-240001005210us-gaap:ConstructionInProgressMember2021-09-250001005210us-gaap:CommonStockMe</w:t>
      </w:r>
      <w:r>
        <w:rPr>
          <w:rFonts w:eastAsia="Times New Roman"/>
          <w:vanish/>
        </w:rPr>
        <w:t>mber2020-09-272021-09-250001005210us-gaap:NondesignatedMemberus-gaap:OtherCurrentAssetsMemberus-gaap:CommodityOptionMember2022-09-240001005210us-gaap:GeneralPartnerMemberus-gaap:CommonStockMember2022-09-240001005210sph:AccumulatedDefinedBenefitPlansAdjustm</w:t>
      </w:r>
      <w:r>
        <w:rPr>
          <w:rFonts w:eastAsia="Times New Roman"/>
          <w:vanish/>
        </w:rPr>
        <w:t>entPostretirementBenefitsNetPriorServiceCostCreditMember2020-09-272021-09-250001005210sph:PostRetirementBenefitsMember2020-09-272021-09-250001005210us-gaap:ValuationAllowanceOfDeferredTaxAssetsMember2019-09-280001005210us-gaap:OperatingSegmentsMemberus-gaa</w:t>
      </w:r>
      <w:r>
        <w:rPr>
          <w:rFonts w:eastAsia="Times New Roman"/>
          <w:vanish/>
        </w:rPr>
        <w:t>p:CorporateMember2021-09-262022-09-240001005210us-gaap:OperatingSegmentsMembersph:NaturalGasAndElectricityMember2021-09-250001005210sph:LongTermIncentivePlanMember2020-09-272021-09-250001005210sph:PropaneMember2019-09-292020-09-260001005210us-gaap:Allowanc</w:t>
      </w:r>
      <w:r>
        <w:rPr>
          <w:rFonts w:eastAsia="Times New Roman"/>
          <w:vanish/>
        </w:rPr>
        <w:t>eForCreditLossMember2019-09-280001005210us-gaap:DebtInstrumentRedemptionPeriodOneMemberus-gaap:SeniorNotesMembersph:SeniorNotesDue2027Member2021-09-262022-09-240001005210us-gaap:PensionPlansDefinedBenefitMember2019-09-292020-09-260001005210us-gaap:Noncompe</w:t>
      </w:r>
      <w:r>
        <w:rPr>
          <w:rFonts w:eastAsia="Times New Roman"/>
          <w:vanish/>
        </w:rPr>
        <w:t>teAgreementsMember2022-09-240001005210sph:StorageFacilitiesMember2021-09-250001005210sph:NaturalGasAndElectricityMember2021-09-250001005210sph:FuelOilAndRefinedFuelsMember2021-09-262022-09-240001005210sph:HealthAndWelfareBenefitsAndDefinedAnnuityPlansMembe</w:t>
      </w:r>
      <w:r>
        <w:rPr>
          <w:rFonts w:eastAsia="Times New Roman"/>
          <w:vanish/>
        </w:rPr>
        <w:t>r2019-09-292020-09-260001005210us-gaap:AccumulatedDefinedBenefitPlansAdjustmentMember2021-09-250001005210sph:HealthAndWelfareBenefitsAndDefinedAnnuityPlansMember2021-09-262022-09-240001005210sph:WholesaleMember2020-09-272021-09-250001005210us-gaap:FederalF</w:t>
      </w:r>
      <w:r>
        <w:rPr>
          <w:rFonts w:eastAsia="Times New Roman"/>
          <w:vanish/>
        </w:rPr>
        <w:t>undsEffectiveSwapRateMembersph:AmendedRevolvingCreditFacilityDue2021Member2021-09-262022-09-240001005210us-gaap:ValuationAllowanceOfDeferredTaxAssetsMember2021-09-262022-09-240001005210sph:IndependenceHydrogenIncMember2022-03-092022-03-090001005210sph:Fuel</w:t>
      </w:r>
      <w:r>
        <w:rPr>
          <w:rFonts w:eastAsia="Times New Roman"/>
          <w:vanish/>
        </w:rPr>
        <w:t>OilAndRefinedFuelsMember2021-09-250001005210us-gaap:PensionPlansDefinedBenefitMembersrt:MinimumMemberus-gaap:FixedIncomeSecuritiesMember2022-09-240001005210sph:NaturalGasAndElectricityMember2020-09-272021-09-250001005210us-gaap:AccumulatedDefinedBenefitPla</w:t>
      </w:r>
      <w:r>
        <w:rPr>
          <w:rFonts w:eastAsia="Times New Roman"/>
          <w:vanish/>
        </w:rPr>
        <w:t>nsAdjustmentMember2021-09-262022-09-240001005210sph:SeniorNotesDue2031Memberus-gaap:SeniorNotesMembersph:DebtInstrumentRedemptionPeriodSevenMember2021-09-262022-09-240001005210us-gaap:PensionPlansDefinedBenefitMember2021-09-250001005210us-gaap:PensionPlans</w:t>
      </w:r>
      <w:r>
        <w:rPr>
          <w:rFonts w:eastAsia="Times New Roman"/>
          <w:vanish/>
        </w:rPr>
        <w:t>DefinedBenefitMemberus-gaap:FixedIncomeSecuritiesMember2022-09-240001005210sph:DefinedBenefitPostretirementHealthAndLifeBenefitsMember2022-09-240001005210us-gaap:FairValueInputsLevel3Member2021-09-262022-09-240001005210srt:MinimumMembersph:EquipmentPrimari</w:t>
      </w:r>
      <w:r>
        <w:rPr>
          <w:rFonts w:eastAsia="Times New Roman"/>
          <w:vanish/>
        </w:rPr>
        <w:t>lyTanksAndCylindersMember2021-09-262022-09-240001005210sph:HealthAndWelfareBenefitsAndDefinedAnnuityPlansMember2020-09-272021-09-250001005210us-gaap:NondesignatedMemberus-gaap:OtherNoncurrentAssetsMemberus-gaap:CommodityOptionMember2022-09-240001005210sph:</w:t>
      </w:r>
      <w:r>
        <w:rPr>
          <w:rFonts w:eastAsia="Times New Roman"/>
          <w:vanish/>
        </w:rPr>
        <w:t>RetirementSavingsAndInvestmentPlan401KMember2019-09-292020-09-260001005210sph:TwoThousandAndNineRestrictedUnitPlanMember2020-09-272021-09-2500010052102021-09-250001005210us-gaap:AccumulatedDefinedBenefitPlansAdjustmentMember2020-09-272021-09-250001005210us</w:t>
      </w:r>
      <w:r>
        <w:rPr>
          <w:rFonts w:eastAsia="Times New Roman"/>
          <w:vanish/>
        </w:rPr>
        <w:t>-gaap:ValuationAllowanceOfDeferredTaxAssetsMember2021-09-250001005210us-gaap:OperatingSegmentsMemberus-gaap:CorporateMember2022-09-240001005210us-gaap:NondesignatedMember2021-09-250001005210us-gaap:BuildingMember2021-09-262022-09-240001005210sph:TwoThousan</w:t>
      </w:r>
      <w:r>
        <w:rPr>
          <w:rFonts w:eastAsia="Times New Roman"/>
          <w:vanish/>
        </w:rPr>
        <w:t>dAndNineRestrictedUnitPlanMember2021-09-250001005210srt:MaximumMemberus-gaap:RestrictedStockUnitsRSUMemberus-gaap:ShareBasedCompensationAwardTrancheOneMember2021-09-262022-09-240001005210sph:TwoThousandAndNineRestrictedUnitPlanMember2019-07-310001005210sph</w:t>
      </w:r>
      <w:r>
        <w:rPr>
          <w:rFonts w:eastAsia="Times New Roman"/>
          <w:vanish/>
        </w:rPr>
        <w:t>:SeniorNotesDue2027Member2021-09-262022-09-240001005210us-gaap:GovernmentSectorMemberus-gaap:RetailMember2020-09-272021-09-250001005210us-gaap:AccumulatedDefinedBenefitPlansAdjustmentMember2020-09-260001005210sph:DistributionEquivalentRightsPlanMember2021-</w:t>
      </w:r>
      <w:r>
        <w:rPr>
          <w:rFonts w:eastAsia="Times New Roman"/>
          <w:vanish/>
        </w:rPr>
        <w:t>09-262022-09-240001005210us-gaap:OperatingSegmentsMemberus-gaap:AllOtherSegmentsMember2019-09-292020-09-260001005210us-gaap:TransportationEquipmentMembersrt:MaximumMember2021-09-262022-09-240001005210us-gaap:RevolvingCreditFacilityMember2021-09-25000100521</w:t>
      </w:r>
      <w:r>
        <w:rPr>
          <w:rFonts w:eastAsia="Times New Roman"/>
          <w:vanish/>
        </w:rPr>
        <w:t>0us-gaap:OperatingSegmentsMembersph:NaturalGasAndElectricityMember2022-09-240001005210srt:MinimumMemberus-gaap:OfficeEquipmentMember2021-09-262022-09-2400010052102019-12-292020-03-280001005210us-gaap:PensionPlansDefinedBenefitMember2021-09-262022-09-240001</w:t>
      </w:r>
      <w:r>
        <w:rPr>
          <w:rFonts w:eastAsia="Times New Roman"/>
          <w:vanish/>
        </w:rPr>
        <w:t>005210us-gaap:ConstructionInProgressMember2022-09-240001005210us-gaap:OperatingSegmentsMemberus-gaap:CorporateMember2019-09-292020-09-260001005210us-gaap:ValuationAllowanceOfDeferredTaxAssetsMember2022-09-240001005210us-gaap:PensionPlansDefinedBenefitMembe</w:t>
      </w:r>
      <w:r>
        <w:rPr>
          <w:rFonts w:eastAsia="Times New Roman"/>
          <w:vanish/>
        </w:rPr>
        <w:t>rsph:DomesticEquitySecuritiesMember2021-09-250001005210sph:PostRetirementBenefitsMember2022-09-240001005210us-gaap:PensionPlansDefinedBenefitMembersph:MultiEmployerPlanIndividuallySignificantMultiEmployerPlan1Member2021-09-262022-09-240001005210us-gaap:Lon</w:t>
      </w:r>
      <w:r>
        <w:rPr>
          <w:rFonts w:eastAsia="Times New Roman"/>
          <w:vanish/>
        </w:rPr>
        <w:t>donInterbankOfferedRateLIBORMember2021-09-262022-09-240001005210us-gaap:LandAndLandImprovementsMember2021-09-250001005210us-gaap:FairValueInputsLevel3Member2020-09-272021-09-250001005210us-gaap:PensionPlansDefinedBenefitMemberus-gaap:FixedIncomeSecuritiesM</w:t>
      </w:r>
      <w:r>
        <w:rPr>
          <w:rFonts w:eastAsia="Times New Roman"/>
          <w:vanish/>
        </w:rPr>
        <w:t>ember2021-09-250001005210sph:SeniorNoteDue2021Memberus-gaap:SeniorNotesMember2022-09-240001005210us-gaap:AgriculturalSectorMemberus-gaap:RetailMember2020-09-272021-09-250001005210us-gaap:AgriculturalSectorMemberus-gaap:RetailMember2019-09-292020-09-2600010</w:t>
      </w:r>
      <w:r>
        <w:rPr>
          <w:rFonts w:eastAsia="Times New Roman"/>
          <w:vanish/>
        </w:rPr>
        <w:t>05210sph:OtherSalesRevenueNetMember2021-09-262022-09-240001005210country:US2022-09-240001005210us-gaap:SeniorNotesMembersph:SeniorNotesDue2027Member2022-09-2400010052102020-09-272021-09-250001005210us-gaap:CommodityContractMember2021-09-262022-09-240001005</w:t>
      </w:r>
      <w:r>
        <w:rPr>
          <w:rFonts w:eastAsia="Times New Roman"/>
          <w:vanish/>
        </w:rPr>
        <w:t>210us-gaap:AgriculturalSectorMemberus-gaap:RetailMember2021-09-262022-09-240001005210sph:DistributionEquivalentRightsPlanMember2019-09-292020-09-260001005210us-gaap:FairValueInputsLevel3Member2022-09-240001005210sph:SeniorNotesDue2031Memberus-gaap:SeniorNo</w:t>
      </w:r>
      <w:r>
        <w:rPr>
          <w:rFonts w:eastAsia="Times New Roman"/>
          <w:vanish/>
        </w:rPr>
        <w:t>tesMember2022-09-240001005210sph:RetirementSavingsAndInvestmentPlan401KMember2021-09-262022-09-240001005210sph:SeniorNotesDue2027Member2022-09-240001005210srt:ExecutiveOfficerMembersph:TwoThousandAndNineRestrictedUnitPlanMember2020-09-272021-09-25000100521</w:t>
      </w:r>
      <w:r>
        <w:rPr>
          <w:rFonts w:eastAsia="Times New Roman"/>
          <w:vanish/>
        </w:rPr>
        <w:t>0sph:FuelOilAndRefinedFuelsMember2021-09-262022-09-240001005210sph:LongTermIncentivePlanMember2021-09-262022-09-240001005210us-gaap:OtherIntangibleAssetsMember2022-09-240001005210sph:DefinedBenefitPostretirementHealthAndLifeBenefitsMember2020-09-2600010052</w:t>
      </w:r>
      <w:r>
        <w:rPr>
          <w:rFonts w:eastAsia="Times New Roman"/>
          <w:vanish/>
        </w:rPr>
        <w:t>10sph:FuelOilAndRefinedFuelsMember2022-09-240001005210us-gaap:TransportationEquipmentMember2022-09-240001005210sph:AccumulatedDefinedBenefitPlansAdjustmentPostretirementBenefitsNetPriorServiceCostCreditMember2019-09-292020-09-260001005210sph:TwoThousandAnd</w:t>
      </w:r>
      <w:r>
        <w:rPr>
          <w:rFonts w:eastAsia="Times New Roman"/>
          <w:vanish/>
        </w:rPr>
        <w:t>EighteenRestrictedUnitPlanMember2020-09-272021-09-250001005210sph:TwoThousandAndNineRestrictedUnitPlanMember2022-09-240001005210us-gaap:AccumulatedOtherComprehensiveIncomeMember2020-09-272021-09-250001005210sph:OberonFuelsIncMember2022-09-240001005210sph:M</w:t>
      </w:r>
      <w:r>
        <w:rPr>
          <w:rFonts w:eastAsia="Times New Roman"/>
          <w:vanish/>
        </w:rPr>
        <w:t>ultiEmployerPlanIndividuallyInsignificantMultiEmployerPlan3Memberus-gaap:PensionPlansDefinedBenefitMember2019-09-292020-09-260001005210us-gaap:OtherNoncurrentLiabilitiesMemberus-gaap:NondesignatedMemberus-gaap:CommodityOptionMember2022-09-240001005210us-ga</w:t>
      </w:r>
      <w:r>
        <w:rPr>
          <w:rFonts w:eastAsia="Times New Roman"/>
          <w:vanish/>
        </w:rPr>
        <w:t>ap:OperatingSegmentsMembersph:FuelOilAndRefinedFuelsMember2019-09-292020-09-260001005210us-gaap:GovernmentSectorMemberus-gaap:RetailMember2019-09-292020-09-260001005210us-gaap:OperatingSegmentsMembersph:NaturalGasAndElectricityMember2019-09-292020-09-26000</w:t>
      </w:r>
      <w:r>
        <w:rPr>
          <w:rFonts w:eastAsia="Times New Roman"/>
          <w:vanish/>
        </w:rPr>
        <w:t>1005210us-gaap:CostOfSalesMemberus-gaap:NondesignatedMemberus-gaap:CommodityOptionMember2019-09-292020-09-260001005210us-gaap:SeniorNotesMemberus-gaap:DebtInstrumentRedemptionPeriodThreeMembersph:SeniorNotesDue2027Member2021-09-262022-09-2400010052102020-1</w:t>
      </w:r>
      <w:r>
        <w:rPr>
          <w:rFonts w:eastAsia="Times New Roman"/>
          <w:vanish/>
        </w:rPr>
        <w:t>2-272021-03-270001005210us-gaap:FairValueInputsLevel3Member2020-09-260001005210srt:WeightedAverageMembersph:StorageFacilitiesMember2021-09-262022-09-240001005210sph:FuelOilAndRefinedFuelsMember2019-09-292020-09-260001005210sph:PostRetirementBenefitsMember2</w:t>
      </w:r>
      <w:r>
        <w:rPr>
          <w:rFonts w:eastAsia="Times New Roman"/>
          <w:vanish/>
        </w:rPr>
        <w:t>019-09-292020-09-260001005210sph:MultiEmployerPlanIndividuallyInsignificantMultiEmployerPlan3Memberus-gaap:PensionPlansDefinedBenefitMember2020-09-272021-09-250001005210us-gaap:RetailMembersph:IndustrialSectorMember2019-09-292020-09-260001005210sph:Defined</w:t>
      </w:r>
      <w:r>
        <w:rPr>
          <w:rFonts w:eastAsia="Times New Roman"/>
          <w:vanish/>
        </w:rPr>
        <w:t>BenefitPostretirementHealthAndLifeBenefitsMember2021-09-262022-09-2400010052102022-03-272022-06-250001005210srt:MaximumMembersph:EquipmentPrimarilyTanksAndCylindersMember2021-09-262022-09-2400010052102020-06-282020-09-260001005210sph:DebtInstrumentRedempti</w:t>
      </w:r>
      <w:r>
        <w:rPr>
          <w:rFonts w:eastAsia="Times New Roman"/>
          <w:vanish/>
        </w:rPr>
        <w:t>onPeriodFourAndThereafterMemberus-gaap:SeniorNotesMembersph:SeniorNotesDue2027Member2021-09-262022-09-240001005210us-gaap:RetailMembersph:IndustrialSectorMember2020-09-272021-09-250001005210us-gaap:OtherIntangibleAssetsMember2021-09-250001005210us-gaap:Ope</w:t>
      </w:r>
      <w:r>
        <w:rPr>
          <w:rFonts w:eastAsia="Times New Roman"/>
          <w:vanish/>
        </w:rPr>
        <w:t>ratingSegmentsMembersph:PropaneMember2020-09-272021-09-250001005210us-gaap:NondesignatedMember2022-09-240001005210us-gaap:AccumulatedDefinedBenefitPlansAdjustmentNetPriorServiceCostCreditMember2019-09-292020-09-260001005210srt:MaximumMember2021-09-262022-0</w:t>
      </w:r>
      <w:r>
        <w:rPr>
          <w:rFonts w:eastAsia="Times New Roman"/>
          <w:vanish/>
        </w:rPr>
        <w:t>9-240001005210us-gaap:OperatingSegmentsMemberus-gaap:CorporateMember2021-09-250001005210us-gaap:OperatingSegmentsMemberus-gaap:AllOtherSegmentsMember2022-09-240001005210us-gaap:AllowanceForCreditLossMember2019-09-292020-09-260001005210us-gaap:OperatingSegm</w:t>
      </w:r>
      <w:r>
        <w:rPr>
          <w:rFonts w:eastAsia="Times New Roman"/>
          <w:vanish/>
        </w:rPr>
        <w:t>entsMembersph:PropaneMember2019-09-292020-09-260001005210us-gaap:SeniorNotesMembersph:SeniorNotesDue2027Member2021-09-250001005210us-gaap:PensionPlansDefinedBenefitMember2022-09-240001005210sph:PropaneMember2020-09-272021-09-250001005210us-gaap:CommonStock</w:t>
      </w:r>
      <w:r>
        <w:rPr>
          <w:rFonts w:eastAsia="Times New Roman"/>
          <w:vanish/>
        </w:rPr>
        <w:t>Member2019-09-280001005210us-gaap:PensionPlansDefinedBenefitMembersph:InternationalEquitySecuritiesMember2022-09-240001005210us-gaap:OtherNoncurrentLiabilitiesMemberus-gaap:NondesignatedMemberus-gaap:CommodityOptionMember2021-09-250001005210us-gaap:ShortTe</w:t>
      </w:r>
      <w:r>
        <w:rPr>
          <w:rFonts w:eastAsia="Times New Roman"/>
          <w:vanish/>
        </w:rPr>
        <w:t>rmInvestmentsMemberus-gaap:PensionPlansDefinedBenefitMember2021-09-250001005210sph:PostRetirementBenefitsMember2020-09-260001005210us-gaap:AccumulatedOtherComprehensiveIncomeMember2019-09-292020-09-260001005210srt:MaximumMembersph:StorageFacilitiesMember20</w:t>
      </w:r>
      <w:r>
        <w:rPr>
          <w:rFonts w:eastAsia="Times New Roman"/>
          <w:vanish/>
        </w:rPr>
        <w:t>21-09-262022-09-240001005210sph:DistributionEquivalentRightsPlanMember2020-09-272021-09-250001005210us-gaap:CommonStockMember2020-09-260001005210us-gaap:SupplierConcentrationRiskMemberus-gaap:CostOfGoodsProductLineMember2022-09-240001005210us-gaap:Accumula</w:t>
      </w:r>
      <w:r>
        <w:rPr>
          <w:rFonts w:eastAsia="Times New Roman"/>
          <w:vanish/>
        </w:rPr>
        <w:t>tedDefinedBenefitPlansAdjustmentMember2019-09-280001005210sph:EquipmentPrimarilyTanksAndCylindersMember2021-09-250001005210us-gaap:OperatingSegmentsMembersph:PropaneMember2021-09-262022-09-240001005210us-gaap:ShortTermInvestmentsMemberus-gaap:PensionPlansD</w:t>
      </w:r>
      <w:r>
        <w:rPr>
          <w:rFonts w:eastAsia="Times New Roman"/>
          <w:vanish/>
        </w:rPr>
        <w:t>efinedBenefitMember2022-09-240001005210srt:MinimumMemberus-gaap:ComputerSoftwareIntangibleAssetMember2021-09-262022-09-240001005210sph:CommercialSectorMemberus-gaap:RetailMember2020-09-272021-09-250001005210us-gaap:TransportationEquipmentMember2021-09-2500</w:t>
      </w:r>
      <w:r>
        <w:rPr>
          <w:rFonts w:eastAsia="Times New Roman"/>
          <w:vanish/>
        </w:rPr>
        <w:t>01005210srt:MinimumMembersph:StorageFacilitiesMember2021-09-262022-09-240001005210sph:PropaneRetailerHeadquarteredInNorthCarolinaMember2021-09-262022-09-240001005210sph:SeniorNotesDue2031Memberus-gaap:SeniorNotesMember2021-09-262022-09-240001005210sph:Whol</w:t>
      </w:r>
      <w:r>
        <w:rPr>
          <w:rFonts w:eastAsia="Times New Roman"/>
          <w:vanish/>
        </w:rPr>
        <w:t>esaleMember2019-09-292020-09-260001005210sph:DefinedBenefitPostretirementHealthAndLifeBenefitsMember2020-09-272021-09-250001005210sph:PropaneRetailerHeadquarteredInGeorgiaAndCaliforniaMember2021-09-262022-09-240001005210us-gaap:CommonStockMember2019-09-292</w:t>
      </w:r>
      <w:r>
        <w:rPr>
          <w:rFonts w:eastAsia="Times New Roman"/>
          <w:vanish/>
        </w:rPr>
        <w:t>020-09-260001005210us-gaap:SeniorNotesMembersph:SeniorNotesDue2027Member2021-09-262022-09-2400010052102021-06-272021-09-250001005210us-gaap:AllowanceForCreditLossMember2022-09-240001005210us-gaap:NondesignatedMemberus-gaap:OtherCurrentAssetsMemberus-gaap:C</w:t>
      </w:r>
      <w:r>
        <w:rPr>
          <w:rFonts w:eastAsia="Times New Roman"/>
          <w:vanish/>
        </w:rPr>
        <w:t>ommodityOptionMember2021-09-250001005210sph:SeniorNotesDue2027Member2021-09-2500010052102021-09-262022-09-2400010052102019-09-292020-09-260001005210sph:IndependenceHydrogenIncMember2022-03-090001005210us-gaap:OperatingSegmentsMembersph:FuelOilAndRefinedFue</w:t>
      </w:r>
      <w:r>
        <w:rPr>
          <w:rFonts w:eastAsia="Times New Roman"/>
          <w:vanish/>
        </w:rPr>
        <w:t>lsMember2021-09-250001005210srt:WeightedAverageMembersph:EquipmentPrimarilyTanksAndCylindersMember2021-09-262022-09-240001005210us-gaap:RetailMembersph:ResidentialSectorMember2020-09-272021-09-250001005210us-gaap:CommodityOptionMember2022-09-240001005210us</w:t>
      </w:r>
      <w:r>
        <w:rPr>
          <w:rFonts w:eastAsia="Times New Roman"/>
          <w:vanish/>
        </w:rPr>
        <w:t>-gaap:OperatingSegmentsMembersph:FuelOilAndRefinedFuelsMember2020-09-272021-09-250001005210us-gaap:OperatingSegmentsMemberus-gaap:AllOtherSegmentsMember2021-09-250001005210us-gaap:RestrictedStockUnitsRSUMember2021-09-262022-09-240001005210us-gaap:FederalFu</w:t>
      </w:r>
      <w:r>
        <w:rPr>
          <w:rFonts w:eastAsia="Times New Roman"/>
          <w:vanish/>
        </w:rPr>
        <w:t>ndsEffectiveSwapRateMember2021-09-262022-09-2400010052102021-09-262021-12-250001005210sph:StorageFacilitiesMember2022-09-240001005210us-gaap:PensionPlansDefinedBenefitMembersph:MultiEmployerPlanIndividuallySignificantMultiEmployerPlan1Member2020-09-272021-</w:t>
      </w:r>
      <w:r>
        <w:rPr>
          <w:rFonts w:eastAsia="Times New Roman"/>
          <w:vanish/>
        </w:rPr>
        <w:t>09-250001005210srt:ExecutiveOfficerMembersph:TwoThousandAndNineRestrictedUnitPlanMember2019-09-292020-09-260001005210sph:ThirdAmendedAndRestatedCreditMemberus-gaap:RevolvingCreditFacilityMember2020-03-050001005210sph:WholesaleMember2021-09-262022-09-240001</w:t>
      </w:r>
      <w:r>
        <w:rPr>
          <w:rFonts w:eastAsia="Times New Roman"/>
          <w:vanish/>
        </w:rPr>
        <w:t>005210us-gaap:CommonStockMember2021-09-262022-09-240001005210us-gaap:AllowanceForCreditLossMember2021-09-262022-09-240001005210us-gaap:RetailMembersph:ResidentialSectorMember2021-09-262022-09-240001005210srt:ExecutiveOfficerMembersph:TwoThousandAndNineRest</w:t>
      </w:r>
      <w:r>
        <w:rPr>
          <w:rFonts w:eastAsia="Times New Roman"/>
          <w:vanish/>
        </w:rPr>
        <w:t>rictedUnitPlanMember2021-09-262022-09-240001005210us-gaap:CommonStockMember2022-09-240001005210us-gaap:CustomerRelationshipsMember2022-09-2400010052102022-03-250001005210us-gaap:AccumulatedOtherComprehensiveIncomeMember2019-09-280001005210us-gaap:Accumulat</w:t>
      </w:r>
      <w:r>
        <w:rPr>
          <w:rFonts w:eastAsia="Times New Roman"/>
          <w:vanish/>
        </w:rPr>
        <w:t>edDefinedBenefitPlansAdjustmentNetPriorServiceCostCreditMember2020-09-272021-09-250001005210us-gaap:RestrictedStockUnitsRSUMember2020-09-272021-09-250001005210us-gaap:FixedIncomeSecuritiesMembercountry:US2021-09-250001005210sph:CommercialSectorMemberus-gaa</w:t>
      </w:r>
      <w:r>
        <w:rPr>
          <w:rFonts w:eastAsia="Times New Roman"/>
          <w:vanish/>
        </w:rPr>
        <w:t>p:RetailMember2021-09-262022-09-240001005210us-gaap:CostOfSalesMemberus-gaap:NondesignatedMemberus-gaap:CommodityOptionMember2020-09-272021-09-250001005210us-gaap:OperatingSegmentsMembersph:PropaneMember2022-09-240001005210sph:DefinedBenefitPostretirementH</w:t>
      </w:r>
      <w:r>
        <w:rPr>
          <w:rFonts w:eastAsia="Times New Roman"/>
          <w:vanish/>
        </w:rPr>
        <w:t>ealthAndLifeBenefitsMember2019-09-292020-09-260001005210sph:SeniorNotesDue2031Membersph:DebtInstrumentRedemptionPeriodSixMemberus-gaap:SeniorNotesMember2021-09-262022-09-240001005210us-gaap:PensionPlansDefinedBenefitMembersrt:MinimumMemberus-gaap:EquitySec</w:t>
      </w:r>
      <w:r>
        <w:rPr>
          <w:rFonts w:eastAsia="Times New Roman"/>
          <w:vanish/>
        </w:rPr>
        <w:t>uritiesMember2022-09-240001005210us-gaap:CommonStockMember2021-09-250001005210us-gaap:OperatingSegmentsMembersph:PropaneMember2021-09-250001005210us-gaap:BuildingAndBuildingImprovementsMember2022-09-240001005210sph:NaturalGasAndElectricityMember2021-09-262</w:t>
      </w:r>
      <w:r>
        <w:rPr>
          <w:rFonts w:eastAsia="Times New Roman"/>
          <w:vanish/>
        </w:rPr>
        <w:t>022-09-24sph:Segmentxbrli:puresph:Customeriso4217:USDxbrli:sharessph:Partnershipsph:Statesph:Locationsph:Multiemployerpensionplansph:Membersph:Businessxbrli:sharesiso4217:USDutr:WK</w:t>
      </w:r>
    </w:p>
    <w:p w14:paraId="057810A4"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6A2315A1" w14:textId="77777777" w:rsidR="00000000" w:rsidRDefault="00832D71">
      <w:pPr>
        <w:pStyle w:val="a3"/>
        <w:pBdr>
          <w:top w:val="double" w:sz="6" w:space="1" w:color="auto"/>
        </w:pBdr>
        <w:spacing w:before="0" w:beforeAutospacing="0" w:after="0" w:afterAutospacing="0"/>
        <w:rPr>
          <w:sz w:val="20"/>
          <w:szCs w:val="20"/>
        </w:rPr>
      </w:pPr>
      <w:r>
        <w:rPr>
          <w:sz w:val="20"/>
          <w:szCs w:val="20"/>
        </w:rPr>
        <w:t> </w:t>
      </w:r>
    </w:p>
    <w:p w14:paraId="5F01A837" w14:textId="77777777" w:rsidR="00000000" w:rsidRDefault="00832D71">
      <w:pPr>
        <w:pStyle w:val="a3"/>
        <w:spacing w:before="0" w:beforeAutospacing="0" w:after="0" w:afterAutospacing="0"/>
        <w:jc w:val="center"/>
        <w:rPr>
          <w:sz w:val="20"/>
          <w:szCs w:val="20"/>
        </w:rPr>
      </w:pPr>
      <w:r>
        <w:rPr>
          <w:b/>
          <w:bCs/>
          <w:sz w:val="34"/>
          <w:szCs w:val="34"/>
        </w:rPr>
        <w:t>UNITED STATE</w:t>
      </w:r>
      <w:r>
        <w:rPr>
          <w:b/>
          <w:bCs/>
          <w:sz w:val="34"/>
          <w:szCs w:val="34"/>
        </w:rPr>
        <w:t>S</w:t>
      </w:r>
    </w:p>
    <w:p w14:paraId="5D9F20F1" w14:textId="77777777" w:rsidR="00000000" w:rsidRDefault="00832D71">
      <w:pPr>
        <w:pStyle w:val="a3"/>
        <w:spacing w:before="0" w:beforeAutospacing="0" w:after="0" w:afterAutospacing="0"/>
        <w:jc w:val="center"/>
        <w:rPr>
          <w:sz w:val="20"/>
          <w:szCs w:val="20"/>
        </w:rPr>
      </w:pPr>
      <w:r>
        <w:rPr>
          <w:b/>
          <w:bCs/>
          <w:sz w:val="34"/>
          <w:szCs w:val="34"/>
        </w:rPr>
        <w:t>S</w:t>
      </w:r>
      <w:r>
        <w:rPr>
          <w:b/>
          <w:bCs/>
          <w:sz w:val="34"/>
          <w:szCs w:val="34"/>
        </w:rPr>
        <w:t>ECURITIES AND EXCHANGE COMMISSIO</w:t>
      </w:r>
      <w:r>
        <w:rPr>
          <w:b/>
          <w:bCs/>
          <w:sz w:val="34"/>
          <w:szCs w:val="34"/>
        </w:rPr>
        <w:t>N</w:t>
      </w:r>
    </w:p>
    <w:p w14:paraId="3CBFAB06" w14:textId="77777777" w:rsidR="00000000" w:rsidRDefault="00832D71">
      <w:pPr>
        <w:pStyle w:val="a3"/>
        <w:spacing w:before="0" w:beforeAutospacing="0" w:after="0" w:afterAutospacing="0"/>
        <w:jc w:val="center"/>
        <w:rPr>
          <w:sz w:val="20"/>
          <w:szCs w:val="20"/>
        </w:rPr>
      </w:pPr>
      <w:r>
        <w:rPr>
          <w:b/>
          <w:bCs/>
          <w:sz w:val="23"/>
          <w:szCs w:val="23"/>
        </w:rPr>
        <w:t>Washington, D.C. 2054</w:t>
      </w:r>
      <w:r>
        <w:rPr>
          <w:b/>
          <w:bCs/>
          <w:sz w:val="23"/>
          <w:szCs w:val="23"/>
        </w:rPr>
        <w:t>9</w:t>
      </w:r>
    </w:p>
    <w:p w14:paraId="2010C71E" w14:textId="77777777" w:rsidR="00000000" w:rsidRDefault="00832D71">
      <w:pPr>
        <w:pStyle w:val="a3"/>
        <w:pBdr>
          <w:bottom w:val="single" w:sz="8" w:space="1" w:color="auto"/>
        </w:pBdr>
        <w:spacing w:before="0" w:beforeAutospacing="0" w:after="0" w:afterAutospacing="0"/>
        <w:ind w:left="4762" w:right="4762"/>
        <w:jc w:val="center"/>
        <w:rPr>
          <w:sz w:val="20"/>
          <w:szCs w:val="20"/>
        </w:rPr>
      </w:pPr>
      <w:r>
        <w:rPr>
          <w:sz w:val="20"/>
          <w:szCs w:val="20"/>
        </w:rPr>
        <w:t> </w:t>
      </w:r>
    </w:p>
    <w:p w14:paraId="3EB39DBE" w14:textId="77777777" w:rsidR="00000000" w:rsidRDefault="00832D71">
      <w:pPr>
        <w:pStyle w:val="a3"/>
        <w:spacing w:before="90" w:beforeAutospacing="0" w:after="0" w:afterAutospacing="0"/>
        <w:jc w:val="center"/>
        <w:rPr>
          <w:sz w:val="20"/>
          <w:szCs w:val="20"/>
        </w:rPr>
      </w:pPr>
      <w:r>
        <w:rPr>
          <w:b/>
          <w:bCs/>
          <w:sz w:val="34"/>
          <w:szCs w:val="34"/>
        </w:rPr>
        <w:t>FORM</w:t>
      </w:r>
      <w:r>
        <w:rPr>
          <w:b/>
          <w:bCs/>
          <w:sz w:val="34"/>
          <w:szCs w:val="34"/>
        </w:rPr>
        <w:t xml:space="preserve"> </w:t>
      </w:r>
      <w:r>
        <w:rPr>
          <w:b/>
          <w:bCs/>
          <w:sz w:val="34"/>
          <w:szCs w:val="34"/>
        </w:rPr>
        <w:t>10-</w:t>
      </w:r>
      <w:r>
        <w:rPr>
          <w:b/>
          <w:bCs/>
          <w:sz w:val="34"/>
          <w:szCs w:val="34"/>
        </w:rPr>
        <w:t>K</w:t>
      </w:r>
    </w:p>
    <w:p w14:paraId="0BB765AE" w14:textId="77777777" w:rsidR="00000000" w:rsidRDefault="00832D71">
      <w:pPr>
        <w:pStyle w:val="a3"/>
        <w:pBdr>
          <w:bottom w:val="single" w:sz="8" w:space="1" w:color="auto"/>
        </w:pBdr>
        <w:spacing w:before="0" w:beforeAutospacing="0" w:after="0" w:afterAutospacing="0"/>
        <w:ind w:left="4762" w:right="4762"/>
        <w:jc w:val="center"/>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2"/>
        <w:gridCol w:w="7183"/>
      </w:tblGrid>
      <w:tr w:rsidR="00000000" w14:paraId="13BAB97B" w14:textId="77777777">
        <w:trPr>
          <w:tblCellSpacing w:w="15" w:type="dxa"/>
        </w:trPr>
        <w:tc>
          <w:tcPr>
            <w:tcW w:w="167" w:type="pct"/>
            <w:vAlign w:val="center"/>
            <w:hideMark/>
          </w:tcPr>
          <w:p w14:paraId="15C48E05" w14:textId="77777777" w:rsidR="00000000" w:rsidRDefault="00832D71">
            <w:pPr>
              <w:rPr>
                <w:sz w:val="20"/>
                <w:szCs w:val="20"/>
              </w:rPr>
            </w:pPr>
          </w:p>
        </w:tc>
        <w:tc>
          <w:tcPr>
            <w:tcW w:w="4832" w:type="pct"/>
            <w:vAlign w:val="center"/>
            <w:hideMark/>
          </w:tcPr>
          <w:p w14:paraId="30890612" w14:textId="77777777" w:rsidR="00000000" w:rsidRDefault="00832D71">
            <w:pPr>
              <w:rPr>
                <w:rFonts w:eastAsia="Times New Roman"/>
                <w:sz w:val="20"/>
                <w:szCs w:val="20"/>
              </w:rPr>
            </w:pPr>
          </w:p>
        </w:tc>
      </w:tr>
      <w:tr w:rsidR="00000000" w14:paraId="1CCDE524" w14:textId="77777777">
        <w:trPr>
          <w:trHeight w:val="220"/>
          <w:tblCellSpacing w:w="15" w:type="dxa"/>
        </w:trPr>
        <w:tc>
          <w:tcPr>
            <w:tcW w:w="0" w:type="auto"/>
            <w:hideMark/>
          </w:tcPr>
          <w:p w14:paraId="7D6A6E75" w14:textId="77777777" w:rsidR="00000000" w:rsidRDefault="00832D71">
            <w:pPr>
              <w:pStyle w:val="a3"/>
              <w:spacing w:before="85" w:beforeAutospacing="0" w:after="0" w:afterAutospacing="0"/>
              <w:rPr>
                <w:sz w:val="20"/>
                <w:szCs w:val="20"/>
              </w:rPr>
            </w:pPr>
            <w:r>
              <w:rPr>
                <w:rFonts w:ascii="Segoe UI Symbol" w:hAnsi="Segoe UI Symbol"/>
                <w:b/>
                <w:bCs/>
                <w:sz w:val="23"/>
                <w:szCs w:val="23"/>
              </w:rPr>
              <w:t>☒</w:t>
            </w:r>
          </w:p>
        </w:tc>
        <w:tc>
          <w:tcPr>
            <w:tcW w:w="0" w:type="auto"/>
            <w:hideMark/>
          </w:tcPr>
          <w:p w14:paraId="771C8958" w14:textId="77777777" w:rsidR="00000000" w:rsidRDefault="00832D71">
            <w:pPr>
              <w:pStyle w:val="a3"/>
              <w:spacing w:before="85" w:beforeAutospacing="0" w:after="0" w:afterAutospacing="0"/>
              <w:ind w:left="80"/>
              <w:rPr>
                <w:sz w:val="23"/>
                <w:szCs w:val="23"/>
              </w:rPr>
            </w:pPr>
            <w:r>
              <w:rPr>
                <w:b/>
                <w:bCs/>
                <w:sz w:val="23"/>
                <w:szCs w:val="23"/>
              </w:rPr>
              <w:t>Annual Report Pursuant to Section 13 or 15(d) of the Securities Exchange Act of 193</w:t>
            </w:r>
            <w:r>
              <w:rPr>
                <w:b/>
                <w:bCs/>
                <w:sz w:val="23"/>
                <w:szCs w:val="23"/>
              </w:rPr>
              <w:t>4</w:t>
            </w:r>
          </w:p>
        </w:tc>
      </w:tr>
    </w:tbl>
    <w:p w14:paraId="21DC4669" w14:textId="77777777" w:rsidR="00000000" w:rsidRDefault="00832D71">
      <w:pPr>
        <w:pStyle w:val="a3"/>
        <w:spacing w:before="85" w:beforeAutospacing="0" w:after="80" w:afterAutospacing="0"/>
        <w:jc w:val="center"/>
        <w:rPr>
          <w:sz w:val="20"/>
          <w:szCs w:val="20"/>
        </w:rPr>
      </w:pPr>
      <w:r>
        <w:rPr>
          <w:b/>
          <w:bCs/>
          <w:sz w:val="19"/>
          <w:szCs w:val="19"/>
        </w:rPr>
        <w:t>For the fiscal year ended</w:t>
      </w:r>
      <w:r>
        <w:rPr>
          <w:b/>
          <w:bCs/>
          <w:sz w:val="19"/>
          <w:szCs w:val="19"/>
        </w:rPr>
        <w:t xml:space="preserve"> </w:t>
      </w:r>
      <w:r>
        <w:rPr>
          <w:b/>
          <w:bCs/>
          <w:sz w:val="19"/>
          <w:szCs w:val="19"/>
        </w:rPr>
        <w:t>September 24,</w:t>
      </w:r>
      <w:r>
        <w:rPr>
          <w:b/>
          <w:bCs/>
          <w:sz w:val="19"/>
          <w:szCs w:val="19"/>
        </w:rPr>
        <w:t xml:space="preserve"> </w:t>
      </w:r>
      <w:r>
        <w:rPr>
          <w:b/>
          <w:bCs/>
          <w:sz w:val="19"/>
          <w:szCs w:val="19"/>
        </w:rPr>
        <w:t>202</w:t>
      </w:r>
      <w:r>
        <w:rPr>
          <w:b/>
          <w:bCs/>
          <w:sz w:val="19"/>
          <w:szCs w:val="19"/>
        </w:rPr>
        <w:t>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2"/>
        <w:gridCol w:w="7183"/>
      </w:tblGrid>
      <w:tr w:rsidR="00000000" w14:paraId="567672DB" w14:textId="77777777">
        <w:trPr>
          <w:tblCellSpacing w:w="15" w:type="dxa"/>
        </w:trPr>
        <w:tc>
          <w:tcPr>
            <w:tcW w:w="167" w:type="pct"/>
            <w:vAlign w:val="center"/>
            <w:hideMark/>
          </w:tcPr>
          <w:p w14:paraId="1A85E3B1" w14:textId="77777777" w:rsidR="00000000" w:rsidRDefault="00832D71">
            <w:pPr>
              <w:rPr>
                <w:sz w:val="20"/>
                <w:szCs w:val="20"/>
              </w:rPr>
            </w:pPr>
          </w:p>
        </w:tc>
        <w:tc>
          <w:tcPr>
            <w:tcW w:w="4832" w:type="pct"/>
            <w:vAlign w:val="center"/>
            <w:hideMark/>
          </w:tcPr>
          <w:p w14:paraId="1D7CC3F6" w14:textId="77777777" w:rsidR="00000000" w:rsidRDefault="00832D71">
            <w:pPr>
              <w:rPr>
                <w:rFonts w:eastAsia="Times New Roman"/>
                <w:sz w:val="20"/>
                <w:szCs w:val="20"/>
              </w:rPr>
            </w:pPr>
          </w:p>
        </w:tc>
      </w:tr>
      <w:tr w:rsidR="00000000" w14:paraId="237810A1" w14:textId="77777777">
        <w:trPr>
          <w:trHeight w:val="220"/>
          <w:tblCellSpacing w:w="15" w:type="dxa"/>
        </w:trPr>
        <w:tc>
          <w:tcPr>
            <w:tcW w:w="0" w:type="auto"/>
            <w:hideMark/>
          </w:tcPr>
          <w:p w14:paraId="19212822" w14:textId="77777777" w:rsidR="00000000" w:rsidRDefault="00832D71">
            <w:pPr>
              <w:pStyle w:val="a3"/>
              <w:spacing w:before="85" w:beforeAutospacing="0" w:after="0" w:afterAutospacing="0"/>
              <w:rPr>
                <w:sz w:val="20"/>
                <w:szCs w:val="20"/>
              </w:rPr>
            </w:pPr>
            <w:r>
              <w:rPr>
                <w:rFonts w:ascii="Segoe UI Symbol" w:hAnsi="Segoe UI Symbol"/>
                <w:b/>
                <w:bCs/>
                <w:sz w:val="23"/>
                <w:szCs w:val="23"/>
              </w:rPr>
              <w:t>☐</w:t>
            </w:r>
          </w:p>
        </w:tc>
        <w:tc>
          <w:tcPr>
            <w:tcW w:w="0" w:type="auto"/>
            <w:hideMark/>
          </w:tcPr>
          <w:p w14:paraId="280D5B66" w14:textId="77777777" w:rsidR="00000000" w:rsidRDefault="00832D71">
            <w:pPr>
              <w:pStyle w:val="a3"/>
              <w:spacing w:before="85" w:beforeAutospacing="0" w:after="0" w:afterAutospacing="0"/>
              <w:ind w:left="80"/>
              <w:rPr>
                <w:sz w:val="23"/>
                <w:szCs w:val="23"/>
              </w:rPr>
            </w:pPr>
            <w:r>
              <w:rPr>
                <w:b/>
                <w:bCs/>
                <w:sz w:val="23"/>
                <w:szCs w:val="23"/>
              </w:rPr>
              <w:t>Transition Report Pursuant to Section 13 or 15(d) of the Securities Exchange Act of 193</w:t>
            </w:r>
            <w:r>
              <w:rPr>
                <w:b/>
                <w:bCs/>
                <w:sz w:val="23"/>
                <w:szCs w:val="23"/>
              </w:rPr>
              <w:t>4</w:t>
            </w:r>
          </w:p>
        </w:tc>
      </w:tr>
    </w:tbl>
    <w:p w14:paraId="5022A949" w14:textId="77777777" w:rsidR="00000000" w:rsidRDefault="00832D71">
      <w:pPr>
        <w:pStyle w:val="a3"/>
        <w:spacing w:before="85" w:beforeAutospacing="0" w:after="0" w:afterAutospacing="0"/>
        <w:jc w:val="center"/>
        <w:rPr>
          <w:sz w:val="20"/>
          <w:szCs w:val="20"/>
        </w:rPr>
      </w:pPr>
      <w:r>
        <w:rPr>
          <w:b/>
          <w:bCs/>
          <w:sz w:val="19"/>
          <w:szCs w:val="19"/>
        </w:rPr>
        <w:t>Commission File Number:</w:t>
      </w:r>
      <w:r>
        <w:rPr>
          <w:b/>
          <w:bCs/>
          <w:sz w:val="19"/>
          <w:szCs w:val="19"/>
        </w:rPr>
        <w:t xml:space="preserve"> </w:t>
      </w:r>
      <w:r>
        <w:rPr>
          <w:b/>
          <w:bCs/>
          <w:sz w:val="19"/>
          <w:szCs w:val="19"/>
        </w:rPr>
        <w:t>1-1422</w:t>
      </w:r>
      <w:r>
        <w:rPr>
          <w:b/>
          <w:bCs/>
          <w:sz w:val="19"/>
          <w:szCs w:val="19"/>
        </w:rPr>
        <w:t>2</w:t>
      </w:r>
    </w:p>
    <w:p w14:paraId="5CC52338" w14:textId="77777777" w:rsidR="00000000" w:rsidRDefault="00832D71">
      <w:pPr>
        <w:pStyle w:val="a3"/>
        <w:pBdr>
          <w:bottom w:val="single" w:sz="8" w:space="1" w:color="auto"/>
        </w:pBdr>
        <w:spacing w:before="0" w:beforeAutospacing="0" w:after="0" w:afterAutospacing="0"/>
        <w:ind w:left="4762" w:right="4762"/>
        <w:jc w:val="center"/>
        <w:rPr>
          <w:sz w:val="20"/>
          <w:szCs w:val="20"/>
        </w:rPr>
      </w:pPr>
      <w:r>
        <w:rPr>
          <w:sz w:val="20"/>
          <w:szCs w:val="20"/>
        </w:rPr>
        <w:t> </w:t>
      </w:r>
    </w:p>
    <w:p w14:paraId="11E5030C" w14:textId="77777777" w:rsidR="00000000" w:rsidRDefault="00832D71">
      <w:pPr>
        <w:pStyle w:val="a3"/>
        <w:spacing w:before="90" w:beforeAutospacing="0" w:after="0" w:afterAutospacing="0"/>
        <w:jc w:val="center"/>
        <w:rPr>
          <w:sz w:val="20"/>
          <w:szCs w:val="20"/>
        </w:rPr>
      </w:pPr>
      <w:r>
        <w:rPr>
          <w:b/>
          <w:bCs/>
          <w:sz w:val="46"/>
          <w:szCs w:val="46"/>
        </w:rPr>
        <w:t>SUBURBAN PROPANE PARTNERS, L.P</w:t>
      </w:r>
      <w:r>
        <w:rPr>
          <w:b/>
          <w:bCs/>
          <w:sz w:val="46"/>
          <w:szCs w:val="46"/>
        </w:rPr>
        <w:t>.</w:t>
      </w:r>
    </w:p>
    <w:p w14:paraId="19B2A5D3" w14:textId="77777777" w:rsidR="00000000" w:rsidRDefault="00832D71">
      <w:pPr>
        <w:pStyle w:val="a3"/>
        <w:spacing w:before="0" w:beforeAutospacing="0" w:after="0" w:afterAutospacing="0"/>
        <w:jc w:val="center"/>
        <w:rPr>
          <w:sz w:val="20"/>
          <w:szCs w:val="20"/>
        </w:rPr>
      </w:pPr>
      <w:r>
        <w:rPr>
          <w:b/>
          <w:bCs/>
          <w:sz w:val="19"/>
          <w:szCs w:val="19"/>
        </w:rPr>
        <w:t>(Exact name of registrant as specified in its charter</w:t>
      </w:r>
      <w:r>
        <w:rPr>
          <w:b/>
          <w:bCs/>
          <w:sz w:val="19"/>
          <w:szCs w:val="19"/>
        </w:rPr>
        <w:t>)</w:t>
      </w:r>
    </w:p>
    <w:p w14:paraId="7590478C" w14:textId="77777777" w:rsidR="00000000" w:rsidRDefault="00832D71">
      <w:pPr>
        <w:pStyle w:val="a3"/>
        <w:pBdr>
          <w:bottom w:val="single" w:sz="8" w:space="1" w:color="auto"/>
        </w:pBdr>
        <w:spacing w:before="0" w:beforeAutospacing="0" w:after="0" w:afterAutospacing="0"/>
        <w:ind w:left="4762" w:right="4762"/>
        <w:jc w:val="center"/>
        <w:rPr>
          <w:sz w:val="20"/>
          <w:szCs w:val="20"/>
        </w:rPr>
      </w:pPr>
      <w:r>
        <w:rPr>
          <w:sz w:val="20"/>
          <w:szCs w:val="20"/>
        </w:rPr>
        <w:t> </w:t>
      </w:r>
    </w:p>
    <w:p w14:paraId="3B15B308" w14:textId="77777777" w:rsidR="00000000" w:rsidRDefault="00832D7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7"/>
        <w:gridCol w:w="194"/>
        <w:gridCol w:w="4055"/>
      </w:tblGrid>
      <w:tr w:rsidR="00000000" w14:paraId="59821250" w14:textId="77777777">
        <w:trPr>
          <w:tblCellSpacing w:w="15" w:type="dxa"/>
        </w:trPr>
        <w:tc>
          <w:tcPr>
            <w:tcW w:w="2450" w:type="pct"/>
            <w:vAlign w:val="center"/>
            <w:hideMark/>
          </w:tcPr>
          <w:p w14:paraId="4A820668" w14:textId="77777777" w:rsidR="00000000" w:rsidRDefault="00832D71">
            <w:pPr>
              <w:rPr>
                <w:sz w:val="20"/>
                <w:szCs w:val="20"/>
              </w:rPr>
            </w:pPr>
          </w:p>
        </w:tc>
        <w:tc>
          <w:tcPr>
            <w:tcW w:w="100" w:type="pct"/>
            <w:vAlign w:val="center"/>
            <w:hideMark/>
          </w:tcPr>
          <w:p w14:paraId="793CAF13" w14:textId="77777777" w:rsidR="00000000" w:rsidRDefault="00832D71">
            <w:pPr>
              <w:rPr>
                <w:rFonts w:eastAsia="Times New Roman"/>
                <w:sz w:val="20"/>
                <w:szCs w:val="20"/>
              </w:rPr>
            </w:pPr>
          </w:p>
        </w:tc>
        <w:tc>
          <w:tcPr>
            <w:tcW w:w="2449" w:type="pct"/>
            <w:vAlign w:val="center"/>
            <w:hideMark/>
          </w:tcPr>
          <w:p w14:paraId="2815704D" w14:textId="77777777" w:rsidR="00000000" w:rsidRDefault="00832D71">
            <w:pPr>
              <w:rPr>
                <w:rFonts w:eastAsia="Times New Roman"/>
                <w:sz w:val="20"/>
                <w:szCs w:val="20"/>
              </w:rPr>
            </w:pPr>
          </w:p>
        </w:tc>
      </w:tr>
      <w:tr w:rsidR="00000000" w14:paraId="66F13800" w14:textId="77777777">
        <w:trPr>
          <w:trHeight w:val="14"/>
          <w:tblCellSpacing w:w="15" w:type="dxa"/>
        </w:trPr>
        <w:tc>
          <w:tcPr>
            <w:tcW w:w="0" w:type="auto"/>
            <w:hideMark/>
          </w:tcPr>
          <w:p w14:paraId="6E0566D2" w14:textId="77777777" w:rsidR="00000000" w:rsidRDefault="00832D71">
            <w:pPr>
              <w:pStyle w:val="a3"/>
              <w:spacing w:before="0" w:beforeAutospacing="0" w:after="0" w:afterAutospacing="0"/>
              <w:jc w:val="center"/>
              <w:rPr>
                <w:sz w:val="20"/>
                <w:szCs w:val="20"/>
              </w:rPr>
            </w:pPr>
            <w:r>
              <w:rPr>
                <w:b/>
                <w:bCs/>
                <w:sz w:val="19"/>
                <w:szCs w:val="19"/>
              </w:rPr>
              <w:t>Delawar</w:t>
            </w:r>
            <w:r>
              <w:rPr>
                <w:b/>
                <w:bCs/>
                <w:sz w:val="19"/>
                <w:szCs w:val="19"/>
              </w:rPr>
              <w:t>e</w:t>
            </w:r>
          </w:p>
        </w:tc>
        <w:tc>
          <w:tcPr>
            <w:tcW w:w="0" w:type="auto"/>
            <w:hideMark/>
          </w:tcPr>
          <w:p w14:paraId="6046655F"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07ABDAB0" w14:textId="77777777" w:rsidR="00000000" w:rsidRDefault="00832D71">
            <w:pPr>
              <w:pStyle w:val="a3"/>
              <w:spacing w:before="0" w:beforeAutospacing="0" w:after="0" w:afterAutospacing="0"/>
              <w:jc w:val="center"/>
              <w:rPr>
                <w:sz w:val="20"/>
                <w:szCs w:val="20"/>
              </w:rPr>
            </w:pPr>
            <w:r>
              <w:rPr>
                <w:b/>
                <w:bCs/>
                <w:sz w:val="19"/>
                <w:szCs w:val="19"/>
              </w:rPr>
              <w:t>22-341035</w:t>
            </w:r>
            <w:r>
              <w:rPr>
                <w:b/>
                <w:bCs/>
                <w:sz w:val="19"/>
                <w:szCs w:val="19"/>
              </w:rPr>
              <w:t>3</w:t>
            </w:r>
          </w:p>
        </w:tc>
      </w:tr>
      <w:tr w:rsidR="00000000" w14:paraId="6E05092F" w14:textId="77777777">
        <w:trPr>
          <w:trHeight w:val="14"/>
          <w:tblCellSpacing w:w="15" w:type="dxa"/>
        </w:trPr>
        <w:tc>
          <w:tcPr>
            <w:tcW w:w="0" w:type="auto"/>
            <w:hideMark/>
          </w:tcPr>
          <w:p w14:paraId="4EFE3C54" w14:textId="77777777" w:rsidR="00000000" w:rsidRDefault="00832D71">
            <w:pPr>
              <w:pStyle w:val="a3"/>
              <w:spacing w:before="0" w:beforeAutospacing="0" w:after="0" w:afterAutospacing="0"/>
              <w:jc w:val="center"/>
              <w:rPr>
                <w:sz w:val="15"/>
                <w:szCs w:val="15"/>
              </w:rPr>
            </w:pPr>
            <w:r>
              <w:rPr>
                <w:b/>
                <w:bCs/>
                <w:sz w:val="15"/>
                <w:szCs w:val="15"/>
              </w:rPr>
              <w:t>(State or other jurisdiction o</w:t>
            </w:r>
            <w:r>
              <w:rPr>
                <w:b/>
                <w:bCs/>
                <w:sz w:val="15"/>
                <w:szCs w:val="15"/>
              </w:rPr>
              <w:t>f</w:t>
            </w:r>
          </w:p>
        </w:tc>
        <w:tc>
          <w:tcPr>
            <w:tcW w:w="0" w:type="auto"/>
            <w:hideMark/>
          </w:tcPr>
          <w:p w14:paraId="0A5D44AD" w14:textId="77777777" w:rsidR="00000000" w:rsidRDefault="00832D71">
            <w:pPr>
              <w:pStyle w:val="a3"/>
              <w:spacing w:before="0" w:beforeAutospacing="0" w:after="0" w:afterAutospacing="0"/>
              <w:jc w:val="center"/>
              <w:rPr>
                <w:sz w:val="15"/>
                <w:szCs w:val="15"/>
              </w:rPr>
            </w:pPr>
            <w:r>
              <w:rPr>
                <w:sz w:val="15"/>
                <w:szCs w:val="15"/>
              </w:rPr>
              <w:t> </w:t>
            </w:r>
          </w:p>
        </w:tc>
        <w:tc>
          <w:tcPr>
            <w:tcW w:w="0" w:type="auto"/>
            <w:hideMark/>
          </w:tcPr>
          <w:p w14:paraId="37205260" w14:textId="77777777" w:rsidR="00000000" w:rsidRDefault="00832D71">
            <w:pPr>
              <w:pStyle w:val="a3"/>
              <w:spacing w:before="0" w:beforeAutospacing="0" w:after="0" w:afterAutospacing="0"/>
              <w:jc w:val="center"/>
              <w:rPr>
                <w:sz w:val="15"/>
                <w:szCs w:val="15"/>
              </w:rPr>
            </w:pPr>
            <w:r>
              <w:rPr>
                <w:b/>
                <w:bCs/>
                <w:sz w:val="15"/>
                <w:szCs w:val="15"/>
              </w:rPr>
              <w:t>(I.R.S. Employe</w:t>
            </w:r>
            <w:r>
              <w:rPr>
                <w:b/>
                <w:bCs/>
                <w:sz w:val="15"/>
                <w:szCs w:val="15"/>
              </w:rPr>
              <w:t>r</w:t>
            </w:r>
          </w:p>
        </w:tc>
      </w:tr>
      <w:tr w:rsidR="00000000" w14:paraId="1B84982C" w14:textId="77777777">
        <w:trPr>
          <w:trHeight w:val="14"/>
          <w:tblCellSpacing w:w="15" w:type="dxa"/>
        </w:trPr>
        <w:tc>
          <w:tcPr>
            <w:tcW w:w="0" w:type="auto"/>
            <w:hideMark/>
          </w:tcPr>
          <w:p w14:paraId="523E47E2" w14:textId="77777777" w:rsidR="00000000" w:rsidRDefault="00832D71">
            <w:pPr>
              <w:pStyle w:val="a3"/>
              <w:spacing w:before="0" w:beforeAutospacing="0" w:after="0" w:afterAutospacing="0"/>
              <w:jc w:val="center"/>
              <w:rPr>
                <w:sz w:val="15"/>
                <w:szCs w:val="15"/>
              </w:rPr>
            </w:pPr>
            <w:r>
              <w:rPr>
                <w:b/>
                <w:bCs/>
                <w:sz w:val="15"/>
                <w:szCs w:val="15"/>
              </w:rPr>
              <w:t>incorporation or organization</w:t>
            </w:r>
            <w:r>
              <w:rPr>
                <w:b/>
                <w:bCs/>
                <w:sz w:val="15"/>
                <w:szCs w:val="15"/>
              </w:rPr>
              <w:t>)</w:t>
            </w:r>
          </w:p>
        </w:tc>
        <w:tc>
          <w:tcPr>
            <w:tcW w:w="0" w:type="auto"/>
            <w:hideMark/>
          </w:tcPr>
          <w:p w14:paraId="3A589406" w14:textId="77777777" w:rsidR="00000000" w:rsidRDefault="00832D71">
            <w:pPr>
              <w:pStyle w:val="a3"/>
              <w:spacing w:before="0" w:beforeAutospacing="0" w:after="0" w:afterAutospacing="0"/>
              <w:jc w:val="center"/>
              <w:rPr>
                <w:sz w:val="15"/>
                <w:szCs w:val="15"/>
              </w:rPr>
            </w:pPr>
            <w:r>
              <w:rPr>
                <w:sz w:val="15"/>
                <w:szCs w:val="15"/>
              </w:rPr>
              <w:t> </w:t>
            </w:r>
          </w:p>
        </w:tc>
        <w:tc>
          <w:tcPr>
            <w:tcW w:w="0" w:type="auto"/>
            <w:hideMark/>
          </w:tcPr>
          <w:p w14:paraId="73338BBC" w14:textId="77777777" w:rsidR="00000000" w:rsidRDefault="00832D71">
            <w:pPr>
              <w:pStyle w:val="a3"/>
              <w:spacing w:before="0" w:beforeAutospacing="0" w:after="0" w:afterAutospacing="0"/>
              <w:jc w:val="center"/>
              <w:rPr>
                <w:sz w:val="15"/>
                <w:szCs w:val="15"/>
              </w:rPr>
            </w:pPr>
            <w:r>
              <w:rPr>
                <w:b/>
                <w:bCs/>
                <w:sz w:val="15"/>
                <w:szCs w:val="15"/>
              </w:rPr>
              <w:t>Identification No.</w:t>
            </w:r>
            <w:r>
              <w:rPr>
                <w:b/>
                <w:bCs/>
                <w:sz w:val="15"/>
                <w:szCs w:val="15"/>
              </w:rPr>
              <w:t>)</w:t>
            </w:r>
          </w:p>
        </w:tc>
      </w:tr>
    </w:tbl>
    <w:p w14:paraId="48CE809D" w14:textId="77777777" w:rsidR="00000000" w:rsidRDefault="00832D71">
      <w:pPr>
        <w:pStyle w:val="a3"/>
        <w:spacing w:before="90" w:beforeAutospacing="0" w:after="0" w:afterAutospacing="0"/>
        <w:jc w:val="center"/>
        <w:rPr>
          <w:sz w:val="20"/>
          <w:szCs w:val="20"/>
        </w:rPr>
      </w:pPr>
      <w:r>
        <w:rPr>
          <w:b/>
          <w:bCs/>
          <w:sz w:val="19"/>
          <w:szCs w:val="19"/>
        </w:rPr>
        <w:t>240 Route 10 Wes</w:t>
      </w:r>
      <w:r>
        <w:rPr>
          <w:b/>
          <w:bCs/>
          <w:sz w:val="19"/>
          <w:szCs w:val="19"/>
        </w:rPr>
        <w:t>t</w:t>
      </w:r>
    </w:p>
    <w:p w14:paraId="3528DC74" w14:textId="77777777" w:rsidR="00000000" w:rsidRDefault="00832D71">
      <w:pPr>
        <w:pStyle w:val="a3"/>
        <w:spacing w:before="0" w:beforeAutospacing="0" w:after="0" w:afterAutospacing="0"/>
        <w:jc w:val="center"/>
        <w:rPr>
          <w:sz w:val="20"/>
          <w:szCs w:val="20"/>
        </w:rPr>
      </w:pPr>
      <w:r>
        <w:rPr>
          <w:b/>
          <w:bCs/>
          <w:sz w:val="19"/>
          <w:szCs w:val="19"/>
        </w:rPr>
        <w:t>Whippan</w:t>
      </w:r>
      <w:r>
        <w:rPr>
          <w:b/>
          <w:bCs/>
          <w:sz w:val="19"/>
          <w:szCs w:val="19"/>
        </w:rPr>
        <w:t>y</w:t>
      </w:r>
      <w:r>
        <w:rPr>
          <w:b/>
          <w:bCs/>
          <w:sz w:val="19"/>
          <w:szCs w:val="19"/>
        </w:rPr>
        <w:t>,</w:t>
      </w:r>
      <w:r>
        <w:rPr>
          <w:b/>
          <w:bCs/>
          <w:sz w:val="19"/>
          <w:szCs w:val="19"/>
        </w:rPr>
        <w:t xml:space="preserve"> </w:t>
      </w:r>
      <w:r>
        <w:rPr>
          <w:b/>
          <w:bCs/>
          <w:sz w:val="19"/>
          <w:szCs w:val="19"/>
        </w:rPr>
        <w:t>N</w:t>
      </w:r>
      <w:r>
        <w:rPr>
          <w:b/>
          <w:bCs/>
          <w:sz w:val="19"/>
          <w:szCs w:val="19"/>
        </w:rPr>
        <w:t>J</w:t>
      </w:r>
      <w:r>
        <w:rPr>
          <w:b/>
          <w:bCs/>
          <w:sz w:val="19"/>
          <w:szCs w:val="19"/>
        </w:rPr>
        <w:t xml:space="preserve"> </w:t>
      </w:r>
      <w:r>
        <w:rPr>
          <w:b/>
          <w:bCs/>
          <w:sz w:val="19"/>
          <w:szCs w:val="19"/>
        </w:rPr>
        <w:t>0798</w:t>
      </w:r>
      <w:r>
        <w:rPr>
          <w:b/>
          <w:bCs/>
          <w:sz w:val="19"/>
          <w:szCs w:val="19"/>
        </w:rPr>
        <w:t>1</w:t>
      </w:r>
    </w:p>
    <w:p w14:paraId="7B9E2AAC" w14:textId="77777777" w:rsidR="00000000" w:rsidRDefault="00832D71">
      <w:pPr>
        <w:pStyle w:val="a3"/>
        <w:spacing w:before="0" w:beforeAutospacing="0" w:after="0" w:afterAutospacing="0"/>
        <w:jc w:val="center"/>
        <w:rPr>
          <w:sz w:val="20"/>
          <w:szCs w:val="20"/>
        </w:rPr>
      </w:pPr>
      <w:r>
        <w:rPr>
          <w:b/>
          <w:bCs/>
          <w:sz w:val="19"/>
          <w:szCs w:val="19"/>
        </w:rPr>
        <w:t>(</w:t>
      </w:r>
      <w:r>
        <w:rPr>
          <w:b/>
          <w:bCs/>
          <w:sz w:val="19"/>
          <w:szCs w:val="19"/>
        </w:rPr>
        <w:t>97</w:t>
      </w:r>
      <w:r>
        <w:rPr>
          <w:b/>
          <w:bCs/>
          <w:sz w:val="19"/>
          <w:szCs w:val="19"/>
        </w:rPr>
        <w:t>3</w:t>
      </w:r>
      <w:r>
        <w:rPr>
          <w:b/>
          <w:bCs/>
          <w:sz w:val="19"/>
          <w:szCs w:val="19"/>
        </w:rPr>
        <w:t>)</w:t>
      </w:r>
      <w:r>
        <w:rPr>
          <w:b/>
          <w:bCs/>
          <w:sz w:val="19"/>
          <w:szCs w:val="19"/>
        </w:rPr>
        <w:t xml:space="preserve"> </w:t>
      </w:r>
      <w:r>
        <w:rPr>
          <w:b/>
          <w:bCs/>
          <w:sz w:val="19"/>
          <w:szCs w:val="19"/>
        </w:rPr>
        <w:t>887-530</w:t>
      </w:r>
      <w:r>
        <w:rPr>
          <w:b/>
          <w:bCs/>
          <w:sz w:val="19"/>
          <w:szCs w:val="19"/>
        </w:rPr>
        <w:t>0</w:t>
      </w:r>
    </w:p>
    <w:p w14:paraId="7DD81532" w14:textId="77777777" w:rsidR="00000000" w:rsidRDefault="00832D71">
      <w:pPr>
        <w:pStyle w:val="a3"/>
        <w:spacing w:before="0" w:beforeAutospacing="0" w:after="0" w:afterAutospacing="0"/>
        <w:jc w:val="center"/>
        <w:rPr>
          <w:sz w:val="20"/>
          <w:szCs w:val="20"/>
        </w:rPr>
      </w:pPr>
      <w:r>
        <w:rPr>
          <w:b/>
          <w:bCs/>
          <w:sz w:val="15"/>
          <w:szCs w:val="15"/>
        </w:rPr>
        <w:t>(Address, including zip code, and telephone number</w:t>
      </w:r>
      <w:r>
        <w:rPr>
          <w:b/>
          <w:bCs/>
          <w:sz w:val="15"/>
          <w:szCs w:val="15"/>
        </w:rPr>
        <w:t>,</w:t>
      </w:r>
    </w:p>
    <w:p w14:paraId="65B22429" w14:textId="77777777" w:rsidR="00000000" w:rsidRDefault="00832D71">
      <w:pPr>
        <w:pStyle w:val="a3"/>
        <w:spacing w:before="0" w:beforeAutospacing="0" w:after="0" w:afterAutospacing="0"/>
        <w:jc w:val="center"/>
        <w:rPr>
          <w:sz w:val="20"/>
          <w:szCs w:val="20"/>
        </w:rPr>
      </w:pPr>
      <w:r>
        <w:rPr>
          <w:b/>
          <w:bCs/>
          <w:sz w:val="15"/>
          <w:szCs w:val="15"/>
        </w:rPr>
        <w:t>including area code, of registrant’s principal executive offices</w:t>
      </w:r>
      <w:r>
        <w:rPr>
          <w:b/>
          <w:bCs/>
          <w:sz w:val="15"/>
          <w:szCs w:val="15"/>
        </w:rPr>
        <w:t>)</w:t>
      </w:r>
    </w:p>
    <w:p w14:paraId="7E22229D" w14:textId="77777777" w:rsidR="00000000" w:rsidRDefault="00832D71">
      <w:pPr>
        <w:pStyle w:val="a3"/>
        <w:spacing w:before="80" w:beforeAutospacing="0" w:after="0" w:afterAutospacing="0"/>
        <w:jc w:val="center"/>
        <w:rPr>
          <w:sz w:val="20"/>
          <w:szCs w:val="20"/>
        </w:rPr>
      </w:pPr>
      <w:r>
        <w:rPr>
          <w:b/>
          <w:bCs/>
          <w:sz w:val="19"/>
          <w:szCs w:val="19"/>
        </w:rPr>
        <w:t>Securities registered pursuant to Section 12(b) of the Act</w:t>
      </w:r>
      <w:r>
        <w:rPr>
          <w:b/>
          <w:bCs/>
          <w:sz w:val="19"/>
          <w:szCs w:val="19"/>
        </w:rPr>
        <w:t>:</w:t>
      </w:r>
    </w:p>
    <w:p w14:paraId="7E96EC8C" w14:textId="77777777" w:rsidR="00000000" w:rsidRDefault="00832D7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01"/>
        <w:gridCol w:w="2395"/>
        <w:gridCol w:w="141"/>
        <w:gridCol w:w="2869"/>
      </w:tblGrid>
      <w:tr w:rsidR="00000000" w14:paraId="240F2655" w14:textId="77777777">
        <w:trPr>
          <w:tblCellSpacing w:w="15" w:type="dxa"/>
        </w:trPr>
        <w:tc>
          <w:tcPr>
            <w:tcW w:w="1750" w:type="pct"/>
            <w:vAlign w:val="center"/>
            <w:hideMark/>
          </w:tcPr>
          <w:p w14:paraId="7EFDBF73" w14:textId="77777777" w:rsidR="00000000" w:rsidRDefault="00832D71">
            <w:pPr>
              <w:rPr>
                <w:sz w:val="20"/>
                <w:szCs w:val="20"/>
              </w:rPr>
            </w:pPr>
          </w:p>
        </w:tc>
        <w:tc>
          <w:tcPr>
            <w:tcW w:w="1450" w:type="pct"/>
            <w:vAlign w:val="center"/>
            <w:hideMark/>
          </w:tcPr>
          <w:p w14:paraId="67A6A413" w14:textId="77777777" w:rsidR="00000000" w:rsidRDefault="00832D71">
            <w:pPr>
              <w:rPr>
                <w:rFonts w:eastAsia="Times New Roman"/>
                <w:sz w:val="20"/>
                <w:szCs w:val="20"/>
              </w:rPr>
            </w:pPr>
          </w:p>
        </w:tc>
        <w:tc>
          <w:tcPr>
            <w:tcW w:w="68" w:type="pct"/>
            <w:vAlign w:val="center"/>
            <w:hideMark/>
          </w:tcPr>
          <w:p w14:paraId="7EF14C22" w14:textId="77777777" w:rsidR="00000000" w:rsidRDefault="00832D71">
            <w:pPr>
              <w:rPr>
                <w:rFonts w:eastAsia="Times New Roman"/>
                <w:sz w:val="20"/>
                <w:szCs w:val="20"/>
              </w:rPr>
            </w:pPr>
          </w:p>
        </w:tc>
        <w:tc>
          <w:tcPr>
            <w:tcW w:w="1731" w:type="pct"/>
            <w:vAlign w:val="center"/>
            <w:hideMark/>
          </w:tcPr>
          <w:p w14:paraId="0A02AF63" w14:textId="77777777" w:rsidR="00000000" w:rsidRDefault="00832D71">
            <w:pPr>
              <w:rPr>
                <w:rFonts w:eastAsia="Times New Roman"/>
                <w:sz w:val="20"/>
                <w:szCs w:val="20"/>
              </w:rPr>
            </w:pPr>
          </w:p>
        </w:tc>
      </w:tr>
      <w:tr w:rsidR="00000000" w14:paraId="210B2F29" w14:textId="77777777">
        <w:trPr>
          <w:trHeight w:val="200"/>
          <w:tblCellSpacing w:w="15" w:type="dxa"/>
        </w:trPr>
        <w:tc>
          <w:tcPr>
            <w:tcW w:w="0" w:type="auto"/>
            <w:vAlign w:val="bottom"/>
            <w:hideMark/>
          </w:tcPr>
          <w:p w14:paraId="743E5BA6" w14:textId="77777777" w:rsidR="00000000" w:rsidRDefault="00832D71">
            <w:pPr>
              <w:pStyle w:val="a3"/>
              <w:spacing w:before="0" w:beforeAutospacing="0" w:after="0" w:afterAutospacing="0"/>
              <w:jc w:val="center"/>
              <w:rPr>
                <w:sz w:val="19"/>
                <w:szCs w:val="19"/>
              </w:rPr>
            </w:pPr>
            <w:r>
              <w:rPr>
                <w:sz w:val="19"/>
                <w:szCs w:val="19"/>
                <w:u w:val="single"/>
              </w:rPr>
              <w:t>Title of each clas</w:t>
            </w:r>
            <w:r>
              <w:rPr>
                <w:sz w:val="19"/>
                <w:szCs w:val="19"/>
                <w:u w:val="single"/>
              </w:rPr>
              <w:t>s</w:t>
            </w:r>
          </w:p>
        </w:tc>
        <w:tc>
          <w:tcPr>
            <w:tcW w:w="0" w:type="auto"/>
            <w:hideMark/>
          </w:tcPr>
          <w:p w14:paraId="174EE82B" w14:textId="77777777" w:rsidR="00000000" w:rsidRDefault="00832D71">
            <w:pPr>
              <w:pStyle w:val="a3"/>
              <w:spacing w:before="0" w:beforeAutospacing="0" w:after="0" w:afterAutospacing="0"/>
              <w:jc w:val="center"/>
              <w:rPr>
                <w:sz w:val="19"/>
                <w:szCs w:val="19"/>
              </w:rPr>
            </w:pPr>
            <w:r>
              <w:rPr>
                <w:sz w:val="19"/>
                <w:szCs w:val="19"/>
                <w:u w:val="single"/>
              </w:rPr>
              <w:t>Trading Symbo</w:t>
            </w:r>
            <w:r>
              <w:rPr>
                <w:sz w:val="19"/>
                <w:szCs w:val="19"/>
                <w:u w:val="single"/>
              </w:rPr>
              <w:t>l</w:t>
            </w:r>
          </w:p>
        </w:tc>
        <w:tc>
          <w:tcPr>
            <w:tcW w:w="0" w:type="auto"/>
            <w:vAlign w:val="bottom"/>
            <w:hideMark/>
          </w:tcPr>
          <w:p w14:paraId="492D6CA6"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6EADEA87" w14:textId="77777777" w:rsidR="00000000" w:rsidRDefault="00832D71">
            <w:pPr>
              <w:pStyle w:val="a3"/>
              <w:spacing w:before="0" w:beforeAutospacing="0" w:after="0" w:afterAutospacing="0"/>
              <w:jc w:val="center"/>
              <w:rPr>
                <w:sz w:val="19"/>
                <w:szCs w:val="19"/>
              </w:rPr>
            </w:pPr>
            <w:r>
              <w:rPr>
                <w:sz w:val="19"/>
                <w:szCs w:val="19"/>
                <w:u w:val="single"/>
              </w:rPr>
              <w:t>Name of exchange on which registere</w:t>
            </w:r>
            <w:r>
              <w:rPr>
                <w:sz w:val="19"/>
                <w:szCs w:val="19"/>
                <w:u w:val="single"/>
              </w:rPr>
              <w:t>d</w:t>
            </w:r>
          </w:p>
        </w:tc>
      </w:tr>
      <w:tr w:rsidR="00000000" w14:paraId="3117A14A" w14:textId="77777777">
        <w:trPr>
          <w:trHeight w:val="200"/>
          <w:tblCellSpacing w:w="15" w:type="dxa"/>
        </w:trPr>
        <w:tc>
          <w:tcPr>
            <w:tcW w:w="0" w:type="auto"/>
            <w:vAlign w:val="bottom"/>
            <w:hideMark/>
          </w:tcPr>
          <w:p w14:paraId="451D03F2" w14:textId="77777777" w:rsidR="00000000" w:rsidRDefault="00832D71">
            <w:pPr>
              <w:pStyle w:val="a3"/>
              <w:spacing w:before="0" w:beforeAutospacing="0" w:after="15" w:afterAutospacing="0"/>
              <w:jc w:val="center"/>
              <w:rPr>
                <w:sz w:val="20"/>
                <w:szCs w:val="20"/>
              </w:rPr>
            </w:pPr>
            <w:r>
              <w:rPr>
                <w:sz w:val="19"/>
                <w:szCs w:val="19"/>
              </w:rPr>
              <w:t>Common Unit</w:t>
            </w:r>
            <w:r>
              <w:rPr>
                <w:sz w:val="19"/>
                <w:szCs w:val="19"/>
              </w:rPr>
              <w:t>s</w:t>
            </w:r>
          </w:p>
        </w:tc>
        <w:tc>
          <w:tcPr>
            <w:tcW w:w="0" w:type="auto"/>
            <w:hideMark/>
          </w:tcPr>
          <w:p w14:paraId="052D42C5" w14:textId="77777777" w:rsidR="00000000" w:rsidRDefault="00832D71">
            <w:pPr>
              <w:pStyle w:val="a3"/>
              <w:spacing w:before="0" w:beforeAutospacing="0" w:after="15" w:afterAutospacing="0"/>
              <w:jc w:val="center"/>
              <w:rPr>
                <w:sz w:val="20"/>
                <w:szCs w:val="20"/>
              </w:rPr>
            </w:pPr>
            <w:r>
              <w:rPr>
                <w:sz w:val="19"/>
                <w:szCs w:val="19"/>
              </w:rPr>
              <w:t>SP</w:t>
            </w:r>
            <w:r>
              <w:rPr>
                <w:sz w:val="19"/>
                <w:szCs w:val="19"/>
              </w:rPr>
              <w:t>H</w:t>
            </w:r>
          </w:p>
        </w:tc>
        <w:tc>
          <w:tcPr>
            <w:tcW w:w="0" w:type="auto"/>
            <w:vAlign w:val="bottom"/>
            <w:hideMark/>
          </w:tcPr>
          <w:p w14:paraId="3467299A" w14:textId="77777777" w:rsidR="00000000" w:rsidRDefault="00832D71">
            <w:pPr>
              <w:pStyle w:val="a3"/>
              <w:spacing w:before="0" w:beforeAutospacing="0" w:after="15" w:afterAutospacing="0"/>
              <w:jc w:val="center"/>
              <w:rPr>
                <w:sz w:val="20"/>
                <w:szCs w:val="20"/>
              </w:rPr>
            </w:pPr>
            <w:r>
              <w:rPr>
                <w:sz w:val="20"/>
                <w:szCs w:val="20"/>
              </w:rPr>
              <w:t> </w:t>
            </w:r>
          </w:p>
        </w:tc>
        <w:tc>
          <w:tcPr>
            <w:tcW w:w="0" w:type="auto"/>
            <w:vAlign w:val="bottom"/>
            <w:hideMark/>
          </w:tcPr>
          <w:p w14:paraId="74B3CEF6" w14:textId="77777777" w:rsidR="00000000" w:rsidRDefault="00832D71">
            <w:pPr>
              <w:pStyle w:val="a3"/>
              <w:spacing w:before="0" w:beforeAutospacing="0" w:after="15" w:afterAutospacing="0"/>
              <w:jc w:val="center"/>
              <w:rPr>
                <w:sz w:val="20"/>
                <w:szCs w:val="20"/>
              </w:rPr>
            </w:pPr>
            <w:r>
              <w:rPr>
                <w:sz w:val="19"/>
                <w:szCs w:val="19"/>
              </w:rPr>
              <w:t>New York Stock Exchang</w:t>
            </w:r>
            <w:r>
              <w:rPr>
                <w:sz w:val="19"/>
                <w:szCs w:val="19"/>
              </w:rPr>
              <w:t>e</w:t>
            </w:r>
          </w:p>
        </w:tc>
      </w:tr>
    </w:tbl>
    <w:p w14:paraId="72935957" w14:textId="77777777" w:rsidR="00000000" w:rsidRDefault="00832D71">
      <w:pPr>
        <w:pStyle w:val="a3"/>
        <w:pBdr>
          <w:bottom w:val="single" w:sz="8" w:space="1" w:color="auto"/>
        </w:pBdr>
        <w:spacing w:before="0" w:beforeAutospacing="0" w:after="0" w:afterAutospacing="0"/>
        <w:ind w:left="4762" w:right="4762"/>
        <w:jc w:val="center"/>
        <w:rPr>
          <w:sz w:val="20"/>
          <w:szCs w:val="20"/>
        </w:rPr>
      </w:pPr>
      <w:r>
        <w:rPr>
          <w:sz w:val="20"/>
          <w:szCs w:val="20"/>
        </w:rPr>
        <w:t> </w:t>
      </w:r>
    </w:p>
    <w:p w14:paraId="19D7470F" w14:textId="77777777" w:rsidR="00000000" w:rsidRDefault="00832D71">
      <w:pPr>
        <w:pStyle w:val="a3"/>
        <w:spacing w:before="80" w:beforeAutospacing="0" w:after="0" w:afterAutospacing="0"/>
        <w:jc w:val="both"/>
        <w:rPr>
          <w:sz w:val="20"/>
          <w:szCs w:val="20"/>
        </w:rPr>
      </w:pPr>
      <w:r>
        <w:rPr>
          <w:sz w:val="19"/>
          <w:szCs w:val="19"/>
        </w:rPr>
        <w:t>Securities registered pursuant to Section 12(g) of the Act: Non</w:t>
      </w:r>
      <w:r>
        <w:rPr>
          <w:sz w:val="19"/>
          <w:szCs w:val="19"/>
        </w:rPr>
        <w:t>e</w:t>
      </w:r>
    </w:p>
    <w:p w14:paraId="72CDC604" w14:textId="77777777" w:rsidR="00000000" w:rsidRDefault="00832D71">
      <w:pPr>
        <w:pStyle w:val="a3"/>
        <w:spacing w:before="80" w:beforeAutospacing="0" w:after="0" w:afterAutospacing="0"/>
        <w:jc w:val="both"/>
        <w:rPr>
          <w:sz w:val="20"/>
          <w:szCs w:val="20"/>
        </w:rPr>
      </w:pPr>
      <w:r>
        <w:rPr>
          <w:sz w:val="19"/>
          <w:szCs w:val="19"/>
        </w:rPr>
        <w:t>Indicate by check mark if the registrant is a well-known seasoned issuer, as defined in Rule 405 of the Sec</w:t>
      </w:r>
      <w:r>
        <w:rPr>
          <w:sz w:val="19"/>
          <w:szCs w:val="19"/>
        </w:rPr>
        <w:t>urities Act.</w:t>
      </w:r>
      <w:r>
        <w:rPr>
          <w:sz w:val="19"/>
          <w:szCs w:val="19"/>
        </w:rPr>
        <w:t xml:space="preserve"> </w:t>
      </w:r>
      <w:r>
        <w:rPr>
          <w:sz w:val="19"/>
          <w:szCs w:val="19"/>
        </w:rPr>
        <w:t>Ye</w:t>
      </w:r>
      <w:r>
        <w:rPr>
          <w:sz w:val="19"/>
          <w:szCs w:val="19"/>
        </w:rPr>
        <w:t>s</w:t>
      </w:r>
      <w:r>
        <w:rPr>
          <w:sz w:val="19"/>
          <w:szCs w:val="19"/>
        </w:rPr>
        <w:t xml:space="preserve"> </w:t>
      </w:r>
      <w:r>
        <w:rPr>
          <w:rFonts w:ascii="Segoe UI Symbol" w:hAnsi="Segoe UI Symbol"/>
          <w:sz w:val="19"/>
          <w:szCs w:val="19"/>
        </w:rPr>
        <w:t>☒</w:t>
      </w:r>
      <w:r>
        <w:rPr>
          <w:sz w:val="19"/>
          <w:szCs w:val="19"/>
        </w:rPr>
        <w:t xml:space="preserve"> No</w:t>
      </w:r>
      <w:r>
        <w:rPr>
          <w:sz w:val="19"/>
          <w:szCs w:val="19"/>
        </w:rPr>
        <w:t xml:space="preserve"> </w:t>
      </w:r>
      <w:r>
        <w:rPr>
          <w:rFonts w:ascii="Segoe UI Symbol" w:hAnsi="Segoe UI Symbol"/>
          <w:sz w:val="19"/>
          <w:szCs w:val="19"/>
        </w:rPr>
        <w:t>☐</w:t>
      </w:r>
    </w:p>
    <w:p w14:paraId="5B3270CD" w14:textId="77777777" w:rsidR="00000000" w:rsidRDefault="00832D71">
      <w:pPr>
        <w:pStyle w:val="a3"/>
        <w:spacing w:before="80" w:beforeAutospacing="0" w:after="0" w:afterAutospacing="0"/>
        <w:jc w:val="both"/>
        <w:rPr>
          <w:sz w:val="20"/>
          <w:szCs w:val="20"/>
        </w:rPr>
      </w:pPr>
      <w:r>
        <w:rPr>
          <w:sz w:val="19"/>
          <w:szCs w:val="19"/>
        </w:rPr>
        <w:t>Indicate by check mark if the registrant is not required to file reports pursuant to Section 13 or Section 15(d) of the Act. Yes</w:t>
      </w:r>
      <w:r>
        <w:rPr>
          <w:sz w:val="19"/>
          <w:szCs w:val="19"/>
        </w:rPr>
        <w:t xml:space="preserve"> </w:t>
      </w:r>
      <w:r>
        <w:rPr>
          <w:rFonts w:ascii="Segoe UI Symbol" w:hAnsi="Segoe UI Symbol"/>
          <w:sz w:val="19"/>
          <w:szCs w:val="19"/>
        </w:rPr>
        <w:t>☐</w:t>
      </w:r>
      <w:r>
        <w:rPr>
          <w:sz w:val="19"/>
          <w:szCs w:val="19"/>
        </w:rPr>
        <w:t xml:space="preserve"> </w:t>
      </w:r>
      <w:r>
        <w:rPr>
          <w:sz w:val="19"/>
          <w:szCs w:val="19"/>
        </w:rPr>
        <w:t>N</w:t>
      </w:r>
      <w:r>
        <w:rPr>
          <w:sz w:val="19"/>
          <w:szCs w:val="19"/>
        </w:rPr>
        <w:t>o</w:t>
      </w:r>
      <w:r>
        <w:rPr>
          <w:sz w:val="19"/>
          <w:szCs w:val="19"/>
        </w:rPr>
        <w:t xml:space="preserve"> </w:t>
      </w:r>
      <w:r>
        <w:rPr>
          <w:rFonts w:ascii="Segoe UI Symbol" w:hAnsi="Segoe UI Symbol"/>
          <w:sz w:val="19"/>
          <w:szCs w:val="19"/>
        </w:rPr>
        <w:t>☒</w:t>
      </w:r>
    </w:p>
    <w:p w14:paraId="391E514C" w14:textId="77777777" w:rsidR="00000000" w:rsidRDefault="00832D71">
      <w:pPr>
        <w:pStyle w:val="a3"/>
        <w:spacing w:before="80" w:beforeAutospacing="0" w:after="0" w:afterAutospacing="0"/>
        <w:jc w:val="both"/>
        <w:rPr>
          <w:sz w:val="20"/>
          <w:szCs w:val="20"/>
        </w:rPr>
      </w:pPr>
      <w:r>
        <w:rPr>
          <w:sz w:val="19"/>
          <w:szCs w:val="19"/>
        </w:rPr>
        <w:t>Indicate by check mark whether the registrant (1) has filed all reports required to be filed by Section 13 or 15(d) of t</w:t>
      </w:r>
      <w:r>
        <w:rPr>
          <w:sz w:val="19"/>
          <w:szCs w:val="19"/>
        </w:rPr>
        <w:t>he Securities Exchange Act of 1934 during the preceding 12 months (or for such shorter period that the registrant was required to file such reports), and (2) has been subject to such filing requirements for the past 90 days.</w:t>
      </w:r>
      <w:r>
        <w:rPr>
          <w:sz w:val="19"/>
          <w:szCs w:val="19"/>
        </w:rPr>
        <w:t xml:space="preserve"> </w:t>
      </w:r>
      <w:r>
        <w:rPr>
          <w:sz w:val="19"/>
          <w:szCs w:val="19"/>
        </w:rPr>
        <w:t>Ye</w:t>
      </w:r>
      <w:r>
        <w:rPr>
          <w:sz w:val="19"/>
          <w:szCs w:val="19"/>
        </w:rPr>
        <w:t>s</w:t>
      </w:r>
      <w:r>
        <w:rPr>
          <w:sz w:val="19"/>
          <w:szCs w:val="19"/>
        </w:rPr>
        <w:t xml:space="preserve"> </w:t>
      </w:r>
      <w:r>
        <w:rPr>
          <w:rFonts w:ascii="Segoe UI Symbol" w:hAnsi="Segoe UI Symbol"/>
          <w:sz w:val="19"/>
          <w:szCs w:val="19"/>
        </w:rPr>
        <w:t>☒</w:t>
      </w:r>
      <w:r>
        <w:rPr>
          <w:sz w:val="19"/>
          <w:szCs w:val="19"/>
        </w:rPr>
        <w:t xml:space="preserve"> No</w:t>
      </w:r>
      <w:r>
        <w:rPr>
          <w:sz w:val="19"/>
          <w:szCs w:val="19"/>
        </w:rPr>
        <w:t xml:space="preserve"> </w:t>
      </w:r>
      <w:r>
        <w:rPr>
          <w:rFonts w:ascii="Segoe UI Symbol" w:hAnsi="Segoe UI Symbol"/>
          <w:sz w:val="19"/>
          <w:szCs w:val="19"/>
        </w:rPr>
        <w:t>☐</w:t>
      </w:r>
    </w:p>
    <w:p w14:paraId="5B21AEDE" w14:textId="77777777" w:rsidR="00000000" w:rsidRDefault="00832D71">
      <w:pPr>
        <w:pStyle w:val="a3"/>
        <w:spacing w:before="80" w:beforeAutospacing="0" w:after="0" w:afterAutospacing="0"/>
        <w:jc w:val="both"/>
        <w:rPr>
          <w:sz w:val="20"/>
          <w:szCs w:val="20"/>
        </w:rPr>
      </w:pPr>
      <w:r>
        <w:rPr>
          <w:sz w:val="19"/>
          <w:szCs w:val="19"/>
        </w:rPr>
        <w:t>Indicate by check ma</w:t>
      </w:r>
      <w:r>
        <w:rPr>
          <w:sz w:val="19"/>
          <w:szCs w:val="19"/>
        </w:rPr>
        <w:t>rk whether the registrant has submitted electronically every Interactive Data File required to be submitted pursuant to Rule 405 of Regulation S-T (§232.405 of this chapter) during the preceding 12 months (or for such shorter period that the registrant was</w:t>
      </w:r>
      <w:r>
        <w:rPr>
          <w:sz w:val="19"/>
          <w:szCs w:val="19"/>
        </w:rPr>
        <w:t xml:space="preserve"> required to submit such files).</w:t>
      </w:r>
      <w:r>
        <w:rPr>
          <w:sz w:val="19"/>
          <w:szCs w:val="19"/>
        </w:rPr>
        <w:t xml:space="preserve"> </w:t>
      </w:r>
      <w:r>
        <w:rPr>
          <w:sz w:val="19"/>
          <w:szCs w:val="19"/>
        </w:rPr>
        <w:t>Ye</w:t>
      </w:r>
      <w:r>
        <w:rPr>
          <w:sz w:val="19"/>
          <w:szCs w:val="19"/>
        </w:rPr>
        <w:t>s</w:t>
      </w:r>
      <w:r>
        <w:rPr>
          <w:sz w:val="19"/>
          <w:szCs w:val="19"/>
        </w:rPr>
        <w:t xml:space="preserve"> </w:t>
      </w:r>
      <w:r>
        <w:rPr>
          <w:rFonts w:ascii="Segoe UI Symbol" w:hAnsi="Segoe UI Symbol"/>
          <w:sz w:val="19"/>
          <w:szCs w:val="19"/>
        </w:rPr>
        <w:t>☒</w:t>
      </w:r>
      <w:r>
        <w:rPr>
          <w:sz w:val="19"/>
          <w:szCs w:val="19"/>
        </w:rPr>
        <w:t xml:space="preserve"> No</w:t>
      </w:r>
      <w:r>
        <w:rPr>
          <w:sz w:val="19"/>
          <w:szCs w:val="19"/>
        </w:rPr>
        <w:t xml:space="preserve"> </w:t>
      </w:r>
      <w:r>
        <w:rPr>
          <w:rFonts w:ascii="Segoe UI Symbol" w:hAnsi="Segoe UI Symbol"/>
          <w:sz w:val="19"/>
          <w:szCs w:val="19"/>
        </w:rPr>
        <w:t>☐</w:t>
      </w:r>
    </w:p>
    <w:p w14:paraId="363E67D2" w14:textId="77777777" w:rsidR="00000000" w:rsidRDefault="00832D71">
      <w:pPr>
        <w:pStyle w:val="a3"/>
        <w:spacing w:before="80" w:beforeAutospacing="0" w:after="0" w:afterAutospacing="0"/>
        <w:jc w:val="both"/>
        <w:rPr>
          <w:sz w:val="20"/>
          <w:szCs w:val="20"/>
        </w:rPr>
      </w:pPr>
      <w:r>
        <w:rPr>
          <w:sz w:val="19"/>
          <w:szCs w:val="19"/>
        </w:rPr>
        <w:lastRenderedPageBreak/>
        <w:t>Indicate by check mark whether the registrant is a large accelerated filer, an accelerated filer, a non-accelerated filer, a smaller reporting company, or an emerging growth company. See the definitions of “large</w:t>
      </w:r>
      <w:r>
        <w:rPr>
          <w:sz w:val="19"/>
          <w:szCs w:val="19"/>
        </w:rPr>
        <w:t xml:space="preserve"> accelerated filer,” “accelerated filer,” “smaller reporting company,” and “emerging growth company” in Rule 12b-2 of the Exchange Act</w:t>
      </w:r>
      <w:r>
        <w:rPr>
          <w:sz w:val="19"/>
          <w:szCs w:val="19"/>
        </w:rPr>
        <w:t>.</w:t>
      </w:r>
      <w:r>
        <w:rPr>
          <w:sz w:val="19"/>
          <w:szCs w:val="19"/>
        </w:rPr>
        <w:t xml:space="preserve"> </w:t>
      </w:r>
    </w:p>
    <w:p w14:paraId="1321AFB8" w14:textId="77777777" w:rsidR="00000000" w:rsidRDefault="00832D7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39"/>
        <w:gridCol w:w="275"/>
        <w:gridCol w:w="4337"/>
        <w:gridCol w:w="1676"/>
        <w:gridCol w:w="279"/>
      </w:tblGrid>
      <w:tr w:rsidR="00000000" w14:paraId="726BF4E4" w14:textId="77777777">
        <w:trPr>
          <w:tblCellSpacing w:w="15" w:type="dxa"/>
        </w:trPr>
        <w:tc>
          <w:tcPr>
            <w:tcW w:w="1042" w:type="pct"/>
            <w:vAlign w:val="center"/>
            <w:hideMark/>
          </w:tcPr>
          <w:p w14:paraId="0E5EE3D0" w14:textId="77777777" w:rsidR="00000000" w:rsidRDefault="00832D71">
            <w:pPr>
              <w:rPr>
                <w:sz w:val="20"/>
                <w:szCs w:val="20"/>
              </w:rPr>
            </w:pPr>
          </w:p>
        </w:tc>
        <w:tc>
          <w:tcPr>
            <w:tcW w:w="151" w:type="pct"/>
            <w:vAlign w:val="center"/>
            <w:hideMark/>
          </w:tcPr>
          <w:p w14:paraId="69565E5A" w14:textId="77777777" w:rsidR="00000000" w:rsidRDefault="00832D71">
            <w:pPr>
              <w:rPr>
                <w:rFonts w:eastAsia="Times New Roman"/>
                <w:sz w:val="20"/>
                <w:szCs w:val="20"/>
              </w:rPr>
            </w:pPr>
          </w:p>
        </w:tc>
        <w:tc>
          <w:tcPr>
            <w:tcW w:w="2648" w:type="pct"/>
            <w:vAlign w:val="center"/>
            <w:hideMark/>
          </w:tcPr>
          <w:p w14:paraId="316EA0F3" w14:textId="77777777" w:rsidR="00000000" w:rsidRDefault="00832D71">
            <w:pPr>
              <w:rPr>
                <w:rFonts w:eastAsia="Times New Roman"/>
                <w:sz w:val="20"/>
                <w:szCs w:val="20"/>
              </w:rPr>
            </w:pPr>
          </w:p>
        </w:tc>
        <w:tc>
          <w:tcPr>
            <w:tcW w:w="1012" w:type="pct"/>
            <w:vAlign w:val="center"/>
            <w:hideMark/>
          </w:tcPr>
          <w:p w14:paraId="7C216696" w14:textId="77777777" w:rsidR="00000000" w:rsidRDefault="00832D71">
            <w:pPr>
              <w:rPr>
                <w:rFonts w:eastAsia="Times New Roman"/>
                <w:sz w:val="20"/>
                <w:szCs w:val="20"/>
              </w:rPr>
            </w:pPr>
          </w:p>
        </w:tc>
        <w:tc>
          <w:tcPr>
            <w:tcW w:w="144" w:type="pct"/>
            <w:vAlign w:val="center"/>
            <w:hideMark/>
          </w:tcPr>
          <w:p w14:paraId="2869804E" w14:textId="77777777" w:rsidR="00000000" w:rsidRDefault="00832D71">
            <w:pPr>
              <w:rPr>
                <w:rFonts w:eastAsia="Times New Roman"/>
                <w:sz w:val="20"/>
                <w:szCs w:val="20"/>
              </w:rPr>
            </w:pPr>
          </w:p>
        </w:tc>
      </w:tr>
      <w:tr w:rsidR="00000000" w14:paraId="48421983" w14:textId="77777777">
        <w:trPr>
          <w:trHeight w:val="180"/>
          <w:tblCellSpacing w:w="15" w:type="dxa"/>
        </w:trPr>
        <w:tc>
          <w:tcPr>
            <w:tcW w:w="0" w:type="auto"/>
            <w:vAlign w:val="bottom"/>
            <w:hideMark/>
          </w:tcPr>
          <w:p w14:paraId="329ED6C0" w14:textId="77777777" w:rsidR="00000000" w:rsidRDefault="00832D71">
            <w:pPr>
              <w:pStyle w:val="a3"/>
              <w:spacing w:before="0" w:beforeAutospacing="0" w:after="0" w:afterAutospacing="0"/>
              <w:rPr>
                <w:sz w:val="20"/>
                <w:szCs w:val="20"/>
              </w:rPr>
            </w:pPr>
            <w:r>
              <w:rPr>
                <w:sz w:val="19"/>
                <w:szCs w:val="19"/>
              </w:rPr>
              <w:t>Large accelerated file</w:t>
            </w:r>
            <w:r>
              <w:rPr>
                <w:sz w:val="19"/>
                <w:szCs w:val="19"/>
              </w:rPr>
              <w:t>r</w:t>
            </w:r>
          </w:p>
        </w:tc>
        <w:tc>
          <w:tcPr>
            <w:tcW w:w="0" w:type="auto"/>
            <w:vAlign w:val="bottom"/>
            <w:hideMark/>
          </w:tcPr>
          <w:p w14:paraId="12A14A69" w14:textId="77777777" w:rsidR="00000000" w:rsidRDefault="00832D71">
            <w:pPr>
              <w:pStyle w:val="a3"/>
              <w:spacing w:before="0" w:beforeAutospacing="0" w:after="0" w:afterAutospacing="0"/>
              <w:rPr>
                <w:sz w:val="19"/>
                <w:szCs w:val="19"/>
              </w:rPr>
            </w:pPr>
            <w:r>
              <w:rPr>
                <w:rFonts w:ascii="Segoe UI Symbol" w:hAnsi="Segoe UI Symbol"/>
                <w:sz w:val="19"/>
                <w:szCs w:val="19"/>
              </w:rPr>
              <w:t>☒</w:t>
            </w:r>
          </w:p>
        </w:tc>
        <w:tc>
          <w:tcPr>
            <w:tcW w:w="0" w:type="auto"/>
            <w:vAlign w:val="bottom"/>
            <w:hideMark/>
          </w:tcPr>
          <w:p w14:paraId="50B05CA2"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18DE9F6D" w14:textId="77777777" w:rsidR="00000000" w:rsidRDefault="00832D71">
            <w:pPr>
              <w:pStyle w:val="a3"/>
              <w:spacing w:before="0" w:beforeAutospacing="0" w:after="0" w:afterAutospacing="0"/>
              <w:rPr>
                <w:sz w:val="19"/>
                <w:szCs w:val="19"/>
              </w:rPr>
            </w:pPr>
            <w:r>
              <w:rPr>
                <w:sz w:val="19"/>
                <w:szCs w:val="19"/>
              </w:rPr>
              <w:t>Accelerated file</w:t>
            </w:r>
            <w:r>
              <w:rPr>
                <w:sz w:val="19"/>
                <w:szCs w:val="19"/>
              </w:rPr>
              <w:t>r</w:t>
            </w:r>
          </w:p>
        </w:tc>
        <w:tc>
          <w:tcPr>
            <w:tcW w:w="0" w:type="auto"/>
            <w:vAlign w:val="bottom"/>
            <w:hideMark/>
          </w:tcPr>
          <w:p w14:paraId="2F96D3A4" w14:textId="77777777" w:rsidR="00000000" w:rsidRDefault="00832D71">
            <w:pPr>
              <w:pStyle w:val="a3"/>
              <w:spacing w:before="0" w:beforeAutospacing="0" w:after="0" w:afterAutospacing="0"/>
              <w:jc w:val="right"/>
              <w:rPr>
                <w:sz w:val="19"/>
                <w:szCs w:val="19"/>
              </w:rPr>
            </w:pPr>
            <w:r>
              <w:rPr>
                <w:rFonts w:ascii="Segoe UI Symbol" w:hAnsi="Segoe UI Symbol"/>
                <w:sz w:val="19"/>
                <w:szCs w:val="19"/>
              </w:rPr>
              <w:t>☐</w:t>
            </w:r>
          </w:p>
        </w:tc>
      </w:tr>
      <w:tr w:rsidR="00000000" w14:paraId="7BF80132" w14:textId="77777777">
        <w:trPr>
          <w:trHeight w:val="29"/>
          <w:tblCellSpacing w:w="15" w:type="dxa"/>
        </w:trPr>
        <w:tc>
          <w:tcPr>
            <w:tcW w:w="0" w:type="auto"/>
            <w:vAlign w:val="bottom"/>
            <w:hideMark/>
          </w:tcPr>
          <w:p w14:paraId="2AD995C0" w14:textId="77777777" w:rsidR="00000000" w:rsidRDefault="00832D71">
            <w:pPr>
              <w:pStyle w:val="a3"/>
              <w:spacing w:before="0" w:beforeAutospacing="0" w:after="0" w:afterAutospacing="0"/>
              <w:rPr>
                <w:sz w:val="19"/>
                <w:szCs w:val="19"/>
              </w:rPr>
            </w:pPr>
            <w:r>
              <w:rPr>
                <w:sz w:val="19"/>
                <w:szCs w:val="19"/>
              </w:rPr>
              <w:t>Non-accelerated file</w:t>
            </w:r>
            <w:r>
              <w:rPr>
                <w:sz w:val="19"/>
                <w:szCs w:val="19"/>
              </w:rPr>
              <w:t>r</w:t>
            </w:r>
          </w:p>
        </w:tc>
        <w:tc>
          <w:tcPr>
            <w:tcW w:w="0" w:type="auto"/>
            <w:vAlign w:val="bottom"/>
            <w:hideMark/>
          </w:tcPr>
          <w:p w14:paraId="7852B473" w14:textId="77777777" w:rsidR="00000000" w:rsidRDefault="00832D71">
            <w:pPr>
              <w:pStyle w:val="a3"/>
              <w:spacing w:before="0" w:beforeAutospacing="0" w:after="0" w:afterAutospacing="0"/>
              <w:rPr>
                <w:sz w:val="19"/>
                <w:szCs w:val="19"/>
              </w:rPr>
            </w:pPr>
            <w:r>
              <w:rPr>
                <w:rFonts w:ascii="Segoe UI Symbol" w:hAnsi="Segoe UI Symbol"/>
                <w:sz w:val="19"/>
                <w:szCs w:val="19"/>
              </w:rPr>
              <w:t>☐</w:t>
            </w:r>
          </w:p>
        </w:tc>
        <w:tc>
          <w:tcPr>
            <w:tcW w:w="0" w:type="auto"/>
            <w:vAlign w:val="bottom"/>
            <w:hideMark/>
          </w:tcPr>
          <w:p w14:paraId="17E1877B"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42173C25" w14:textId="77777777" w:rsidR="00000000" w:rsidRDefault="00832D71">
            <w:pPr>
              <w:pStyle w:val="a3"/>
              <w:spacing w:before="0" w:beforeAutospacing="0" w:after="0" w:afterAutospacing="0"/>
              <w:rPr>
                <w:sz w:val="19"/>
                <w:szCs w:val="19"/>
              </w:rPr>
            </w:pPr>
            <w:r>
              <w:rPr>
                <w:sz w:val="19"/>
                <w:szCs w:val="19"/>
              </w:rPr>
              <w:t>Smaller reporting compan</w:t>
            </w:r>
            <w:r>
              <w:rPr>
                <w:sz w:val="19"/>
                <w:szCs w:val="19"/>
              </w:rPr>
              <w:t>y</w:t>
            </w:r>
          </w:p>
        </w:tc>
        <w:tc>
          <w:tcPr>
            <w:tcW w:w="0" w:type="auto"/>
            <w:vAlign w:val="bottom"/>
            <w:hideMark/>
          </w:tcPr>
          <w:p w14:paraId="106B35B4" w14:textId="77777777" w:rsidR="00000000" w:rsidRDefault="00832D71">
            <w:pPr>
              <w:pStyle w:val="a3"/>
              <w:spacing w:before="0" w:beforeAutospacing="0" w:after="0" w:afterAutospacing="0"/>
              <w:jc w:val="right"/>
              <w:rPr>
                <w:sz w:val="20"/>
                <w:szCs w:val="20"/>
              </w:rPr>
            </w:pPr>
            <w:r>
              <w:rPr>
                <w:rFonts w:ascii="Segoe UI Symbol" w:hAnsi="Segoe UI Symbol"/>
                <w:sz w:val="19"/>
                <w:szCs w:val="19"/>
              </w:rPr>
              <w:t>☐</w:t>
            </w:r>
          </w:p>
        </w:tc>
      </w:tr>
      <w:tr w:rsidR="00000000" w14:paraId="42D99AFA" w14:textId="77777777">
        <w:trPr>
          <w:trHeight w:val="29"/>
          <w:tblCellSpacing w:w="15" w:type="dxa"/>
        </w:trPr>
        <w:tc>
          <w:tcPr>
            <w:tcW w:w="0" w:type="auto"/>
            <w:vAlign w:val="bottom"/>
            <w:hideMark/>
          </w:tcPr>
          <w:p w14:paraId="7452CDF4" w14:textId="77777777" w:rsidR="00000000" w:rsidRDefault="00832D71">
            <w:pPr>
              <w:pStyle w:val="a3"/>
              <w:spacing w:before="0" w:beforeAutospacing="0" w:after="0" w:afterAutospacing="0"/>
              <w:rPr>
                <w:sz w:val="19"/>
                <w:szCs w:val="19"/>
              </w:rPr>
            </w:pPr>
            <w:r>
              <w:rPr>
                <w:sz w:val="19"/>
                <w:szCs w:val="19"/>
              </w:rPr>
              <w:t>Emerging growth compan</w:t>
            </w:r>
            <w:r>
              <w:rPr>
                <w:sz w:val="19"/>
                <w:szCs w:val="19"/>
              </w:rPr>
              <w:t>y</w:t>
            </w:r>
          </w:p>
        </w:tc>
        <w:tc>
          <w:tcPr>
            <w:tcW w:w="0" w:type="auto"/>
            <w:vAlign w:val="bottom"/>
            <w:hideMark/>
          </w:tcPr>
          <w:p w14:paraId="27B3EDF9" w14:textId="77777777" w:rsidR="00000000" w:rsidRDefault="00832D71">
            <w:pPr>
              <w:pStyle w:val="a3"/>
              <w:spacing w:before="0" w:beforeAutospacing="0" w:after="0" w:afterAutospacing="0"/>
              <w:rPr>
                <w:sz w:val="20"/>
                <w:szCs w:val="20"/>
              </w:rPr>
            </w:pPr>
            <w:r>
              <w:rPr>
                <w:rFonts w:ascii="Segoe UI Symbol" w:hAnsi="Segoe UI Symbol"/>
                <w:sz w:val="19"/>
                <w:szCs w:val="19"/>
              </w:rPr>
              <w:t>☐</w:t>
            </w:r>
          </w:p>
        </w:tc>
        <w:tc>
          <w:tcPr>
            <w:tcW w:w="0" w:type="auto"/>
            <w:vAlign w:val="bottom"/>
            <w:hideMark/>
          </w:tcPr>
          <w:p w14:paraId="3CBD2553"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3F4DC003"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24CC0B48" w14:textId="77777777" w:rsidR="00000000" w:rsidRDefault="00832D71">
            <w:pPr>
              <w:pStyle w:val="a3"/>
              <w:spacing w:before="0" w:beforeAutospacing="0" w:after="0" w:afterAutospacing="0"/>
              <w:jc w:val="right"/>
              <w:rPr>
                <w:sz w:val="19"/>
                <w:szCs w:val="19"/>
              </w:rPr>
            </w:pPr>
            <w:r>
              <w:rPr>
                <w:sz w:val="19"/>
                <w:szCs w:val="19"/>
              </w:rPr>
              <w:t> </w:t>
            </w:r>
          </w:p>
        </w:tc>
      </w:tr>
    </w:tbl>
    <w:p w14:paraId="311B5026" w14:textId="77777777" w:rsidR="00000000" w:rsidRDefault="00832D71">
      <w:pPr>
        <w:pStyle w:val="a3"/>
        <w:spacing w:before="0" w:beforeAutospacing="0" w:after="0" w:afterAutospacing="0"/>
        <w:jc w:val="both"/>
        <w:rPr>
          <w:sz w:val="20"/>
          <w:szCs w:val="20"/>
        </w:rPr>
      </w:pPr>
      <w:r>
        <w:rPr>
          <w:sz w:val="20"/>
          <w:szCs w:val="20"/>
        </w:rPr>
        <w:t> </w:t>
      </w:r>
    </w:p>
    <w:p w14:paraId="7FDE87C9" w14:textId="77777777" w:rsidR="00000000" w:rsidRDefault="00832D71">
      <w:pPr>
        <w:pStyle w:val="a3"/>
        <w:spacing w:before="0" w:beforeAutospacing="0" w:after="0" w:afterAutospacing="0"/>
        <w:jc w:val="both"/>
        <w:rPr>
          <w:sz w:val="20"/>
          <w:szCs w:val="20"/>
        </w:rPr>
      </w:pPr>
      <w:r>
        <w:rPr>
          <w:sz w:val="19"/>
          <w:szCs w:val="19"/>
        </w:rPr>
        <w:t>If an emerging growth company, indicate by check mark if the registrant has elected not to use the extended transition period for complying with any new or revised financial accounting standar</w:t>
      </w:r>
      <w:r>
        <w:rPr>
          <w:sz w:val="19"/>
          <w:szCs w:val="19"/>
        </w:rPr>
        <w:t>ds provided pursuant to Section 13(a) of the Exchange Act.</w:t>
      </w:r>
      <w:r>
        <w:rPr>
          <w:sz w:val="19"/>
          <w:szCs w:val="19"/>
        </w:rPr>
        <w:t xml:space="preserve"> </w:t>
      </w:r>
      <w:r>
        <w:rPr>
          <w:rFonts w:ascii="Segoe UI Symbol" w:hAnsi="Segoe UI Symbol"/>
          <w:sz w:val="19"/>
          <w:szCs w:val="19"/>
        </w:rPr>
        <w:t>☐</w:t>
      </w:r>
    </w:p>
    <w:p w14:paraId="170C1CE3" w14:textId="77777777" w:rsidR="00000000" w:rsidRDefault="00832D71">
      <w:pPr>
        <w:pStyle w:val="a3"/>
        <w:spacing w:before="80" w:beforeAutospacing="0" w:after="0" w:afterAutospacing="0"/>
        <w:jc w:val="both"/>
        <w:rPr>
          <w:sz w:val="20"/>
          <w:szCs w:val="20"/>
        </w:rPr>
      </w:pPr>
      <w:r>
        <w:rPr>
          <w:sz w:val="19"/>
          <w:szCs w:val="19"/>
        </w:rPr>
        <w:t>Indicate by check mark whether the registrant has filed a report on and attestation to its management’s assessment of the effectiveness of its internal control over financial reporting under Sect</w:t>
      </w:r>
      <w:r>
        <w:rPr>
          <w:sz w:val="19"/>
          <w:szCs w:val="19"/>
        </w:rPr>
        <w:t>ion 404(b) of the Sarbanes-Oxley Act (15 U.S.C. 7262(b)) by the registered public accounting firm that prepared or issued its audit report.</w:t>
      </w:r>
      <w:r>
        <w:rPr>
          <w:sz w:val="19"/>
          <w:szCs w:val="19"/>
        </w:rPr>
        <w:t xml:space="preserve"> </w:t>
      </w:r>
      <w:r>
        <w:rPr>
          <w:rFonts w:ascii="Segoe UI Symbol" w:hAnsi="Segoe UI Symbol"/>
          <w:sz w:val="19"/>
          <w:szCs w:val="19"/>
        </w:rPr>
        <w:t>☒</w:t>
      </w:r>
    </w:p>
    <w:p w14:paraId="46BCF579" w14:textId="77777777" w:rsidR="00000000" w:rsidRDefault="00832D71">
      <w:pPr>
        <w:pStyle w:val="a3"/>
        <w:spacing w:before="80" w:beforeAutospacing="0" w:after="0" w:afterAutospacing="0"/>
        <w:jc w:val="both"/>
        <w:rPr>
          <w:sz w:val="20"/>
          <w:szCs w:val="20"/>
        </w:rPr>
      </w:pPr>
      <w:r>
        <w:rPr>
          <w:sz w:val="19"/>
          <w:szCs w:val="19"/>
        </w:rPr>
        <w:t>Indicate by check mark whether the registrant is a shell company (as defined in Rule 12b-2 of the Act). Yes</w:t>
      </w:r>
      <w:r>
        <w:rPr>
          <w:sz w:val="19"/>
          <w:szCs w:val="19"/>
        </w:rPr>
        <w:t xml:space="preserve"> </w:t>
      </w:r>
      <w:r>
        <w:rPr>
          <w:rFonts w:ascii="Segoe UI Symbol" w:hAnsi="Segoe UI Symbol"/>
          <w:sz w:val="19"/>
          <w:szCs w:val="19"/>
        </w:rPr>
        <w:t>☐</w:t>
      </w:r>
      <w:r>
        <w:rPr>
          <w:sz w:val="19"/>
          <w:szCs w:val="19"/>
        </w:rPr>
        <w:t xml:space="preserve"> No</w:t>
      </w:r>
      <w:r>
        <w:rPr>
          <w:sz w:val="19"/>
          <w:szCs w:val="19"/>
        </w:rPr>
        <w:t xml:space="preserve"> </w:t>
      </w:r>
      <w:r>
        <w:rPr>
          <w:rFonts w:ascii="Segoe UI Symbol" w:hAnsi="Segoe UI Symbol"/>
          <w:sz w:val="19"/>
          <w:szCs w:val="19"/>
        </w:rPr>
        <w:t>☒</w:t>
      </w:r>
    </w:p>
    <w:p w14:paraId="5A2207F6" w14:textId="77777777" w:rsidR="00000000" w:rsidRDefault="00832D71">
      <w:pPr>
        <w:pStyle w:val="a3"/>
        <w:spacing w:before="80" w:beforeAutospacing="0" w:after="0" w:afterAutospacing="0"/>
        <w:jc w:val="both"/>
        <w:rPr>
          <w:sz w:val="20"/>
          <w:szCs w:val="20"/>
        </w:rPr>
      </w:pPr>
      <w:r>
        <w:rPr>
          <w:sz w:val="19"/>
          <w:szCs w:val="19"/>
        </w:rPr>
        <w:t>The aggregate market value as of March 25, 2022 of the registrant’s Common Units held by non-affiliates of the registrant, based on the reported closing price of such units on the New York Stock Exchange on such dat</w:t>
      </w:r>
      <w:r>
        <w:rPr>
          <w:sz w:val="19"/>
          <w:szCs w:val="19"/>
        </w:rPr>
        <w:t>e</w:t>
      </w:r>
      <w:r>
        <w:rPr>
          <w:sz w:val="19"/>
          <w:szCs w:val="19"/>
        </w:rPr>
        <w:t xml:space="preserve"> ($16.27 per unit), was approximately </w:t>
      </w:r>
      <w:r>
        <w:rPr>
          <w:sz w:val="19"/>
          <w:szCs w:val="19"/>
        </w:rPr>
        <w:t>$</w:t>
      </w:r>
      <w:r>
        <w:rPr>
          <w:sz w:val="19"/>
          <w:szCs w:val="19"/>
        </w:rPr>
        <w:t>1,024,497,00</w:t>
      </w:r>
      <w:r>
        <w:rPr>
          <w:sz w:val="19"/>
          <w:szCs w:val="19"/>
        </w:rPr>
        <w:t>0</w:t>
      </w:r>
      <w:r>
        <w:rPr>
          <w:sz w:val="19"/>
          <w:szCs w:val="19"/>
        </w:rPr>
        <w:t>.</w:t>
      </w:r>
      <w:r>
        <w:rPr>
          <w:sz w:val="19"/>
          <w:szCs w:val="19"/>
        </w:rPr>
        <w:t xml:space="preserve"> </w:t>
      </w:r>
      <w:r>
        <w:rPr>
          <w:sz w:val="19"/>
          <w:szCs w:val="19"/>
        </w:rPr>
        <w:t>As of November 22, 2022, there we</w:t>
      </w:r>
      <w:r>
        <w:rPr>
          <w:sz w:val="19"/>
          <w:szCs w:val="19"/>
        </w:rPr>
        <w:t>r</w:t>
      </w:r>
      <w:r>
        <w:rPr>
          <w:sz w:val="19"/>
          <w:szCs w:val="19"/>
        </w:rPr>
        <w:t>e</w:t>
      </w:r>
      <w:r>
        <w:rPr>
          <w:sz w:val="19"/>
          <w:szCs w:val="19"/>
        </w:rPr>
        <w:t xml:space="preserve"> </w:t>
      </w:r>
      <w:r>
        <w:rPr>
          <w:sz w:val="19"/>
          <w:szCs w:val="19"/>
        </w:rPr>
        <w:t>63,485,76</w:t>
      </w:r>
      <w:r>
        <w:rPr>
          <w:sz w:val="19"/>
          <w:szCs w:val="19"/>
        </w:rPr>
        <w:t>0</w:t>
      </w:r>
      <w:r>
        <w:rPr>
          <w:sz w:val="19"/>
          <w:szCs w:val="19"/>
        </w:rPr>
        <w:t xml:space="preserve"> Co</w:t>
      </w:r>
      <w:r>
        <w:rPr>
          <w:sz w:val="19"/>
          <w:szCs w:val="19"/>
        </w:rPr>
        <w:t>m</w:t>
      </w:r>
      <w:r>
        <w:rPr>
          <w:sz w:val="19"/>
          <w:szCs w:val="19"/>
        </w:rPr>
        <w:t>mon Units of Suburban Propane Partners, L.P. outstanding</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0"/>
        <w:gridCol w:w="1667"/>
        <w:gridCol w:w="3319"/>
      </w:tblGrid>
      <w:tr w:rsidR="00000000" w14:paraId="5DE71F4C" w14:textId="77777777">
        <w:trPr>
          <w:tblCellSpacing w:w="15" w:type="dxa"/>
        </w:trPr>
        <w:tc>
          <w:tcPr>
            <w:tcW w:w="2000" w:type="pct"/>
            <w:vAlign w:val="center"/>
            <w:hideMark/>
          </w:tcPr>
          <w:p w14:paraId="66983C82" w14:textId="77777777" w:rsidR="00000000" w:rsidRDefault="00832D71">
            <w:pPr>
              <w:rPr>
                <w:sz w:val="20"/>
                <w:szCs w:val="20"/>
              </w:rPr>
            </w:pPr>
          </w:p>
        </w:tc>
        <w:tc>
          <w:tcPr>
            <w:tcW w:w="1000" w:type="pct"/>
            <w:vAlign w:val="center"/>
            <w:hideMark/>
          </w:tcPr>
          <w:p w14:paraId="795646C0" w14:textId="77777777" w:rsidR="00000000" w:rsidRDefault="00832D71">
            <w:pPr>
              <w:rPr>
                <w:rFonts w:eastAsia="Times New Roman"/>
                <w:sz w:val="20"/>
                <w:szCs w:val="20"/>
              </w:rPr>
            </w:pPr>
          </w:p>
        </w:tc>
        <w:tc>
          <w:tcPr>
            <w:tcW w:w="2000" w:type="pct"/>
            <w:vAlign w:val="center"/>
            <w:hideMark/>
          </w:tcPr>
          <w:p w14:paraId="7DE539CB" w14:textId="77777777" w:rsidR="00000000" w:rsidRDefault="00832D71">
            <w:pPr>
              <w:rPr>
                <w:rFonts w:eastAsia="Times New Roman"/>
                <w:sz w:val="20"/>
                <w:szCs w:val="20"/>
              </w:rPr>
            </w:pPr>
          </w:p>
        </w:tc>
      </w:tr>
      <w:tr w:rsidR="00000000" w14:paraId="19A1C82C" w14:textId="77777777">
        <w:trPr>
          <w:trHeight w:val="180"/>
          <w:tblCellSpacing w:w="15" w:type="dxa"/>
        </w:trPr>
        <w:tc>
          <w:tcPr>
            <w:tcW w:w="0" w:type="auto"/>
            <w:hideMark/>
          </w:tcPr>
          <w:p w14:paraId="06A89EE0" w14:textId="77777777" w:rsidR="00000000" w:rsidRDefault="00832D71">
            <w:pPr>
              <w:pStyle w:val="a3"/>
              <w:spacing w:before="0" w:beforeAutospacing="0" w:after="0" w:afterAutospacing="0"/>
              <w:jc w:val="both"/>
              <w:rPr>
                <w:sz w:val="19"/>
                <w:szCs w:val="19"/>
              </w:rPr>
            </w:pPr>
            <w:r>
              <w:rPr>
                <w:sz w:val="19"/>
                <w:szCs w:val="19"/>
              </w:rPr>
              <w:t>Documents Incorporated by Reference: Non</w:t>
            </w:r>
            <w:r>
              <w:rPr>
                <w:sz w:val="19"/>
                <w:szCs w:val="19"/>
              </w:rPr>
              <w:t>e</w:t>
            </w:r>
          </w:p>
        </w:tc>
        <w:tc>
          <w:tcPr>
            <w:tcW w:w="0" w:type="auto"/>
            <w:hideMark/>
          </w:tcPr>
          <w:p w14:paraId="0DE398F2" w14:textId="77777777" w:rsidR="00000000" w:rsidRDefault="00832D71">
            <w:pPr>
              <w:pStyle w:val="a3"/>
              <w:spacing w:before="0" w:beforeAutospacing="0" w:after="0" w:afterAutospacing="0"/>
              <w:jc w:val="both"/>
              <w:rPr>
                <w:sz w:val="19"/>
                <w:szCs w:val="19"/>
              </w:rPr>
            </w:pPr>
            <w:r>
              <w:rPr>
                <w:sz w:val="19"/>
                <w:szCs w:val="19"/>
              </w:rPr>
              <w:t> </w:t>
            </w:r>
          </w:p>
        </w:tc>
        <w:tc>
          <w:tcPr>
            <w:tcW w:w="0" w:type="auto"/>
            <w:vAlign w:val="bottom"/>
            <w:hideMark/>
          </w:tcPr>
          <w:p w14:paraId="6F6F3DC6" w14:textId="77777777" w:rsidR="00000000" w:rsidRDefault="00832D71">
            <w:pPr>
              <w:pStyle w:val="a3"/>
              <w:spacing w:before="0" w:beforeAutospacing="0" w:after="0" w:afterAutospacing="0"/>
              <w:jc w:val="right"/>
              <w:rPr>
                <w:sz w:val="19"/>
                <w:szCs w:val="19"/>
              </w:rPr>
            </w:pPr>
            <w:r>
              <w:rPr>
                <w:sz w:val="19"/>
                <w:szCs w:val="19"/>
              </w:rPr>
              <w:t>Total number of pages (excluding Exhibits): 13</w:t>
            </w:r>
            <w:r>
              <w:rPr>
                <w:sz w:val="19"/>
                <w:szCs w:val="19"/>
              </w:rPr>
              <w:t>0</w:t>
            </w:r>
          </w:p>
        </w:tc>
      </w:tr>
    </w:tbl>
    <w:p w14:paraId="6E89018B" w14:textId="77777777" w:rsidR="00000000" w:rsidRDefault="00832D71">
      <w:pPr>
        <w:pStyle w:val="a3"/>
        <w:pBdr>
          <w:bottom w:val="double" w:sz="6" w:space="1" w:color="auto"/>
        </w:pBdr>
        <w:spacing w:before="0" w:beforeAutospacing="0" w:after="0" w:afterAutospacing="0"/>
        <w:rPr>
          <w:sz w:val="20"/>
          <w:szCs w:val="20"/>
        </w:rPr>
      </w:pPr>
      <w:r>
        <w:rPr>
          <w:sz w:val="20"/>
          <w:szCs w:val="20"/>
        </w:rPr>
        <w:t> </w:t>
      </w:r>
    </w:p>
    <w:p w14:paraId="190D2F3A" w14:textId="77777777" w:rsidR="00000000" w:rsidRDefault="00832D71">
      <w:pPr>
        <w:pStyle w:val="a3"/>
        <w:spacing w:before="0" w:beforeAutospacing="0" w:after="0" w:afterAutospacing="0"/>
        <w:jc w:val="center"/>
        <w:rPr>
          <w:sz w:val="20"/>
          <w:szCs w:val="20"/>
        </w:rPr>
      </w:pPr>
      <w:r>
        <w:rPr>
          <w:sz w:val="20"/>
          <w:szCs w:val="20"/>
        </w:rPr>
        <w:t> </w:t>
      </w:r>
    </w:p>
    <w:p w14:paraId="29D9961E" w14:textId="77777777" w:rsidR="00000000" w:rsidRDefault="00832D71">
      <w:pPr>
        <w:rPr>
          <w:rFonts w:eastAsia="Times New Roman"/>
        </w:rPr>
      </w:pPr>
      <w:r>
        <w:rPr>
          <w:rFonts w:eastAsia="Times New Roman"/>
        </w:rPr>
        <w:pict w14:anchorId="26E8C2A7">
          <v:rect id="_x0000_i1025" style="width:0;height:1.5pt" o:hralign="center" o:hrstd="t" o:hr="t" fillcolor="#a0a0a0" stroked="f"/>
        </w:pict>
      </w:r>
    </w:p>
    <w:p w14:paraId="1B60D2C5"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6C82892F" w14:textId="77777777" w:rsidR="00000000" w:rsidRDefault="00832D71">
      <w:pPr>
        <w:pStyle w:val="a3"/>
        <w:spacing w:before="0" w:beforeAutospacing="0" w:after="0" w:afterAutospacing="0"/>
        <w:jc w:val="center"/>
        <w:rPr>
          <w:sz w:val="20"/>
          <w:szCs w:val="20"/>
        </w:rPr>
      </w:pPr>
      <w:r>
        <w:rPr>
          <w:b/>
          <w:bCs/>
          <w:sz w:val="20"/>
          <w:szCs w:val="20"/>
        </w:rPr>
        <w:t>SUBURBAN PROPANE</w:t>
      </w:r>
      <w:r>
        <w:rPr>
          <w:b/>
          <w:bCs/>
          <w:sz w:val="20"/>
          <w:szCs w:val="20"/>
        </w:rPr>
        <w:t xml:space="preserve"> </w:t>
      </w:r>
      <w:r>
        <w:rPr>
          <w:b/>
          <w:bCs/>
          <w:sz w:val="20"/>
          <w:szCs w:val="20"/>
        </w:rPr>
        <w:t>PARTNERS, L.P. AND SUBSIDIARIE</w:t>
      </w:r>
      <w:r>
        <w:rPr>
          <w:b/>
          <w:bCs/>
          <w:sz w:val="20"/>
          <w:szCs w:val="20"/>
        </w:rPr>
        <w:t>S</w:t>
      </w:r>
    </w:p>
    <w:p w14:paraId="66D5C410" w14:textId="77777777" w:rsidR="00000000" w:rsidRDefault="00832D71">
      <w:pPr>
        <w:pStyle w:val="a3"/>
        <w:spacing w:before="240" w:beforeAutospacing="0" w:after="0" w:afterAutospacing="0"/>
        <w:jc w:val="center"/>
        <w:rPr>
          <w:sz w:val="20"/>
          <w:szCs w:val="20"/>
        </w:rPr>
      </w:pPr>
      <w:r>
        <w:rPr>
          <w:b/>
          <w:bCs/>
          <w:sz w:val="20"/>
          <w:szCs w:val="20"/>
        </w:rPr>
        <w:t>INDEX TO ANNUAL REPORT ON FORM 10-</w:t>
      </w:r>
      <w:r>
        <w:rPr>
          <w:b/>
          <w:bCs/>
          <w:sz w:val="20"/>
          <w:szCs w:val="20"/>
        </w:rPr>
        <w:t>K</w:t>
      </w:r>
    </w:p>
    <w:p w14:paraId="31CF7A8C" w14:textId="77777777" w:rsidR="00000000" w:rsidRDefault="00832D7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9"/>
        <w:gridCol w:w="6763"/>
        <w:gridCol w:w="464"/>
      </w:tblGrid>
      <w:tr w:rsidR="00000000" w14:paraId="146A30DC" w14:textId="77777777">
        <w:trPr>
          <w:tblCellSpacing w:w="15" w:type="dxa"/>
        </w:trPr>
        <w:tc>
          <w:tcPr>
            <w:tcW w:w="650" w:type="pct"/>
            <w:vAlign w:val="center"/>
            <w:hideMark/>
          </w:tcPr>
          <w:p w14:paraId="7F9D1370" w14:textId="77777777" w:rsidR="00000000" w:rsidRDefault="00832D71">
            <w:pPr>
              <w:rPr>
                <w:sz w:val="20"/>
                <w:szCs w:val="20"/>
              </w:rPr>
            </w:pPr>
          </w:p>
        </w:tc>
        <w:tc>
          <w:tcPr>
            <w:tcW w:w="4129" w:type="pct"/>
            <w:vAlign w:val="center"/>
            <w:hideMark/>
          </w:tcPr>
          <w:p w14:paraId="47FFB3F0" w14:textId="77777777" w:rsidR="00000000" w:rsidRDefault="00832D71">
            <w:pPr>
              <w:rPr>
                <w:rFonts w:eastAsia="Times New Roman"/>
                <w:sz w:val="20"/>
                <w:szCs w:val="20"/>
              </w:rPr>
            </w:pPr>
          </w:p>
        </w:tc>
        <w:tc>
          <w:tcPr>
            <w:tcW w:w="220" w:type="pct"/>
            <w:vAlign w:val="center"/>
            <w:hideMark/>
          </w:tcPr>
          <w:p w14:paraId="37A6C898" w14:textId="77777777" w:rsidR="00000000" w:rsidRDefault="00832D71">
            <w:pPr>
              <w:rPr>
                <w:rFonts w:eastAsia="Times New Roman"/>
                <w:sz w:val="20"/>
                <w:szCs w:val="20"/>
              </w:rPr>
            </w:pPr>
          </w:p>
        </w:tc>
      </w:tr>
      <w:tr w:rsidR="00000000" w14:paraId="42EF40D5" w14:textId="77777777">
        <w:trPr>
          <w:trHeight w:val="200"/>
          <w:tblCellSpacing w:w="15" w:type="dxa"/>
        </w:trPr>
        <w:tc>
          <w:tcPr>
            <w:tcW w:w="0" w:type="auto"/>
            <w:hideMark/>
          </w:tcPr>
          <w:p w14:paraId="48E11FE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F9161F7"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07682F67" w14:textId="77777777" w:rsidR="00000000" w:rsidRDefault="00832D71">
            <w:pPr>
              <w:pStyle w:val="a3"/>
              <w:spacing w:before="0" w:beforeAutospacing="0" w:after="0" w:afterAutospacing="0"/>
              <w:jc w:val="center"/>
              <w:rPr>
                <w:sz w:val="20"/>
                <w:szCs w:val="20"/>
              </w:rPr>
            </w:pPr>
            <w:r>
              <w:rPr>
                <w:sz w:val="20"/>
                <w:szCs w:val="20"/>
              </w:rPr>
              <w:t>Pag</w:t>
            </w:r>
            <w:r>
              <w:rPr>
                <w:sz w:val="20"/>
                <w:szCs w:val="20"/>
              </w:rPr>
              <w:t>e</w:t>
            </w:r>
          </w:p>
        </w:tc>
      </w:tr>
      <w:tr w:rsidR="00000000" w14:paraId="732C2565" w14:textId="77777777">
        <w:trPr>
          <w:trHeight w:val="200"/>
          <w:tblCellSpacing w:w="15" w:type="dxa"/>
        </w:trPr>
        <w:tc>
          <w:tcPr>
            <w:tcW w:w="0" w:type="auto"/>
            <w:hideMark/>
          </w:tcPr>
          <w:p w14:paraId="6F9710F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7352B7" w14:textId="77777777" w:rsidR="00000000" w:rsidRDefault="00832D71">
            <w:pPr>
              <w:pStyle w:val="a3"/>
              <w:spacing w:before="0" w:beforeAutospacing="0" w:after="0" w:afterAutospacing="0"/>
              <w:jc w:val="center"/>
              <w:rPr>
                <w:sz w:val="20"/>
                <w:szCs w:val="20"/>
              </w:rPr>
            </w:pPr>
            <w:hyperlink w:anchor="part_i" w:history="1">
              <w:r>
                <w:rPr>
                  <w:rStyle w:val="a4"/>
                  <w:sz w:val="20"/>
                  <w:szCs w:val="20"/>
                </w:rPr>
                <w:t xml:space="preserve">PART </w:t>
              </w:r>
              <w:r>
                <w:rPr>
                  <w:rStyle w:val="a4"/>
                  <w:sz w:val="20"/>
                  <w:szCs w:val="20"/>
                </w:rPr>
                <w:t>I</w:t>
              </w:r>
            </w:hyperlink>
          </w:p>
        </w:tc>
        <w:tc>
          <w:tcPr>
            <w:tcW w:w="0" w:type="auto"/>
            <w:vAlign w:val="bottom"/>
            <w:hideMark/>
          </w:tcPr>
          <w:p w14:paraId="1038EEC1" w14:textId="77777777" w:rsidR="00000000" w:rsidRDefault="00832D71">
            <w:pPr>
              <w:pStyle w:val="a3"/>
              <w:spacing w:before="0" w:beforeAutospacing="0" w:after="0" w:afterAutospacing="0"/>
              <w:jc w:val="center"/>
              <w:rPr>
                <w:sz w:val="20"/>
                <w:szCs w:val="20"/>
              </w:rPr>
            </w:pPr>
            <w:r>
              <w:rPr>
                <w:sz w:val="20"/>
                <w:szCs w:val="20"/>
              </w:rPr>
              <w:t> </w:t>
            </w:r>
          </w:p>
        </w:tc>
      </w:tr>
      <w:tr w:rsidR="00000000" w14:paraId="6F3C7C98" w14:textId="77777777">
        <w:trPr>
          <w:tblCellSpacing w:w="15" w:type="dxa"/>
        </w:trPr>
        <w:tc>
          <w:tcPr>
            <w:tcW w:w="0" w:type="auto"/>
            <w:hideMark/>
          </w:tcPr>
          <w:p w14:paraId="7FA3983C"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42144270"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1E459A48" w14:textId="77777777" w:rsidR="00000000" w:rsidRDefault="00832D71">
            <w:pPr>
              <w:pStyle w:val="a3"/>
              <w:spacing w:before="0" w:beforeAutospacing="0" w:after="0" w:afterAutospacing="0"/>
              <w:rPr>
                <w:sz w:val="12"/>
                <w:szCs w:val="12"/>
              </w:rPr>
            </w:pPr>
            <w:r>
              <w:rPr>
                <w:sz w:val="12"/>
                <w:szCs w:val="12"/>
              </w:rPr>
              <w:t> </w:t>
            </w:r>
          </w:p>
        </w:tc>
      </w:tr>
      <w:tr w:rsidR="00000000" w14:paraId="1FD0748E" w14:textId="77777777">
        <w:trPr>
          <w:trHeight w:val="200"/>
          <w:tblCellSpacing w:w="15" w:type="dxa"/>
        </w:trPr>
        <w:tc>
          <w:tcPr>
            <w:tcW w:w="0" w:type="auto"/>
            <w:hideMark/>
          </w:tcPr>
          <w:p w14:paraId="7E84B526" w14:textId="77777777" w:rsidR="00000000" w:rsidRDefault="00832D71">
            <w:pPr>
              <w:pStyle w:val="a3"/>
              <w:spacing w:before="0" w:beforeAutospacing="0" w:after="0" w:afterAutospacing="0"/>
              <w:rPr>
                <w:sz w:val="20"/>
                <w:szCs w:val="20"/>
              </w:rPr>
            </w:pPr>
            <w:r>
              <w:rPr>
                <w:sz w:val="20"/>
                <w:szCs w:val="20"/>
              </w:rPr>
              <w:t>ITEM 1</w:t>
            </w:r>
            <w:r>
              <w:rPr>
                <w:sz w:val="20"/>
                <w:szCs w:val="20"/>
              </w:rPr>
              <w:t>.</w:t>
            </w:r>
          </w:p>
        </w:tc>
        <w:tc>
          <w:tcPr>
            <w:tcW w:w="0" w:type="auto"/>
            <w:hideMark/>
          </w:tcPr>
          <w:p w14:paraId="44265C3B" w14:textId="77777777" w:rsidR="00000000" w:rsidRDefault="00832D71">
            <w:pPr>
              <w:pStyle w:val="a3"/>
              <w:spacing w:before="0" w:beforeAutospacing="0" w:after="0" w:afterAutospacing="0"/>
              <w:rPr>
                <w:sz w:val="20"/>
                <w:szCs w:val="20"/>
              </w:rPr>
            </w:pPr>
            <w:hyperlink w:anchor="item_1_business" w:history="1">
              <w:r>
                <w:rPr>
                  <w:rStyle w:val="a4"/>
                  <w:sz w:val="20"/>
                  <w:szCs w:val="20"/>
                </w:rPr>
                <w:t>BUSINES</w:t>
              </w:r>
              <w:r>
                <w:rPr>
                  <w:rStyle w:val="a4"/>
                  <w:sz w:val="20"/>
                  <w:szCs w:val="20"/>
                </w:rPr>
                <w:t>S</w:t>
              </w:r>
            </w:hyperlink>
          </w:p>
        </w:tc>
        <w:tc>
          <w:tcPr>
            <w:tcW w:w="0" w:type="auto"/>
            <w:vAlign w:val="bottom"/>
            <w:hideMark/>
          </w:tcPr>
          <w:p w14:paraId="0EAD0CCB" w14:textId="77777777" w:rsidR="00000000" w:rsidRDefault="00832D71">
            <w:pPr>
              <w:pStyle w:val="a3"/>
              <w:spacing w:before="0" w:beforeAutospacing="0" w:after="0" w:afterAutospacing="0"/>
              <w:jc w:val="center"/>
              <w:rPr>
                <w:sz w:val="20"/>
                <w:szCs w:val="20"/>
              </w:rPr>
            </w:pPr>
            <w:r>
              <w:rPr>
                <w:sz w:val="20"/>
                <w:szCs w:val="20"/>
              </w:rPr>
              <w:t>1</w:t>
            </w:r>
          </w:p>
        </w:tc>
      </w:tr>
      <w:tr w:rsidR="00000000" w14:paraId="08D1F779" w14:textId="77777777">
        <w:trPr>
          <w:tblCellSpacing w:w="15" w:type="dxa"/>
        </w:trPr>
        <w:tc>
          <w:tcPr>
            <w:tcW w:w="0" w:type="auto"/>
            <w:hideMark/>
          </w:tcPr>
          <w:p w14:paraId="1B1436E4"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718A915B"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6BF749AA"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27985E95" w14:textId="77777777">
        <w:trPr>
          <w:trHeight w:val="200"/>
          <w:tblCellSpacing w:w="15" w:type="dxa"/>
        </w:trPr>
        <w:tc>
          <w:tcPr>
            <w:tcW w:w="0" w:type="auto"/>
            <w:hideMark/>
          </w:tcPr>
          <w:p w14:paraId="7A0F820B" w14:textId="77777777" w:rsidR="00000000" w:rsidRDefault="00832D71">
            <w:pPr>
              <w:pStyle w:val="a3"/>
              <w:spacing w:before="0" w:beforeAutospacing="0" w:after="0" w:afterAutospacing="0"/>
              <w:rPr>
                <w:sz w:val="20"/>
                <w:szCs w:val="20"/>
              </w:rPr>
            </w:pPr>
            <w:r>
              <w:rPr>
                <w:sz w:val="20"/>
                <w:szCs w:val="20"/>
              </w:rPr>
              <w:t>ITEM 1A</w:t>
            </w:r>
            <w:r>
              <w:rPr>
                <w:sz w:val="20"/>
                <w:szCs w:val="20"/>
              </w:rPr>
              <w:t>.</w:t>
            </w:r>
          </w:p>
        </w:tc>
        <w:tc>
          <w:tcPr>
            <w:tcW w:w="0" w:type="auto"/>
            <w:hideMark/>
          </w:tcPr>
          <w:p w14:paraId="3FFCDCD4" w14:textId="77777777" w:rsidR="00000000" w:rsidRDefault="00832D71">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vAlign w:val="bottom"/>
            <w:hideMark/>
          </w:tcPr>
          <w:p w14:paraId="62B07C2B" w14:textId="77777777" w:rsidR="00000000" w:rsidRDefault="00832D71">
            <w:pPr>
              <w:pStyle w:val="a3"/>
              <w:spacing w:before="0" w:beforeAutospacing="0" w:after="0" w:afterAutospacing="0"/>
              <w:jc w:val="center"/>
              <w:rPr>
                <w:sz w:val="20"/>
                <w:szCs w:val="20"/>
              </w:rPr>
            </w:pPr>
            <w:r>
              <w:rPr>
                <w:sz w:val="20"/>
                <w:szCs w:val="20"/>
              </w:rPr>
              <w:t>1</w:t>
            </w:r>
            <w:r>
              <w:rPr>
                <w:sz w:val="20"/>
                <w:szCs w:val="20"/>
              </w:rPr>
              <w:t>4</w:t>
            </w:r>
          </w:p>
        </w:tc>
      </w:tr>
      <w:tr w:rsidR="00000000" w14:paraId="6E541C16" w14:textId="77777777">
        <w:trPr>
          <w:tblCellSpacing w:w="15" w:type="dxa"/>
        </w:trPr>
        <w:tc>
          <w:tcPr>
            <w:tcW w:w="0" w:type="auto"/>
            <w:hideMark/>
          </w:tcPr>
          <w:p w14:paraId="1B712F41"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602EA222"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780EE42A"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1003A6E1" w14:textId="77777777">
        <w:trPr>
          <w:trHeight w:val="200"/>
          <w:tblCellSpacing w:w="15" w:type="dxa"/>
        </w:trPr>
        <w:tc>
          <w:tcPr>
            <w:tcW w:w="0" w:type="auto"/>
            <w:hideMark/>
          </w:tcPr>
          <w:p w14:paraId="2BC66983" w14:textId="77777777" w:rsidR="00000000" w:rsidRDefault="00832D71">
            <w:pPr>
              <w:pStyle w:val="a3"/>
              <w:spacing w:before="0" w:beforeAutospacing="0" w:after="0" w:afterAutospacing="0"/>
              <w:rPr>
                <w:sz w:val="20"/>
                <w:szCs w:val="20"/>
              </w:rPr>
            </w:pPr>
            <w:r>
              <w:rPr>
                <w:sz w:val="20"/>
                <w:szCs w:val="20"/>
              </w:rPr>
              <w:t>ITEM 1B</w:t>
            </w:r>
            <w:r>
              <w:rPr>
                <w:sz w:val="20"/>
                <w:szCs w:val="20"/>
              </w:rPr>
              <w:t>.</w:t>
            </w:r>
          </w:p>
        </w:tc>
        <w:tc>
          <w:tcPr>
            <w:tcW w:w="0" w:type="auto"/>
            <w:hideMark/>
          </w:tcPr>
          <w:p w14:paraId="75CA8141" w14:textId="77777777" w:rsidR="00000000" w:rsidRDefault="00832D71">
            <w:pPr>
              <w:pStyle w:val="a3"/>
              <w:spacing w:before="0" w:beforeAutospacing="0" w:after="0" w:afterAutospacing="0"/>
              <w:rPr>
                <w:sz w:val="20"/>
                <w:szCs w:val="20"/>
              </w:rPr>
            </w:pPr>
            <w:hyperlink w:anchor="item_1b_unresolved_staff_comments" w:history="1">
              <w:r>
                <w:rPr>
                  <w:rStyle w:val="a4"/>
                  <w:sz w:val="20"/>
                  <w:szCs w:val="20"/>
                </w:rPr>
                <w:t>UNRESOLVED STAFF COMMENT</w:t>
              </w:r>
              <w:r>
                <w:rPr>
                  <w:rStyle w:val="a4"/>
                  <w:sz w:val="20"/>
                  <w:szCs w:val="20"/>
                </w:rPr>
                <w:t>S</w:t>
              </w:r>
            </w:hyperlink>
          </w:p>
        </w:tc>
        <w:tc>
          <w:tcPr>
            <w:tcW w:w="0" w:type="auto"/>
            <w:vAlign w:val="bottom"/>
            <w:hideMark/>
          </w:tcPr>
          <w:p w14:paraId="74CDA36E" w14:textId="77777777" w:rsidR="00000000" w:rsidRDefault="00832D71">
            <w:pPr>
              <w:pStyle w:val="a3"/>
              <w:spacing w:before="0" w:beforeAutospacing="0" w:after="0" w:afterAutospacing="0"/>
              <w:jc w:val="center"/>
              <w:rPr>
                <w:sz w:val="20"/>
                <w:szCs w:val="20"/>
              </w:rPr>
            </w:pPr>
            <w:r>
              <w:rPr>
                <w:sz w:val="20"/>
                <w:szCs w:val="20"/>
              </w:rPr>
              <w:t>2</w:t>
            </w:r>
            <w:r>
              <w:rPr>
                <w:sz w:val="20"/>
                <w:szCs w:val="20"/>
              </w:rPr>
              <w:t>8</w:t>
            </w:r>
          </w:p>
        </w:tc>
      </w:tr>
      <w:tr w:rsidR="00000000" w14:paraId="5EF7917D" w14:textId="77777777">
        <w:trPr>
          <w:tblCellSpacing w:w="15" w:type="dxa"/>
        </w:trPr>
        <w:tc>
          <w:tcPr>
            <w:tcW w:w="0" w:type="auto"/>
            <w:hideMark/>
          </w:tcPr>
          <w:p w14:paraId="7725B936"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7D3F44A6"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7F399434"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496A054D" w14:textId="77777777">
        <w:trPr>
          <w:trHeight w:val="200"/>
          <w:tblCellSpacing w:w="15" w:type="dxa"/>
        </w:trPr>
        <w:tc>
          <w:tcPr>
            <w:tcW w:w="0" w:type="auto"/>
            <w:hideMark/>
          </w:tcPr>
          <w:p w14:paraId="5A955953" w14:textId="77777777" w:rsidR="00000000" w:rsidRDefault="00832D71">
            <w:pPr>
              <w:pStyle w:val="a3"/>
              <w:spacing w:before="0" w:beforeAutospacing="0" w:after="0" w:afterAutospacing="0"/>
              <w:rPr>
                <w:sz w:val="20"/>
                <w:szCs w:val="20"/>
              </w:rPr>
            </w:pPr>
            <w:r>
              <w:rPr>
                <w:sz w:val="20"/>
                <w:szCs w:val="20"/>
              </w:rPr>
              <w:t>ITEM 2</w:t>
            </w:r>
            <w:r>
              <w:rPr>
                <w:sz w:val="20"/>
                <w:szCs w:val="20"/>
              </w:rPr>
              <w:t>.</w:t>
            </w:r>
          </w:p>
        </w:tc>
        <w:tc>
          <w:tcPr>
            <w:tcW w:w="0" w:type="auto"/>
            <w:hideMark/>
          </w:tcPr>
          <w:p w14:paraId="2E90BB17" w14:textId="77777777" w:rsidR="00000000" w:rsidRDefault="00832D71">
            <w:pPr>
              <w:pStyle w:val="a3"/>
              <w:spacing w:before="0" w:beforeAutospacing="0" w:after="0" w:afterAutospacing="0"/>
              <w:rPr>
                <w:sz w:val="20"/>
                <w:szCs w:val="20"/>
              </w:rPr>
            </w:pPr>
            <w:hyperlink w:anchor="item_2_properties" w:history="1">
              <w:r>
                <w:rPr>
                  <w:rStyle w:val="a4"/>
                  <w:sz w:val="20"/>
                  <w:szCs w:val="20"/>
                </w:rPr>
                <w:t>PROPERTIE</w:t>
              </w:r>
              <w:r>
                <w:rPr>
                  <w:rStyle w:val="a4"/>
                  <w:sz w:val="20"/>
                  <w:szCs w:val="20"/>
                </w:rPr>
                <w:t>S</w:t>
              </w:r>
            </w:hyperlink>
          </w:p>
        </w:tc>
        <w:tc>
          <w:tcPr>
            <w:tcW w:w="0" w:type="auto"/>
            <w:vAlign w:val="bottom"/>
            <w:hideMark/>
          </w:tcPr>
          <w:p w14:paraId="01663774" w14:textId="77777777" w:rsidR="00000000" w:rsidRDefault="00832D71">
            <w:pPr>
              <w:pStyle w:val="a3"/>
              <w:spacing w:before="0" w:beforeAutospacing="0" w:after="0" w:afterAutospacing="0"/>
              <w:jc w:val="center"/>
              <w:rPr>
                <w:sz w:val="20"/>
                <w:szCs w:val="20"/>
              </w:rPr>
            </w:pPr>
            <w:r>
              <w:rPr>
                <w:sz w:val="20"/>
                <w:szCs w:val="20"/>
              </w:rPr>
              <w:t>2</w:t>
            </w:r>
            <w:r>
              <w:rPr>
                <w:sz w:val="20"/>
                <w:szCs w:val="20"/>
              </w:rPr>
              <w:t>8</w:t>
            </w:r>
          </w:p>
        </w:tc>
      </w:tr>
      <w:tr w:rsidR="00000000" w14:paraId="6E91B23E" w14:textId="77777777">
        <w:trPr>
          <w:tblCellSpacing w:w="15" w:type="dxa"/>
        </w:trPr>
        <w:tc>
          <w:tcPr>
            <w:tcW w:w="0" w:type="auto"/>
            <w:hideMark/>
          </w:tcPr>
          <w:p w14:paraId="035A429B"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38B9D4E7"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4C297C48"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314DD41A" w14:textId="77777777">
        <w:trPr>
          <w:trHeight w:val="200"/>
          <w:tblCellSpacing w:w="15" w:type="dxa"/>
        </w:trPr>
        <w:tc>
          <w:tcPr>
            <w:tcW w:w="0" w:type="auto"/>
            <w:hideMark/>
          </w:tcPr>
          <w:p w14:paraId="666FD76D" w14:textId="77777777" w:rsidR="00000000" w:rsidRDefault="00832D71">
            <w:pPr>
              <w:pStyle w:val="a3"/>
              <w:spacing w:before="0" w:beforeAutospacing="0" w:after="0" w:afterAutospacing="0"/>
              <w:rPr>
                <w:sz w:val="20"/>
                <w:szCs w:val="20"/>
              </w:rPr>
            </w:pPr>
            <w:r>
              <w:rPr>
                <w:sz w:val="20"/>
                <w:szCs w:val="20"/>
              </w:rPr>
              <w:t>ITEM 3</w:t>
            </w:r>
            <w:r>
              <w:rPr>
                <w:sz w:val="20"/>
                <w:szCs w:val="20"/>
              </w:rPr>
              <w:t>.</w:t>
            </w:r>
          </w:p>
        </w:tc>
        <w:tc>
          <w:tcPr>
            <w:tcW w:w="0" w:type="auto"/>
            <w:hideMark/>
          </w:tcPr>
          <w:p w14:paraId="6BA867CE" w14:textId="77777777" w:rsidR="00000000" w:rsidRDefault="00832D71">
            <w:pPr>
              <w:pStyle w:val="a3"/>
              <w:spacing w:before="0" w:beforeAutospacing="0" w:after="0" w:afterAutospacing="0"/>
              <w:rPr>
                <w:sz w:val="20"/>
                <w:szCs w:val="20"/>
              </w:rPr>
            </w:pPr>
            <w:hyperlink w:anchor="item_3_legal_proceedings" w:history="1">
              <w:r>
                <w:rPr>
                  <w:rStyle w:val="a4"/>
                  <w:sz w:val="20"/>
                  <w:szCs w:val="20"/>
                </w:rPr>
                <w:t>LEGAL PROCEEDING</w:t>
              </w:r>
              <w:r>
                <w:rPr>
                  <w:rStyle w:val="a4"/>
                  <w:sz w:val="20"/>
                  <w:szCs w:val="20"/>
                </w:rPr>
                <w:t>S</w:t>
              </w:r>
            </w:hyperlink>
          </w:p>
        </w:tc>
        <w:tc>
          <w:tcPr>
            <w:tcW w:w="0" w:type="auto"/>
            <w:vAlign w:val="bottom"/>
            <w:hideMark/>
          </w:tcPr>
          <w:p w14:paraId="36A349AA" w14:textId="77777777" w:rsidR="00000000" w:rsidRDefault="00832D71">
            <w:pPr>
              <w:pStyle w:val="a3"/>
              <w:spacing w:before="0" w:beforeAutospacing="0" w:after="0" w:afterAutospacing="0"/>
              <w:jc w:val="center"/>
              <w:rPr>
                <w:sz w:val="20"/>
                <w:szCs w:val="20"/>
              </w:rPr>
            </w:pPr>
            <w:r>
              <w:rPr>
                <w:sz w:val="20"/>
                <w:szCs w:val="20"/>
              </w:rPr>
              <w:t>2</w:t>
            </w:r>
            <w:r>
              <w:rPr>
                <w:sz w:val="20"/>
                <w:szCs w:val="20"/>
              </w:rPr>
              <w:t>8</w:t>
            </w:r>
          </w:p>
        </w:tc>
      </w:tr>
      <w:tr w:rsidR="00000000" w14:paraId="5CF53877" w14:textId="77777777">
        <w:trPr>
          <w:tblCellSpacing w:w="15" w:type="dxa"/>
        </w:trPr>
        <w:tc>
          <w:tcPr>
            <w:tcW w:w="0" w:type="auto"/>
            <w:hideMark/>
          </w:tcPr>
          <w:p w14:paraId="11CEBF04"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4382C090"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0A22326D"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3D2C38C7" w14:textId="77777777">
        <w:trPr>
          <w:trHeight w:val="200"/>
          <w:tblCellSpacing w:w="15" w:type="dxa"/>
        </w:trPr>
        <w:tc>
          <w:tcPr>
            <w:tcW w:w="0" w:type="auto"/>
            <w:hideMark/>
          </w:tcPr>
          <w:p w14:paraId="46842843" w14:textId="77777777" w:rsidR="00000000" w:rsidRDefault="00832D71">
            <w:pPr>
              <w:pStyle w:val="a3"/>
              <w:spacing w:before="0" w:beforeAutospacing="0" w:after="0" w:afterAutospacing="0"/>
              <w:rPr>
                <w:sz w:val="20"/>
                <w:szCs w:val="20"/>
              </w:rPr>
            </w:pPr>
            <w:r>
              <w:rPr>
                <w:sz w:val="20"/>
                <w:szCs w:val="20"/>
              </w:rPr>
              <w:t>ITEM 4</w:t>
            </w:r>
            <w:r>
              <w:rPr>
                <w:sz w:val="20"/>
                <w:szCs w:val="20"/>
              </w:rPr>
              <w:t>.</w:t>
            </w:r>
          </w:p>
        </w:tc>
        <w:tc>
          <w:tcPr>
            <w:tcW w:w="0" w:type="auto"/>
            <w:hideMark/>
          </w:tcPr>
          <w:p w14:paraId="570975EB" w14:textId="77777777" w:rsidR="00000000" w:rsidRDefault="00832D71">
            <w:pPr>
              <w:pStyle w:val="a3"/>
              <w:spacing w:before="0" w:beforeAutospacing="0" w:after="0" w:afterAutospacing="0"/>
              <w:rPr>
                <w:sz w:val="20"/>
                <w:szCs w:val="20"/>
              </w:rPr>
            </w:pPr>
            <w:hyperlink w:anchor="item_4_mine_safety_disclosures" w:history="1">
              <w:r>
                <w:rPr>
                  <w:rStyle w:val="a4"/>
                  <w:sz w:val="20"/>
                  <w:szCs w:val="20"/>
                </w:rPr>
                <w:t>MINE SAFETY DISCLOSURE</w:t>
              </w:r>
              <w:r>
                <w:rPr>
                  <w:rStyle w:val="a4"/>
                  <w:sz w:val="20"/>
                  <w:szCs w:val="20"/>
                </w:rPr>
                <w:t>S</w:t>
              </w:r>
            </w:hyperlink>
          </w:p>
        </w:tc>
        <w:tc>
          <w:tcPr>
            <w:tcW w:w="0" w:type="auto"/>
            <w:vAlign w:val="bottom"/>
            <w:hideMark/>
          </w:tcPr>
          <w:p w14:paraId="20FDA193" w14:textId="77777777" w:rsidR="00000000" w:rsidRDefault="00832D71">
            <w:pPr>
              <w:pStyle w:val="a3"/>
              <w:spacing w:before="0" w:beforeAutospacing="0" w:after="0" w:afterAutospacing="0"/>
              <w:jc w:val="center"/>
              <w:rPr>
                <w:sz w:val="20"/>
                <w:szCs w:val="20"/>
              </w:rPr>
            </w:pPr>
            <w:r>
              <w:rPr>
                <w:sz w:val="20"/>
                <w:szCs w:val="20"/>
              </w:rPr>
              <w:t>2</w:t>
            </w:r>
            <w:r>
              <w:rPr>
                <w:sz w:val="20"/>
                <w:szCs w:val="20"/>
              </w:rPr>
              <w:t>8</w:t>
            </w:r>
          </w:p>
        </w:tc>
      </w:tr>
      <w:tr w:rsidR="00000000" w14:paraId="30138CD2" w14:textId="77777777">
        <w:trPr>
          <w:tblCellSpacing w:w="15" w:type="dxa"/>
        </w:trPr>
        <w:tc>
          <w:tcPr>
            <w:tcW w:w="0" w:type="auto"/>
            <w:hideMark/>
          </w:tcPr>
          <w:p w14:paraId="648B02DB"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43F98039"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5B8DD6D"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06966660" w14:textId="77777777">
        <w:trPr>
          <w:trHeight w:val="200"/>
          <w:tblCellSpacing w:w="15" w:type="dxa"/>
        </w:trPr>
        <w:tc>
          <w:tcPr>
            <w:tcW w:w="0" w:type="auto"/>
            <w:hideMark/>
          </w:tcPr>
          <w:p w14:paraId="790E0F2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B694F13" w14:textId="77777777" w:rsidR="00000000" w:rsidRDefault="00832D71">
            <w:pPr>
              <w:pStyle w:val="a3"/>
              <w:spacing w:before="0" w:beforeAutospacing="0" w:after="0" w:afterAutospacing="0"/>
              <w:jc w:val="center"/>
              <w:rPr>
                <w:sz w:val="20"/>
                <w:szCs w:val="20"/>
              </w:rPr>
            </w:pPr>
            <w:hyperlink w:anchor="part_ii" w:history="1">
              <w:r>
                <w:rPr>
                  <w:rStyle w:val="a4"/>
                  <w:sz w:val="20"/>
                  <w:szCs w:val="20"/>
                </w:rPr>
                <w:t>PART I</w:t>
              </w:r>
              <w:r>
                <w:rPr>
                  <w:rStyle w:val="a4"/>
                  <w:sz w:val="20"/>
                  <w:szCs w:val="20"/>
                </w:rPr>
                <w:t>I</w:t>
              </w:r>
            </w:hyperlink>
          </w:p>
        </w:tc>
        <w:tc>
          <w:tcPr>
            <w:tcW w:w="0" w:type="auto"/>
            <w:vAlign w:val="bottom"/>
            <w:hideMark/>
          </w:tcPr>
          <w:p w14:paraId="020B4D05" w14:textId="77777777" w:rsidR="00000000" w:rsidRDefault="00832D71">
            <w:pPr>
              <w:pStyle w:val="a3"/>
              <w:spacing w:before="0" w:beforeAutospacing="0" w:after="0" w:afterAutospacing="0"/>
              <w:jc w:val="center"/>
              <w:rPr>
                <w:sz w:val="20"/>
                <w:szCs w:val="20"/>
              </w:rPr>
            </w:pPr>
            <w:r>
              <w:rPr>
                <w:sz w:val="20"/>
                <w:szCs w:val="20"/>
              </w:rPr>
              <w:t> </w:t>
            </w:r>
          </w:p>
        </w:tc>
      </w:tr>
      <w:tr w:rsidR="00000000" w14:paraId="62998A06" w14:textId="77777777">
        <w:trPr>
          <w:tblCellSpacing w:w="15" w:type="dxa"/>
        </w:trPr>
        <w:tc>
          <w:tcPr>
            <w:tcW w:w="0" w:type="auto"/>
            <w:hideMark/>
          </w:tcPr>
          <w:p w14:paraId="52E23523"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4B1D5C64"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406E4D55"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03C5BBE0" w14:textId="77777777">
        <w:trPr>
          <w:trHeight w:val="200"/>
          <w:tblCellSpacing w:w="15" w:type="dxa"/>
        </w:trPr>
        <w:tc>
          <w:tcPr>
            <w:tcW w:w="0" w:type="auto"/>
            <w:hideMark/>
          </w:tcPr>
          <w:p w14:paraId="3750E158" w14:textId="77777777" w:rsidR="00000000" w:rsidRDefault="00832D71">
            <w:pPr>
              <w:pStyle w:val="a3"/>
              <w:spacing w:before="0" w:beforeAutospacing="0" w:after="0" w:afterAutospacing="0"/>
              <w:rPr>
                <w:sz w:val="20"/>
                <w:szCs w:val="20"/>
              </w:rPr>
            </w:pPr>
            <w:r>
              <w:rPr>
                <w:sz w:val="20"/>
                <w:szCs w:val="20"/>
              </w:rPr>
              <w:t>ITEM 5</w:t>
            </w:r>
            <w:r>
              <w:rPr>
                <w:sz w:val="20"/>
                <w:szCs w:val="20"/>
              </w:rPr>
              <w:t>.</w:t>
            </w:r>
          </w:p>
        </w:tc>
        <w:tc>
          <w:tcPr>
            <w:tcW w:w="0" w:type="auto"/>
            <w:hideMark/>
          </w:tcPr>
          <w:p w14:paraId="34E1CCA7" w14:textId="77777777" w:rsidR="00000000" w:rsidRDefault="00832D71">
            <w:pPr>
              <w:pStyle w:val="a3"/>
              <w:spacing w:before="0" w:beforeAutospacing="0" w:after="0" w:afterAutospacing="0"/>
              <w:rPr>
                <w:sz w:val="20"/>
                <w:szCs w:val="20"/>
              </w:rPr>
            </w:pPr>
            <w:hyperlink w:anchor="item_5_market_for_registrants_common_un" w:history="1">
              <w:r>
                <w:rPr>
                  <w:rStyle w:val="a4"/>
                  <w:sz w:val="20"/>
                  <w:szCs w:val="20"/>
                </w:rPr>
                <w:t>MARKET FOR THE REGISTRANT’S COMMON UNITS, RELATED UNITHOLDER MATTERS AND ISSUER PURCHASES OF UNIT</w:t>
              </w:r>
              <w:r>
                <w:rPr>
                  <w:rStyle w:val="a4"/>
                  <w:sz w:val="20"/>
                  <w:szCs w:val="20"/>
                </w:rPr>
                <w:t>S</w:t>
              </w:r>
            </w:hyperlink>
          </w:p>
        </w:tc>
        <w:tc>
          <w:tcPr>
            <w:tcW w:w="0" w:type="auto"/>
            <w:vAlign w:val="bottom"/>
            <w:hideMark/>
          </w:tcPr>
          <w:p w14:paraId="5574FAC8" w14:textId="77777777" w:rsidR="00000000" w:rsidRDefault="00832D71">
            <w:pPr>
              <w:pStyle w:val="a3"/>
              <w:spacing w:before="0" w:beforeAutospacing="0" w:after="0" w:afterAutospacing="0"/>
              <w:jc w:val="center"/>
              <w:rPr>
                <w:sz w:val="20"/>
                <w:szCs w:val="20"/>
              </w:rPr>
            </w:pPr>
            <w:r>
              <w:rPr>
                <w:sz w:val="20"/>
                <w:szCs w:val="20"/>
              </w:rPr>
              <w:t>2</w:t>
            </w:r>
            <w:r>
              <w:rPr>
                <w:sz w:val="20"/>
                <w:szCs w:val="20"/>
              </w:rPr>
              <w:t>9</w:t>
            </w:r>
          </w:p>
        </w:tc>
      </w:tr>
      <w:tr w:rsidR="00000000" w14:paraId="05452E83" w14:textId="77777777">
        <w:trPr>
          <w:tblCellSpacing w:w="15" w:type="dxa"/>
        </w:trPr>
        <w:tc>
          <w:tcPr>
            <w:tcW w:w="0" w:type="auto"/>
            <w:hideMark/>
          </w:tcPr>
          <w:p w14:paraId="53C54575"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5206857A"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F3B6958"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52817138" w14:textId="77777777">
        <w:trPr>
          <w:trHeight w:val="200"/>
          <w:tblCellSpacing w:w="15" w:type="dxa"/>
        </w:trPr>
        <w:tc>
          <w:tcPr>
            <w:tcW w:w="0" w:type="auto"/>
            <w:hideMark/>
          </w:tcPr>
          <w:p w14:paraId="4A160D63" w14:textId="77777777" w:rsidR="00000000" w:rsidRDefault="00832D71">
            <w:pPr>
              <w:pStyle w:val="a3"/>
              <w:spacing w:before="0" w:beforeAutospacing="0" w:after="0" w:afterAutospacing="0"/>
              <w:rPr>
                <w:sz w:val="20"/>
                <w:szCs w:val="20"/>
              </w:rPr>
            </w:pPr>
            <w:r>
              <w:rPr>
                <w:sz w:val="20"/>
                <w:szCs w:val="20"/>
              </w:rPr>
              <w:t>ITEM 6</w:t>
            </w:r>
            <w:r>
              <w:rPr>
                <w:sz w:val="20"/>
                <w:szCs w:val="20"/>
              </w:rPr>
              <w:t>.</w:t>
            </w:r>
          </w:p>
        </w:tc>
        <w:tc>
          <w:tcPr>
            <w:tcW w:w="0" w:type="auto"/>
            <w:hideMark/>
          </w:tcPr>
          <w:p w14:paraId="4B0C78D7" w14:textId="77777777" w:rsidR="00000000" w:rsidRDefault="00832D71">
            <w:pPr>
              <w:pStyle w:val="a3"/>
              <w:spacing w:before="0" w:beforeAutospacing="0" w:after="0" w:afterAutospacing="0"/>
              <w:rPr>
                <w:sz w:val="20"/>
                <w:szCs w:val="20"/>
              </w:rPr>
            </w:pPr>
            <w:hyperlink w:anchor="item_6_reserved" w:history="1">
              <w:r>
                <w:rPr>
                  <w:rStyle w:val="a4"/>
                  <w:sz w:val="20"/>
                  <w:szCs w:val="20"/>
                </w:rPr>
                <w:t>[RESERVED</w:t>
              </w:r>
              <w:r>
                <w:rPr>
                  <w:rStyle w:val="a4"/>
                  <w:sz w:val="20"/>
                  <w:szCs w:val="20"/>
                </w:rPr>
                <w:t>]</w:t>
              </w:r>
            </w:hyperlink>
          </w:p>
        </w:tc>
        <w:tc>
          <w:tcPr>
            <w:tcW w:w="0" w:type="auto"/>
            <w:vAlign w:val="bottom"/>
            <w:hideMark/>
          </w:tcPr>
          <w:p w14:paraId="38849CD5" w14:textId="77777777" w:rsidR="00000000" w:rsidRDefault="00832D71">
            <w:pPr>
              <w:pStyle w:val="a3"/>
              <w:spacing w:before="0" w:beforeAutospacing="0" w:after="0" w:afterAutospacing="0"/>
              <w:jc w:val="center"/>
              <w:rPr>
                <w:sz w:val="20"/>
                <w:szCs w:val="20"/>
              </w:rPr>
            </w:pPr>
            <w:r>
              <w:rPr>
                <w:sz w:val="20"/>
                <w:szCs w:val="20"/>
              </w:rPr>
              <w:t>2</w:t>
            </w:r>
            <w:r>
              <w:rPr>
                <w:sz w:val="20"/>
                <w:szCs w:val="20"/>
              </w:rPr>
              <w:t>9</w:t>
            </w:r>
          </w:p>
        </w:tc>
      </w:tr>
      <w:tr w:rsidR="00000000" w14:paraId="138F456B" w14:textId="77777777">
        <w:trPr>
          <w:tblCellSpacing w:w="15" w:type="dxa"/>
        </w:trPr>
        <w:tc>
          <w:tcPr>
            <w:tcW w:w="0" w:type="auto"/>
            <w:hideMark/>
          </w:tcPr>
          <w:p w14:paraId="4AE14304" w14:textId="77777777" w:rsidR="00000000" w:rsidRDefault="00832D71">
            <w:pPr>
              <w:pStyle w:val="a3"/>
              <w:spacing w:before="0" w:beforeAutospacing="0" w:after="0" w:afterAutospacing="0"/>
              <w:rPr>
                <w:sz w:val="12"/>
                <w:szCs w:val="12"/>
              </w:rPr>
            </w:pPr>
            <w:r>
              <w:rPr>
                <w:sz w:val="12"/>
                <w:szCs w:val="12"/>
              </w:rPr>
              <w:lastRenderedPageBreak/>
              <w:t> </w:t>
            </w:r>
          </w:p>
        </w:tc>
        <w:tc>
          <w:tcPr>
            <w:tcW w:w="0" w:type="auto"/>
            <w:hideMark/>
          </w:tcPr>
          <w:p w14:paraId="3ED4C9D8"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045031B3"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2D751884" w14:textId="77777777">
        <w:trPr>
          <w:trHeight w:val="200"/>
          <w:tblCellSpacing w:w="15" w:type="dxa"/>
        </w:trPr>
        <w:tc>
          <w:tcPr>
            <w:tcW w:w="0" w:type="auto"/>
            <w:hideMark/>
          </w:tcPr>
          <w:p w14:paraId="7A66E5D8" w14:textId="77777777" w:rsidR="00000000" w:rsidRDefault="00832D71">
            <w:pPr>
              <w:pStyle w:val="a3"/>
              <w:spacing w:before="0" w:beforeAutospacing="0" w:after="0" w:afterAutospacing="0"/>
              <w:rPr>
                <w:sz w:val="20"/>
                <w:szCs w:val="20"/>
              </w:rPr>
            </w:pPr>
            <w:r>
              <w:rPr>
                <w:sz w:val="20"/>
                <w:szCs w:val="20"/>
              </w:rPr>
              <w:t>ITEM 7</w:t>
            </w:r>
            <w:r>
              <w:rPr>
                <w:sz w:val="20"/>
                <w:szCs w:val="20"/>
              </w:rPr>
              <w:t>.</w:t>
            </w:r>
          </w:p>
        </w:tc>
        <w:tc>
          <w:tcPr>
            <w:tcW w:w="0" w:type="auto"/>
            <w:hideMark/>
          </w:tcPr>
          <w:p w14:paraId="588C96B7" w14:textId="77777777" w:rsidR="00000000" w:rsidRDefault="00832D71">
            <w:pPr>
              <w:pStyle w:val="a3"/>
              <w:spacing w:before="0" w:beforeAutospacing="0" w:after="0" w:afterAutospacing="0"/>
              <w:rPr>
                <w:sz w:val="20"/>
                <w:szCs w:val="20"/>
              </w:rPr>
            </w:pPr>
            <w:hyperlink w:anchor="item_7_managements_discussion_analysis_" w:history="1">
              <w:r>
                <w:rPr>
                  <w:rStyle w:val="a4"/>
                  <w:sz w:val="20"/>
                  <w:szCs w:val="20"/>
                </w:rPr>
                <w:t>MANAGEMENT’S DISCUSSION AND ANALYSIS OF FINANCIAL CONDITION AND RESULTS OF OPERATION</w:t>
              </w:r>
              <w:r>
                <w:rPr>
                  <w:rStyle w:val="a4"/>
                  <w:sz w:val="20"/>
                  <w:szCs w:val="20"/>
                </w:rPr>
                <w:t>S</w:t>
              </w:r>
            </w:hyperlink>
          </w:p>
        </w:tc>
        <w:tc>
          <w:tcPr>
            <w:tcW w:w="0" w:type="auto"/>
            <w:vAlign w:val="bottom"/>
            <w:hideMark/>
          </w:tcPr>
          <w:p w14:paraId="247EBF14" w14:textId="77777777" w:rsidR="00000000" w:rsidRDefault="00832D71">
            <w:pPr>
              <w:pStyle w:val="a3"/>
              <w:spacing w:before="0" w:beforeAutospacing="0" w:after="0" w:afterAutospacing="0"/>
              <w:jc w:val="center"/>
              <w:rPr>
                <w:sz w:val="20"/>
                <w:szCs w:val="20"/>
              </w:rPr>
            </w:pPr>
            <w:r>
              <w:rPr>
                <w:sz w:val="20"/>
                <w:szCs w:val="20"/>
              </w:rPr>
              <w:t>2</w:t>
            </w:r>
            <w:r>
              <w:rPr>
                <w:sz w:val="20"/>
                <w:szCs w:val="20"/>
              </w:rPr>
              <w:t>9</w:t>
            </w:r>
          </w:p>
        </w:tc>
      </w:tr>
      <w:tr w:rsidR="00000000" w14:paraId="34A9AFDB" w14:textId="77777777">
        <w:trPr>
          <w:tblCellSpacing w:w="15" w:type="dxa"/>
        </w:trPr>
        <w:tc>
          <w:tcPr>
            <w:tcW w:w="0" w:type="auto"/>
            <w:hideMark/>
          </w:tcPr>
          <w:p w14:paraId="003A46EA"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56BF3302"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0014AFD2"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4431C676" w14:textId="77777777">
        <w:trPr>
          <w:trHeight w:val="200"/>
          <w:tblCellSpacing w:w="15" w:type="dxa"/>
        </w:trPr>
        <w:tc>
          <w:tcPr>
            <w:tcW w:w="0" w:type="auto"/>
            <w:hideMark/>
          </w:tcPr>
          <w:p w14:paraId="6CCC309C" w14:textId="77777777" w:rsidR="00000000" w:rsidRDefault="00832D71">
            <w:pPr>
              <w:pStyle w:val="a3"/>
              <w:spacing w:before="0" w:beforeAutospacing="0" w:after="0" w:afterAutospacing="0"/>
              <w:rPr>
                <w:sz w:val="20"/>
                <w:szCs w:val="20"/>
              </w:rPr>
            </w:pPr>
            <w:r>
              <w:rPr>
                <w:sz w:val="20"/>
                <w:szCs w:val="20"/>
              </w:rPr>
              <w:t>ITEM 7A</w:t>
            </w:r>
            <w:r>
              <w:rPr>
                <w:sz w:val="20"/>
                <w:szCs w:val="20"/>
              </w:rPr>
              <w:t>.</w:t>
            </w:r>
          </w:p>
        </w:tc>
        <w:tc>
          <w:tcPr>
            <w:tcW w:w="0" w:type="auto"/>
            <w:hideMark/>
          </w:tcPr>
          <w:p w14:paraId="7071C628" w14:textId="77777777" w:rsidR="00000000" w:rsidRDefault="00832D71">
            <w:pPr>
              <w:pStyle w:val="a3"/>
              <w:spacing w:before="0" w:beforeAutospacing="0" w:after="0" w:afterAutospacing="0"/>
              <w:rPr>
                <w:sz w:val="20"/>
                <w:szCs w:val="20"/>
              </w:rPr>
            </w:pPr>
            <w:hyperlink w:anchor="item_7a_quantitative_qualitative_disclo" w:history="1">
              <w:r>
                <w:rPr>
                  <w:rStyle w:val="a4"/>
                  <w:sz w:val="20"/>
                  <w:szCs w:val="20"/>
                </w:rPr>
                <w:t>QUANTITATIVE AND QUALITATI</w:t>
              </w:r>
              <w:r>
                <w:rPr>
                  <w:rStyle w:val="a4"/>
                  <w:sz w:val="20"/>
                  <w:szCs w:val="20"/>
                </w:rPr>
                <w:t>VE DISCLOSURES ABOUT MARKET RIS</w:t>
              </w:r>
              <w:r>
                <w:rPr>
                  <w:rStyle w:val="a4"/>
                  <w:sz w:val="20"/>
                  <w:szCs w:val="20"/>
                </w:rPr>
                <w:t>K</w:t>
              </w:r>
            </w:hyperlink>
          </w:p>
        </w:tc>
        <w:tc>
          <w:tcPr>
            <w:tcW w:w="0" w:type="auto"/>
            <w:vAlign w:val="bottom"/>
            <w:hideMark/>
          </w:tcPr>
          <w:p w14:paraId="57CBE58A" w14:textId="77777777" w:rsidR="00000000" w:rsidRDefault="00832D71">
            <w:pPr>
              <w:pStyle w:val="a3"/>
              <w:spacing w:before="0" w:beforeAutospacing="0" w:after="0" w:afterAutospacing="0"/>
              <w:jc w:val="center"/>
              <w:rPr>
                <w:sz w:val="20"/>
                <w:szCs w:val="20"/>
              </w:rPr>
            </w:pPr>
            <w:r>
              <w:rPr>
                <w:sz w:val="20"/>
                <w:szCs w:val="20"/>
              </w:rPr>
              <w:t>4</w:t>
            </w:r>
            <w:r>
              <w:rPr>
                <w:sz w:val="20"/>
                <w:szCs w:val="20"/>
              </w:rPr>
              <w:t>0</w:t>
            </w:r>
          </w:p>
        </w:tc>
      </w:tr>
      <w:tr w:rsidR="00000000" w14:paraId="6B0FEF66" w14:textId="77777777">
        <w:trPr>
          <w:tblCellSpacing w:w="15" w:type="dxa"/>
        </w:trPr>
        <w:tc>
          <w:tcPr>
            <w:tcW w:w="0" w:type="auto"/>
            <w:hideMark/>
          </w:tcPr>
          <w:p w14:paraId="449762DA"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7EB811B2"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768BC4F5"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4DD77EB9" w14:textId="77777777">
        <w:trPr>
          <w:trHeight w:val="200"/>
          <w:tblCellSpacing w:w="15" w:type="dxa"/>
        </w:trPr>
        <w:tc>
          <w:tcPr>
            <w:tcW w:w="0" w:type="auto"/>
            <w:hideMark/>
          </w:tcPr>
          <w:p w14:paraId="5D601AC2" w14:textId="77777777" w:rsidR="00000000" w:rsidRDefault="00832D71">
            <w:pPr>
              <w:pStyle w:val="a3"/>
              <w:spacing w:before="0" w:beforeAutospacing="0" w:after="0" w:afterAutospacing="0"/>
              <w:rPr>
                <w:sz w:val="20"/>
                <w:szCs w:val="20"/>
              </w:rPr>
            </w:pPr>
            <w:r>
              <w:rPr>
                <w:sz w:val="20"/>
                <w:szCs w:val="20"/>
              </w:rPr>
              <w:t>ITEM 8</w:t>
            </w:r>
            <w:r>
              <w:rPr>
                <w:sz w:val="20"/>
                <w:szCs w:val="20"/>
              </w:rPr>
              <w:t>.</w:t>
            </w:r>
          </w:p>
        </w:tc>
        <w:tc>
          <w:tcPr>
            <w:tcW w:w="0" w:type="auto"/>
            <w:hideMark/>
          </w:tcPr>
          <w:p w14:paraId="4AEF644F" w14:textId="77777777" w:rsidR="00000000" w:rsidRDefault="00832D71">
            <w:pPr>
              <w:pStyle w:val="a3"/>
              <w:spacing w:before="0" w:beforeAutospacing="0" w:after="0" w:afterAutospacing="0"/>
              <w:rPr>
                <w:sz w:val="20"/>
                <w:szCs w:val="20"/>
              </w:rPr>
            </w:pPr>
            <w:hyperlink w:anchor="item_8_financial_statements_supplementa" w:history="1">
              <w:r>
                <w:rPr>
                  <w:rStyle w:val="a4"/>
                  <w:sz w:val="20"/>
                  <w:szCs w:val="20"/>
                </w:rPr>
                <w:t>FINANCIAL STATEMENTS AND SUPPLEMENTARY DAT</w:t>
              </w:r>
              <w:r>
                <w:rPr>
                  <w:rStyle w:val="a4"/>
                  <w:sz w:val="20"/>
                  <w:szCs w:val="20"/>
                </w:rPr>
                <w:t>A</w:t>
              </w:r>
            </w:hyperlink>
          </w:p>
        </w:tc>
        <w:tc>
          <w:tcPr>
            <w:tcW w:w="0" w:type="auto"/>
            <w:vAlign w:val="bottom"/>
            <w:hideMark/>
          </w:tcPr>
          <w:p w14:paraId="5CE810C0" w14:textId="77777777" w:rsidR="00000000" w:rsidRDefault="00832D71">
            <w:pPr>
              <w:pStyle w:val="a3"/>
              <w:spacing w:before="0" w:beforeAutospacing="0" w:after="0" w:afterAutospacing="0"/>
              <w:jc w:val="center"/>
              <w:rPr>
                <w:sz w:val="20"/>
                <w:szCs w:val="20"/>
              </w:rPr>
            </w:pPr>
            <w:r>
              <w:rPr>
                <w:sz w:val="20"/>
                <w:szCs w:val="20"/>
              </w:rPr>
              <w:t>4</w:t>
            </w:r>
            <w:r>
              <w:rPr>
                <w:sz w:val="20"/>
                <w:szCs w:val="20"/>
              </w:rPr>
              <w:t>2</w:t>
            </w:r>
          </w:p>
        </w:tc>
      </w:tr>
      <w:tr w:rsidR="00000000" w14:paraId="7C661A82" w14:textId="77777777">
        <w:trPr>
          <w:tblCellSpacing w:w="15" w:type="dxa"/>
        </w:trPr>
        <w:tc>
          <w:tcPr>
            <w:tcW w:w="0" w:type="auto"/>
            <w:hideMark/>
          </w:tcPr>
          <w:p w14:paraId="5F256B67"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39963359"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23CAA82"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767E8D6B" w14:textId="77777777">
        <w:trPr>
          <w:trHeight w:val="200"/>
          <w:tblCellSpacing w:w="15" w:type="dxa"/>
        </w:trPr>
        <w:tc>
          <w:tcPr>
            <w:tcW w:w="0" w:type="auto"/>
            <w:hideMark/>
          </w:tcPr>
          <w:p w14:paraId="7413F2E5" w14:textId="77777777" w:rsidR="00000000" w:rsidRDefault="00832D71">
            <w:pPr>
              <w:pStyle w:val="a3"/>
              <w:spacing w:before="0" w:beforeAutospacing="0" w:after="0" w:afterAutospacing="0"/>
              <w:rPr>
                <w:sz w:val="20"/>
                <w:szCs w:val="20"/>
              </w:rPr>
            </w:pPr>
            <w:r>
              <w:rPr>
                <w:sz w:val="20"/>
                <w:szCs w:val="20"/>
              </w:rPr>
              <w:t>ITEM 9</w:t>
            </w:r>
            <w:r>
              <w:rPr>
                <w:sz w:val="20"/>
                <w:szCs w:val="20"/>
              </w:rPr>
              <w:t>.</w:t>
            </w:r>
          </w:p>
        </w:tc>
        <w:tc>
          <w:tcPr>
            <w:tcW w:w="0" w:type="auto"/>
            <w:hideMark/>
          </w:tcPr>
          <w:p w14:paraId="3C5A3D31" w14:textId="77777777" w:rsidR="00000000" w:rsidRDefault="00832D71">
            <w:pPr>
              <w:pStyle w:val="a3"/>
              <w:spacing w:before="0" w:beforeAutospacing="0" w:after="0" w:afterAutospacing="0"/>
              <w:rPr>
                <w:sz w:val="20"/>
                <w:szCs w:val="20"/>
              </w:rPr>
            </w:pPr>
            <w:hyperlink w:anchor="item_9_changes_in_disagreements_with_ac" w:history="1">
              <w:r>
                <w:rPr>
                  <w:rStyle w:val="a4"/>
                  <w:sz w:val="20"/>
                  <w:szCs w:val="20"/>
                </w:rPr>
                <w:t>CHANGES IN AND DISAGREEMENTS WITH ACCOUNTANTS ON ACCOUNTING AND FINANCIAL DISCLOSUR</w:t>
              </w:r>
              <w:r>
                <w:rPr>
                  <w:rStyle w:val="a4"/>
                  <w:sz w:val="20"/>
                  <w:szCs w:val="20"/>
                </w:rPr>
                <w:t>E</w:t>
              </w:r>
            </w:hyperlink>
          </w:p>
        </w:tc>
        <w:tc>
          <w:tcPr>
            <w:tcW w:w="0" w:type="auto"/>
            <w:vAlign w:val="bottom"/>
            <w:hideMark/>
          </w:tcPr>
          <w:p w14:paraId="6CEA6055" w14:textId="77777777" w:rsidR="00000000" w:rsidRDefault="00832D71">
            <w:pPr>
              <w:pStyle w:val="a3"/>
              <w:spacing w:before="0" w:beforeAutospacing="0" w:after="0" w:afterAutospacing="0"/>
              <w:jc w:val="center"/>
              <w:rPr>
                <w:sz w:val="20"/>
                <w:szCs w:val="20"/>
              </w:rPr>
            </w:pPr>
            <w:r>
              <w:rPr>
                <w:sz w:val="20"/>
                <w:szCs w:val="20"/>
              </w:rPr>
              <w:t>4</w:t>
            </w:r>
            <w:r>
              <w:rPr>
                <w:sz w:val="20"/>
                <w:szCs w:val="20"/>
              </w:rPr>
              <w:t>4</w:t>
            </w:r>
          </w:p>
        </w:tc>
      </w:tr>
      <w:tr w:rsidR="00000000" w14:paraId="7F9815F6" w14:textId="77777777">
        <w:trPr>
          <w:tblCellSpacing w:w="15" w:type="dxa"/>
        </w:trPr>
        <w:tc>
          <w:tcPr>
            <w:tcW w:w="0" w:type="auto"/>
            <w:hideMark/>
          </w:tcPr>
          <w:p w14:paraId="70043B7A"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6D6AB007"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30EFEE5C"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4872B2F2" w14:textId="77777777">
        <w:trPr>
          <w:trHeight w:val="200"/>
          <w:tblCellSpacing w:w="15" w:type="dxa"/>
        </w:trPr>
        <w:tc>
          <w:tcPr>
            <w:tcW w:w="0" w:type="auto"/>
            <w:hideMark/>
          </w:tcPr>
          <w:p w14:paraId="088F76B5" w14:textId="77777777" w:rsidR="00000000" w:rsidRDefault="00832D71">
            <w:pPr>
              <w:pStyle w:val="a3"/>
              <w:spacing w:before="0" w:beforeAutospacing="0" w:after="0" w:afterAutospacing="0"/>
              <w:rPr>
                <w:sz w:val="20"/>
                <w:szCs w:val="20"/>
              </w:rPr>
            </w:pPr>
            <w:r>
              <w:rPr>
                <w:sz w:val="20"/>
                <w:szCs w:val="20"/>
              </w:rPr>
              <w:t>ITEM 9A</w:t>
            </w:r>
            <w:r>
              <w:rPr>
                <w:sz w:val="20"/>
                <w:szCs w:val="20"/>
              </w:rPr>
              <w:t>.</w:t>
            </w:r>
          </w:p>
        </w:tc>
        <w:tc>
          <w:tcPr>
            <w:tcW w:w="0" w:type="auto"/>
            <w:hideMark/>
          </w:tcPr>
          <w:p w14:paraId="02C9A672" w14:textId="77777777" w:rsidR="00000000" w:rsidRDefault="00832D71">
            <w:pPr>
              <w:pStyle w:val="a3"/>
              <w:spacing w:before="0" w:beforeAutospacing="0" w:after="0" w:afterAutospacing="0"/>
              <w:rPr>
                <w:sz w:val="20"/>
                <w:szCs w:val="20"/>
              </w:rPr>
            </w:pPr>
            <w:hyperlink w:anchor="item_9a_controls_procedures" w:history="1">
              <w:r>
                <w:rPr>
                  <w:rStyle w:val="a4"/>
                  <w:sz w:val="20"/>
                  <w:szCs w:val="20"/>
                </w:rPr>
                <w:t>CONTROLS AND PROCEDURE</w:t>
              </w:r>
              <w:r>
                <w:rPr>
                  <w:rStyle w:val="a4"/>
                  <w:sz w:val="20"/>
                  <w:szCs w:val="20"/>
                </w:rPr>
                <w:t>S</w:t>
              </w:r>
            </w:hyperlink>
          </w:p>
        </w:tc>
        <w:tc>
          <w:tcPr>
            <w:tcW w:w="0" w:type="auto"/>
            <w:vAlign w:val="bottom"/>
            <w:hideMark/>
          </w:tcPr>
          <w:p w14:paraId="0D0308BB" w14:textId="77777777" w:rsidR="00000000" w:rsidRDefault="00832D71">
            <w:pPr>
              <w:pStyle w:val="a3"/>
              <w:spacing w:before="0" w:beforeAutospacing="0" w:after="0" w:afterAutospacing="0"/>
              <w:jc w:val="center"/>
              <w:rPr>
                <w:sz w:val="20"/>
                <w:szCs w:val="20"/>
              </w:rPr>
            </w:pPr>
            <w:r>
              <w:rPr>
                <w:sz w:val="20"/>
                <w:szCs w:val="20"/>
              </w:rPr>
              <w:t>4</w:t>
            </w:r>
            <w:r>
              <w:rPr>
                <w:sz w:val="20"/>
                <w:szCs w:val="20"/>
              </w:rPr>
              <w:t>4</w:t>
            </w:r>
          </w:p>
        </w:tc>
      </w:tr>
      <w:tr w:rsidR="00000000" w14:paraId="28462D06" w14:textId="77777777">
        <w:trPr>
          <w:tblCellSpacing w:w="15" w:type="dxa"/>
        </w:trPr>
        <w:tc>
          <w:tcPr>
            <w:tcW w:w="0" w:type="auto"/>
            <w:hideMark/>
          </w:tcPr>
          <w:p w14:paraId="7347C38C"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2325B404"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7877D57E"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0365B42B" w14:textId="77777777">
        <w:trPr>
          <w:trHeight w:val="200"/>
          <w:tblCellSpacing w:w="15" w:type="dxa"/>
        </w:trPr>
        <w:tc>
          <w:tcPr>
            <w:tcW w:w="0" w:type="auto"/>
            <w:hideMark/>
          </w:tcPr>
          <w:p w14:paraId="273A0889" w14:textId="77777777" w:rsidR="00000000" w:rsidRDefault="00832D71">
            <w:pPr>
              <w:pStyle w:val="a3"/>
              <w:spacing w:before="0" w:beforeAutospacing="0" w:after="0" w:afterAutospacing="0"/>
              <w:rPr>
                <w:sz w:val="20"/>
                <w:szCs w:val="20"/>
              </w:rPr>
            </w:pPr>
            <w:r>
              <w:rPr>
                <w:sz w:val="20"/>
                <w:szCs w:val="20"/>
              </w:rPr>
              <w:t>ITEM</w:t>
            </w:r>
            <w:r>
              <w:rPr>
                <w:sz w:val="20"/>
                <w:szCs w:val="20"/>
              </w:rPr>
              <w:t xml:space="preserve"> 9B</w:t>
            </w:r>
            <w:r>
              <w:rPr>
                <w:sz w:val="20"/>
                <w:szCs w:val="20"/>
              </w:rPr>
              <w:t>.</w:t>
            </w:r>
          </w:p>
        </w:tc>
        <w:tc>
          <w:tcPr>
            <w:tcW w:w="0" w:type="auto"/>
            <w:hideMark/>
          </w:tcPr>
          <w:p w14:paraId="786642F0" w14:textId="77777777" w:rsidR="00000000" w:rsidRDefault="00832D71">
            <w:pPr>
              <w:pStyle w:val="a3"/>
              <w:spacing w:before="0" w:beforeAutospacing="0" w:after="0" w:afterAutospacing="0"/>
              <w:rPr>
                <w:sz w:val="20"/>
                <w:szCs w:val="20"/>
              </w:rPr>
            </w:pPr>
            <w:hyperlink w:anchor="item_9b_or_information" w:history="1">
              <w:r>
                <w:rPr>
                  <w:rStyle w:val="a4"/>
                  <w:sz w:val="20"/>
                  <w:szCs w:val="20"/>
                </w:rPr>
                <w:t>OTHER INFORMATIO</w:t>
              </w:r>
              <w:r>
                <w:rPr>
                  <w:rStyle w:val="a4"/>
                  <w:sz w:val="20"/>
                  <w:szCs w:val="20"/>
                </w:rPr>
                <w:t>N</w:t>
              </w:r>
            </w:hyperlink>
          </w:p>
        </w:tc>
        <w:tc>
          <w:tcPr>
            <w:tcW w:w="0" w:type="auto"/>
            <w:vAlign w:val="bottom"/>
            <w:hideMark/>
          </w:tcPr>
          <w:p w14:paraId="0622E2DC" w14:textId="77777777" w:rsidR="00000000" w:rsidRDefault="00832D71">
            <w:pPr>
              <w:pStyle w:val="a3"/>
              <w:spacing w:before="0" w:beforeAutospacing="0" w:after="0" w:afterAutospacing="0"/>
              <w:jc w:val="center"/>
              <w:rPr>
                <w:sz w:val="20"/>
                <w:szCs w:val="20"/>
              </w:rPr>
            </w:pPr>
            <w:r>
              <w:rPr>
                <w:sz w:val="20"/>
                <w:szCs w:val="20"/>
              </w:rPr>
              <w:t>4</w:t>
            </w:r>
            <w:r>
              <w:rPr>
                <w:sz w:val="20"/>
                <w:szCs w:val="20"/>
              </w:rPr>
              <w:t>4</w:t>
            </w:r>
          </w:p>
        </w:tc>
      </w:tr>
      <w:tr w:rsidR="00000000" w14:paraId="5417E1F9" w14:textId="77777777">
        <w:trPr>
          <w:tblCellSpacing w:w="15" w:type="dxa"/>
        </w:trPr>
        <w:tc>
          <w:tcPr>
            <w:tcW w:w="0" w:type="auto"/>
            <w:hideMark/>
          </w:tcPr>
          <w:p w14:paraId="6FBD8978"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554FB51B"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6DE3B807"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55986775" w14:textId="77777777">
        <w:trPr>
          <w:trHeight w:val="200"/>
          <w:tblCellSpacing w:w="15" w:type="dxa"/>
        </w:trPr>
        <w:tc>
          <w:tcPr>
            <w:tcW w:w="0" w:type="auto"/>
            <w:hideMark/>
          </w:tcPr>
          <w:p w14:paraId="3344E9FF" w14:textId="77777777" w:rsidR="00000000" w:rsidRDefault="00832D71">
            <w:pPr>
              <w:pStyle w:val="a3"/>
              <w:spacing w:before="0" w:beforeAutospacing="0" w:after="0" w:afterAutospacing="0"/>
              <w:rPr>
                <w:sz w:val="20"/>
                <w:szCs w:val="20"/>
              </w:rPr>
            </w:pPr>
            <w:r>
              <w:rPr>
                <w:sz w:val="20"/>
                <w:szCs w:val="20"/>
              </w:rPr>
              <w:t>ITEM 9C</w:t>
            </w:r>
            <w:r>
              <w:rPr>
                <w:sz w:val="20"/>
                <w:szCs w:val="20"/>
              </w:rPr>
              <w:t>.</w:t>
            </w:r>
          </w:p>
        </w:tc>
        <w:tc>
          <w:tcPr>
            <w:tcW w:w="0" w:type="auto"/>
            <w:hideMark/>
          </w:tcPr>
          <w:p w14:paraId="75D19B9F" w14:textId="77777777" w:rsidR="00000000" w:rsidRDefault="00832D71">
            <w:pPr>
              <w:pStyle w:val="a3"/>
              <w:spacing w:before="0" w:beforeAutospacing="0" w:after="0" w:afterAutospacing="0"/>
              <w:rPr>
                <w:sz w:val="20"/>
                <w:szCs w:val="20"/>
              </w:rPr>
            </w:pPr>
            <w:hyperlink w:anchor="item_9c_disclosure_regarding_foreign_ju" w:history="1">
              <w:r>
                <w:rPr>
                  <w:rStyle w:val="a4"/>
                  <w:sz w:val="20"/>
                  <w:szCs w:val="20"/>
                </w:rPr>
                <w:t>DISCLOSURE REGARDING FOREIGN JURISDICTIONS THAT PREVENT INSPECTION</w:t>
              </w:r>
              <w:r>
                <w:rPr>
                  <w:rStyle w:val="a4"/>
                  <w:sz w:val="20"/>
                  <w:szCs w:val="20"/>
                </w:rPr>
                <w:t>S</w:t>
              </w:r>
            </w:hyperlink>
          </w:p>
        </w:tc>
        <w:tc>
          <w:tcPr>
            <w:tcW w:w="0" w:type="auto"/>
            <w:vAlign w:val="bottom"/>
            <w:hideMark/>
          </w:tcPr>
          <w:p w14:paraId="054C279D" w14:textId="77777777" w:rsidR="00000000" w:rsidRDefault="00832D71">
            <w:pPr>
              <w:pStyle w:val="a3"/>
              <w:spacing w:before="0" w:beforeAutospacing="0" w:after="0" w:afterAutospacing="0"/>
              <w:jc w:val="center"/>
              <w:rPr>
                <w:sz w:val="20"/>
                <w:szCs w:val="20"/>
              </w:rPr>
            </w:pPr>
            <w:r>
              <w:rPr>
                <w:sz w:val="20"/>
                <w:szCs w:val="20"/>
              </w:rPr>
              <w:t>4</w:t>
            </w:r>
            <w:r>
              <w:rPr>
                <w:sz w:val="20"/>
                <w:szCs w:val="20"/>
              </w:rPr>
              <w:t>4</w:t>
            </w:r>
          </w:p>
        </w:tc>
      </w:tr>
      <w:tr w:rsidR="00000000" w14:paraId="38CCC33E" w14:textId="77777777">
        <w:trPr>
          <w:tblCellSpacing w:w="15" w:type="dxa"/>
        </w:trPr>
        <w:tc>
          <w:tcPr>
            <w:tcW w:w="0" w:type="auto"/>
            <w:hideMark/>
          </w:tcPr>
          <w:p w14:paraId="52C5E0E6"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0C51B8E4"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362EB46E"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79837AB4" w14:textId="77777777">
        <w:trPr>
          <w:trHeight w:val="200"/>
          <w:tblCellSpacing w:w="15" w:type="dxa"/>
        </w:trPr>
        <w:tc>
          <w:tcPr>
            <w:tcW w:w="0" w:type="auto"/>
            <w:hideMark/>
          </w:tcPr>
          <w:p w14:paraId="226AEED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B59E60D" w14:textId="77777777" w:rsidR="00000000" w:rsidRDefault="00832D71">
            <w:pPr>
              <w:pStyle w:val="a3"/>
              <w:spacing w:before="0" w:beforeAutospacing="0" w:after="0" w:afterAutospacing="0"/>
              <w:jc w:val="center"/>
              <w:rPr>
                <w:sz w:val="20"/>
                <w:szCs w:val="20"/>
              </w:rPr>
            </w:pPr>
            <w:hyperlink w:anchor="part_iii" w:history="1">
              <w:r>
                <w:rPr>
                  <w:rStyle w:val="a4"/>
                  <w:sz w:val="20"/>
                  <w:szCs w:val="20"/>
                </w:rPr>
                <w:t>PART II</w:t>
              </w:r>
              <w:r>
                <w:rPr>
                  <w:rStyle w:val="a4"/>
                  <w:sz w:val="20"/>
                  <w:szCs w:val="20"/>
                </w:rPr>
                <w:t>I</w:t>
              </w:r>
            </w:hyperlink>
          </w:p>
        </w:tc>
        <w:tc>
          <w:tcPr>
            <w:tcW w:w="0" w:type="auto"/>
            <w:vAlign w:val="bottom"/>
            <w:hideMark/>
          </w:tcPr>
          <w:p w14:paraId="42DB7E27" w14:textId="77777777" w:rsidR="00000000" w:rsidRDefault="00832D71">
            <w:pPr>
              <w:pStyle w:val="a3"/>
              <w:spacing w:before="0" w:beforeAutospacing="0" w:after="0" w:afterAutospacing="0"/>
              <w:jc w:val="center"/>
              <w:rPr>
                <w:sz w:val="20"/>
                <w:szCs w:val="20"/>
              </w:rPr>
            </w:pPr>
            <w:r>
              <w:rPr>
                <w:sz w:val="20"/>
                <w:szCs w:val="20"/>
              </w:rPr>
              <w:t> </w:t>
            </w:r>
          </w:p>
        </w:tc>
      </w:tr>
      <w:tr w:rsidR="00000000" w14:paraId="365D3366" w14:textId="77777777">
        <w:trPr>
          <w:tblCellSpacing w:w="15" w:type="dxa"/>
        </w:trPr>
        <w:tc>
          <w:tcPr>
            <w:tcW w:w="0" w:type="auto"/>
            <w:hideMark/>
          </w:tcPr>
          <w:p w14:paraId="440731BE"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630C24A8"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63E72AAE"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20E6BEB7" w14:textId="77777777">
        <w:trPr>
          <w:trHeight w:val="200"/>
          <w:tblCellSpacing w:w="15" w:type="dxa"/>
        </w:trPr>
        <w:tc>
          <w:tcPr>
            <w:tcW w:w="0" w:type="auto"/>
            <w:hideMark/>
          </w:tcPr>
          <w:p w14:paraId="30898FE5" w14:textId="77777777" w:rsidR="00000000" w:rsidRDefault="00832D71">
            <w:pPr>
              <w:pStyle w:val="a3"/>
              <w:spacing w:before="0" w:beforeAutospacing="0" w:after="0" w:afterAutospacing="0"/>
              <w:rPr>
                <w:sz w:val="20"/>
                <w:szCs w:val="20"/>
              </w:rPr>
            </w:pPr>
            <w:r>
              <w:rPr>
                <w:sz w:val="20"/>
                <w:szCs w:val="20"/>
              </w:rPr>
              <w:t>ITEM 10</w:t>
            </w:r>
            <w:r>
              <w:rPr>
                <w:sz w:val="20"/>
                <w:szCs w:val="20"/>
              </w:rPr>
              <w:t>.</w:t>
            </w:r>
          </w:p>
        </w:tc>
        <w:tc>
          <w:tcPr>
            <w:tcW w:w="0" w:type="auto"/>
            <w:hideMark/>
          </w:tcPr>
          <w:p w14:paraId="286214BE" w14:textId="77777777" w:rsidR="00000000" w:rsidRDefault="00832D71">
            <w:pPr>
              <w:pStyle w:val="a3"/>
              <w:spacing w:before="0" w:beforeAutospacing="0" w:after="0" w:afterAutospacing="0"/>
              <w:rPr>
                <w:sz w:val="20"/>
                <w:szCs w:val="20"/>
              </w:rPr>
            </w:pPr>
            <w:hyperlink w:anchor="item_10_directors_executive_ficers_part" w:history="1">
              <w:r>
                <w:rPr>
                  <w:rStyle w:val="a4"/>
                  <w:sz w:val="20"/>
                  <w:szCs w:val="20"/>
                </w:rPr>
                <w:t>DIRECTORS, EXECUTIVE OFFICERS AND PARTNERSHIP GOVERNANC</w:t>
              </w:r>
              <w:r>
                <w:rPr>
                  <w:rStyle w:val="a4"/>
                  <w:sz w:val="20"/>
                  <w:szCs w:val="20"/>
                </w:rPr>
                <w:t>E</w:t>
              </w:r>
            </w:hyperlink>
          </w:p>
        </w:tc>
        <w:tc>
          <w:tcPr>
            <w:tcW w:w="0" w:type="auto"/>
            <w:vAlign w:val="bottom"/>
            <w:hideMark/>
          </w:tcPr>
          <w:p w14:paraId="55C27A9D" w14:textId="77777777" w:rsidR="00000000" w:rsidRDefault="00832D71">
            <w:pPr>
              <w:pStyle w:val="a3"/>
              <w:spacing w:before="0" w:beforeAutospacing="0" w:after="0" w:afterAutospacing="0"/>
              <w:jc w:val="center"/>
              <w:rPr>
                <w:sz w:val="20"/>
                <w:szCs w:val="20"/>
              </w:rPr>
            </w:pPr>
            <w:r>
              <w:rPr>
                <w:sz w:val="20"/>
                <w:szCs w:val="20"/>
              </w:rPr>
              <w:t>4</w:t>
            </w:r>
            <w:r>
              <w:rPr>
                <w:sz w:val="20"/>
                <w:szCs w:val="20"/>
              </w:rPr>
              <w:t>5</w:t>
            </w:r>
          </w:p>
        </w:tc>
      </w:tr>
      <w:tr w:rsidR="00000000" w14:paraId="31E963E0" w14:textId="77777777">
        <w:trPr>
          <w:tblCellSpacing w:w="15" w:type="dxa"/>
        </w:trPr>
        <w:tc>
          <w:tcPr>
            <w:tcW w:w="0" w:type="auto"/>
            <w:hideMark/>
          </w:tcPr>
          <w:p w14:paraId="4F2F389D"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619BB979"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2E273A03"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1F44175C" w14:textId="77777777">
        <w:trPr>
          <w:trHeight w:val="200"/>
          <w:tblCellSpacing w:w="15" w:type="dxa"/>
        </w:trPr>
        <w:tc>
          <w:tcPr>
            <w:tcW w:w="0" w:type="auto"/>
            <w:hideMark/>
          </w:tcPr>
          <w:p w14:paraId="61A95998" w14:textId="77777777" w:rsidR="00000000" w:rsidRDefault="00832D71">
            <w:pPr>
              <w:pStyle w:val="a3"/>
              <w:spacing w:before="0" w:beforeAutospacing="0" w:after="0" w:afterAutospacing="0"/>
              <w:rPr>
                <w:sz w:val="20"/>
                <w:szCs w:val="20"/>
              </w:rPr>
            </w:pPr>
            <w:r>
              <w:rPr>
                <w:sz w:val="20"/>
                <w:szCs w:val="20"/>
              </w:rPr>
              <w:t>ITEM 11</w:t>
            </w:r>
            <w:r>
              <w:rPr>
                <w:sz w:val="20"/>
                <w:szCs w:val="20"/>
              </w:rPr>
              <w:t>.</w:t>
            </w:r>
          </w:p>
        </w:tc>
        <w:tc>
          <w:tcPr>
            <w:tcW w:w="0" w:type="auto"/>
            <w:hideMark/>
          </w:tcPr>
          <w:p w14:paraId="38DF1887" w14:textId="77777777" w:rsidR="00000000" w:rsidRDefault="00832D71">
            <w:pPr>
              <w:pStyle w:val="a3"/>
              <w:spacing w:before="0" w:beforeAutospacing="0" w:after="0" w:afterAutospacing="0"/>
              <w:rPr>
                <w:sz w:val="20"/>
                <w:szCs w:val="20"/>
              </w:rPr>
            </w:pPr>
            <w:hyperlink w:anchor="item_11_executive_compensation" w:history="1">
              <w:r>
                <w:rPr>
                  <w:rStyle w:val="a4"/>
                  <w:sz w:val="20"/>
                  <w:szCs w:val="20"/>
                </w:rPr>
                <w:t>EXECUTIVE COMPENSATIO</w:t>
              </w:r>
              <w:r>
                <w:rPr>
                  <w:rStyle w:val="a4"/>
                  <w:sz w:val="20"/>
                  <w:szCs w:val="20"/>
                </w:rPr>
                <w:t>N</w:t>
              </w:r>
            </w:hyperlink>
          </w:p>
        </w:tc>
        <w:tc>
          <w:tcPr>
            <w:tcW w:w="0" w:type="auto"/>
            <w:vAlign w:val="bottom"/>
            <w:hideMark/>
          </w:tcPr>
          <w:p w14:paraId="61BCB3A1"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2</w:t>
            </w:r>
          </w:p>
        </w:tc>
      </w:tr>
      <w:tr w:rsidR="00000000" w14:paraId="549986C2" w14:textId="77777777">
        <w:trPr>
          <w:tblCellSpacing w:w="15" w:type="dxa"/>
        </w:trPr>
        <w:tc>
          <w:tcPr>
            <w:tcW w:w="0" w:type="auto"/>
            <w:hideMark/>
          </w:tcPr>
          <w:p w14:paraId="1240DF2B"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5DBE37AE"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656AFDDA"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15D262F8" w14:textId="77777777">
        <w:trPr>
          <w:trHeight w:val="200"/>
          <w:tblCellSpacing w:w="15" w:type="dxa"/>
        </w:trPr>
        <w:tc>
          <w:tcPr>
            <w:tcW w:w="0" w:type="auto"/>
            <w:hideMark/>
          </w:tcPr>
          <w:p w14:paraId="20D3B644" w14:textId="77777777" w:rsidR="00000000" w:rsidRDefault="00832D71">
            <w:pPr>
              <w:pStyle w:val="a3"/>
              <w:spacing w:before="0" w:beforeAutospacing="0" w:after="0" w:afterAutospacing="0"/>
              <w:rPr>
                <w:sz w:val="20"/>
                <w:szCs w:val="20"/>
              </w:rPr>
            </w:pPr>
            <w:r>
              <w:rPr>
                <w:sz w:val="20"/>
                <w:szCs w:val="20"/>
              </w:rPr>
              <w:t>ITEM 12</w:t>
            </w:r>
            <w:r>
              <w:rPr>
                <w:sz w:val="20"/>
                <w:szCs w:val="20"/>
              </w:rPr>
              <w:t>.</w:t>
            </w:r>
          </w:p>
        </w:tc>
        <w:tc>
          <w:tcPr>
            <w:tcW w:w="0" w:type="auto"/>
            <w:hideMark/>
          </w:tcPr>
          <w:p w14:paraId="750416DB" w14:textId="77777777" w:rsidR="00000000" w:rsidRDefault="00832D71">
            <w:pPr>
              <w:pStyle w:val="a3"/>
              <w:spacing w:before="0" w:beforeAutospacing="0" w:after="0" w:afterAutospacing="0"/>
              <w:rPr>
                <w:sz w:val="20"/>
                <w:szCs w:val="20"/>
              </w:rPr>
            </w:pPr>
            <w:hyperlink w:anchor="item_12_security_ownership" w:history="1">
              <w:r>
                <w:rPr>
                  <w:rStyle w:val="a4"/>
                  <w:sz w:val="20"/>
                  <w:szCs w:val="20"/>
                </w:rPr>
                <w:t>SECURITY OWNERSHIP OF CERTAIN BENEFICIAL OWNERS AND MANAGEMENT AND RELATED UNITHOLDER MATTER</w:t>
              </w:r>
              <w:r>
                <w:rPr>
                  <w:rStyle w:val="a4"/>
                  <w:sz w:val="20"/>
                  <w:szCs w:val="20"/>
                </w:rPr>
                <w:t>S</w:t>
              </w:r>
            </w:hyperlink>
          </w:p>
        </w:tc>
        <w:tc>
          <w:tcPr>
            <w:tcW w:w="0" w:type="auto"/>
            <w:vAlign w:val="bottom"/>
            <w:hideMark/>
          </w:tcPr>
          <w:p w14:paraId="38EDCCB1" w14:textId="77777777" w:rsidR="00000000" w:rsidRDefault="00832D71">
            <w:pPr>
              <w:pStyle w:val="a3"/>
              <w:spacing w:before="0" w:beforeAutospacing="0" w:after="0" w:afterAutospacing="0"/>
              <w:jc w:val="center"/>
              <w:rPr>
                <w:sz w:val="20"/>
                <w:szCs w:val="20"/>
              </w:rPr>
            </w:pPr>
            <w:r>
              <w:rPr>
                <w:sz w:val="20"/>
                <w:szCs w:val="20"/>
              </w:rPr>
              <w:t>8</w:t>
            </w:r>
            <w:r>
              <w:rPr>
                <w:sz w:val="20"/>
                <w:szCs w:val="20"/>
              </w:rPr>
              <w:t>5</w:t>
            </w:r>
          </w:p>
        </w:tc>
      </w:tr>
      <w:tr w:rsidR="00000000" w14:paraId="6483781B" w14:textId="77777777">
        <w:trPr>
          <w:tblCellSpacing w:w="15" w:type="dxa"/>
        </w:trPr>
        <w:tc>
          <w:tcPr>
            <w:tcW w:w="0" w:type="auto"/>
            <w:hideMark/>
          </w:tcPr>
          <w:p w14:paraId="432B6E34"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742F9DE0"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61C8842C"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4ABF9AFF" w14:textId="77777777">
        <w:trPr>
          <w:trHeight w:val="200"/>
          <w:tblCellSpacing w:w="15" w:type="dxa"/>
        </w:trPr>
        <w:tc>
          <w:tcPr>
            <w:tcW w:w="0" w:type="auto"/>
            <w:hideMark/>
          </w:tcPr>
          <w:p w14:paraId="22A381C5" w14:textId="77777777" w:rsidR="00000000" w:rsidRDefault="00832D71">
            <w:pPr>
              <w:pStyle w:val="a3"/>
              <w:spacing w:before="0" w:beforeAutospacing="0" w:after="0" w:afterAutospacing="0"/>
              <w:rPr>
                <w:sz w:val="20"/>
                <w:szCs w:val="20"/>
              </w:rPr>
            </w:pPr>
            <w:r>
              <w:rPr>
                <w:sz w:val="20"/>
                <w:szCs w:val="20"/>
              </w:rPr>
              <w:t>ITEM 13</w:t>
            </w:r>
            <w:r>
              <w:rPr>
                <w:sz w:val="20"/>
                <w:szCs w:val="20"/>
              </w:rPr>
              <w:t>.</w:t>
            </w:r>
          </w:p>
        </w:tc>
        <w:tc>
          <w:tcPr>
            <w:tcW w:w="0" w:type="auto"/>
            <w:hideMark/>
          </w:tcPr>
          <w:p w14:paraId="75B633DC" w14:textId="77777777" w:rsidR="00000000" w:rsidRDefault="00832D71">
            <w:pPr>
              <w:pStyle w:val="a3"/>
              <w:spacing w:before="0" w:beforeAutospacing="0" w:after="0" w:afterAutospacing="0"/>
              <w:rPr>
                <w:sz w:val="20"/>
                <w:szCs w:val="20"/>
              </w:rPr>
            </w:pPr>
            <w:hyperlink w:anchor="item_13_certain_relationships_related_t" w:history="1">
              <w:r>
                <w:rPr>
                  <w:rStyle w:val="a4"/>
                  <w:sz w:val="20"/>
                  <w:szCs w:val="20"/>
                </w:rPr>
                <w:t>CERTAIN RELATIONSHIPS AND RELAT</w:t>
              </w:r>
              <w:r>
                <w:rPr>
                  <w:rStyle w:val="a4"/>
                  <w:sz w:val="20"/>
                  <w:szCs w:val="20"/>
                </w:rPr>
                <w:t>ED TRANSACTIONS, AND DIRECTOR INDEPENDENC</w:t>
              </w:r>
              <w:r>
                <w:rPr>
                  <w:rStyle w:val="a4"/>
                  <w:sz w:val="20"/>
                  <w:szCs w:val="20"/>
                </w:rPr>
                <w:t>E</w:t>
              </w:r>
            </w:hyperlink>
          </w:p>
        </w:tc>
        <w:tc>
          <w:tcPr>
            <w:tcW w:w="0" w:type="auto"/>
            <w:vAlign w:val="bottom"/>
            <w:hideMark/>
          </w:tcPr>
          <w:p w14:paraId="69F08232" w14:textId="77777777" w:rsidR="00000000" w:rsidRDefault="00832D71">
            <w:pPr>
              <w:pStyle w:val="a3"/>
              <w:spacing w:before="0" w:beforeAutospacing="0" w:after="0" w:afterAutospacing="0"/>
              <w:jc w:val="center"/>
              <w:rPr>
                <w:sz w:val="20"/>
                <w:szCs w:val="20"/>
              </w:rPr>
            </w:pPr>
            <w:r>
              <w:rPr>
                <w:sz w:val="20"/>
                <w:szCs w:val="20"/>
              </w:rPr>
              <w:t>8</w:t>
            </w:r>
            <w:r>
              <w:rPr>
                <w:sz w:val="20"/>
                <w:szCs w:val="20"/>
              </w:rPr>
              <w:t>7</w:t>
            </w:r>
          </w:p>
        </w:tc>
      </w:tr>
      <w:tr w:rsidR="00000000" w14:paraId="2E7DDCCC" w14:textId="77777777">
        <w:trPr>
          <w:tblCellSpacing w:w="15" w:type="dxa"/>
        </w:trPr>
        <w:tc>
          <w:tcPr>
            <w:tcW w:w="0" w:type="auto"/>
            <w:hideMark/>
          </w:tcPr>
          <w:p w14:paraId="33A9F284"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19C98F8B"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649475F3"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609B26CA" w14:textId="77777777">
        <w:trPr>
          <w:trHeight w:val="200"/>
          <w:tblCellSpacing w:w="15" w:type="dxa"/>
        </w:trPr>
        <w:tc>
          <w:tcPr>
            <w:tcW w:w="0" w:type="auto"/>
            <w:hideMark/>
          </w:tcPr>
          <w:p w14:paraId="2D8C38B4" w14:textId="77777777" w:rsidR="00000000" w:rsidRDefault="00832D71">
            <w:pPr>
              <w:pStyle w:val="a3"/>
              <w:spacing w:before="0" w:beforeAutospacing="0" w:after="0" w:afterAutospacing="0"/>
              <w:rPr>
                <w:sz w:val="20"/>
                <w:szCs w:val="20"/>
              </w:rPr>
            </w:pPr>
            <w:r>
              <w:rPr>
                <w:sz w:val="20"/>
                <w:szCs w:val="20"/>
              </w:rPr>
              <w:t>ITEM 14</w:t>
            </w:r>
            <w:r>
              <w:rPr>
                <w:sz w:val="20"/>
                <w:szCs w:val="20"/>
              </w:rPr>
              <w:t>.</w:t>
            </w:r>
          </w:p>
        </w:tc>
        <w:tc>
          <w:tcPr>
            <w:tcW w:w="0" w:type="auto"/>
            <w:hideMark/>
          </w:tcPr>
          <w:p w14:paraId="77682CE0" w14:textId="77777777" w:rsidR="00000000" w:rsidRDefault="00832D71">
            <w:pPr>
              <w:pStyle w:val="a3"/>
              <w:spacing w:before="0" w:beforeAutospacing="0" w:after="0" w:afterAutospacing="0"/>
              <w:rPr>
                <w:sz w:val="20"/>
                <w:szCs w:val="20"/>
              </w:rPr>
            </w:pPr>
            <w:hyperlink w:anchor="item_14_principal_accounting_fees_servi" w:history="1">
              <w:r>
                <w:rPr>
                  <w:rStyle w:val="a4"/>
                  <w:sz w:val="20"/>
                  <w:szCs w:val="20"/>
                </w:rPr>
                <w:t>PRINCIPAL ACCOUNTING FEES AND SERVICE</w:t>
              </w:r>
              <w:r>
                <w:rPr>
                  <w:rStyle w:val="a4"/>
                  <w:sz w:val="20"/>
                  <w:szCs w:val="20"/>
                </w:rPr>
                <w:t>S</w:t>
              </w:r>
            </w:hyperlink>
          </w:p>
        </w:tc>
        <w:tc>
          <w:tcPr>
            <w:tcW w:w="0" w:type="auto"/>
            <w:vAlign w:val="bottom"/>
            <w:hideMark/>
          </w:tcPr>
          <w:p w14:paraId="728E8542" w14:textId="77777777" w:rsidR="00000000" w:rsidRDefault="00832D71">
            <w:pPr>
              <w:pStyle w:val="a3"/>
              <w:spacing w:before="0" w:beforeAutospacing="0" w:after="0" w:afterAutospacing="0"/>
              <w:jc w:val="center"/>
              <w:rPr>
                <w:sz w:val="20"/>
                <w:szCs w:val="20"/>
              </w:rPr>
            </w:pPr>
            <w:r>
              <w:rPr>
                <w:sz w:val="20"/>
                <w:szCs w:val="20"/>
              </w:rPr>
              <w:t>8</w:t>
            </w:r>
            <w:r>
              <w:rPr>
                <w:sz w:val="20"/>
                <w:szCs w:val="20"/>
              </w:rPr>
              <w:t>8</w:t>
            </w:r>
          </w:p>
        </w:tc>
      </w:tr>
      <w:tr w:rsidR="00000000" w14:paraId="08DB049D" w14:textId="77777777">
        <w:trPr>
          <w:tblCellSpacing w:w="15" w:type="dxa"/>
        </w:trPr>
        <w:tc>
          <w:tcPr>
            <w:tcW w:w="0" w:type="auto"/>
            <w:hideMark/>
          </w:tcPr>
          <w:p w14:paraId="3B2C104A"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2479B8DB"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6CB57875"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38E75A2B" w14:textId="77777777">
        <w:trPr>
          <w:trHeight w:val="200"/>
          <w:tblCellSpacing w:w="15" w:type="dxa"/>
        </w:trPr>
        <w:tc>
          <w:tcPr>
            <w:tcW w:w="0" w:type="auto"/>
            <w:hideMark/>
          </w:tcPr>
          <w:p w14:paraId="554CA1E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7ECBEFC" w14:textId="77777777" w:rsidR="00000000" w:rsidRDefault="00832D71">
            <w:pPr>
              <w:pStyle w:val="a3"/>
              <w:spacing w:before="0" w:beforeAutospacing="0" w:after="0" w:afterAutospacing="0"/>
              <w:jc w:val="center"/>
              <w:rPr>
                <w:sz w:val="20"/>
                <w:szCs w:val="20"/>
              </w:rPr>
            </w:pPr>
            <w:hyperlink w:anchor="part_iv" w:history="1">
              <w:r>
                <w:rPr>
                  <w:rStyle w:val="a4"/>
                  <w:sz w:val="20"/>
                  <w:szCs w:val="20"/>
                </w:rPr>
                <w:t>PART I</w:t>
              </w:r>
              <w:r>
                <w:rPr>
                  <w:rStyle w:val="a4"/>
                  <w:sz w:val="20"/>
                  <w:szCs w:val="20"/>
                </w:rPr>
                <w:t>V</w:t>
              </w:r>
            </w:hyperlink>
          </w:p>
        </w:tc>
        <w:tc>
          <w:tcPr>
            <w:tcW w:w="0" w:type="auto"/>
            <w:vAlign w:val="bottom"/>
            <w:hideMark/>
          </w:tcPr>
          <w:p w14:paraId="5067CB19" w14:textId="77777777" w:rsidR="00000000" w:rsidRDefault="00832D71">
            <w:pPr>
              <w:pStyle w:val="a3"/>
              <w:spacing w:before="0" w:beforeAutospacing="0" w:after="0" w:afterAutospacing="0"/>
              <w:jc w:val="center"/>
              <w:rPr>
                <w:sz w:val="20"/>
                <w:szCs w:val="20"/>
              </w:rPr>
            </w:pPr>
            <w:r>
              <w:rPr>
                <w:sz w:val="20"/>
                <w:szCs w:val="20"/>
              </w:rPr>
              <w:t> </w:t>
            </w:r>
          </w:p>
        </w:tc>
      </w:tr>
      <w:tr w:rsidR="00000000" w14:paraId="03EC4798" w14:textId="77777777">
        <w:trPr>
          <w:tblCellSpacing w:w="15" w:type="dxa"/>
        </w:trPr>
        <w:tc>
          <w:tcPr>
            <w:tcW w:w="0" w:type="auto"/>
            <w:hideMark/>
          </w:tcPr>
          <w:p w14:paraId="1E7B0687"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70B639E3"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19D7B94C"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76E8CC84" w14:textId="77777777">
        <w:trPr>
          <w:trHeight w:val="200"/>
          <w:tblCellSpacing w:w="15" w:type="dxa"/>
        </w:trPr>
        <w:tc>
          <w:tcPr>
            <w:tcW w:w="0" w:type="auto"/>
            <w:hideMark/>
          </w:tcPr>
          <w:p w14:paraId="1A83416D" w14:textId="77777777" w:rsidR="00000000" w:rsidRDefault="00832D71">
            <w:pPr>
              <w:pStyle w:val="a3"/>
              <w:spacing w:before="0" w:beforeAutospacing="0" w:after="0" w:afterAutospacing="0"/>
              <w:rPr>
                <w:sz w:val="20"/>
                <w:szCs w:val="20"/>
              </w:rPr>
            </w:pPr>
            <w:r>
              <w:rPr>
                <w:sz w:val="20"/>
                <w:szCs w:val="20"/>
              </w:rPr>
              <w:t>ITEM 15</w:t>
            </w:r>
            <w:r>
              <w:rPr>
                <w:sz w:val="20"/>
                <w:szCs w:val="20"/>
              </w:rPr>
              <w:t>.</w:t>
            </w:r>
          </w:p>
        </w:tc>
        <w:tc>
          <w:tcPr>
            <w:tcW w:w="0" w:type="auto"/>
            <w:hideMark/>
          </w:tcPr>
          <w:p w14:paraId="3871B6B5" w14:textId="77777777" w:rsidR="00000000" w:rsidRDefault="00832D71">
            <w:pPr>
              <w:pStyle w:val="a3"/>
              <w:spacing w:before="0" w:beforeAutospacing="0" w:after="0" w:afterAutospacing="0"/>
              <w:rPr>
                <w:sz w:val="20"/>
                <w:szCs w:val="20"/>
              </w:rPr>
            </w:pPr>
            <w:hyperlink w:anchor="item_15_exhibits_financial_statement_sc" w:history="1">
              <w:r>
                <w:rPr>
                  <w:rStyle w:val="a4"/>
                  <w:sz w:val="20"/>
                  <w:szCs w:val="20"/>
                </w:rPr>
                <w:t>EXHIBITS, FINANCIAL STATEMENT SCHEDULE</w:t>
              </w:r>
              <w:r>
                <w:rPr>
                  <w:rStyle w:val="a4"/>
                  <w:sz w:val="20"/>
                  <w:szCs w:val="20"/>
                </w:rPr>
                <w:t>S</w:t>
              </w:r>
            </w:hyperlink>
          </w:p>
        </w:tc>
        <w:tc>
          <w:tcPr>
            <w:tcW w:w="0" w:type="auto"/>
            <w:vAlign w:val="bottom"/>
            <w:hideMark/>
          </w:tcPr>
          <w:p w14:paraId="7D7B1BDC" w14:textId="77777777" w:rsidR="00000000" w:rsidRDefault="00832D71">
            <w:pPr>
              <w:pStyle w:val="a3"/>
              <w:spacing w:before="0" w:beforeAutospacing="0" w:after="0" w:afterAutospacing="0"/>
              <w:jc w:val="center"/>
              <w:rPr>
                <w:sz w:val="20"/>
                <w:szCs w:val="20"/>
              </w:rPr>
            </w:pPr>
            <w:r>
              <w:rPr>
                <w:sz w:val="20"/>
                <w:szCs w:val="20"/>
              </w:rPr>
              <w:t>8</w:t>
            </w:r>
            <w:r>
              <w:rPr>
                <w:sz w:val="20"/>
                <w:szCs w:val="20"/>
              </w:rPr>
              <w:t>9</w:t>
            </w:r>
          </w:p>
        </w:tc>
      </w:tr>
      <w:tr w:rsidR="00000000" w14:paraId="1F4C0C7C" w14:textId="77777777">
        <w:trPr>
          <w:tblCellSpacing w:w="15" w:type="dxa"/>
        </w:trPr>
        <w:tc>
          <w:tcPr>
            <w:tcW w:w="0" w:type="auto"/>
            <w:hideMark/>
          </w:tcPr>
          <w:p w14:paraId="5BFADF0F"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424C2D13"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7F69F795"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5C245E46" w14:textId="77777777">
        <w:trPr>
          <w:trHeight w:val="200"/>
          <w:tblCellSpacing w:w="15" w:type="dxa"/>
        </w:trPr>
        <w:tc>
          <w:tcPr>
            <w:tcW w:w="0" w:type="auto"/>
            <w:hideMark/>
          </w:tcPr>
          <w:p w14:paraId="4387C68A" w14:textId="77777777" w:rsidR="00000000" w:rsidRDefault="00832D71">
            <w:pPr>
              <w:pStyle w:val="a3"/>
              <w:spacing w:before="0" w:beforeAutospacing="0" w:after="0" w:afterAutospacing="0"/>
              <w:rPr>
                <w:sz w:val="20"/>
                <w:szCs w:val="20"/>
              </w:rPr>
            </w:pPr>
            <w:r>
              <w:rPr>
                <w:sz w:val="20"/>
                <w:szCs w:val="20"/>
              </w:rPr>
              <w:t>ITEM 16</w:t>
            </w:r>
            <w:r>
              <w:rPr>
                <w:sz w:val="20"/>
                <w:szCs w:val="20"/>
              </w:rPr>
              <w:t>.</w:t>
            </w:r>
          </w:p>
        </w:tc>
        <w:tc>
          <w:tcPr>
            <w:tcW w:w="0" w:type="auto"/>
            <w:hideMark/>
          </w:tcPr>
          <w:p w14:paraId="4AD87FA3" w14:textId="77777777" w:rsidR="00000000" w:rsidRDefault="00832D71">
            <w:pPr>
              <w:pStyle w:val="a3"/>
              <w:spacing w:before="0" w:beforeAutospacing="0" w:after="0" w:afterAutospacing="0"/>
              <w:rPr>
                <w:sz w:val="20"/>
                <w:szCs w:val="20"/>
              </w:rPr>
            </w:pPr>
            <w:hyperlink w:anchor="item_16_form_10k_summary" w:history="1">
              <w:r>
                <w:rPr>
                  <w:rStyle w:val="a4"/>
                  <w:sz w:val="20"/>
                  <w:szCs w:val="20"/>
                </w:rPr>
                <w:t>FORM 10-K SUMMAR</w:t>
              </w:r>
              <w:r>
                <w:rPr>
                  <w:rStyle w:val="a4"/>
                  <w:sz w:val="20"/>
                  <w:szCs w:val="20"/>
                </w:rPr>
                <w:t>Y</w:t>
              </w:r>
            </w:hyperlink>
          </w:p>
        </w:tc>
        <w:tc>
          <w:tcPr>
            <w:tcW w:w="0" w:type="auto"/>
            <w:vAlign w:val="bottom"/>
            <w:hideMark/>
          </w:tcPr>
          <w:p w14:paraId="6EA57271" w14:textId="77777777" w:rsidR="00000000" w:rsidRDefault="00832D71">
            <w:pPr>
              <w:pStyle w:val="a3"/>
              <w:spacing w:before="0" w:beforeAutospacing="0" w:after="0" w:afterAutospacing="0"/>
              <w:jc w:val="center"/>
              <w:rPr>
                <w:sz w:val="20"/>
                <w:szCs w:val="20"/>
              </w:rPr>
            </w:pPr>
            <w:r>
              <w:rPr>
                <w:sz w:val="20"/>
                <w:szCs w:val="20"/>
              </w:rPr>
              <w:t>8</w:t>
            </w:r>
            <w:r>
              <w:rPr>
                <w:sz w:val="20"/>
                <w:szCs w:val="20"/>
              </w:rPr>
              <w:t>9</w:t>
            </w:r>
          </w:p>
        </w:tc>
      </w:tr>
      <w:tr w:rsidR="00000000" w14:paraId="1D4111A3" w14:textId="77777777">
        <w:trPr>
          <w:tblCellSpacing w:w="15" w:type="dxa"/>
        </w:trPr>
        <w:tc>
          <w:tcPr>
            <w:tcW w:w="0" w:type="auto"/>
            <w:hideMark/>
          </w:tcPr>
          <w:p w14:paraId="7A417BC4"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3D361453"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EB69362"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527BFFA2" w14:textId="77777777">
        <w:trPr>
          <w:trHeight w:val="200"/>
          <w:tblCellSpacing w:w="15" w:type="dxa"/>
        </w:trPr>
        <w:tc>
          <w:tcPr>
            <w:tcW w:w="0" w:type="auto"/>
            <w:gridSpan w:val="2"/>
            <w:hideMark/>
          </w:tcPr>
          <w:p w14:paraId="644E576E" w14:textId="77777777" w:rsidR="00000000" w:rsidRDefault="00832D71">
            <w:pPr>
              <w:pStyle w:val="a3"/>
              <w:spacing w:before="0" w:beforeAutospacing="0" w:after="0" w:afterAutospacing="0"/>
              <w:rPr>
                <w:sz w:val="20"/>
                <w:szCs w:val="20"/>
              </w:rPr>
            </w:pPr>
            <w:hyperlink w:anchor="signatures_2" w:history="1">
              <w:r>
                <w:rPr>
                  <w:rStyle w:val="a4"/>
                  <w:sz w:val="20"/>
                  <w:szCs w:val="20"/>
                </w:rPr>
                <w:t>SIGNATURE</w:t>
              </w:r>
              <w:r>
                <w:rPr>
                  <w:rStyle w:val="a4"/>
                  <w:sz w:val="20"/>
                  <w:szCs w:val="20"/>
                </w:rPr>
                <w:t>S</w:t>
              </w:r>
            </w:hyperlink>
          </w:p>
        </w:tc>
        <w:tc>
          <w:tcPr>
            <w:tcW w:w="0" w:type="auto"/>
            <w:vAlign w:val="bottom"/>
            <w:hideMark/>
          </w:tcPr>
          <w:p w14:paraId="2C7D0029" w14:textId="77777777" w:rsidR="00000000" w:rsidRDefault="00832D71">
            <w:pPr>
              <w:pStyle w:val="a3"/>
              <w:spacing w:before="0" w:beforeAutospacing="0" w:after="0" w:afterAutospacing="0"/>
              <w:jc w:val="center"/>
              <w:rPr>
                <w:sz w:val="20"/>
                <w:szCs w:val="20"/>
              </w:rPr>
            </w:pPr>
            <w:r>
              <w:rPr>
                <w:sz w:val="20"/>
                <w:szCs w:val="20"/>
              </w:rPr>
              <w:t>9</w:t>
            </w:r>
            <w:r>
              <w:rPr>
                <w:sz w:val="20"/>
                <w:szCs w:val="20"/>
              </w:rPr>
              <w:t>2</w:t>
            </w:r>
          </w:p>
        </w:tc>
      </w:tr>
    </w:tbl>
    <w:p w14:paraId="7A0AC26A" w14:textId="77777777" w:rsidR="00000000" w:rsidRDefault="00832D71">
      <w:pPr>
        <w:pStyle w:val="a3"/>
        <w:spacing w:before="0" w:beforeAutospacing="0" w:after="0" w:afterAutospacing="0"/>
        <w:rPr>
          <w:sz w:val="20"/>
          <w:szCs w:val="20"/>
        </w:rPr>
      </w:pPr>
      <w:r>
        <w:rPr>
          <w:sz w:val="20"/>
          <w:szCs w:val="20"/>
        </w:rPr>
        <w:t> </w:t>
      </w:r>
    </w:p>
    <w:p w14:paraId="09D1512D" w14:textId="77777777" w:rsidR="00000000" w:rsidRDefault="00832D71">
      <w:pPr>
        <w:pStyle w:val="a3"/>
        <w:spacing w:before="0" w:beforeAutospacing="0" w:after="0" w:afterAutospacing="0"/>
        <w:jc w:val="center"/>
        <w:rPr>
          <w:sz w:val="20"/>
          <w:szCs w:val="20"/>
        </w:rPr>
      </w:pPr>
      <w:r>
        <w:rPr>
          <w:sz w:val="20"/>
          <w:szCs w:val="20"/>
        </w:rPr>
        <w:t> </w:t>
      </w:r>
    </w:p>
    <w:p w14:paraId="3E23D7C8" w14:textId="77777777" w:rsidR="00000000" w:rsidRDefault="00832D71">
      <w:pPr>
        <w:rPr>
          <w:rFonts w:eastAsia="Times New Roman"/>
        </w:rPr>
      </w:pPr>
      <w:r>
        <w:rPr>
          <w:rFonts w:eastAsia="Times New Roman"/>
        </w:rPr>
        <w:pict w14:anchorId="4A8058B5">
          <v:rect id="_x0000_i1026" style="width:0;height:1.5pt" o:hralign="center" o:hrstd="t" o:hr="t" fillcolor="#a0a0a0" stroked="f"/>
        </w:pict>
      </w:r>
    </w:p>
    <w:p w14:paraId="0019E27C"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7C1265D1" w14:textId="77777777" w:rsidR="00000000" w:rsidRDefault="00832D71">
      <w:pPr>
        <w:pStyle w:val="a3"/>
        <w:spacing w:before="0" w:beforeAutospacing="0" w:after="0" w:afterAutospacing="0"/>
        <w:rPr>
          <w:sz w:val="20"/>
          <w:szCs w:val="20"/>
        </w:rPr>
      </w:pPr>
      <w:r>
        <w:rPr>
          <w:b/>
          <w:bCs/>
          <w:sz w:val="20"/>
          <w:szCs w:val="20"/>
          <w:u w:val="single"/>
        </w:rPr>
        <w:t>DISCLOSURE REGARDING FORWARD-LOOKING STATEMENT</w:t>
      </w:r>
      <w:r>
        <w:rPr>
          <w:b/>
          <w:bCs/>
          <w:sz w:val="20"/>
          <w:szCs w:val="20"/>
          <w:u w:val="single"/>
        </w:rPr>
        <w:t>S</w:t>
      </w:r>
    </w:p>
    <w:p w14:paraId="68D8FAA9" w14:textId="77777777" w:rsidR="00000000" w:rsidRDefault="00832D71">
      <w:pPr>
        <w:pStyle w:val="a3"/>
        <w:spacing w:before="120" w:beforeAutospacing="0" w:after="0" w:afterAutospacing="0"/>
        <w:ind w:firstLine="555"/>
        <w:jc w:val="both"/>
        <w:rPr>
          <w:sz w:val="20"/>
          <w:szCs w:val="20"/>
        </w:rPr>
      </w:pPr>
      <w:r>
        <w:rPr>
          <w:sz w:val="19"/>
          <w:szCs w:val="19"/>
        </w:rPr>
        <w:t xml:space="preserve">This Annual Report on Form 10-K contains forward-looking statements (“Forward-Looking Statements”) as defined in the Private Securities Litigation Reform Act of 1995, Section 27A of the Securities Act of 1933, as amended, and Section 21E of the Securities </w:t>
      </w:r>
      <w:r>
        <w:rPr>
          <w:sz w:val="19"/>
          <w:szCs w:val="19"/>
        </w:rPr>
        <w:t>Exchange Act of 1934, as amended, relating to future business expectations and predictions and financial condition and results of operations of Suburban Propane Partners, L.P. (the “Partnership”). Some of these statements can be identified by the use of fo</w:t>
      </w:r>
      <w:r>
        <w:rPr>
          <w:sz w:val="19"/>
          <w:szCs w:val="19"/>
        </w:rPr>
        <w:t>rward-looking terminology such as “prospects,” “outlook,” “believes,” “estimates,” “intends,” “may,” “will,” “should,” “could,” “anticipates,” “expects” or “plans” or the negative or other variation of these or similar words, or by discussion of trends and</w:t>
      </w:r>
      <w:r>
        <w:rPr>
          <w:sz w:val="19"/>
          <w:szCs w:val="19"/>
        </w:rPr>
        <w:t xml:space="preserve"> conditions, strategies or risks and uncertainties. These Forward-Looking Statements involve certain risks and uncertainties that could cause actual results to differ materially from those discussed or implied in such Forward-Looking Statements (statements</w:t>
      </w:r>
      <w:r>
        <w:rPr>
          <w:sz w:val="19"/>
          <w:szCs w:val="19"/>
        </w:rPr>
        <w:t xml:space="preserve"> contained in this Annual Report identifying such risks and uncertainties are referred to as “Cautionary Statements”). The risks and uncertainties and their impact on the Partnership’s results include, but are not limited to, the following risks</w:t>
      </w:r>
      <w:r>
        <w:rPr>
          <w:sz w:val="19"/>
          <w:szCs w:val="19"/>
        </w:rPr>
        <w:t>:</w:t>
      </w:r>
    </w:p>
    <w:p w14:paraId="6715170F" w14:textId="77777777" w:rsidR="00000000" w:rsidRDefault="00832D71">
      <w:pPr>
        <w:jc w:val="both"/>
        <w:divId w:val="1906333003"/>
        <w:rPr>
          <w:rFonts w:eastAsia="Times New Roman"/>
        </w:rPr>
      </w:pPr>
      <w:r>
        <w:rPr>
          <w:rFonts w:eastAsia="Times New Roman"/>
          <w:sz w:val="19"/>
          <w:szCs w:val="19"/>
        </w:rPr>
        <w:t>•</w:t>
      </w:r>
    </w:p>
    <w:p w14:paraId="2F228958" w14:textId="77777777" w:rsidR="00000000" w:rsidRDefault="00832D71">
      <w:pPr>
        <w:jc w:val="both"/>
        <w:divId w:val="1364788467"/>
        <w:rPr>
          <w:rFonts w:eastAsia="Times New Roman"/>
        </w:rPr>
      </w:pPr>
      <w:r>
        <w:rPr>
          <w:rFonts w:eastAsia="Times New Roman"/>
          <w:sz w:val="19"/>
          <w:szCs w:val="19"/>
        </w:rPr>
        <w:lastRenderedPageBreak/>
        <w:t>The imp</w:t>
      </w:r>
      <w:r>
        <w:rPr>
          <w:rFonts w:eastAsia="Times New Roman"/>
          <w:sz w:val="19"/>
          <w:szCs w:val="19"/>
        </w:rPr>
        <w:t>act of weather conditions on the demand for propane, fuel oil and other refined fuels, natural gas and electricity</w:t>
      </w:r>
      <w:r>
        <w:rPr>
          <w:rFonts w:eastAsia="Times New Roman"/>
          <w:sz w:val="19"/>
          <w:szCs w:val="19"/>
        </w:rPr>
        <w:t>;</w:t>
      </w:r>
    </w:p>
    <w:p w14:paraId="5AFBC836" w14:textId="77777777" w:rsidR="00000000" w:rsidRDefault="00832D71">
      <w:pPr>
        <w:jc w:val="both"/>
        <w:divId w:val="1003707322"/>
        <w:rPr>
          <w:rFonts w:eastAsia="Times New Roman"/>
        </w:rPr>
      </w:pPr>
      <w:r>
        <w:rPr>
          <w:rFonts w:eastAsia="Times New Roman"/>
          <w:sz w:val="19"/>
          <w:szCs w:val="19"/>
        </w:rPr>
        <w:t>•</w:t>
      </w:r>
    </w:p>
    <w:p w14:paraId="083CB841" w14:textId="77777777" w:rsidR="00000000" w:rsidRDefault="00832D71">
      <w:pPr>
        <w:jc w:val="both"/>
        <w:divId w:val="1106578127"/>
        <w:rPr>
          <w:rFonts w:eastAsia="Times New Roman"/>
        </w:rPr>
      </w:pPr>
      <w:r>
        <w:rPr>
          <w:rFonts w:eastAsia="Times New Roman"/>
          <w:sz w:val="19"/>
          <w:szCs w:val="19"/>
        </w:rPr>
        <w:t>Volatility in the unit cost of propane, fuel oil and other refined fuels, natural gas and electricity, the impact of the Partnership’s hed</w:t>
      </w:r>
      <w:r>
        <w:rPr>
          <w:rFonts w:eastAsia="Times New Roman"/>
          <w:sz w:val="19"/>
          <w:szCs w:val="19"/>
        </w:rPr>
        <w:t>ging and risk management activities, and the adverse impact of price increases on volumes sold as a result of customer conservation</w:t>
      </w:r>
      <w:r>
        <w:rPr>
          <w:rFonts w:eastAsia="Times New Roman"/>
          <w:sz w:val="19"/>
          <w:szCs w:val="19"/>
        </w:rPr>
        <w:t>;</w:t>
      </w:r>
    </w:p>
    <w:p w14:paraId="1C755A06" w14:textId="77777777" w:rsidR="00000000" w:rsidRDefault="00832D71">
      <w:pPr>
        <w:jc w:val="both"/>
        <w:divId w:val="2121996580"/>
        <w:rPr>
          <w:rFonts w:eastAsia="Times New Roman"/>
        </w:rPr>
      </w:pPr>
      <w:r>
        <w:rPr>
          <w:rFonts w:eastAsia="Times New Roman"/>
          <w:sz w:val="19"/>
          <w:szCs w:val="19"/>
        </w:rPr>
        <w:t>•</w:t>
      </w:r>
    </w:p>
    <w:p w14:paraId="5D0B6BCC" w14:textId="77777777" w:rsidR="00000000" w:rsidRDefault="00832D71">
      <w:pPr>
        <w:jc w:val="both"/>
        <w:divId w:val="373503323"/>
        <w:rPr>
          <w:rFonts w:eastAsia="Times New Roman"/>
        </w:rPr>
      </w:pPr>
      <w:r>
        <w:rPr>
          <w:rFonts w:eastAsia="Times New Roman"/>
          <w:sz w:val="19"/>
          <w:szCs w:val="19"/>
        </w:rPr>
        <w:t>The impact of the COVID-19 pandemic and the corresponding government response, including the impact across the Partnershi</w:t>
      </w:r>
      <w:r>
        <w:rPr>
          <w:rFonts w:eastAsia="Times New Roman"/>
          <w:sz w:val="19"/>
          <w:szCs w:val="19"/>
        </w:rPr>
        <w:t>p’s businesses on demand and operations, as well as on the operations of the Partnership’s suppliers, customers and other business partners, and the effectiveness of the Partnership’s actions taken in response to these risks</w:t>
      </w:r>
      <w:r>
        <w:rPr>
          <w:rFonts w:eastAsia="Times New Roman"/>
          <w:sz w:val="19"/>
          <w:szCs w:val="19"/>
        </w:rPr>
        <w:t>;</w:t>
      </w:r>
    </w:p>
    <w:p w14:paraId="1A33663A" w14:textId="77777777" w:rsidR="00000000" w:rsidRDefault="00832D71">
      <w:pPr>
        <w:jc w:val="both"/>
        <w:divId w:val="89014521"/>
        <w:rPr>
          <w:rFonts w:eastAsia="Times New Roman"/>
        </w:rPr>
      </w:pPr>
      <w:r>
        <w:rPr>
          <w:rFonts w:eastAsia="Times New Roman"/>
          <w:sz w:val="19"/>
          <w:szCs w:val="19"/>
        </w:rPr>
        <w:t>•</w:t>
      </w:r>
    </w:p>
    <w:p w14:paraId="40E56EE0" w14:textId="77777777" w:rsidR="00000000" w:rsidRDefault="00832D71">
      <w:pPr>
        <w:jc w:val="both"/>
        <w:divId w:val="2145077944"/>
        <w:rPr>
          <w:rFonts w:eastAsia="Times New Roman"/>
        </w:rPr>
      </w:pPr>
      <w:r>
        <w:rPr>
          <w:rFonts w:eastAsia="Times New Roman"/>
          <w:sz w:val="19"/>
          <w:szCs w:val="19"/>
        </w:rPr>
        <w:t>The ability of the Partnersh</w:t>
      </w:r>
      <w:r>
        <w:rPr>
          <w:rFonts w:eastAsia="Times New Roman"/>
          <w:sz w:val="19"/>
          <w:szCs w:val="19"/>
        </w:rPr>
        <w:t>ip to compete with other suppliers of propane, fuel oil and other energy sources</w:t>
      </w:r>
      <w:r>
        <w:rPr>
          <w:rFonts w:eastAsia="Times New Roman"/>
          <w:sz w:val="19"/>
          <w:szCs w:val="19"/>
        </w:rPr>
        <w:t>;</w:t>
      </w:r>
    </w:p>
    <w:p w14:paraId="3CDB5CDE" w14:textId="77777777" w:rsidR="00000000" w:rsidRDefault="00832D71">
      <w:pPr>
        <w:jc w:val="both"/>
        <w:divId w:val="1112433486"/>
        <w:rPr>
          <w:rFonts w:eastAsia="Times New Roman"/>
        </w:rPr>
      </w:pPr>
      <w:r>
        <w:rPr>
          <w:rFonts w:eastAsia="Times New Roman"/>
          <w:sz w:val="19"/>
          <w:szCs w:val="19"/>
        </w:rPr>
        <w:t>•</w:t>
      </w:r>
    </w:p>
    <w:p w14:paraId="46869427" w14:textId="77777777" w:rsidR="00000000" w:rsidRDefault="00832D71">
      <w:pPr>
        <w:jc w:val="both"/>
        <w:divId w:val="498350025"/>
        <w:rPr>
          <w:rFonts w:eastAsia="Times New Roman"/>
        </w:rPr>
      </w:pPr>
      <w:r>
        <w:rPr>
          <w:rFonts w:eastAsia="Times New Roman"/>
          <w:sz w:val="19"/>
          <w:szCs w:val="19"/>
        </w:rPr>
        <w:t>The impact on the price and supply of propane, fuel oil and other refined fuels from the political, military or economic instability of the oil producing nations, including</w:t>
      </w:r>
      <w:r>
        <w:rPr>
          <w:rFonts w:eastAsia="Times New Roman"/>
          <w:sz w:val="19"/>
          <w:szCs w:val="19"/>
        </w:rPr>
        <w:t xml:space="preserve"> Russian military action in Ukraine, global terrorism and other general economic conditions, including the economic instability resulting from natural disasters such as pandemics, including the COVID-19 pandemic</w:t>
      </w:r>
      <w:r>
        <w:rPr>
          <w:rFonts w:eastAsia="Times New Roman"/>
          <w:sz w:val="19"/>
          <w:szCs w:val="19"/>
        </w:rPr>
        <w:t>;</w:t>
      </w:r>
    </w:p>
    <w:p w14:paraId="33EE7E66" w14:textId="77777777" w:rsidR="00000000" w:rsidRDefault="00832D71">
      <w:pPr>
        <w:jc w:val="both"/>
        <w:divId w:val="2120292748"/>
        <w:rPr>
          <w:rFonts w:eastAsia="Times New Roman"/>
        </w:rPr>
      </w:pPr>
      <w:r>
        <w:rPr>
          <w:rFonts w:eastAsia="Times New Roman"/>
          <w:sz w:val="19"/>
          <w:szCs w:val="19"/>
        </w:rPr>
        <w:t>•</w:t>
      </w:r>
    </w:p>
    <w:p w14:paraId="5F73EDEA" w14:textId="77777777" w:rsidR="00000000" w:rsidRDefault="00832D71">
      <w:pPr>
        <w:jc w:val="both"/>
        <w:divId w:val="1496452460"/>
        <w:rPr>
          <w:rFonts w:eastAsia="Times New Roman"/>
        </w:rPr>
      </w:pPr>
      <w:r>
        <w:rPr>
          <w:rFonts w:eastAsia="Times New Roman"/>
          <w:sz w:val="19"/>
          <w:szCs w:val="19"/>
        </w:rPr>
        <w:t>The ability of the Partnership to acquire</w:t>
      </w:r>
      <w:r>
        <w:rPr>
          <w:rFonts w:eastAsia="Times New Roman"/>
          <w:sz w:val="19"/>
          <w:szCs w:val="19"/>
        </w:rPr>
        <w:t xml:space="preserve"> sufficient volumes of, and the costs to the Partnership of acquiring, transporting and storing, propane, fuel oil and other refined fuels</w:t>
      </w:r>
      <w:r>
        <w:rPr>
          <w:rFonts w:eastAsia="Times New Roman"/>
          <w:sz w:val="19"/>
          <w:szCs w:val="19"/>
        </w:rPr>
        <w:t>;</w:t>
      </w:r>
    </w:p>
    <w:p w14:paraId="7D7B0232" w14:textId="77777777" w:rsidR="00000000" w:rsidRDefault="00832D71">
      <w:pPr>
        <w:jc w:val="both"/>
        <w:divId w:val="2904639"/>
        <w:rPr>
          <w:rFonts w:eastAsia="Times New Roman"/>
        </w:rPr>
      </w:pPr>
      <w:r>
        <w:rPr>
          <w:rFonts w:eastAsia="Times New Roman"/>
          <w:sz w:val="19"/>
          <w:szCs w:val="19"/>
        </w:rPr>
        <w:t>•</w:t>
      </w:r>
    </w:p>
    <w:p w14:paraId="73103059" w14:textId="77777777" w:rsidR="00000000" w:rsidRDefault="00832D71">
      <w:pPr>
        <w:jc w:val="both"/>
        <w:divId w:val="614871804"/>
        <w:rPr>
          <w:rFonts w:eastAsia="Times New Roman"/>
        </w:rPr>
      </w:pPr>
      <w:r>
        <w:rPr>
          <w:rFonts w:eastAsia="Times New Roman"/>
          <w:sz w:val="19"/>
          <w:szCs w:val="19"/>
        </w:rPr>
        <w:t>The ability of the Partnership to acquire and maintain reliable transportation for its propane, fuel oil and other refined fuels</w:t>
      </w:r>
      <w:r>
        <w:rPr>
          <w:rFonts w:eastAsia="Times New Roman"/>
          <w:sz w:val="19"/>
          <w:szCs w:val="19"/>
        </w:rPr>
        <w:t>;</w:t>
      </w:r>
    </w:p>
    <w:p w14:paraId="4F1BADA8" w14:textId="77777777" w:rsidR="00000000" w:rsidRDefault="00832D71">
      <w:pPr>
        <w:jc w:val="both"/>
        <w:divId w:val="617952538"/>
        <w:rPr>
          <w:rFonts w:eastAsia="Times New Roman"/>
        </w:rPr>
      </w:pPr>
      <w:r>
        <w:rPr>
          <w:rFonts w:eastAsia="Times New Roman"/>
          <w:sz w:val="19"/>
          <w:szCs w:val="19"/>
        </w:rPr>
        <w:t>•</w:t>
      </w:r>
    </w:p>
    <w:p w14:paraId="73E1F273" w14:textId="77777777" w:rsidR="00000000" w:rsidRDefault="00832D71">
      <w:pPr>
        <w:jc w:val="both"/>
        <w:divId w:val="1397051141"/>
        <w:rPr>
          <w:rFonts w:eastAsia="Times New Roman"/>
        </w:rPr>
      </w:pPr>
      <w:r>
        <w:rPr>
          <w:rFonts w:eastAsia="Times New Roman"/>
          <w:sz w:val="19"/>
          <w:szCs w:val="19"/>
        </w:rPr>
        <w:t>The ability of the Partnership to attract and retain employees and key personnel to support the growth of our business</w:t>
      </w:r>
      <w:r>
        <w:rPr>
          <w:rFonts w:eastAsia="Times New Roman"/>
          <w:sz w:val="19"/>
          <w:szCs w:val="19"/>
        </w:rPr>
        <w:t>;</w:t>
      </w:r>
    </w:p>
    <w:p w14:paraId="3E1F1F9C" w14:textId="77777777" w:rsidR="00000000" w:rsidRDefault="00832D71">
      <w:pPr>
        <w:jc w:val="both"/>
        <w:divId w:val="1129981449"/>
        <w:rPr>
          <w:rFonts w:eastAsia="Times New Roman"/>
        </w:rPr>
      </w:pPr>
      <w:r>
        <w:rPr>
          <w:rFonts w:eastAsia="Times New Roman"/>
          <w:sz w:val="19"/>
          <w:szCs w:val="19"/>
        </w:rPr>
        <w:t>•</w:t>
      </w:r>
    </w:p>
    <w:p w14:paraId="4B0C8AFF" w14:textId="77777777" w:rsidR="00000000" w:rsidRDefault="00832D71">
      <w:pPr>
        <w:jc w:val="both"/>
        <w:divId w:val="800465380"/>
        <w:rPr>
          <w:rFonts w:eastAsia="Times New Roman"/>
        </w:rPr>
      </w:pPr>
      <w:r>
        <w:rPr>
          <w:rFonts w:eastAsia="Times New Roman"/>
          <w:sz w:val="19"/>
          <w:szCs w:val="19"/>
        </w:rPr>
        <w:t>Th</w:t>
      </w:r>
      <w:r>
        <w:rPr>
          <w:rFonts w:eastAsia="Times New Roman"/>
          <w:sz w:val="19"/>
          <w:szCs w:val="19"/>
        </w:rPr>
        <w:t>e ability of the Partnership to retain customers or acquire new customers</w:t>
      </w:r>
      <w:r>
        <w:rPr>
          <w:rFonts w:eastAsia="Times New Roman"/>
          <w:sz w:val="19"/>
          <w:szCs w:val="19"/>
        </w:rPr>
        <w:t>;</w:t>
      </w:r>
    </w:p>
    <w:p w14:paraId="3B3D44FC" w14:textId="77777777" w:rsidR="00000000" w:rsidRDefault="00832D71">
      <w:pPr>
        <w:jc w:val="both"/>
        <w:divId w:val="211381399"/>
        <w:rPr>
          <w:rFonts w:eastAsia="Times New Roman"/>
        </w:rPr>
      </w:pPr>
      <w:r>
        <w:rPr>
          <w:rFonts w:eastAsia="Times New Roman"/>
          <w:sz w:val="19"/>
          <w:szCs w:val="19"/>
        </w:rPr>
        <w:t>•</w:t>
      </w:r>
    </w:p>
    <w:p w14:paraId="388C440D" w14:textId="77777777" w:rsidR="00000000" w:rsidRDefault="00832D71">
      <w:pPr>
        <w:jc w:val="both"/>
        <w:divId w:val="1131902274"/>
        <w:rPr>
          <w:rFonts w:eastAsia="Times New Roman"/>
        </w:rPr>
      </w:pPr>
      <w:r>
        <w:rPr>
          <w:rFonts w:eastAsia="Times New Roman"/>
          <w:sz w:val="19"/>
          <w:szCs w:val="19"/>
        </w:rPr>
        <w:t>The impact of customer conservation, energy efficiency and technology advances on the demand for propane, fuel oil and other refined fuels, natural gas and electricity</w:t>
      </w:r>
      <w:r>
        <w:rPr>
          <w:rFonts w:eastAsia="Times New Roman"/>
          <w:sz w:val="19"/>
          <w:szCs w:val="19"/>
        </w:rPr>
        <w:t>;</w:t>
      </w:r>
    </w:p>
    <w:p w14:paraId="781B6BA7" w14:textId="77777777" w:rsidR="00000000" w:rsidRDefault="00832D71">
      <w:pPr>
        <w:jc w:val="both"/>
        <w:divId w:val="591938923"/>
        <w:rPr>
          <w:rFonts w:eastAsia="Times New Roman"/>
        </w:rPr>
      </w:pPr>
      <w:r>
        <w:rPr>
          <w:rFonts w:eastAsia="Times New Roman"/>
          <w:sz w:val="19"/>
          <w:szCs w:val="19"/>
        </w:rPr>
        <w:t>•</w:t>
      </w:r>
    </w:p>
    <w:p w14:paraId="4EFDEA11" w14:textId="77777777" w:rsidR="00000000" w:rsidRDefault="00832D71">
      <w:pPr>
        <w:jc w:val="both"/>
        <w:divId w:val="26562319"/>
        <w:rPr>
          <w:rFonts w:eastAsia="Times New Roman"/>
        </w:rPr>
      </w:pPr>
      <w:r>
        <w:rPr>
          <w:rFonts w:eastAsia="Times New Roman"/>
          <w:sz w:val="19"/>
          <w:szCs w:val="19"/>
        </w:rPr>
        <w:t>The abil</w:t>
      </w:r>
      <w:r>
        <w:rPr>
          <w:rFonts w:eastAsia="Times New Roman"/>
          <w:sz w:val="19"/>
          <w:szCs w:val="19"/>
        </w:rPr>
        <w:t>ity of management to continue to control expenses and manage inflationary increases in fuel, labor and other operating costs</w:t>
      </w:r>
      <w:r>
        <w:rPr>
          <w:rFonts w:eastAsia="Times New Roman"/>
          <w:sz w:val="19"/>
          <w:szCs w:val="19"/>
        </w:rPr>
        <w:t>;</w:t>
      </w:r>
    </w:p>
    <w:p w14:paraId="7E096683" w14:textId="77777777" w:rsidR="00000000" w:rsidRDefault="00832D71">
      <w:pPr>
        <w:jc w:val="both"/>
        <w:divId w:val="1007562524"/>
        <w:rPr>
          <w:rFonts w:eastAsia="Times New Roman"/>
        </w:rPr>
      </w:pPr>
      <w:r>
        <w:rPr>
          <w:rFonts w:eastAsia="Times New Roman"/>
          <w:sz w:val="19"/>
          <w:szCs w:val="19"/>
        </w:rPr>
        <w:t>•</w:t>
      </w:r>
    </w:p>
    <w:p w14:paraId="49AEB5B6" w14:textId="77777777" w:rsidR="00000000" w:rsidRDefault="00832D71">
      <w:pPr>
        <w:jc w:val="both"/>
        <w:divId w:val="745419868"/>
        <w:rPr>
          <w:rFonts w:eastAsia="Times New Roman"/>
        </w:rPr>
      </w:pPr>
      <w:r>
        <w:rPr>
          <w:rFonts w:eastAsia="Times New Roman"/>
          <w:sz w:val="19"/>
          <w:szCs w:val="19"/>
        </w:rPr>
        <w:t>The impact of changes in applicable statutes and government regulations, or their interpretations, including those relating to t</w:t>
      </w:r>
      <w:r>
        <w:rPr>
          <w:rFonts w:eastAsia="Times New Roman"/>
          <w:sz w:val="19"/>
          <w:szCs w:val="19"/>
        </w:rPr>
        <w:t>he environment and climate change, derivative instruments and other regulatory developments on the Partnership’s business</w:t>
      </w:r>
      <w:r>
        <w:rPr>
          <w:rFonts w:eastAsia="Times New Roman"/>
          <w:sz w:val="19"/>
          <w:szCs w:val="19"/>
        </w:rPr>
        <w:t>;</w:t>
      </w:r>
    </w:p>
    <w:p w14:paraId="4E7DE65A" w14:textId="77777777" w:rsidR="00000000" w:rsidRDefault="00832D71">
      <w:pPr>
        <w:jc w:val="both"/>
        <w:divId w:val="1510409269"/>
        <w:rPr>
          <w:rFonts w:eastAsia="Times New Roman"/>
        </w:rPr>
      </w:pPr>
      <w:r>
        <w:rPr>
          <w:rFonts w:eastAsia="Times New Roman"/>
          <w:sz w:val="19"/>
          <w:szCs w:val="19"/>
        </w:rPr>
        <w:t>•</w:t>
      </w:r>
    </w:p>
    <w:p w14:paraId="4EFADF5D" w14:textId="77777777" w:rsidR="00000000" w:rsidRDefault="00832D71">
      <w:pPr>
        <w:jc w:val="both"/>
        <w:divId w:val="1253050287"/>
        <w:rPr>
          <w:rFonts w:eastAsia="Times New Roman"/>
        </w:rPr>
      </w:pPr>
      <w:r>
        <w:rPr>
          <w:rFonts w:eastAsia="Times New Roman"/>
          <w:sz w:val="19"/>
          <w:szCs w:val="19"/>
        </w:rPr>
        <w:t>The impact of changes in tax laws that could adversely affect the tax treatment of the Partnership for income tax purposes</w:t>
      </w:r>
      <w:r>
        <w:rPr>
          <w:rFonts w:eastAsia="Times New Roman"/>
          <w:sz w:val="19"/>
          <w:szCs w:val="19"/>
        </w:rPr>
        <w:t>;</w:t>
      </w:r>
    </w:p>
    <w:p w14:paraId="0957D65E" w14:textId="77777777" w:rsidR="00000000" w:rsidRDefault="00832D71">
      <w:pPr>
        <w:jc w:val="both"/>
        <w:divId w:val="385181475"/>
        <w:rPr>
          <w:rFonts w:eastAsia="Times New Roman"/>
        </w:rPr>
      </w:pPr>
      <w:r>
        <w:rPr>
          <w:rFonts w:eastAsia="Times New Roman"/>
          <w:sz w:val="19"/>
          <w:szCs w:val="19"/>
        </w:rPr>
        <w:t>•</w:t>
      </w:r>
    </w:p>
    <w:p w14:paraId="09C796FD" w14:textId="77777777" w:rsidR="00000000" w:rsidRDefault="00832D71">
      <w:pPr>
        <w:jc w:val="both"/>
        <w:divId w:val="1860971924"/>
        <w:rPr>
          <w:rFonts w:eastAsia="Times New Roman"/>
        </w:rPr>
      </w:pPr>
      <w:r>
        <w:rPr>
          <w:rFonts w:eastAsia="Times New Roman"/>
          <w:sz w:val="19"/>
          <w:szCs w:val="19"/>
        </w:rPr>
        <w:t>The i</w:t>
      </w:r>
      <w:r>
        <w:rPr>
          <w:rFonts w:eastAsia="Times New Roman"/>
          <w:sz w:val="19"/>
          <w:szCs w:val="19"/>
        </w:rPr>
        <w:t>mpact of legal proceedings on the Partnership’s business</w:t>
      </w:r>
      <w:r>
        <w:rPr>
          <w:rFonts w:eastAsia="Times New Roman"/>
          <w:sz w:val="19"/>
          <w:szCs w:val="19"/>
        </w:rPr>
        <w:t>;</w:t>
      </w:r>
    </w:p>
    <w:p w14:paraId="48F81C49" w14:textId="77777777" w:rsidR="00000000" w:rsidRDefault="00832D71">
      <w:pPr>
        <w:jc w:val="both"/>
        <w:divId w:val="1489858539"/>
        <w:rPr>
          <w:rFonts w:eastAsia="Times New Roman"/>
        </w:rPr>
      </w:pPr>
      <w:r>
        <w:rPr>
          <w:rFonts w:eastAsia="Times New Roman"/>
          <w:sz w:val="19"/>
          <w:szCs w:val="19"/>
        </w:rPr>
        <w:t>•</w:t>
      </w:r>
    </w:p>
    <w:p w14:paraId="7161F515" w14:textId="77777777" w:rsidR="00000000" w:rsidRDefault="00832D71">
      <w:pPr>
        <w:jc w:val="both"/>
        <w:divId w:val="1051609979"/>
        <w:rPr>
          <w:rFonts w:eastAsia="Times New Roman"/>
        </w:rPr>
      </w:pPr>
      <w:r>
        <w:rPr>
          <w:rFonts w:eastAsia="Times New Roman"/>
          <w:sz w:val="19"/>
          <w:szCs w:val="19"/>
        </w:rPr>
        <w:t>The impact of operating hazards that could adversely affect the Partnership’s operating results to the extent not covered by insurance</w:t>
      </w:r>
      <w:r>
        <w:rPr>
          <w:rFonts w:eastAsia="Times New Roman"/>
          <w:sz w:val="19"/>
          <w:szCs w:val="19"/>
        </w:rPr>
        <w:t>;</w:t>
      </w:r>
    </w:p>
    <w:p w14:paraId="56041B4B" w14:textId="77777777" w:rsidR="00000000" w:rsidRDefault="00832D71">
      <w:pPr>
        <w:jc w:val="both"/>
        <w:divId w:val="600341288"/>
        <w:rPr>
          <w:rFonts w:eastAsia="Times New Roman"/>
        </w:rPr>
      </w:pPr>
      <w:r>
        <w:rPr>
          <w:rFonts w:eastAsia="Times New Roman"/>
          <w:sz w:val="19"/>
          <w:szCs w:val="19"/>
        </w:rPr>
        <w:t>•</w:t>
      </w:r>
    </w:p>
    <w:p w14:paraId="7697DF0A" w14:textId="77777777" w:rsidR="00000000" w:rsidRDefault="00832D71">
      <w:pPr>
        <w:jc w:val="both"/>
        <w:divId w:val="921719014"/>
        <w:rPr>
          <w:rFonts w:eastAsia="Times New Roman"/>
        </w:rPr>
      </w:pPr>
      <w:r>
        <w:rPr>
          <w:rFonts w:eastAsia="Times New Roman"/>
          <w:sz w:val="19"/>
          <w:szCs w:val="19"/>
        </w:rPr>
        <w:t>The Partnership’s ability to make strategic acquisitions a</w:t>
      </w:r>
      <w:r>
        <w:rPr>
          <w:rFonts w:eastAsia="Times New Roman"/>
          <w:sz w:val="19"/>
          <w:szCs w:val="19"/>
        </w:rPr>
        <w:t>nd successfully integrate them</w:t>
      </w:r>
      <w:r>
        <w:rPr>
          <w:rFonts w:eastAsia="Times New Roman"/>
          <w:sz w:val="19"/>
          <w:szCs w:val="19"/>
        </w:rPr>
        <w:t>;</w:t>
      </w:r>
    </w:p>
    <w:p w14:paraId="3B5477D2" w14:textId="77777777" w:rsidR="00000000" w:rsidRDefault="00832D71">
      <w:pPr>
        <w:jc w:val="both"/>
        <w:divId w:val="1633436466"/>
        <w:rPr>
          <w:rFonts w:eastAsia="Times New Roman"/>
        </w:rPr>
      </w:pPr>
      <w:r>
        <w:rPr>
          <w:rFonts w:eastAsia="Times New Roman"/>
          <w:sz w:val="19"/>
          <w:szCs w:val="19"/>
        </w:rPr>
        <w:t>•</w:t>
      </w:r>
    </w:p>
    <w:p w14:paraId="3285906D" w14:textId="77777777" w:rsidR="00000000" w:rsidRDefault="00832D71">
      <w:pPr>
        <w:jc w:val="both"/>
        <w:divId w:val="1400131208"/>
        <w:rPr>
          <w:rFonts w:eastAsia="Times New Roman"/>
        </w:rPr>
      </w:pPr>
      <w:r>
        <w:rPr>
          <w:rFonts w:eastAsia="Times New Roman"/>
          <w:sz w:val="19"/>
          <w:szCs w:val="19"/>
        </w:rPr>
        <w:t>The ability of the Partnership and any third-party service providers on which it may rely for support or services to continue to combat cybersecurity threats to its networks and information technology</w:t>
      </w:r>
      <w:r>
        <w:rPr>
          <w:rFonts w:eastAsia="Times New Roman"/>
          <w:sz w:val="19"/>
          <w:szCs w:val="19"/>
        </w:rPr>
        <w:t>;</w:t>
      </w:r>
    </w:p>
    <w:p w14:paraId="490276F8" w14:textId="77777777" w:rsidR="00000000" w:rsidRDefault="00832D71">
      <w:pPr>
        <w:jc w:val="both"/>
        <w:divId w:val="1065225910"/>
        <w:rPr>
          <w:rFonts w:eastAsia="Times New Roman"/>
        </w:rPr>
      </w:pPr>
      <w:r>
        <w:rPr>
          <w:rFonts w:eastAsia="Times New Roman"/>
          <w:sz w:val="19"/>
          <w:szCs w:val="19"/>
        </w:rPr>
        <w:t>•</w:t>
      </w:r>
    </w:p>
    <w:p w14:paraId="7E9AEBF8" w14:textId="77777777" w:rsidR="00000000" w:rsidRDefault="00832D71">
      <w:pPr>
        <w:jc w:val="both"/>
        <w:divId w:val="1913813803"/>
        <w:rPr>
          <w:rFonts w:eastAsia="Times New Roman"/>
        </w:rPr>
      </w:pPr>
      <w:r>
        <w:rPr>
          <w:rFonts w:eastAsia="Times New Roman"/>
          <w:sz w:val="19"/>
          <w:szCs w:val="19"/>
        </w:rPr>
        <w:t>The impact of current conditions in the global capital and credit markets, and general economic pressures</w:t>
      </w:r>
      <w:r>
        <w:rPr>
          <w:rFonts w:eastAsia="Times New Roman"/>
          <w:sz w:val="19"/>
          <w:szCs w:val="19"/>
        </w:rPr>
        <w:t>;</w:t>
      </w:r>
    </w:p>
    <w:p w14:paraId="185B8E2B" w14:textId="77777777" w:rsidR="00000000" w:rsidRDefault="00832D71">
      <w:pPr>
        <w:jc w:val="both"/>
        <w:divId w:val="791902456"/>
        <w:rPr>
          <w:rFonts w:eastAsia="Times New Roman"/>
        </w:rPr>
      </w:pPr>
      <w:r>
        <w:rPr>
          <w:rFonts w:eastAsia="Times New Roman"/>
          <w:sz w:val="19"/>
          <w:szCs w:val="19"/>
        </w:rPr>
        <w:t>•</w:t>
      </w:r>
    </w:p>
    <w:p w14:paraId="0B69D1E1" w14:textId="77777777" w:rsidR="00000000" w:rsidRDefault="00832D71">
      <w:pPr>
        <w:jc w:val="both"/>
        <w:divId w:val="1664813965"/>
        <w:rPr>
          <w:rFonts w:eastAsia="Times New Roman"/>
        </w:rPr>
      </w:pPr>
      <w:r>
        <w:rPr>
          <w:rFonts w:eastAsia="Times New Roman"/>
          <w:sz w:val="19"/>
          <w:szCs w:val="19"/>
        </w:rPr>
        <w:lastRenderedPageBreak/>
        <w:t>The operating, legal and regulatory risks the Partnership may face; an</w:t>
      </w:r>
      <w:r>
        <w:rPr>
          <w:rFonts w:eastAsia="Times New Roman"/>
          <w:sz w:val="19"/>
          <w:szCs w:val="19"/>
        </w:rPr>
        <w:t>d</w:t>
      </w:r>
    </w:p>
    <w:p w14:paraId="75A55870" w14:textId="77777777" w:rsidR="00000000" w:rsidRDefault="00832D71">
      <w:pPr>
        <w:jc w:val="both"/>
        <w:divId w:val="1771319534"/>
        <w:rPr>
          <w:rFonts w:eastAsia="Times New Roman"/>
        </w:rPr>
      </w:pPr>
      <w:r>
        <w:rPr>
          <w:rFonts w:eastAsia="Times New Roman"/>
          <w:sz w:val="19"/>
          <w:szCs w:val="19"/>
        </w:rPr>
        <w:t>•</w:t>
      </w:r>
    </w:p>
    <w:p w14:paraId="633EA743" w14:textId="77777777" w:rsidR="00000000" w:rsidRDefault="00832D71">
      <w:pPr>
        <w:jc w:val="both"/>
        <w:divId w:val="2085293984"/>
        <w:rPr>
          <w:rFonts w:eastAsia="Times New Roman"/>
        </w:rPr>
      </w:pPr>
      <w:r>
        <w:rPr>
          <w:rFonts w:eastAsia="Times New Roman"/>
          <w:sz w:val="19"/>
          <w:szCs w:val="19"/>
        </w:rPr>
        <w:t>Other risks referenced from time to time in filings with the Securities a</w:t>
      </w:r>
      <w:r>
        <w:rPr>
          <w:rFonts w:eastAsia="Times New Roman"/>
          <w:sz w:val="19"/>
          <w:szCs w:val="19"/>
        </w:rPr>
        <w:t>nd Exchange Commission (“SEC”) and those factors listed or incorporated by reference into this Annual Report under “Risk Factors.</w:t>
      </w:r>
      <w:r>
        <w:rPr>
          <w:rFonts w:eastAsia="Times New Roman"/>
          <w:sz w:val="19"/>
          <w:szCs w:val="19"/>
        </w:rPr>
        <w:t>”</w:t>
      </w:r>
    </w:p>
    <w:p w14:paraId="75A3A8CD" w14:textId="77777777" w:rsidR="00000000" w:rsidRDefault="00832D71">
      <w:pPr>
        <w:pStyle w:val="a3"/>
        <w:spacing w:before="240" w:beforeAutospacing="0" w:after="0" w:afterAutospacing="0"/>
        <w:ind w:firstLine="555"/>
        <w:jc w:val="both"/>
        <w:rPr>
          <w:sz w:val="20"/>
          <w:szCs w:val="20"/>
        </w:rPr>
      </w:pPr>
      <w:r>
        <w:rPr>
          <w:sz w:val="19"/>
          <w:szCs w:val="19"/>
        </w:rPr>
        <w:t>Some of these Forward-Looking Statements are discussed in more detail in “Management’s Discussion and Analysis of Financial C</w:t>
      </w:r>
      <w:r>
        <w:rPr>
          <w:sz w:val="19"/>
          <w:szCs w:val="19"/>
        </w:rPr>
        <w:t>ondition and Results of Operations” in this Annual Report. Reference is also made to the risk factors discussed in Item 1A of this Annual Report. On different occasions, the Partnership or its representatives have made or may make Forward-Looking Statement</w:t>
      </w:r>
      <w:r>
        <w:rPr>
          <w:sz w:val="19"/>
          <w:szCs w:val="19"/>
        </w:rPr>
        <w:t>s in other filings with the SEC, press releases or oral statements made by or with the approval of one of the Partnership’s authorized executive officers. Readers are cautioned not to place undue reliance on Forward-Looking Statements, which reflect manage</w:t>
      </w:r>
      <w:r>
        <w:rPr>
          <w:sz w:val="19"/>
          <w:szCs w:val="19"/>
        </w:rPr>
        <w:t>ment’s view only as of the date made. The Partnership undertakes no obligation to update any Forward-Looking Statement or Cautionary Statement, except as required by law. All subsequent written and oral Forward-Looking Statements attributable to the Partne</w:t>
      </w:r>
      <w:r>
        <w:rPr>
          <w:sz w:val="19"/>
          <w:szCs w:val="19"/>
        </w:rPr>
        <w:t>rship or persons acting on its behalf are expressly qualified in their entirety by the Cautionary Statements in this Annual Report and in future SEC reports. For a more complete discussion of specific factors which could cause actual results to differ from</w:t>
      </w:r>
      <w:r>
        <w:rPr>
          <w:sz w:val="19"/>
          <w:szCs w:val="19"/>
        </w:rPr>
        <w:t xml:space="preserve"> those in the Forward-Looking Statements or Cautionary Statements, see “Risk Factors” in this Annual Report</w:t>
      </w:r>
      <w:r>
        <w:rPr>
          <w:sz w:val="19"/>
          <w:szCs w:val="19"/>
        </w:rPr>
        <w:t>.</w:t>
      </w:r>
    </w:p>
    <w:p w14:paraId="228FBD28" w14:textId="77777777" w:rsidR="00000000" w:rsidRDefault="00832D71">
      <w:pPr>
        <w:pStyle w:val="a3"/>
        <w:spacing w:before="0" w:beforeAutospacing="0" w:after="0" w:afterAutospacing="0"/>
        <w:jc w:val="center"/>
        <w:rPr>
          <w:sz w:val="20"/>
          <w:szCs w:val="20"/>
        </w:rPr>
      </w:pPr>
      <w:r>
        <w:rPr>
          <w:sz w:val="20"/>
          <w:szCs w:val="20"/>
        </w:rPr>
        <w:t> </w:t>
      </w:r>
    </w:p>
    <w:p w14:paraId="7F586498" w14:textId="77777777" w:rsidR="00000000" w:rsidRDefault="00832D71">
      <w:pPr>
        <w:rPr>
          <w:rFonts w:eastAsia="Times New Roman"/>
        </w:rPr>
      </w:pPr>
      <w:r>
        <w:rPr>
          <w:rFonts w:eastAsia="Times New Roman"/>
        </w:rPr>
        <w:pict w14:anchorId="38D80201">
          <v:rect id="_x0000_i1027" style="width:0;height:1.5pt" o:hralign="center" o:hrstd="t" o:hr="t" fillcolor="#a0a0a0" stroked="f"/>
        </w:pict>
      </w:r>
    </w:p>
    <w:p w14:paraId="7D181CD7"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21176D9A" w14:textId="77777777" w:rsidR="00000000" w:rsidRDefault="00832D71">
      <w:pPr>
        <w:pStyle w:val="a3"/>
        <w:spacing w:before="0" w:beforeAutospacing="0" w:after="0" w:afterAutospacing="0"/>
        <w:jc w:val="center"/>
        <w:rPr>
          <w:sz w:val="20"/>
          <w:szCs w:val="20"/>
        </w:rPr>
      </w:pPr>
      <w:r>
        <w:rPr>
          <w:b/>
          <w:bCs/>
          <w:sz w:val="20"/>
          <w:szCs w:val="20"/>
        </w:rPr>
        <w:t>PAR</w:t>
      </w:r>
      <w:r>
        <w:rPr>
          <w:b/>
          <w:bCs/>
          <w:sz w:val="20"/>
          <w:szCs w:val="20"/>
        </w:rPr>
        <w:t>T</w:t>
      </w:r>
      <w:r>
        <w:rPr>
          <w:b/>
          <w:bCs/>
          <w:sz w:val="20"/>
          <w:szCs w:val="20"/>
        </w:rPr>
        <w:t xml:space="preserve"> </w:t>
      </w:r>
      <w:r>
        <w:rPr>
          <w:b/>
          <w:bCs/>
          <w:sz w:val="20"/>
          <w:szCs w:val="20"/>
        </w:rPr>
        <w:t>I</w:t>
      </w:r>
    </w:p>
    <w:p w14:paraId="1AD46C6A" w14:textId="77777777" w:rsidR="00000000" w:rsidRDefault="00832D71">
      <w:pPr>
        <w:pStyle w:val="a3"/>
        <w:spacing w:before="240" w:beforeAutospacing="0" w:after="0" w:afterAutospacing="0"/>
        <w:ind w:hanging="1400"/>
        <w:jc w:val="both"/>
        <w:rPr>
          <w:sz w:val="20"/>
          <w:szCs w:val="20"/>
        </w:rPr>
      </w:pPr>
      <w:r>
        <w:rPr>
          <w:b/>
          <w:bCs/>
          <w:sz w:val="20"/>
          <w:szCs w:val="20"/>
        </w:rPr>
        <w:t xml:space="preserve">ITEM 1. </w:t>
      </w:r>
      <w:r>
        <w:rPr>
          <w:b/>
          <w:bCs/>
          <w:sz w:val="20"/>
          <w:szCs w:val="20"/>
        </w:rPr>
        <w:t>B</w:t>
      </w:r>
      <w:r>
        <w:rPr>
          <w:b/>
          <w:bCs/>
          <w:sz w:val="20"/>
          <w:szCs w:val="20"/>
        </w:rPr>
        <w:t>USINES</w:t>
      </w:r>
      <w:r>
        <w:rPr>
          <w:b/>
          <w:bCs/>
          <w:sz w:val="20"/>
          <w:szCs w:val="20"/>
        </w:rPr>
        <w:t>S</w:t>
      </w:r>
    </w:p>
    <w:p w14:paraId="624FCC36" w14:textId="77777777" w:rsidR="00000000" w:rsidRDefault="00832D71">
      <w:pPr>
        <w:pStyle w:val="a3"/>
        <w:spacing w:before="120" w:beforeAutospacing="0" w:after="0" w:afterAutospacing="0"/>
        <w:jc w:val="both"/>
        <w:rPr>
          <w:sz w:val="20"/>
          <w:szCs w:val="20"/>
        </w:rPr>
      </w:pPr>
      <w:r>
        <w:rPr>
          <w:b/>
          <w:bCs/>
          <w:sz w:val="20"/>
          <w:szCs w:val="20"/>
        </w:rPr>
        <w:t>Development of Busines</w:t>
      </w:r>
      <w:r>
        <w:rPr>
          <w:b/>
          <w:bCs/>
          <w:sz w:val="20"/>
          <w:szCs w:val="20"/>
        </w:rPr>
        <w:t>s</w:t>
      </w:r>
    </w:p>
    <w:p w14:paraId="2A5A2C2E" w14:textId="77777777" w:rsidR="00000000" w:rsidRDefault="00832D71">
      <w:pPr>
        <w:pStyle w:val="a3"/>
        <w:spacing w:before="120" w:beforeAutospacing="0" w:after="0" w:afterAutospacing="0"/>
        <w:ind w:firstLine="555"/>
        <w:jc w:val="both"/>
        <w:rPr>
          <w:sz w:val="20"/>
          <w:szCs w:val="20"/>
        </w:rPr>
      </w:pPr>
      <w:r>
        <w:rPr>
          <w:sz w:val="20"/>
          <w:szCs w:val="20"/>
        </w:rPr>
        <w:t>Suburban Propane Partners, L.P. (the “Partnership”), a publicly traded Delaware limited partnership, is a nationwi</w:t>
      </w:r>
      <w:r>
        <w:rPr>
          <w:sz w:val="20"/>
          <w:szCs w:val="20"/>
        </w:rPr>
        <w:t>de marketer and distributor of a diverse array of products meeting the energy needs of our customers. We specialize in the distribution of propane, renewable propane, fuel oil and refined fuels, as well as the marketing of natural gas and electricity in de</w:t>
      </w:r>
      <w:r>
        <w:rPr>
          <w:sz w:val="20"/>
          <w:szCs w:val="20"/>
        </w:rPr>
        <w:t>regulated markets and are an investor in low-carbon fuel alternatives. In support of our core marketing and distribution operations, we install and service a variety of home comfort equipment, particularly in the areas of heating and ventilation. We believ</w:t>
      </w:r>
      <w:r>
        <w:rPr>
          <w:sz w:val="20"/>
          <w:szCs w:val="20"/>
        </w:rPr>
        <w:t>e, based on</w:t>
      </w:r>
      <w:r>
        <w:rPr>
          <w:sz w:val="20"/>
          <w:szCs w:val="20"/>
        </w:rPr>
        <w:t xml:space="preserve"> </w:t>
      </w:r>
      <w:r>
        <w:rPr>
          <w:i/>
          <w:iCs/>
          <w:sz w:val="20"/>
          <w:szCs w:val="20"/>
        </w:rPr>
        <w:t>LP/Gas Magazin</w:t>
      </w:r>
      <w:r>
        <w:rPr>
          <w:i/>
          <w:iCs/>
          <w:sz w:val="20"/>
          <w:szCs w:val="20"/>
        </w:rPr>
        <w:t>e</w:t>
      </w:r>
      <w:r>
        <w:rPr>
          <w:sz w:val="20"/>
          <w:szCs w:val="20"/>
        </w:rPr>
        <w:t xml:space="preserve"> dated February 2022, that we are the third-largest retail marketer of propane in the United States, measured by retail gallons sold in the calendar year 2021. As of September 24, 2022, we were serving the energy needs of approxi</w:t>
      </w:r>
      <w:r>
        <w:rPr>
          <w:sz w:val="20"/>
          <w:szCs w:val="20"/>
        </w:rPr>
        <w:t xml:space="preserve">mately 1.0 million residential, commercial, industrial and agricultural customers through approximately 700 locations in 42 states with operations principally concentrated in the east and west coast regions of the United States, as well as portions of the </w:t>
      </w:r>
      <w:r>
        <w:rPr>
          <w:sz w:val="20"/>
          <w:szCs w:val="20"/>
        </w:rPr>
        <w:t>midwest region of the United States and Alaska. We sold approximately 401.3 million gallons of propane and 22.8 million gallons of fuel oil and refined fuels to retail customers during the year ended September 24, 2022. Together with our predecessor compan</w:t>
      </w:r>
      <w:r>
        <w:rPr>
          <w:sz w:val="20"/>
          <w:szCs w:val="20"/>
        </w:rPr>
        <w:t>ies, we have been continuously engaged in the retail propane business since 1928</w:t>
      </w:r>
      <w:r>
        <w:rPr>
          <w:sz w:val="20"/>
          <w:szCs w:val="20"/>
        </w:rPr>
        <w:t>.</w:t>
      </w:r>
    </w:p>
    <w:p w14:paraId="605D9E27" w14:textId="77777777" w:rsidR="00000000" w:rsidRDefault="00832D71">
      <w:pPr>
        <w:pStyle w:val="a3"/>
        <w:spacing w:before="240" w:beforeAutospacing="0" w:after="0" w:afterAutospacing="0"/>
        <w:ind w:firstLine="555"/>
        <w:jc w:val="both"/>
        <w:rPr>
          <w:sz w:val="20"/>
          <w:szCs w:val="20"/>
        </w:rPr>
      </w:pPr>
      <w:r>
        <w:rPr>
          <w:sz w:val="20"/>
          <w:szCs w:val="20"/>
        </w:rPr>
        <w:t>We conduct our business principally through Suburban Propane, L.P., a Delaware limited partnership, which operates our propane business and assets (the “Operating Partnership</w:t>
      </w:r>
      <w:r>
        <w:rPr>
          <w:sz w:val="20"/>
          <w:szCs w:val="20"/>
        </w:rPr>
        <w:t>”), and its direct and indirect subsidiaries. Our general partner, and the general partner of our Operating Partnership, is Suburban Energy Services Group LLC (the “General Partner”), a Delaware limited liability company whose sole member is the Chief Exec</w:t>
      </w:r>
      <w:r>
        <w:rPr>
          <w:sz w:val="20"/>
          <w:szCs w:val="20"/>
        </w:rPr>
        <w:t>utive Officer of the Partnership. Since October 19, 2006, the General Partner has no economic interest in either the Partnership or the Operating Partnership (which means that the General Partner is not entitled to any cash distributions of either partners</w:t>
      </w:r>
      <w:r>
        <w:rPr>
          <w:sz w:val="20"/>
          <w:szCs w:val="20"/>
        </w:rPr>
        <w:t>hip, nor to any cash payment upon the liquidation of either partnership, nor any other economic rights in either partnership) other than as a holder of 784 Common Units of the Partnership. Additionally, under the Third Amended and Restated Agreement of Lim</w:t>
      </w:r>
      <w:r>
        <w:rPr>
          <w:sz w:val="20"/>
          <w:szCs w:val="20"/>
        </w:rPr>
        <w:t>ited Partnership (the “Partnership Agreement”) of the Partnership, there are no incentive distribution rights for the benefit of the General Partner. The Partnership owns (directly and indirectly) all of the limited partner interests in the Operating Partn</w:t>
      </w:r>
      <w:r>
        <w:rPr>
          <w:sz w:val="20"/>
          <w:szCs w:val="20"/>
        </w:rPr>
        <w:t>ership. The Common Units represent 100% of the limited partner interests in the Partnership</w:t>
      </w:r>
      <w:r>
        <w:rPr>
          <w:sz w:val="20"/>
          <w:szCs w:val="20"/>
        </w:rPr>
        <w:t>.</w:t>
      </w:r>
    </w:p>
    <w:p w14:paraId="028915EA" w14:textId="77777777" w:rsidR="00000000" w:rsidRDefault="00832D71">
      <w:pPr>
        <w:pStyle w:val="a3"/>
        <w:spacing w:before="240" w:beforeAutospacing="0" w:after="0" w:afterAutospacing="0"/>
        <w:ind w:firstLine="555"/>
        <w:jc w:val="both"/>
        <w:rPr>
          <w:sz w:val="20"/>
          <w:szCs w:val="20"/>
        </w:rPr>
      </w:pPr>
      <w:r>
        <w:rPr>
          <w:sz w:val="20"/>
          <w:szCs w:val="20"/>
        </w:rPr>
        <w:t>Direct and indirect subsidiaries of the Operating Partnership include Suburban Heating Oil Partners, LLC, which owns and operates the assets of our fuel oil and re</w:t>
      </w:r>
      <w:r>
        <w:rPr>
          <w:sz w:val="20"/>
          <w:szCs w:val="20"/>
        </w:rPr>
        <w:t xml:space="preserve">fined fuels business; Agway Energy Services, LLC, which owns and operates the assets of our natural gas and electricity business; Suburban Sales and Service, Inc., which conducts a portion of our service work and appliance and parts business; and Suburban </w:t>
      </w:r>
      <w:r>
        <w:rPr>
          <w:sz w:val="20"/>
          <w:szCs w:val="20"/>
        </w:rPr>
        <w:t xml:space="preserve">Renewable Energy, LLC (“Suburban Renewables”), which serves as the </w:t>
      </w:r>
      <w:r>
        <w:rPr>
          <w:sz w:val="20"/>
          <w:szCs w:val="20"/>
        </w:rPr>
        <w:lastRenderedPageBreak/>
        <w:t>platform for our investments in innovative renewable energy technologies and businesses. Our fuel oil and refined fuels, natural gas and electricity, services and renewable energy businesse</w:t>
      </w:r>
      <w:r>
        <w:rPr>
          <w:sz w:val="20"/>
          <w:szCs w:val="20"/>
        </w:rPr>
        <w:t>s are structured as either limited liability companies that are treated as corporations or corporate entities (collectively referred to as “Corporate Entities”) and, as such, are subject to corporate level income tax</w:t>
      </w:r>
      <w:r>
        <w:rPr>
          <w:sz w:val="20"/>
          <w:szCs w:val="20"/>
        </w:rPr>
        <w:t>.</w:t>
      </w:r>
    </w:p>
    <w:p w14:paraId="601A5A05" w14:textId="77777777" w:rsidR="00000000" w:rsidRDefault="00832D71">
      <w:pPr>
        <w:pStyle w:val="a3"/>
        <w:spacing w:before="240" w:beforeAutospacing="0" w:after="0" w:afterAutospacing="0"/>
        <w:ind w:firstLine="555"/>
        <w:jc w:val="both"/>
        <w:rPr>
          <w:sz w:val="20"/>
          <w:szCs w:val="20"/>
        </w:rPr>
      </w:pPr>
      <w:r>
        <w:rPr>
          <w:sz w:val="20"/>
          <w:szCs w:val="20"/>
        </w:rPr>
        <w:t>During fiscal 2020, our Operating Part</w:t>
      </w:r>
      <w:r>
        <w:rPr>
          <w:sz w:val="20"/>
          <w:szCs w:val="20"/>
        </w:rPr>
        <w:t>nership acquired a 38% equity interest in Oberon Fuels, Inc. (“Oberon”), which is a producer of an innovative, low carbon intensity renewable dimethyl ether (“rDME”) transportation fuel. Oberon is focused on the research and development of practical and af</w:t>
      </w:r>
      <w:r>
        <w:rPr>
          <w:sz w:val="20"/>
          <w:szCs w:val="20"/>
        </w:rPr>
        <w:t>fordable pathways to zero-emission transportation through its proprietary production process. Oberon's rDME fuel is a cost-effective, low carbon intensity, zero-soot alternative to petroleum diesel, and when blended with propane can reduce propane's carbon</w:t>
      </w:r>
      <w:r>
        <w:rPr>
          <w:sz w:val="20"/>
          <w:szCs w:val="20"/>
        </w:rPr>
        <w:t xml:space="preserve"> intensity. In addition, rDME is also a carrier for hydrogen, making it easy to deliver this renewable fuel for the growing hydrogen fuel cell industry</w:t>
      </w:r>
      <w:r>
        <w:rPr>
          <w:sz w:val="20"/>
          <w:szCs w:val="20"/>
        </w:rPr>
        <w:t>.</w:t>
      </w:r>
    </w:p>
    <w:p w14:paraId="6DFC4B81" w14:textId="77777777" w:rsidR="00000000" w:rsidRDefault="00832D71">
      <w:pPr>
        <w:pStyle w:val="a3"/>
        <w:spacing w:before="240" w:beforeAutospacing="0" w:after="0" w:afterAutospacing="0"/>
        <w:ind w:firstLine="555"/>
        <w:jc w:val="both"/>
        <w:rPr>
          <w:sz w:val="20"/>
          <w:szCs w:val="20"/>
        </w:rPr>
      </w:pPr>
      <w:r>
        <w:rPr>
          <w:sz w:val="20"/>
          <w:szCs w:val="20"/>
        </w:rPr>
        <w:t>During fiscal 2022, Suburban Renewables acquired a 25% equity interest in Independence Hydrogen, Inc. (</w:t>
      </w:r>
      <w:r>
        <w:rPr>
          <w:sz w:val="20"/>
          <w:szCs w:val="20"/>
        </w:rPr>
        <w:t>“IH”), a veteran-owned and operated, privately held company developing a gaseous hydrogen ecosystem to deliver locally sourced hydrogen to local markets, with a primary focus on material handling and backup power applications. Also in fiscal 2022, Suburban</w:t>
      </w:r>
      <w:r>
        <w:rPr>
          <w:sz w:val="20"/>
          <w:szCs w:val="20"/>
        </w:rPr>
        <w:t xml:space="preserve"> Renewables entered into an agreement to construct, own and operate a new biodigester system with Adirondack Farms (“Adirondack Farms”) in Clinton County, New York for the production of renewable natural gas (“RNG”)</w:t>
      </w:r>
      <w:r>
        <w:rPr>
          <w:sz w:val="20"/>
          <w:szCs w:val="20"/>
        </w:rPr>
        <w:t>.</w:t>
      </w:r>
    </w:p>
    <w:p w14:paraId="02E994F8" w14:textId="77777777" w:rsidR="00000000" w:rsidRDefault="00832D71">
      <w:pPr>
        <w:pStyle w:val="a3"/>
        <w:spacing w:before="240" w:beforeAutospacing="0" w:after="0" w:afterAutospacing="0"/>
        <w:ind w:firstLine="555"/>
        <w:jc w:val="both"/>
        <w:rPr>
          <w:sz w:val="20"/>
          <w:szCs w:val="20"/>
        </w:rPr>
      </w:pPr>
      <w:r>
        <w:rPr>
          <w:sz w:val="20"/>
          <w:szCs w:val="20"/>
        </w:rPr>
        <w:t>Suburban Energy Finance Corp., a direct</w:t>
      </w:r>
      <w:r>
        <w:rPr>
          <w:sz w:val="20"/>
          <w:szCs w:val="20"/>
        </w:rPr>
        <w:t xml:space="preserve"> 100%-owned subsidiary of the Partnership, was formed on November 26, 2003 to serve as co-issuer, jointly and severally with the Partnership, of the Partnership’s senior notes. Suburban Energy Finance Corp. has nominal assets and conducts no business opera</w:t>
      </w:r>
      <w:r>
        <w:rPr>
          <w:sz w:val="20"/>
          <w:szCs w:val="20"/>
        </w:rPr>
        <w:t>tions</w:t>
      </w:r>
      <w:r>
        <w:rPr>
          <w:sz w:val="20"/>
          <w:szCs w:val="20"/>
        </w:rPr>
        <w:t>.</w:t>
      </w:r>
    </w:p>
    <w:p w14:paraId="5604A05F" w14:textId="77777777" w:rsidR="00000000" w:rsidRDefault="00832D71">
      <w:pPr>
        <w:pStyle w:val="a3"/>
        <w:spacing w:before="240" w:beforeAutospacing="0" w:after="0" w:afterAutospacing="0"/>
        <w:ind w:firstLine="555"/>
        <w:jc w:val="both"/>
        <w:rPr>
          <w:sz w:val="20"/>
          <w:szCs w:val="20"/>
        </w:rPr>
      </w:pPr>
      <w:r>
        <w:rPr>
          <w:sz w:val="20"/>
          <w:szCs w:val="20"/>
        </w:rPr>
        <w:t>In this Annual Report, unless otherwise indicated, the terms “Partnership,” “Suburban,” “we,” “us,” and “our” are used to refer to Suburban Propane Partners, L.P. and its consolidated subsidiaries, including the Operating Partnership. The Partnershi</w:t>
      </w:r>
      <w:r>
        <w:rPr>
          <w:sz w:val="20"/>
          <w:szCs w:val="20"/>
        </w:rPr>
        <w:t>p and the Operating Partnership commenced operations in March 1996 in connection with the Partnership’s initial public offering of Common Units</w:t>
      </w:r>
      <w:r>
        <w:rPr>
          <w:sz w:val="20"/>
          <w:szCs w:val="20"/>
        </w:rPr>
        <w:t>.</w:t>
      </w:r>
    </w:p>
    <w:p w14:paraId="0A8931C9" w14:textId="77777777" w:rsidR="00000000" w:rsidRDefault="00832D71">
      <w:pPr>
        <w:pStyle w:val="a3"/>
        <w:spacing w:before="0" w:beforeAutospacing="0" w:after="0" w:afterAutospacing="0"/>
        <w:jc w:val="center"/>
        <w:rPr>
          <w:sz w:val="20"/>
          <w:szCs w:val="20"/>
        </w:rPr>
      </w:pPr>
      <w:r>
        <w:rPr>
          <w:sz w:val="20"/>
          <w:szCs w:val="20"/>
        </w:rPr>
        <w:t> </w:t>
      </w:r>
    </w:p>
    <w:p w14:paraId="4C47AB42" w14:textId="77777777" w:rsidR="00000000" w:rsidRDefault="00832D71">
      <w:pPr>
        <w:pStyle w:val="a3"/>
        <w:spacing w:before="0" w:beforeAutospacing="0" w:after="0" w:afterAutospacing="0"/>
        <w:jc w:val="center"/>
        <w:rPr>
          <w:sz w:val="20"/>
          <w:szCs w:val="20"/>
        </w:rPr>
      </w:pPr>
      <w:r>
        <w:rPr>
          <w:sz w:val="20"/>
          <w:szCs w:val="20"/>
        </w:rPr>
        <w:t>1</w:t>
      </w:r>
    </w:p>
    <w:p w14:paraId="7481E880" w14:textId="77777777" w:rsidR="00000000" w:rsidRDefault="00832D71">
      <w:pPr>
        <w:rPr>
          <w:rFonts w:eastAsia="Times New Roman"/>
        </w:rPr>
      </w:pPr>
      <w:r>
        <w:rPr>
          <w:rFonts w:eastAsia="Times New Roman"/>
        </w:rPr>
        <w:pict w14:anchorId="51D1A991">
          <v:rect id="_x0000_i1028" style="width:0;height:1.5pt" o:hralign="center" o:hrstd="t" o:hr="t" fillcolor="#a0a0a0" stroked="f"/>
        </w:pict>
      </w:r>
    </w:p>
    <w:p w14:paraId="36C17B6C"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37A8C111" w14:textId="77777777" w:rsidR="00000000" w:rsidRDefault="00832D71">
      <w:pPr>
        <w:pStyle w:val="a3"/>
        <w:spacing w:before="240" w:beforeAutospacing="0" w:after="0" w:afterAutospacing="0"/>
        <w:ind w:firstLine="555"/>
        <w:jc w:val="both"/>
        <w:rPr>
          <w:sz w:val="20"/>
          <w:szCs w:val="20"/>
        </w:rPr>
      </w:pPr>
      <w:r>
        <w:rPr>
          <w:sz w:val="20"/>
          <w:szCs w:val="20"/>
        </w:rPr>
        <w:t>We currently</w:t>
      </w:r>
      <w:r>
        <w:rPr>
          <w:sz w:val="20"/>
          <w:szCs w:val="20"/>
        </w:rPr>
        <w:t xml:space="preserve"> file Annual Reports on Form 10-K, Quarterly Reports on Form 10-Q and current reports on Form 8-K with the SEC. You may read and print copies of any materials that we file with the SEC on the SEC’s EDGAR database at</w:t>
      </w:r>
      <w:r>
        <w:rPr>
          <w:sz w:val="20"/>
          <w:szCs w:val="20"/>
        </w:rPr>
        <w:t xml:space="preserve"> </w:t>
      </w:r>
      <w:r>
        <w:rPr>
          <w:sz w:val="20"/>
          <w:szCs w:val="20"/>
          <w:u w:val="single"/>
        </w:rPr>
        <w:t>www.sec.go</w:t>
      </w:r>
      <w:r>
        <w:rPr>
          <w:sz w:val="20"/>
          <w:szCs w:val="20"/>
          <w:u w:val="single"/>
        </w:rPr>
        <w:t>v</w:t>
      </w:r>
      <w:r>
        <w:rPr>
          <w:sz w:val="20"/>
          <w:szCs w:val="20"/>
        </w:rPr>
        <w:t>.</w:t>
      </w:r>
    </w:p>
    <w:p w14:paraId="6003730E" w14:textId="77777777" w:rsidR="00000000" w:rsidRDefault="00832D71">
      <w:pPr>
        <w:pStyle w:val="a3"/>
        <w:spacing w:before="240" w:beforeAutospacing="0" w:after="0" w:afterAutospacing="0"/>
        <w:ind w:firstLine="555"/>
        <w:jc w:val="both"/>
        <w:rPr>
          <w:sz w:val="20"/>
          <w:szCs w:val="20"/>
        </w:rPr>
      </w:pPr>
      <w:r>
        <w:rPr>
          <w:sz w:val="20"/>
          <w:szCs w:val="20"/>
        </w:rPr>
        <w:t>Upon written request or thr</w:t>
      </w:r>
      <w:r>
        <w:rPr>
          <w:sz w:val="20"/>
          <w:szCs w:val="20"/>
        </w:rPr>
        <w:t>ough an information request link from our website at</w:t>
      </w:r>
      <w:r>
        <w:rPr>
          <w:sz w:val="20"/>
          <w:szCs w:val="20"/>
        </w:rPr>
        <w:t xml:space="preserve"> </w:t>
      </w:r>
      <w:r>
        <w:rPr>
          <w:sz w:val="20"/>
          <w:szCs w:val="20"/>
          <w:u w:val="single"/>
        </w:rPr>
        <w:t>www.suburbanpropane.co</w:t>
      </w:r>
      <w:r>
        <w:rPr>
          <w:sz w:val="20"/>
          <w:szCs w:val="20"/>
          <w:u w:val="single"/>
        </w:rPr>
        <w:t>m</w:t>
      </w:r>
      <w:r>
        <w:rPr>
          <w:sz w:val="20"/>
          <w:szCs w:val="20"/>
        </w:rPr>
        <w:t>, we will provide, without charge, copies of our Annual Report on Form 10-K for the year ended September 24, 2022, each of the Quarterly Reports on Form 10-Q, current reports filed</w:t>
      </w:r>
      <w:r>
        <w:rPr>
          <w:sz w:val="20"/>
          <w:szCs w:val="20"/>
        </w:rPr>
        <w:t xml:space="preserve"> or furnished on Form 8-K and all amendments to such reports as soon as is reasonably practicable after such reports are electronically filed with or furnished to the SEC. Requests should be directed to: Suburban Propane Partners, L.P., Investor Relations,</w:t>
      </w:r>
      <w:r>
        <w:rPr>
          <w:sz w:val="20"/>
          <w:szCs w:val="20"/>
        </w:rPr>
        <w:t xml:space="preserve"> P.O. Box 206, Whippany, New Jersey 07981-0206. The information contained on our website is not included as part of, or incorporated by reference into, this Annual Report on Form 10-K</w:t>
      </w:r>
      <w:r>
        <w:rPr>
          <w:sz w:val="20"/>
          <w:szCs w:val="20"/>
        </w:rPr>
        <w:t>.</w:t>
      </w:r>
    </w:p>
    <w:p w14:paraId="7F61BDAB" w14:textId="77777777" w:rsidR="00000000" w:rsidRDefault="00832D71">
      <w:pPr>
        <w:pStyle w:val="a3"/>
        <w:spacing w:before="240" w:beforeAutospacing="0" w:after="0" w:afterAutospacing="0"/>
        <w:jc w:val="both"/>
        <w:rPr>
          <w:sz w:val="20"/>
          <w:szCs w:val="20"/>
        </w:rPr>
      </w:pPr>
      <w:r>
        <w:rPr>
          <w:b/>
          <w:bCs/>
          <w:sz w:val="20"/>
          <w:szCs w:val="20"/>
        </w:rPr>
        <w:t>Our Strateg</w:t>
      </w:r>
      <w:r>
        <w:rPr>
          <w:b/>
          <w:bCs/>
          <w:sz w:val="20"/>
          <w:szCs w:val="20"/>
        </w:rPr>
        <w:t>y</w:t>
      </w:r>
    </w:p>
    <w:p w14:paraId="63B6444D" w14:textId="77777777" w:rsidR="00000000" w:rsidRDefault="00832D71">
      <w:pPr>
        <w:pStyle w:val="a3"/>
        <w:spacing w:before="120" w:beforeAutospacing="0" w:after="0" w:afterAutospacing="0"/>
        <w:ind w:firstLine="555"/>
        <w:jc w:val="both"/>
        <w:rPr>
          <w:sz w:val="20"/>
          <w:szCs w:val="20"/>
        </w:rPr>
      </w:pPr>
      <w:r>
        <w:rPr>
          <w:sz w:val="20"/>
          <w:szCs w:val="20"/>
        </w:rPr>
        <w:t>Our business strategy is to deliver increasing value to our Unitholders through initiatives, both internal and external, that are geared toward achieving sustainable profitable growth. In advancing this strategy, we consider the interests of our employees,</w:t>
      </w:r>
      <w:r>
        <w:rPr>
          <w:sz w:val="20"/>
          <w:szCs w:val="20"/>
        </w:rPr>
        <w:t xml:space="preserve"> customers and the communities in which we operate, as exemplified by our three corporate pillars;</w:t>
      </w:r>
      <w:r>
        <w:rPr>
          <w:sz w:val="20"/>
          <w:szCs w:val="20"/>
        </w:rPr>
        <w:t xml:space="preserve"> </w:t>
      </w:r>
      <w:r>
        <w:rPr>
          <w:i/>
          <w:iCs/>
          <w:sz w:val="20"/>
          <w:szCs w:val="20"/>
        </w:rPr>
        <w:t>Go Green with Suburban Propan</w:t>
      </w:r>
      <w:r>
        <w:rPr>
          <w:i/>
          <w:iCs/>
          <w:sz w:val="20"/>
          <w:szCs w:val="20"/>
        </w:rPr>
        <w:t>e</w:t>
      </w:r>
      <w:r>
        <w:rPr>
          <w:sz w:val="20"/>
          <w:szCs w:val="20"/>
        </w:rPr>
        <w:t>,</w:t>
      </w:r>
      <w:r>
        <w:rPr>
          <w:sz w:val="20"/>
          <w:szCs w:val="20"/>
        </w:rPr>
        <w:t xml:space="preserve"> </w:t>
      </w:r>
      <w:r>
        <w:rPr>
          <w:i/>
          <w:iCs/>
          <w:sz w:val="20"/>
          <w:szCs w:val="20"/>
        </w:rPr>
        <w:t>SuburbanCare</w:t>
      </w:r>
      <w:r>
        <w:rPr>
          <w:i/>
          <w:iCs/>
          <w:sz w:val="20"/>
          <w:szCs w:val="20"/>
        </w:rPr>
        <w:t>s</w:t>
      </w:r>
      <w:r>
        <w:rPr>
          <w:sz w:val="20"/>
          <w:szCs w:val="20"/>
        </w:rPr>
        <w:t>, and</w:t>
      </w:r>
      <w:r>
        <w:rPr>
          <w:sz w:val="20"/>
          <w:szCs w:val="20"/>
        </w:rPr>
        <w:t xml:space="preserve"> </w:t>
      </w:r>
      <w:r>
        <w:rPr>
          <w:i/>
          <w:iCs/>
          <w:sz w:val="20"/>
          <w:szCs w:val="20"/>
        </w:rPr>
        <w:t>Suburban Commitment to Excellenc</w:t>
      </w:r>
      <w:r>
        <w:rPr>
          <w:i/>
          <w:iCs/>
          <w:sz w:val="20"/>
          <w:szCs w:val="20"/>
        </w:rPr>
        <w:t>e</w:t>
      </w:r>
      <w:r>
        <w:rPr>
          <w:sz w:val="20"/>
          <w:szCs w:val="20"/>
        </w:rPr>
        <w:t>. The following are key elements of our strategy</w:t>
      </w:r>
      <w:r>
        <w:rPr>
          <w:sz w:val="20"/>
          <w:szCs w:val="20"/>
        </w:rPr>
        <w:t>:</w:t>
      </w:r>
    </w:p>
    <w:p w14:paraId="62672F7D" w14:textId="77777777" w:rsidR="00000000" w:rsidRDefault="00832D71">
      <w:pPr>
        <w:pStyle w:val="a3"/>
        <w:spacing w:before="240" w:beforeAutospacing="0" w:after="0" w:afterAutospacing="0"/>
        <w:ind w:firstLine="555"/>
        <w:jc w:val="both"/>
        <w:rPr>
          <w:sz w:val="20"/>
          <w:szCs w:val="20"/>
        </w:rPr>
      </w:pPr>
      <w:r>
        <w:rPr>
          <w:b/>
          <w:bCs/>
          <w:i/>
          <w:iCs/>
          <w:sz w:val="20"/>
          <w:szCs w:val="20"/>
        </w:rPr>
        <w:t>Strategic Investments i</w:t>
      </w:r>
      <w:r>
        <w:rPr>
          <w:b/>
          <w:bCs/>
          <w:i/>
          <w:iCs/>
          <w:sz w:val="20"/>
          <w:szCs w:val="20"/>
        </w:rPr>
        <w:t>n the Continued Build Out of Our Renewable Energy Platform</w:t>
      </w:r>
      <w:r>
        <w:rPr>
          <w:b/>
          <w:bCs/>
          <w:i/>
          <w:iCs/>
          <w:sz w:val="20"/>
          <w:szCs w:val="20"/>
        </w:rPr>
        <w:t>.</w:t>
      </w:r>
      <w:r>
        <w:rPr>
          <w:sz w:val="20"/>
          <w:szCs w:val="20"/>
        </w:rPr>
        <w:t xml:space="preserve"> The economy-wide energy transition to a low-carbon world offers an opportunity for us to realize top-line organic growth through advancing the significant air quality and climate benefits of tradi</w:t>
      </w:r>
      <w:r>
        <w:rPr>
          <w:sz w:val="20"/>
          <w:szCs w:val="20"/>
        </w:rPr>
        <w:t>tional propane, and through continued investments in the next generation of even cleaner and lower carbon renewable energy products. This dual approach has driven our engagement in particularly hard to abate segments, including heavy duty transportation an</w:t>
      </w:r>
      <w:r>
        <w:rPr>
          <w:sz w:val="20"/>
          <w:szCs w:val="20"/>
        </w:rPr>
        <w:t>d rural heating and cooking. Through our strategic investments in Oberon and IH, our collaboration with Adirondack Farms, and partnerships with key participants in the renewable energy sector, we have begun to develop an interconnected portfolio of renewab</w:t>
      </w:r>
      <w:r>
        <w:rPr>
          <w:sz w:val="20"/>
          <w:szCs w:val="20"/>
        </w:rPr>
        <w:t>le energy assets that are focused on the distribution of renewable fuels, including hydrogen and renewable natural gas. These investments and partnerships allow us to leverage our logistics expertise as local distributors of energy, support the country’s c</w:t>
      </w:r>
      <w:r>
        <w:rPr>
          <w:sz w:val="20"/>
          <w:szCs w:val="20"/>
        </w:rPr>
        <w:t>lean energy transition, and helps position the company for long-term growth and sustainability. As a company with a nearly 95-year legacy of being a trusted and reliable provider of energy and exceptional customer service, our goal is to lead the propane i</w:t>
      </w:r>
      <w:r>
        <w:rPr>
          <w:sz w:val="20"/>
          <w:szCs w:val="20"/>
        </w:rPr>
        <w:t>ndustry in the transition to a renewable energy future that provides value to our customers, Unitholders, employees, and the communities we serve in a way that ensures we can thrive in a carbon constrained world for the next 95 years</w:t>
      </w:r>
      <w:r>
        <w:rPr>
          <w:sz w:val="20"/>
          <w:szCs w:val="20"/>
        </w:rPr>
        <w:t>.</w:t>
      </w:r>
    </w:p>
    <w:p w14:paraId="2B95AF5E" w14:textId="77777777" w:rsidR="00000000" w:rsidRDefault="00832D71">
      <w:pPr>
        <w:pStyle w:val="a3"/>
        <w:spacing w:before="240" w:beforeAutospacing="0" w:after="0" w:afterAutospacing="0"/>
        <w:ind w:firstLine="555"/>
        <w:jc w:val="both"/>
        <w:rPr>
          <w:sz w:val="20"/>
          <w:szCs w:val="20"/>
        </w:rPr>
      </w:pPr>
      <w:r>
        <w:rPr>
          <w:b/>
          <w:bCs/>
          <w:i/>
          <w:iCs/>
          <w:sz w:val="20"/>
          <w:szCs w:val="20"/>
        </w:rPr>
        <w:t xml:space="preserve">Growing Our Customer </w:t>
      </w:r>
      <w:r>
        <w:rPr>
          <w:b/>
          <w:bCs/>
          <w:i/>
          <w:iCs/>
          <w:sz w:val="20"/>
          <w:szCs w:val="20"/>
        </w:rPr>
        <w:t>Base by Improving Customer Retention and Acquiring New Customers</w:t>
      </w:r>
      <w:r>
        <w:rPr>
          <w:b/>
          <w:bCs/>
          <w:i/>
          <w:iCs/>
          <w:sz w:val="20"/>
          <w:szCs w:val="20"/>
        </w:rPr>
        <w:t>.</w:t>
      </w:r>
      <w:r>
        <w:rPr>
          <w:sz w:val="20"/>
          <w:szCs w:val="20"/>
        </w:rPr>
        <w:t xml:space="preserve"> We set clear objectives to focus our employees on seeking new customers and retaining existing customers by providing highly responsive customer service. We believe that customer satisfactio</w:t>
      </w:r>
      <w:r>
        <w:rPr>
          <w:sz w:val="20"/>
          <w:szCs w:val="20"/>
        </w:rPr>
        <w:t>n is a critical factor in the growth and success of our operations.</w:t>
      </w:r>
      <w:r>
        <w:rPr>
          <w:sz w:val="20"/>
          <w:szCs w:val="20"/>
        </w:rPr>
        <w:t xml:space="preserve"> </w:t>
      </w:r>
      <w:r>
        <w:rPr>
          <w:b/>
          <w:bCs/>
          <w:i/>
          <w:iCs/>
          <w:sz w:val="20"/>
          <w:szCs w:val="20"/>
        </w:rPr>
        <w:t>“Our Business is Customer Satisfaction</w:t>
      </w:r>
      <w:r>
        <w:rPr>
          <w:b/>
          <w:bCs/>
          <w:i/>
          <w:iCs/>
          <w:sz w:val="20"/>
          <w:szCs w:val="20"/>
        </w:rPr>
        <w:t>”</w:t>
      </w:r>
      <w:r>
        <w:rPr>
          <w:sz w:val="20"/>
          <w:szCs w:val="20"/>
        </w:rPr>
        <w:t xml:space="preserve"> is one of our core operating philosophies. We measure and reward our customer service centers based on a combination of profitability of the individ</w:t>
      </w:r>
      <w:r>
        <w:rPr>
          <w:sz w:val="20"/>
          <w:szCs w:val="20"/>
        </w:rPr>
        <w:t>ual customer service center and net customer growth. We have made investments in training our people both on techniques to provide exceptional customer service to our existing customer base, as well as advanced sales training focused on growing our custome</w:t>
      </w:r>
      <w:r>
        <w:rPr>
          <w:sz w:val="20"/>
          <w:szCs w:val="20"/>
        </w:rPr>
        <w:t>r base</w:t>
      </w:r>
      <w:r>
        <w:rPr>
          <w:sz w:val="20"/>
          <w:szCs w:val="20"/>
        </w:rPr>
        <w:t>.</w:t>
      </w:r>
    </w:p>
    <w:p w14:paraId="287584A3" w14:textId="77777777" w:rsidR="00000000" w:rsidRDefault="00832D71">
      <w:pPr>
        <w:pStyle w:val="a3"/>
        <w:spacing w:before="240" w:beforeAutospacing="0" w:after="0" w:afterAutospacing="0"/>
        <w:ind w:firstLine="555"/>
        <w:jc w:val="both"/>
        <w:rPr>
          <w:sz w:val="20"/>
          <w:szCs w:val="20"/>
        </w:rPr>
      </w:pPr>
      <w:r>
        <w:rPr>
          <w:b/>
          <w:bCs/>
          <w:i/>
          <w:iCs/>
          <w:sz w:val="20"/>
          <w:szCs w:val="20"/>
        </w:rPr>
        <w:t>Selective Acquisitions of Complementary Businesses or Assets</w:t>
      </w:r>
      <w:r>
        <w:rPr>
          <w:b/>
          <w:bCs/>
          <w:i/>
          <w:iCs/>
          <w:sz w:val="20"/>
          <w:szCs w:val="20"/>
        </w:rPr>
        <w:t>.</w:t>
      </w:r>
      <w:r>
        <w:rPr>
          <w:sz w:val="20"/>
          <w:szCs w:val="20"/>
        </w:rPr>
        <w:t xml:space="preserve"> We supplement our organic customer base growth and retention initiatives with selective acquisitions of high-quality propane businesses in strategic markets, as well as identifying and f</w:t>
      </w:r>
      <w:r>
        <w:rPr>
          <w:sz w:val="20"/>
          <w:szCs w:val="20"/>
        </w:rPr>
        <w:t>ostering new market expansion efforts to establish or extend our presence and expand market share. Our acquisition strategy is to focus on businesses with a relatively steady or predictable cash flow that will extend our presence in strategically attractiv</w:t>
      </w:r>
      <w:r>
        <w:rPr>
          <w:sz w:val="20"/>
          <w:szCs w:val="20"/>
        </w:rPr>
        <w:t>e markets, complement our existing business segments or provide an opportunity to diversify our operations. We are very patient, disciplined and deliberate in evaluating both traditional and renewable energy acquisition opportunities</w:t>
      </w:r>
      <w:r>
        <w:rPr>
          <w:sz w:val="20"/>
          <w:szCs w:val="20"/>
        </w:rPr>
        <w:t>.</w:t>
      </w:r>
    </w:p>
    <w:p w14:paraId="3F6E32BD" w14:textId="77777777" w:rsidR="00000000" w:rsidRDefault="00832D71">
      <w:pPr>
        <w:pStyle w:val="a3"/>
        <w:spacing w:before="240" w:beforeAutospacing="0" w:after="0" w:afterAutospacing="0"/>
        <w:ind w:firstLine="555"/>
        <w:jc w:val="both"/>
        <w:rPr>
          <w:sz w:val="20"/>
          <w:szCs w:val="20"/>
        </w:rPr>
      </w:pPr>
      <w:r>
        <w:rPr>
          <w:b/>
          <w:bCs/>
          <w:i/>
          <w:iCs/>
          <w:sz w:val="20"/>
          <w:szCs w:val="20"/>
        </w:rPr>
        <w:t>Internal Focus on Dri</w:t>
      </w:r>
      <w:r>
        <w:rPr>
          <w:b/>
          <w:bCs/>
          <w:i/>
          <w:iCs/>
          <w:sz w:val="20"/>
          <w:szCs w:val="20"/>
        </w:rPr>
        <w:t>ving Operating Efficiencies, Right-Sizing Our Cost Structure and Enhancing Our Customer Mix</w:t>
      </w:r>
      <w:r>
        <w:rPr>
          <w:b/>
          <w:bCs/>
          <w:i/>
          <w:iCs/>
          <w:sz w:val="20"/>
          <w:szCs w:val="20"/>
        </w:rPr>
        <w:t>.</w:t>
      </w:r>
      <w:r>
        <w:rPr>
          <w:sz w:val="20"/>
          <w:szCs w:val="20"/>
        </w:rPr>
        <w:t xml:space="preserve"> We focus internally on improving the efficiency of our existing operations, customer support, managing our cost structure, improving our customer mix, and hardenin</w:t>
      </w:r>
      <w:r>
        <w:rPr>
          <w:sz w:val="20"/>
          <w:szCs w:val="20"/>
        </w:rPr>
        <w:t>g our cybersecurity defenses. Through investments in our technology infrastructure, we continue to seek to improve operating efficiencies and the return on assets employed. We have developed a streamlined operating footprint and management structure to fac</w:t>
      </w:r>
      <w:r>
        <w:rPr>
          <w:sz w:val="20"/>
          <w:szCs w:val="20"/>
        </w:rPr>
        <w:t xml:space="preserve">ilitate effective resource planning and decision making. Our internal efforts are particularly focused in the areas of route optimization, forecasting customer usage, customer onboarding and support, inventory and fixed assets control, cash management and </w:t>
      </w:r>
      <w:r>
        <w:rPr>
          <w:sz w:val="20"/>
          <w:szCs w:val="20"/>
        </w:rPr>
        <w:t>customer tracking. We will continue to pursue operational efficiencies while staying focused on providing exceptional service to our customer base. Our systems platform is advanced and scalable and we will seek to leverage that technology for enhanced rout</w:t>
      </w:r>
      <w:r>
        <w:rPr>
          <w:sz w:val="20"/>
          <w:szCs w:val="20"/>
        </w:rPr>
        <w:t>ing, forecasting and customer relationship management</w:t>
      </w:r>
      <w:r>
        <w:rPr>
          <w:sz w:val="20"/>
          <w:szCs w:val="20"/>
        </w:rPr>
        <w:t>.</w:t>
      </w:r>
    </w:p>
    <w:p w14:paraId="019D481E" w14:textId="77777777" w:rsidR="00000000" w:rsidRDefault="00832D71">
      <w:pPr>
        <w:pStyle w:val="a3"/>
        <w:spacing w:before="240" w:beforeAutospacing="0" w:after="0" w:afterAutospacing="0"/>
        <w:ind w:firstLine="555"/>
        <w:jc w:val="both"/>
        <w:rPr>
          <w:sz w:val="20"/>
          <w:szCs w:val="20"/>
        </w:rPr>
      </w:pPr>
      <w:r>
        <w:rPr>
          <w:b/>
          <w:bCs/>
          <w:i/>
          <w:iCs/>
          <w:sz w:val="20"/>
          <w:szCs w:val="20"/>
        </w:rPr>
        <w:t>Selective Disposition of Non-Strategic Assets</w:t>
      </w:r>
      <w:r>
        <w:rPr>
          <w:b/>
          <w:bCs/>
          <w:i/>
          <w:iCs/>
          <w:sz w:val="20"/>
          <w:szCs w:val="20"/>
        </w:rPr>
        <w:t>.</w:t>
      </w:r>
      <w:r>
        <w:rPr>
          <w:sz w:val="20"/>
          <w:szCs w:val="20"/>
        </w:rPr>
        <w:t xml:space="preserve"> We continuously evaluate our existing facilities to identify opportunities to optimize our return on assets by selectively divesting operations in slower </w:t>
      </w:r>
      <w:r>
        <w:rPr>
          <w:sz w:val="20"/>
          <w:szCs w:val="20"/>
        </w:rPr>
        <w:t>growing markets, generating proceeds that can be reinvested in markets that present greater opportunities for growth. Our objective is to maximize the growth and profit potential of all of our assets</w:t>
      </w:r>
      <w:r>
        <w:rPr>
          <w:sz w:val="20"/>
          <w:szCs w:val="20"/>
        </w:rPr>
        <w:t>.</w:t>
      </w:r>
    </w:p>
    <w:p w14:paraId="09E45702" w14:textId="77777777" w:rsidR="00000000" w:rsidRDefault="00832D71">
      <w:pPr>
        <w:pStyle w:val="a3"/>
        <w:spacing w:before="0" w:beforeAutospacing="0" w:after="0" w:afterAutospacing="0"/>
        <w:jc w:val="center"/>
        <w:rPr>
          <w:sz w:val="20"/>
          <w:szCs w:val="20"/>
        </w:rPr>
      </w:pPr>
      <w:r>
        <w:rPr>
          <w:sz w:val="20"/>
          <w:szCs w:val="20"/>
        </w:rPr>
        <w:t> </w:t>
      </w:r>
    </w:p>
    <w:p w14:paraId="17EA8C5F" w14:textId="77777777" w:rsidR="00000000" w:rsidRDefault="00832D71">
      <w:pPr>
        <w:pStyle w:val="a3"/>
        <w:spacing w:before="0" w:beforeAutospacing="0" w:after="0" w:afterAutospacing="0"/>
        <w:jc w:val="center"/>
        <w:rPr>
          <w:sz w:val="20"/>
          <w:szCs w:val="20"/>
        </w:rPr>
      </w:pPr>
      <w:r>
        <w:rPr>
          <w:sz w:val="20"/>
          <w:szCs w:val="20"/>
        </w:rPr>
        <w:t>2</w:t>
      </w:r>
    </w:p>
    <w:p w14:paraId="1C17D0AC" w14:textId="77777777" w:rsidR="00000000" w:rsidRDefault="00832D71">
      <w:pPr>
        <w:rPr>
          <w:rFonts w:eastAsia="Times New Roman"/>
        </w:rPr>
      </w:pPr>
      <w:r>
        <w:rPr>
          <w:rFonts w:eastAsia="Times New Roman"/>
        </w:rPr>
        <w:pict w14:anchorId="73630B45">
          <v:rect id="_x0000_i1029" style="width:0;height:1.5pt" o:hralign="center" o:hrstd="t" o:hr="t" fillcolor="#a0a0a0" stroked="f"/>
        </w:pict>
      </w:r>
    </w:p>
    <w:p w14:paraId="58AD227F"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051159B0" w14:textId="77777777" w:rsidR="00000000" w:rsidRDefault="00832D71">
      <w:pPr>
        <w:pStyle w:val="a3"/>
        <w:spacing w:before="240" w:beforeAutospacing="0" w:after="0" w:afterAutospacing="0"/>
        <w:ind w:firstLine="555"/>
        <w:jc w:val="both"/>
        <w:rPr>
          <w:sz w:val="20"/>
          <w:szCs w:val="20"/>
        </w:rPr>
      </w:pPr>
      <w:r>
        <w:rPr>
          <w:b/>
          <w:bCs/>
          <w:i/>
          <w:iCs/>
          <w:sz w:val="20"/>
          <w:szCs w:val="20"/>
        </w:rPr>
        <w:t>The Three Pillars of the Suburban Propane Experience</w:t>
      </w:r>
      <w:r>
        <w:rPr>
          <w:b/>
          <w:bCs/>
          <w:i/>
          <w:iCs/>
          <w:sz w:val="20"/>
          <w:szCs w:val="20"/>
        </w:rPr>
        <w:t>.</w:t>
      </w:r>
      <w:r>
        <w:rPr>
          <w:sz w:val="20"/>
          <w:szCs w:val="20"/>
        </w:rPr>
        <w:t xml:space="preserve"> </w:t>
      </w:r>
      <w:r>
        <w:rPr>
          <w:sz w:val="20"/>
          <w:szCs w:val="20"/>
        </w:rPr>
        <w:t>We execute the foregoing strategy within the framework of our three corporate pillars</w:t>
      </w:r>
      <w:r>
        <w:rPr>
          <w:sz w:val="20"/>
          <w:szCs w:val="20"/>
        </w:rPr>
        <w:t>:</w:t>
      </w:r>
    </w:p>
    <w:p w14:paraId="05AA742E" w14:textId="77777777" w:rsidR="00000000" w:rsidRDefault="00832D71">
      <w:pPr>
        <w:jc w:val="both"/>
        <w:divId w:val="1281181440"/>
        <w:rPr>
          <w:rFonts w:eastAsia="Times New Roman"/>
        </w:rPr>
      </w:pPr>
      <w:r>
        <w:rPr>
          <w:rFonts w:eastAsia="Times New Roman"/>
          <w:sz w:val="20"/>
          <w:szCs w:val="20"/>
        </w:rPr>
        <w:t>•</w:t>
      </w:r>
    </w:p>
    <w:p w14:paraId="7737C7DF" w14:textId="77777777" w:rsidR="00000000" w:rsidRDefault="00832D71">
      <w:pPr>
        <w:jc w:val="both"/>
        <w:divId w:val="1100225113"/>
        <w:rPr>
          <w:rFonts w:eastAsia="Times New Roman"/>
        </w:rPr>
      </w:pPr>
      <w:r>
        <w:rPr>
          <w:rFonts w:eastAsia="Times New Roman"/>
          <w:b/>
          <w:bCs/>
          <w:i/>
          <w:iCs/>
          <w:sz w:val="20"/>
          <w:szCs w:val="20"/>
        </w:rPr>
        <w:t>Go Green with Suburban Propan</w:t>
      </w:r>
      <w:r>
        <w:rPr>
          <w:rFonts w:eastAsia="Times New Roman"/>
          <w:b/>
          <w:bCs/>
          <w:i/>
          <w:iCs/>
          <w:sz w:val="20"/>
          <w:szCs w:val="20"/>
        </w:rPr>
        <w:t>e</w:t>
      </w:r>
      <w:r>
        <w:rPr>
          <w:rFonts w:eastAsia="Times New Roman"/>
          <w:sz w:val="20"/>
          <w:szCs w:val="20"/>
        </w:rPr>
        <w:t>: our commitment to advancing the clean air and low-carbon benefits of traditional propane, and to invest in innovative technologies to b</w:t>
      </w:r>
      <w:r>
        <w:rPr>
          <w:rFonts w:eastAsia="Times New Roman"/>
          <w:sz w:val="20"/>
          <w:szCs w:val="20"/>
        </w:rPr>
        <w:t>ring the next generation of renewable energy solutions to market in support of the energy transition</w:t>
      </w:r>
      <w:r>
        <w:rPr>
          <w:rFonts w:eastAsia="Times New Roman"/>
          <w:sz w:val="20"/>
          <w:szCs w:val="20"/>
        </w:rPr>
        <w:t>;</w:t>
      </w:r>
    </w:p>
    <w:p w14:paraId="31FBBAF0" w14:textId="77777777" w:rsidR="00000000" w:rsidRDefault="00832D71">
      <w:pPr>
        <w:jc w:val="both"/>
        <w:divId w:val="1140421578"/>
        <w:rPr>
          <w:rFonts w:eastAsia="Times New Roman"/>
        </w:rPr>
      </w:pPr>
      <w:r>
        <w:rPr>
          <w:rFonts w:eastAsia="Times New Roman"/>
          <w:sz w:val="20"/>
          <w:szCs w:val="20"/>
        </w:rPr>
        <w:t>•</w:t>
      </w:r>
    </w:p>
    <w:p w14:paraId="213F45A8" w14:textId="77777777" w:rsidR="00000000" w:rsidRDefault="00832D71">
      <w:pPr>
        <w:jc w:val="both"/>
        <w:divId w:val="1683892822"/>
        <w:rPr>
          <w:rFonts w:eastAsia="Times New Roman"/>
        </w:rPr>
      </w:pPr>
      <w:r>
        <w:rPr>
          <w:rFonts w:eastAsia="Times New Roman"/>
          <w:b/>
          <w:bCs/>
          <w:i/>
          <w:iCs/>
          <w:sz w:val="20"/>
          <w:szCs w:val="20"/>
        </w:rPr>
        <w:t>SuburbanCare</w:t>
      </w:r>
      <w:r>
        <w:rPr>
          <w:rFonts w:eastAsia="Times New Roman"/>
          <w:b/>
          <w:bCs/>
          <w:i/>
          <w:iCs/>
          <w:sz w:val="20"/>
          <w:szCs w:val="20"/>
        </w:rPr>
        <w:t>s</w:t>
      </w:r>
      <w:r>
        <w:rPr>
          <w:rFonts w:eastAsia="Times New Roman"/>
          <w:sz w:val="20"/>
          <w:szCs w:val="20"/>
        </w:rPr>
        <w:t>: our devotion to the safety and career development of our people, and our philanthropic activities to be a critical positive contributor i</w:t>
      </w:r>
      <w:r>
        <w:rPr>
          <w:rFonts w:eastAsia="Times New Roman"/>
          <w:sz w:val="20"/>
          <w:szCs w:val="20"/>
        </w:rPr>
        <w:t>n the local communities we serve and in our national partnership with the American Red Cross; an</w:t>
      </w:r>
      <w:r>
        <w:rPr>
          <w:rFonts w:eastAsia="Times New Roman"/>
          <w:sz w:val="20"/>
          <w:szCs w:val="20"/>
        </w:rPr>
        <w:t>d</w:t>
      </w:r>
    </w:p>
    <w:p w14:paraId="136007EA" w14:textId="77777777" w:rsidR="00000000" w:rsidRDefault="00832D71">
      <w:pPr>
        <w:jc w:val="both"/>
        <w:divId w:val="1396200631"/>
        <w:rPr>
          <w:rFonts w:eastAsia="Times New Roman"/>
        </w:rPr>
      </w:pPr>
      <w:r>
        <w:rPr>
          <w:rFonts w:eastAsia="Times New Roman"/>
          <w:sz w:val="20"/>
          <w:szCs w:val="20"/>
        </w:rPr>
        <w:t>•</w:t>
      </w:r>
    </w:p>
    <w:p w14:paraId="661C533A" w14:textId="77777777" w:rsidR="00000000" w:rsidRDefault="00832D71">
      <w:pPr>
        <w:jc w:val="both"/>
        <w:divId w:val="988484254"/>
        <w:rPr>
          <w:rFonts w:eastAsia="Times New Roman"/>
        </w:rPr>
      </w:pPr>
      <w:r>
        <w:rPr>
          <w:rFonts w:eastAsia="Times New Roman"/>
          <w:b/>
          <w:bCs/>
          <w:i/>
          <w:iCs/>
          <w:sz w:val="20"/>
          <w:szCs w:val="20"/>
        </w:rPr>
        <w:t>Suburban Commitment to Excellenc</w:t>
      </w:r>
      <w:r>
        <w:rPr>
          <w:rFonts w:eastAsia="Times New Roman"/>
          <w:b/>
          <w:bCs/>
          <w:i/>
          <w:iCs/>
          <w:sz w:val="20"/>
          <w:szCs w:val="20"/>
        </w:rPr>
        <w:t>e</w:t>
      </w:r>
      <w:r>
        <w:rPr>
          <w:rFonts w:eastAsia="Times New Roman"/>
          <w:sz w:val="20"/>
          <w:szCs w:val="20"/>
        </w:rPr>
        <w:t>: our value proposition for our customers, employees and the communities we serve and, in particular, the reliability, depe</w:t>
      </w:r>
      <w:r>
        <w:rPr>
          <w:rFonts w:eastAsia="Times New Roman"/>
          <w:sz w:val="20"/>
          <w:szCs w:val="20"/>
        </w:rPr>
        <w:t>ndability and flexibility in our commitment to excellence in safety and customer service</w:t>
      </w:r>
      <w:r>
        <w:rPr>
          <w:rFonts w:eastAsia="Times New Roman"/>
          <w:sz w:val="20"/>
          <w:szCs w:val="20"/>
        </w:rPr>
        <w:t>.</w:t>
      </w:r>
    </w:p>
    <w:p w14:paraId="67B1D340" w14:textId="77777777" w:rsidR="00000000" w:rsidRDefault="00832D71">
      <w:pPr>
        <w:pStyle w:val="a3"/>
        <w:spacing w:before="360" w:beforeAutospacing="0" w:after="0" w:afterAutospacing="0"/>
        <w:jc w:val="both"/>
        <w:rPr>
          <w:sz w:val="20"/>
          <w:szCs w:val="20"/>
        </w:rPr>
      </w:pPr>
      <w:r>
        <w:rPr>
          <w:b/>
          <w:bCs/>
          <w:sz w:val="20"/>
          <w:szCs w:val="20"/>
        </w:rPr>
        <w:t>Business Segment</w:t>
      </w:r>
      <w:r>
        <w:rPr>
          <w:b/>
          <w:bCs/>
          <w:sz w:val="20"/>
          <w:szCs w:val="20"/>
        </w:rPr>
        <w:t>s</w:t>
      </w:r>
    </w:p>
    <w:p w14:paraId="2C022FC5" w14:textId="77777777" w:rsidR="00000000" w:rsidRDefault="00832D71">
      <w:pPr>
        <w:pStyle w:val="a3"/>
        <w:spacing w:before="120" w:beforeAutospacing="0" w:after="0" w:afterAutospacing="0"/>
        <w:ind w:firstLine="555"/>
        <w:jc w:val="both"/>
        <w:rPr>
          <w:sz w:val="20"/>
          <w:szCs w:val="20"/>
        </w:rPr>
      </w:pPr>
      <w:r>
        <w:rPr>
          <w:sz w:val="20"/>
          <w:szCs w:val="20"/>
        </w:rPr>
        <w:t xml:space="preserve">As described below, we manage and evaluate our operations in four operating segments, three of which are reportable segments: Propane, Fuel Oil and </w:t>
      </w:r>
      <w:r>
        <w:rPr>
          <w:sz w:val="20"/>
          <w:szCs w:val="20"/>
        </w:rPr>
        <w:t>Refined Fuels and Natural Gas and Electricity. See the Notes to the Consolidated Financial Statements included in this Annual Report for financial information about our business segments</w:t>
      </w:r>
      <w:r>
        <w:rPr>
          <w:sz w:val="20"/>
          <w:szCs w:val="20"/>
        </w:rPr>
        <w:t>.</w:t>
      </w:r>
    </w:p>
    <w:p w14:paraId="6AEF5328" w14:textId="77777777" w:rsidR="00000000" w:rsidRDefault="00832D71">
      <w:pPr>
        <w:pStyle w:val="a3"/>
        <w:spacing w:before="360" w:beforeAutospacing="0" w:after="0" w:afterAutospacing="0"/>
        <w:jc w:val="center"/>
        <w:rPr>
          <w:sz w:val="20"/>
          <w:szCs w:val="20"/>
        </w:rPr>
      </w:pPr>
      <w:r>
        <w:rPr>
          <w:b/>
          <w:bCs/>
          <w:i/>
          <w:iCs/>
          <w:sz w:val="20"/>
          <w:szCs w:val="20"/>
        </w:rPr>
        <w:t>Propan</w:t>
      </w:r>
      <w:r>
        <w:rPr>
          <w:b/>
          <w:bCs/>
          <w:i/>
          <w:iCs/>
          <w:sz w:val="20"/>
          <w:szCs w:val="20"/>
        </w:rPr>
        <w:t>e</w:t>
      </w:r>
    </w:p>
    <w:p w14:paraId="7A562761" w14:textId="77777777" w:rsidR="00000000" w:rsidRDefault="00832D71">
      <w:pPr>
        <w:pStyle w:val="a3"/>
        <w:spacing w:before="240" w:beforeAutospacing="0" w:after="0" w:afterAutospacing="0"/>
        <w:ind w:firstLine="555"/>
        <w:jc w:val="both"/>
        <w:rPr>
          <w:sz w:val="20"/>
          <w:szCs w:val="20"/>
        </w:rPr>
      </w:pPr>
      <w:r>
        <w:rPr>
          <w:sz w:val="20"/>
          <w:szCs w:val="20"/>
        </w:rPr>
        <w:t>Propane is a by</w:t>
      </w:r>
      <w:r>
        <w:rPr>
          <w:sz w:val="20"/>
          <w:szCs w:val="20"/>
        </w:rPr>
        <w:noBreakHyphen/>
      </w:r>
      <w:r>
        <w:rPr>
          <w:sz w:val="20"/>
          <w:szCs w:val="20"/>
        </w:rPr>
        <w:t>product of natural gas processing and petroleum refining. It is a clean burning energy source recognized for its transportability and ease of use relative to alternative forms of stand</w:t>
      </w:r>
      <w:r>
        <w:rPr>
          <w:sz w:val="20"/>
          <w:szCs w:val="20"/>
        </w:rPr>
        <w:noBreakHyphen/>
        <w:t>alone energy sources. Propane use falls into three broad categories</w:t>
      </w:r>
      <w:r>
        <w:rPr>
          <w:sz w:val="20"/>
          <w:szCs w:val="20"/>
        </w:rPr>
        <w:t>:</w:t>
      </w:r>
    </w:p>
    <w:p w14:paraId="5631AC33" w14:textId="77777777" w:rsidR="00000000" w:rsidRDefault="00832D71">
      <w:pPr>
        <w:jc w:val="both"/>
        <w:divId w:val="1792750530"/>
        <w:rPr>
          <w:rFonts w:eastAsia="Times New Roman"/>
        </w:rPr>
      </w:pPr>
      <w:r>
        <w:rPr>
          <w:rFonts w:eastAsia="Times New Roman"/>
          <w:sz w:val="20"/>
          <w:szCs w:val="20"/>
        </w:rPr>
        <w:t>•</w:t>
      </w:r>
    </w:p>
    <w:p w14:paraId="4AA7F306" w14:textId="77777777" w:rsidR="00000000" w:rsidRDefault="00832D71">
      <w:pPr>
        <w:jc w:val="both"/>
        <w:divId w:val="439766748"/>
        <w:rPr>
          <w:rFonts w:eastAsia="Times New Roman"/>
        </w:rPr>
      </w:pPr>
      <w:r>
        <w:rPr>
          <w:rFonts w:eastAsia="Times New Roman"/>
          <w:sz w:val="20"/>
          <w:szCs w:val="20"/>
        </w:rPr>
        <w:t>residential, commercial and government applications</w:t>
      </w:r>
      <w:r>
        <w:rPr>
          <w:rFonts w:eastAsia="Times New Roman"/>
          <w:sz w:val="20"/>
          <w:szCs w:val="20"/>
        </w:rPr>
        <w:t>;</w:t>
      </w:r>
    </w:p>
    <w:p w14:paraId="2823067F" w14:textId="77777777" w:rsidR="00000000" w:rsidRDefault="00832D71">
      <w:pPr>
        <w:jc w:val="both"/>
        <w:divId w:val="1638410816"/>
        <w:rPr>
          <w:rFonts w:eastAsia="Times New Roman"/>
        </w:rPr>
      </w:pPr>
      <w:r>
        <w:rPr>
          <w:rFonts w:eastAsia="Times New Roman"/>
          <w:sz w:val="20"/>
          <w:szCs w:val="20"/>
        </w:rPr>
        <w:t>•</w:t>
      </w:r>
    </w:p>
    <w:p w14:paraId="62BCFD64" w14:textId="77777777" w:rsidR="00000000" w:rsidRDefault="00832D71">
      <w:pPr>
        <w:jc w:val="both"/>
        <w:divId w:val="847209872"/>
        <w:rPr>
          <w:rFonts w:eastAsia="Times New Roman"/>
        </w:rPr>
      </w:pPr>
      <w:r>
        <w:rPr>
          <w:rFonts w:eastAsia="Times New Roman"/>
          <w:sz w:val="20"/>
          <w:szCs w:val="20"/>
        </w:rPr>
        <w:t>industrial applications; an</w:t>
      </w:r>
      <w:r>
        <w:rPr>
          <w:rFonts w:eastAsia="Times New Roman"/>
          <w:sz w:val="20"/>
          <w:szCs w:val="20"/>
        </w:rPr>
        <w:t>d</w:t>
      </w:r>
    </w:p>
    <w:p w14:paraId="0751DB92" w14:textId="77777777" w:rsidR="00000000" w:rsidRDefault="00832D71">
      <w:pPr>
        <w:jc w:val="both"/>
        <w:divId w:val="794907003"/>
        <w:rPr>
          <w:rFonts w:eastAsia="Times New Roman"/>
        </w:rPr>
      </w:pPr>
      <w:r>
        <w:rPr>
          <w:rFonts w:eastAsia="Times New Roman"/>
          <w:sz w:val="20"/>
          <w:szCs w:val="20"/>
        </w:rPr>
        <w:t>•</w:t>
      </w:r>
    </w:p>
    <w:p w14:paraId="6A611547" w14:textId="77777777" w:rsidR="00000000" w:rsidRDefault="00832D71">
      <w:pPr>
        <w:jc w:val="both"/>
        <w:divId w:val="1556160836"/>
        <w:rPr>
          <w:rFonts w:eastAsia="Times New Roman"/>
        </w:rPr>
      </w:pPr>
      <w:r>
        <w:rPr>
          <w:rFonts w:eastAsia="Times New Roman"/>
          <w:sz w:val="20"/>
          <w:szCs w:val="20"/>
        </w:rPr>
        <w:t>agricultural uses</w:t>
      </w:r>
      <w:r>
        <w:rPr>
          <w:rFonts w:eastAsia="Times New Roman"/>
          <w:sz w:val="20"/>
          <w:szCs w:val="20"/>
        </w:rPr>
        <w:t>.</w:t>
      </w:r>
    </w:p>
    <w:p w14:paraId="297A2933" w14:textId="77777777" w:rsidR="00000000" w:rsidRDefault="00832D71">
      <w:pPr>
        <w:pStyle w:val="a3"/>
        <w:spacing w:before="240" w:beforeAutospacing="0" w:after="0" w:afterAutospacing="0"/>
        <w:ind w:firstLine="555"/>
        <w:jc w:val="both"/>
        <w:rPr>
          <w:sz w:val="20"/>
          <w:szCs w:val="20"/>
        </w:rPr>
      </w:pPr>
      <w:r>
        <w:rPr>
          <w:sz w:val="20"/>
          <w:szCs w:val="20"/>
        </w:rPr>
        <w:t>In the residential, commercial and government markets, propane is used primarily for space heating, water heating, clothes drying and cooking. Industri</w:t>
      </w:r>
      <w:r>
        <w:rPr>
          <w:sz w:val="20"/>
          <w:szCs w:val="20"/>
        </w:rPr>
        <w:t>al customers use propane generally as a motor fuel to power over</w:t>
      </w:r>
      <w:r>
        <w:rPr>
          <w:sz w:val="20"/>
          <w:szCs w:val="20"/>
        </w:rPr>
        <w:noBreakHyphen/>
        <w:t>the</w:t>
      </w:r>
      <w:r>
        <w:rPr>
          <w:sz w:val="20"/>
          <w:szCs w:val="20"/>
        </w:rPr>
        <w:noBreakHyphen/>
        <w:t>road vehicles, forklifts and stationary engines, to fire furnaces, as a cutting gas and in other process applications. In the agricultural market, propane is primarily used for tobacco cu</w:t>
      </w:r>
      <w:r>
        <w:rPr>
          <w:sz w:val="20"/>
          <w:szCs w:val="20"/>
        </w:rPr>
        <w:t>ring, crop drying, poultry brooding and weed control</w:t>
      </w:r>
      <w:r>
        <w:rPr>
          <w:sz w:val="20"/>
          <w:szCs w:val="20"/>
        </w:rPr>
        <w:t>.</w:t>
      </w:r>
    </w:p>
    <w:p w14:paraId="4E8B4C4A" w14:textId="77777777" w:rsidR="00000000" w:rsidRDefault="00832D71">
      <w:pPr>
        <w:pStyle w:val="a3"/>
        <w:spacing w:before="240" w:beforeAutospacing="0" w:after="0" w:afterAutospacing="0"/>
        <w:ind w:firstLine="555"/>
        <w:jc w:val="both"/>
        <w:rPr>
          <w:sz w:val="20"/>
          <w:szCs w:val="20"/>
        </w:rPr>
      </w:pPr>
      <w:r>
        <w:rPr>
          <w:sz w:val="20"/>
          <w:szCs w:val="20"/>
        </w:rPr>
        <w:t>Propane is extracted from natural gas or oil wellhead gas at processing plants or separated from crude oil during the refining process. It is normally transported and stored in a liquid state under mode</w:t>
      </w:r>
      <w:r>
        <w:rPr>
          <w:sz w:val="20"/>
          <w:szCs w:val="20"/>
        </w:rPr>
        <w:t>rate pressure or refrigeration for ease of handling in shipping and distribution. When the pressure is released or the temperature is increased, propane becomes a flammable gas that is colorless and odorless, although an odorant is added to allow its detec</w:t>
      </w:r>
      <w:r>
        <w:rPr>
          <w:sz w:val="20"/>
          <w:szCs w:val="20"/>
        </w:rPr>
        <w:t>tion. Propane is non-toxic, clean burning and, when consumed, produces virtually no particulate matter. In addition, our equity investment in Oberon is included within the propane segment</w:t>
      </w:r>
      <w:r>
        <w:rPr>
          <w:sz w:val="20"/>
          <w:szCs w:val="20"/>
        </w:rPr>
        <w:t>.</w:t>
      </w:r>
    </w:p>
    <w:p w14:paraId="50FA86A7" w14:textId="77777777" w:rsidR="00000000" w:rsidRDefault="00832D71">
      <w:pPr>
        <w:pStyle w:val="a3"/>
        <w:spacing w:before="360" w:beforeAutospacing="0" w:after="0" w:afterAutospacing="0"/>
        <w:jc w:val="both"/>
        <w:rPr>
          <w:sz w:val="20"/>
          <w:szCs w:val="20"/>
        </w:rPr>
      </w:pPr>
      <w:r>
        <w:rPr>
          <w:i/>
          <w:iCs/>
          <w:sz w:val="20"/>
          <w:szCs w:val="20"/>
        </w:rPr>
        <w:t>Product Distribution and Marketin</w:t>
      </w:r>
      <w:r>
        <w:rPr>
          <w:i/>
          <w:iCs/>
          <w:sz w:val="20"/>
          <w:szCs w:val="20"/>
        </w:rPr>
        <w:t>g</w:t>
      </w:r>
    </w:p>
    <w:p w14:paraId="360C915B" w14:textId="77777777" w:rsidR="00000000" w:rsidRDefault="00832D71">
      <w:pPr>
        <w:pStyle w:val="a3"/>
        <w:spacing w:before="120" w:beforeAutospacing="0" w:after="0" w:afterAutospacing="0"/>
        <w:ind w:firstLine="555"/>
        <w:jc w:val="both"/>
        <w:rPr>
          <w:sz w:val="20"/>
          <w:szCs w:val="20"/>
        </w:rPr>
      </w:pPr>
      <w:r>
        <w:rPr>
          <w:sz w:val="20"/>
          <w:szCs w:val="20"/>
        </w:rPr>
        <w:t xml:space="preserve">We distribute propane through a </w:t>
      </w:r>
      <w:r>
        <w:rPr>
          <w:sz w:val="20"/>
          <w:szCs w:val="20"/>
        </w:rPr>
        <w:t xml:space="preserve">nationwide retail distribution network consisting of approximately 700 locations in 42 states as of September 24, 2022. Our operations are principally concentrated in the east and west coast regions of the United States, as well as portions of the midwest </w:t>
      </w:r>
      <w:r>
        <w:rPr>
          <w:sz w:val="20"/>
          <w:szCs w:val="20"/>
        </w:rPr>
        <w:t>region of the United States and Alaska. As of September 24, 2022, we serviced approximately 949,000 propane customers. Typically, our customer service centers are located in suburban and rural areas where natural gas is not readily available. Generally, th</w:t>
      </w:r>
      <w:r>
        <w:rPr>
          <w:sz w:val="20"/>
          <w:szCs w:val="20"/>
        </w:rPr>
        <w:t>ese customer service centers consist of an office, appliance showroom, warehouse and service facilities, with one or more 18,000 to 30,000 gallon storage tanks on the premises. Approximately 60% of our residential customers receive their propane supply thr</w:t>
      </w:r>
      <w:r>
        <w:rPr>
          <w:sz w:val="20"/>
          <w:szCs w:val="20"/>
        </w:rPr>
        <w:t>ough an automatic delivery system. These deliveries are scheduled through proprietary technology, based upon each customer’s historical consumption patterns and prevailing weather conditions. Additionally, we offer our customers a budget payment plan where</w:t>
      </w:r>
      <w:r>
        <w:rPr>
          <w:sz w:val="20"/>
          <w:szCs w:val="20"/>
        </w:rPr>
        <w:t>by the customer’s estimated annual propane purchases and service contracts are paid for in a series of estimated equal monthly payments over a twelve-month period. From our customer service centers, we also sell, install and service heating and cooking app</w:t>
      </w:r>
      <w:r>
        <w:rPr>
          <w:sz w:val="20"/>
          <w:szCs w:val="20"/>
        </w:rPr>
        <w:t>liances to customers who purchase propane from us and, at some locations, sell propane fuel systems for motor vehicles</w:t>
      </w:r>
      <w:r>
        <w:rPr>
          <w:sz w:val="20"/>
          <w:szCs w:val="20"/>
        </w:rPr>
        <w:t>.</w:t>
      </w:r>
    </w:p>
    <w:p w14:paraId="1B311DFD" w14:textId="77777777" w:rsidR="00000000" w:rsidRDefault="00832D71">
      <w:pPr>
        <w:pStyle w:val="a3"/>
        <w:spacing w:before="240" w:beforeAutospacing="0" w:after="0" w:afterAutospacing="0"/>
        <w:ind w:firstLine="555"/>
        <w:jc w:val="both"/>
        <w:rPr>
          <w:sz w:val="20"/>
          <w:szCs w:val="20"/>
        </w:rPr>
      </w:pPr>
      <w:r>
        <w:rPr>
          <w:sz w:val="20"/>
          <w:szCs w:val="20"/>
        </w:rPr>
        <w:t>We sell propane primarily to seven customer markets: residential, commercial, industrial (including engine fuel), government, agricultur</w:t>
      </w:r>
      <w:r>
        <w:rPr>
          <w:sz w:val="20"/>
          <w:szCs w:val="20"/>
        </w:rPr>
        <w:t>al, other retail users and wholesale. Approximately 96% of the propane gallons sold by us in fiscal 2022 were to retail customers: 43% of those propane gallons to residential customers, 38% to commercial customers, 10% to industrial customers, 5% to govern</w:t>
      </w:r>
      <w:r>
        <w:rPr>
          <w:sz w:val="20"/>
          <w:szCs w:val="20"/>
        </w:rPr>
        <w:t>ment customers and 4% to agricultural customers. The balance of approximately 4% of the propane gallons sold by us in fiscal 2022 were for risk management activities and wholesale customers. No single customer accounted for 10% or more of our propane reven</w:t>
      </w:r>
      <w:r>
        <w:rPr>
          <w:sz w:val="20"/>
          <w:szCs w:val="20"/>
        </w:rPr>
        <w:t>ues during fiscal 2022</w:t>
      </w:r>
      <w:r>
        <w:rPr>
          <w:sz w:val="20"/>
          <w:szCs w:val="20"/>
        </w:rPr>
        <w:t>.</w:t>
      </w:r>
    </w:p>
    <w:p w14:paraId="465822CA" w14:textId="77777777" w:rsidR="00000000" w:rsidRDefault="00832D71">
      <w:pPr>
        <w:pStyle w:val="a3"/>
        <w:spacing w:before="0" w:beforeAutospacing="0" w:after="0" w:afterAutospacing="0"/>
        <w:jc w:val="center"/>
        <w:rPr>
          <w:sz w:val="20"/>
          <w:szCs w:val="20"/>
        </w:rPr>
      </w:pPr>
      <w:r>
        <w:rPr>
          <w:sz w:val="20"/>
          <w:szCs w:val="20"/>
        </w:rPr>
        <w:t> </w:t>
      </w:r>
    </w:p>
    <w:p w14:paraId="3E3B7BD8" w14:textId="77777777" w:rsidR="00000000" w:rsidRDefault="00832D71">
      <w:pPr>
        <w:pStyle w:val="a3"/>
        <w:spacing w:before="0" w:beforeAutospacing="0" w:after="0" w:afterAutospacing="0"/>
        <w:jc w:val="center"/>
        <w:rPr>
          <w:sz w:val="20"/>
          <w:szCs w:val="20"/>
        </w:rPr>
      </w:pPr>
      <w:r>
        <w:rPr>
          <w:sz w:val="20"/>
          <w:szCs w:val="20"/>
        </w:rPr>
        <w:t>3</w:t>
      </w:r>
    </w:p>
    <w:p w14:paraId="0B0AECDB" w14:textId="77777777" w:rsidR="00000000" w:rsidRDefault="00832D71">
      <w:pPr>
        <w:rPr>
          <w:rFonts w:eastAsia="Times New Roman"/>
        </w:rPr>
      </w:pPr>
      <w:r>
        <w:rPr>
          <w:rFonts w:eastAsia="Times New Roman"/>
        </w:rPr>
        <w:pict w14:anchorId="39B44FFA">
          <v:rect id="_x0000_i1030" style="width:0;height:1.5pt" o:hralign="center" o:hrstd="t" o:hr="t" fillcolor="#a0a0a0" stroked="f"/>
        </w:pict>
      </w:r>
    </w:p>
    <w:p w14:paraId="3D2D49CD"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0D7518D0" w14:textId="77777777" w:rsidR="00000000" w:rsidRDefault="00832D71">
      <w:pPr>
        <w:pStyle w:val="a3"/>
        <w:spacing w:before="240" w:beforeAutospacing="0" w:after="0" w:afterAutospacing="0"/>
        <w:ind w:firstLine="555"/>
        <w:jc w:val="both"/>
        <w:rPr>
          <w:sz w:val="20"/>
          <w:szCs w:val="20"/>
        </w:rPr>
      </w:pPr>
      <w:r>
        <w:rPr>
          <w:sz w:val="20"/>
          <w:szCs w:val="20"/>
        </w:rPr>
        <w:t>Retail deliveries of propane are usually made to customers by means of bobtail and rack trucks. Propane is pumped from bobtail trucks,</w:t>
      </w:r>
      <w:r>
        <w:rPr>
          <w:sz w:val="20"/>
          <w:szCs w:val="20"/>
        </w:rPr>
        <w:t xml:space="preserve"> which have capacities typically ranging from 2,400 gallons to 3,500 gallons of propane, into a stationary storage tank on the customers’ premises. The capacity of these storage tanks ranges from approximately 100 gallons to approximately 1,200 gallons, wi</w:t>
      </w:r>
      <w:r>
        <w:rPr>
          <w:sz w:val="20"/>
          <w:szCs w:val="20"/>
        </w:rPr>
        <w:t xml:space="preserve">th a typical tank having a capacity of 300 to 400 gallons. As is common in the propane industry, we own a significant portion of the storage tanks located on our customers’ premises. We also deliver propane to retail customers in portable cylinders, which </w:t>
      </w:r>
      <w:r>
        <w:rPr>
          <w:sz w:val="20"/>
          <w:szCs w:val="20"/>
        </w:rPr>
        <w:t xml:space="preserve">typically have a capacity of 5 to 35 gallons. When these cylinders are delivered to customers, empty cylinders are refilled in place or transported for replenishment at our distribution locations. We also deliver propane to certain other bulk end users in </w:t>
      </w:r>
      <w:r>
        <w:rPr>
          <w:sz w:val="20"/>
          <w:szCs w:val="20"/>
        </w:rPr>
        <w:t>larger trucks known as transports, which have an average capacity of approximately 9,000 gallons. End users receiving transport deliveries include industrial customers, large</w:t>
      </w:r>
      <w:r>
        <w:rPr>
          <w:sz w:val="20"/>
          <w:szCs w:val="20"/>
        </w:rPr>
        <w:noBreakHyphen/>
        <w:t>scale heating accounts, such as local gas utilities that use propane as a supplem</w:t>
      </w:r>
      <w:r>
        <w:rPr>
          <w:sz w:val="20"/>
          <w:szCs w:val="20"/>
        </w:rPr>
        <w:t>ental fuel to meet peak load delivery requirements, and large agricultural accounts that use propane for crop drying</w:t>
      </w:r>
      <w:r>
        <w:rPr>
          <w:sz w:val="20"/>
          <w:szCs w:val="20"/>
        </w:rPr>
        <w:t>.</w:t>
      </w:r>
    </w:p>
    <w:p w14:paraId="6045A725" w14:textId="77777777" w:rsidR="00000000" w:rsidRDefault="00832D71">
      <w:pPr>
        <w:pStyle w:val="a3"/>
        <w:spacing w:before="360" w:beforeAutospacing="0" w:after="0" w:afterAutospacing="0"/>
        <w:jc w:val="both"/>
        <w:rPr>
          <w:sz w:val="20"/>
          <w:szCs w:val="20"/>
        </w:rPr>
      </w:pPr>
      <w:r>
        <w:rPr>
          <w:i/>
          <w:iCs/>
          <w:sz w:val="20"/>
          <w:szCs w:val="20"/>
        </w:rPr>
        <w:t>Suppl</w:t>
      </w:r>
      <w:r>
        <w:rPr>
          <w:i/>
          <w:iCs/>
          <w:sz w:val="20"/>
          <w:szCs w:val="20"/>
        </w:rPr>
        <w:t>y</w:t>
      </w:r>
    </w:p>
    <w:p w14:paraId="6B2A307F" w14:textId="77777777" w:rsidR="00000000" w:rsidRDefault="00832D71">
      <w:pPr>
        <w:pStyle w:val="a3"/>
        <w:spacing w:before="120" w:beforeAutospacing="0" w:after="0" w:afterAutospacing="0"/>
        <w:ind w:firstLine="555"/>
        <w:jc w:val="both"/>
        <w:rPr>
          <w:sz w:val="20"/>
          <w:szCs w:val="20"/>
        </w:rPr>
      </w:pPr>
      <w:r>
        <w:rPr>
          <w:sz w:val="20"/>
          <w:szCs w:val="20"/>
        </w:rPr>
        <w:t>Our propane supply is purchased from approximately 40 wholesalers at approximately 160 supply points located throughout the United States and Canada. We make purchases primarily under one-year agreements that are subject to annual renewal, and also purchas</w:t>
      </w:r>
      <w:r>
        <w:rPr>
          <w:sz w:val="20"/>
          <w:szCs w:val="20"/>
        </w:rPr>
        <w:t xml:space="preserve">e propane on the spot market. Supply contracts generally provide for pricing in accordance with posted prices at the time of delivery or the current prices established at major storage points, and some contracts include a pricing formula that typically is </w:t>
      </w:r>
      <w:r>
        <w:rPr>
          <w:sz w:val="20"/>
          <w:szCs w:val="20"/>
        </w:rPr>
        <w:t>based on prevailing market prices. Some of these agreements provide maximum and minimum seasonal purchase guidelines. Propane is generally transported from refineries, pipeline terminals, storage facilities (including our storage facility in Elk Grove, Cal</w:t>
      </w:r>
      <w:r>
        <w:rPr>
          <w:sz w:val="20"/>
          <w:szCs w:val="20"/>
        </w:rPr>
        <w:t>ifornia) and coastal terminals to our customer service centers by a combination of common carriers, owner</w:t>
      </w:r>
      <w:r>
        <w:rPr>
          <w:sz w:val="20"/>
          <w:szCs w:val="20"/>
        </w:rPr>
        <w:noBreakHyphen/>
        <w:t>operators and railroad tank cars. See Item 2 of this Annual Report</w:t>
      </w:r>
      <w:r>
        <w:rPr>
          <w:sz w:val="20"/>
          <w:szCs w:val="20"/>
        </w:rPr>
        <w:t>.</w:t>
      </w:r>
    </w:p>
    <w:p w14:paraId="4C937438" w14:textId="77777777" w:rsidR="00000000" w:rsidRDefault="00832D71">
      <w:pPr>
        <w:pStyle w:val="a3"/>
        <w:spacing w:before="240" w:beforeAutospacing="0" w:after="0" w:afterAutospacing="0"/>
        <w:ind w:firstLine="555"/>
        <w:jc w:val="both"/>
        <w:rPr>
          <w:sz w:val="20"/>
          <w:szCs w:val="20"/>
        </w:rPr>
      </w:pPr>
      <w:r>
        <w:rPr>
          <w:sz w:val="20"/>
          <w:szCs w:val="20"/>
        </w:rPr>
        <w:t>Historically, supplies of propane have been readily available from our supply sour</w:t>
      </w:r>
      <w:r>
        <w:rPr>
          <w:sz w:val="20"/>
          <w:szCs w:val="20"/>
        </w:rPr>
        <w:t>ces. Although we make no assurance regarding the availability of supplies of propane in the future, we currently expect to be able to secure adequate supplies during fiscal 2023. During fiscal 2022, Crestwood Equity Partners L.P. (“Crestwood”) and Targa Li</w:t>
      </w:r>
      <w:r>
        <w:rPr>
          <w:sz w:val="20"/>
          <w:szCs w:val="20"/>
        </w:rPr>
        <w:t>quids Marketing and Trade LLC (“Targa”) provided approximately 31% and 16% of our total propane purchases, respectively. No other single supplier accounted for 10% or more of our propane purchases in fiscal 2022. The availability of our propane supply is d</w:t>
      </w:r>
      <w:r>
        <w:rPr>
          <w:sz w:val="20"/>
          <w:szCs w:val="20"/>
        </w:rPr>
        <w:t xml:space="preserve">ependent on several factors, including the severity of winter weather, the magnitude of competing demands for available supply (e.g., crop drying and exports), the availability of transportation and storage infrastructure and the price and availability of </w:t>
      </w:r>
      <w:r>
        <w:rPr>
          <w:sz w:val="20"/>
          <w:szCs w:val="20"/>
        </w:rPr>
        <w:t xml:space="preserve">competing fuels, such as natural gas and fuel oil. We believe that if supplies from Crestwood or Targa were interrupted, we would be able to secure adequate propane supplies from other sources without a material disruption of our operations. Nevertheless, </w:t>
      </w:r>
      <w:r>
        <w:rPr>
          <w:sz w:val="20"/>
          <w:szCs w:val="20"/>
        </w:rPr>
        <w:t>the cost of acquiring and transporting such propane might be higher and, at least on a short-term basis, our margins could be affected. Approximately 85% of our total propane purchases were from domestic suppliers and 100% came from North America in fiscal</w:t>
      </w:r>
      <w:r>
        <w:rPr>
          <w:sz w:val="20"/>
          <w:szCs w:val="20"/>
        </w:rPr>
        <w:t xml:space="preserve"> 2022</w:t>
      </w:r>
      <w:r>
        <w:rPr>
          <w:sz w:val="20"/>
          <w:szCs w:val="20"/>
        </w:rPr>
        <w:t>.</w:t>
      </w:r>
    </w:p>
    <w:p w14:paraId="4FDE5A64" w14:textId="77777777" w:rsidR="00000000" w:rsidRDefault="00832D71">
      <w:pPr>
        <w:pStyle w:val="a3"/>
        <w:spacing w:before="240" w:beforeAutospacing="0" w:after="0" w:afterAutospacing="0"/>
        <w:ind w:firstLine="555"/>
        <w:jc w:val="both"/>
        <w:rPr>
          <w:sz w:val="20"/>
          <w:szCs w:val="20"/>
        </w:rPr>
      </w:pPr>
      <w:r>
        <w:rPr>
          <w:sz w:val="20"/>
          <w:szCs w:val="20"/>
        </w:rPr>
        <w:t>We seek to reduce the effect of propane price volatility on our product costs and to help ensure the availability of propane during periods of short supply. We enter into propane forward options and swap agreements with third parties to purchase and</w:t>
      </w:r>
      <w:r>
        <w:rPr>
          <w:sz w:val="20"/>
          <w:szCs w:val="20"/>
        </w:rPr>
        <w:t xml:space="preserve"> sell propane at fixed prices in the future. These activities are monitored by our senior management through enforcement of our Hedging and Risk Management Policy. See Items 7 and 7A of this Annual Report</w:t>
      </w:r>
      <w:r>
        <w:rPr>
          <w:sz w:val="20"/>
          <w:szCs w:val="20"/>
        </w:rPr>
        <w:t>.</w:t>
      </w:r>
    </w:p>
    <w:p w14:paraId="203E8433" w14:textId="77777777" w:rsidR="00000000" w:rsidRDefault="00832D71">
      <w:pPr>
        <w:pStyle w:val="a3"/>
        <w:spacing w:before="240" w:beforeAutospacing="0" w:after="0" w:afterAutospacing="0"/>
        <w:ind w:firstLine="555"/>
        <w:jc w:val="both"/>
        <w:rPr>
          <w:sz w:val="20"/>
          <w:szCs w:val="20"/>
        </w:rPr>
      </w:pPr>
      <w:r>
        <w:rPr>
          <w:sz w:val="20"/>
          <w:szCs w:val="20"/>
        </w:rPr>
        <w:t>We own and operate a large propane storage facilit</w:t>
      </w:r>
      <w:r>
        <w:rPr>
          <w:sz w:val="20"/>
          <w:szCs w:val="20"/>
        </w:rPr>
        <w:t>y in Elk Grove, California. We also operate smaller storage facilities in other locations throughout the Unites States and have rights to use storage facilities in additional locations. These storage facilities enable us to buy and store large quantities o</w:t>
      </w:r>
      <w:r>
        <w:rPr>
          <w:sz w:val="20"/>
          <w:szCs w:val="20"/>
        </w:rPr>
        <w:t>f propane particularly during periods of low demand, which generally occur during the summer months. This practice helps ensure a more secure supply of propane during periods of intense demand or price instability. As of September 24, 2022, the majority of</w:t>
      </w:r>
      <w:r>
        <w:rPr>
          <w:sz w:val="20"/>
          <w:szCs w:val="20"/>
        </w:rPr>
        <w:t xml:space="preserve"> the storage capacity at our facility in Elk Grove, California was leased to third parties</w:t>
      </w:r>
      <w:r>
        <w:rPr>
          <w:sz w:val="20"/>
          <w:szCs w:val="20"/>
        </w:rPr>
        <w:t>.</w:t>
      </w:r>
    </w:p>
    <w:p w14:paraId="19625226" w14:textId="77777777" w:rsidR="00000000" w:rsidRDefault="00832D71">
      <w:pPr>
        <w:pStyle w:val="a3"/>
        <w:spacing w:before="360" w:beforeAutospacing="0" w:after="0" w:afterAutospacing="0"/>
        <w:jc w:val="both"/>
        <w:rPr>
          <w:sz w:val="20"/>
          <w:szCs w:val="20"/>
        </w:rPr>
      </w:pPr>
      <w:r>
        <w:rPr>
          <w:i/>
          <w:iCs/>
          <w:sz w:val="20"/>
          <w:szCs w:val="20"/>
        </w:rPr>
        <w:t>Competitio</w:t>
      </w:r>
      <w:r>
        <w:rPr>
          <w:i/>
          <w:iCs/>
          <w:sz w:val="20"/>
          <w:szCs w:val="20"/>
        </w:rPr>
        <w:t>n</w:t>
      </w:r>
    </w:p>
    <w:p w14:paraId="6BF6496E" w14:textId="77777777" w:rsidR="00000000" w:rsidRDefault="00832D71">
      <w:pPr>
        <w:pStyle w:val="a3"/>
        <w:spacing w:before="120" w:beforeAutospacing="0" w:after="0" w:afterAutospacing="0"/>
        <w:ind w:firstLine="555"/>
        <w:jc w:val="both"/>
        <w:rPr>
          <w:sz w:val="20"/>
          <w:szCs w:val="20"/>
        </w:rPr>
      </w:pPr>
      <w:r>
        <w:rPr>
          <w:sz w:val="20"/>
          <w:szCs w:val="20"/>
        </w:rPr>
        <w:t>According to the U.S. Census Bureau’s 2021 American Community Survey, propane ranks as the third most important source of residential energy in the nati</w:t>
      </w:r>
      <w:r>
        <w:rPr>
          <w:sz w:val="20"/>
          <w:szCs w:val="20"/>
        </w:rPr>
        <w:t>on, with about 5% of all households using propane as their primary space heating fuel. This level has not changed materially over the previous two decades. As an energy source, propane competes primarily with natural gas, electricity and fuel oil, principa</w:t>
      </w:r>
      <w:r>
        <w:rPr>
          <w:sz w:val="20"/>
          <w:szCs w:val="20"/>
        </w:rPr>
        <w:t>lly on the basis of price, availability and portability</w:t>
      </w:r>
      <w:r>
        <w:rPr>
          <w:sz w:val="20"/>
          <w:szCs w:val="20"/>
        </w:rPr>
        <w:t>.</w:t>
      </w:r>
    </w:p>
    <w:p w14:paraId="626BE1B1" w14:textId="77777777" w:rsidR="00000000" w:rsidRDefault="00832D71">
      <w:pPr>
        <w:pStyle w:val="a3"/>
        <w:spacing w:before="240" w:beforeAutospacing="0" w:after="0" w:afterAutospacing="0"/>
        <w:ind w:firstLine="555"/>
        <w:jc w:val="both"/>
        <w:rPr>
          <w:sz w:val="20"/>
          <w:szCs w:val="20"/>
        </w:rPr>
      </w:pPr>
      <w:r>
        <w:rPr>
          <w:sz w:val="20"/>
          <w:szCs w:val="20"/>
        </w:rPr>
        <w:t>Propane is more expensive than natural gas on an equivalent British Thermal Unit (“BTU”) basis in locations serviced by natural gas, but it is an alternative or supplement to natural gas in rural and</w:t>
      </w:r>
      <w:r>
        <w:rPr>
          <w:sz w:val="20"/>
          <w:szCs w:val="20"/>
        </w:rPr>
        <w:t xml:space="preserve"> suburban areas where natural gas is unavailable or portability of product is required. Historically, the expansion of natural gas into traditional propane markets has been inhibited by the capital costs required to expand pipeline and retail distribution </w:t>
      </w:r>
      <w:r>
        <w:rPr>
          <w:sz w:val="20"/>
          <w:szCs w:val="20"/>
        </w:rPr>
        <w:t xml:space="preserve">systems, and in some territories, geological and activist challenges. The increasing availability of natural gas extracted from shale deposits in the United States may accelerate the extension of natural gas pipelines in the future. Although the extension </w:t>
      </w:r>
      <w:r>
        <w:rPr>
          <w:sz w:val="20"/>
          <w:szCs w:val="20"/>
        </w:rPr>
        <w:t>of natural gas pipelines to previously unserved geographic areas tends to displace propane distributio</w:t>
      </w:r>
      <w:r>
        <w:rPr>
          <w:sz w:val="20"/>
          <w:szCs w:val="20"/>
        </w:rPr>
        <w:t>n</w:t>
      </w:r>
      <w:r>
        <w:rPr>
          <w:sz w:val="20"/>
          <w:szCs w:val="20"/>
        </w:rPr>
        <w:t xml:space="preserve"> </w:t>
      </w:r>
    </w:p>
    <w:p w14:paraId="5FBE3052" w14:textId="77777777" w:rsidR="00000000" w:rsidRDefault="00832D71">
      <w:pPr>
        <w:pStyle w:val="a3"/>
        <w:spacing w:before="0" w:beforeAutospacing="0" w:after="0" w:afterAutospacing="0"/>
        <w:jc w:val="center"/>
        <w:rPr>
          <w:sz w:val="20"/>
          <w:szCs w:val="20"/>
        </w:rPr>
      </w:pPr>
      <w:r>
        <w:rPr>
          <w:sz w:val="20"/>
          <w:szCs w:val="20"/>
        </w:rPr>
        <w:t> </w:t>
      </w:r>
    </w:p>
    <w:p w14:paraId="1E509EA5" w14:textId="77777777" w:rsidR="00000000" w:rsidRDefault="00832D71">
      <w:pPr>
        <w:pStyle w:val="a3"/>
        <w:spacing w:before="0" w:beforeAutospacing="0" w:after="0" w:afterAutospacing="0"/>
        <w:jc w:val="center"/>
        <w:rPr>
          <w:sz w:val="20"/>
          <w:szCs w:val="20"/>
        </w:rPr>
      </w:pPr>
      <w:r>
        <w:rPr>
          <w:sz w:val="20"/>
          <w:szCs w:val="20"/>
        </w:rPr>
        <w:t>4</w:t>
      </w:r>
    </w:p>
    <w:p w14:paraId="15E2E627" w14:textId="77777777" w:rsidR="00000000" w:rsidRDefault="00832D71">
      <w:pPr>
        <w:rPr>
          <w:rFonts w:eastAsia="Times New Roman"/>
        </w:rPr>
      </w:pPr>
      <w:r>
        <w:rPr>
          <w:rFonts w:eastAsia="Times New Roman"/>
        </w:rPr>
        <w:pict w14:anchorId="556CF1AD">
          <v:rect id="_x0000_i1031" style="width:0;height:1.5pt" o:hralign="center" o:hrstd="t" o:hr="t" fillcolor="#a0a0a0" stroked="f"/>
        </w:pict>
      </w:r>
    </w:p>
    <w:p w14:paraId="3CA42136"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7F9AF38C" w14:textId="77777777" w:rsidR="00000000" w:rsidRDefault="00832D71">
      <w:pPr>
        <w:pStyle w:val="a3"/>
        <w:spacing w:before="240" w:beforeAutospacing="0" w:after="0" w:afterAutospacing="0"/>
        <w:jc w:val="both"/>
        <w:rPr>
          <w:sz w:val="20"/>
          <w:szCs w:val="20"/>
        </w:rPr>
      </w:pPr>
      <w:r>
        <w:rPr>
          <w:sz w:val="20"/>
          <w:szCs w:val="20"/>
        </w:rPr>
        <w:t>in those areas, we believe new opportunities for pro</w:t>
      </w:r>
      <w:r>
        <w:rPr>
          <w:sz w:val="20"/>
          <w:szCs w:val="20"/>
        </w:rPr>
        <w:t>pane sales may arise as new neighborhoods are developed in geographically remote areas</w:t>
      </w:r>
      <w:r>
        <w:rPr>
          <w:sz w:val="20"/>
          <w:szCs w:val="20"/>
        </w:rPr>
        <w:t>.</w:t>
      </w:r>
      <w:r>
        <w:rPr>
          <w:sz w:val="20"/>
          <w:szCs w:val="20"/>
        </w:rPr>
        <w:t xml:space="preserve"> </w:t>
      </w:r>
    </w:p>
    <w:p w14:paraId="767E4761" w14:textId="77777777" w:rsidR="00000000" w:rsidRDefault="00832D71">
      <w:pPr>
        <w:pStyle w:val="a3"/>
        <w:spacing w:before="240" w:beforeAutospacing="0" w:after="0" w:afterAutospacing="0"/>
        <w:ind w:firstLine="555"/>
        <w:jc w:val="both"/>
        <w:rPr>
          <w:sz w:val="20"/>
          <w:szCs w:val="20"/>
        </w:rPr>
      </w:pPr>
      <w:r>
        <w:rPr>
          <w:sz w:val="20"/>
          <w:szCs w:val="20"/>
        </w:rPr>
        <w:t>Propane has some relative advantages over other energy sources. For example, in certain geographic areas, propane is generally less expensive to use than electricity f</w:t>
      </w:r>
      <w:r>
        <w:rPr>
          <w:sz w:val="20"/>
          <w:szCs w:val="20"/>
        </w:rPr>
        <w:t>or space heating, water heating, clothes drying and cooking. Utilization of fuel oil is geographically limited (primarily in the northeast), and even in that region, propane and fuel oil are not significant competitors because of the cost of converting fro</w:t>
      </w:r>
      <w:r>
        <w:rPr>
          <w:sz w:val="20"/>
          <w:szCs w:val="20"/>
        </w:rPr>
        <w:t>m one source to the other</w:t>
      </w:r>
      <w:r>
        <w:rPr>
          <w:sz w:val="20"/>
          <w:szCs w:val="20"/>
        </w:rPr>
        <w:t>.</w:t>
      </w:r>
    </w:p>
    <w:p w14:paraId="65854873" w14:textId="77777777" w:rsidR="00000000" w:rsidRDefault="00832D71">
      <w:pPr>
        <w:pStyle w:val="a3"/>
        <w:spacing w:before="240" w:beforeAutospacing="0" w:after="0" w:afterAutospacing="0"/>
        <w:ind w:firstLine="555"/>
        <w:jc w:val="both"/>
        <w:rPr>
          <w:sz w:val="20"/>
          <w:szCs w:val="20"/>
        </w:rPr>
      </w:pPr>
      <w:r>
        <w:rPr>
          <w:sz w:val="20"/>
          <w:szCs w:val="20"/>
        </w:rPr>
        <w:t xml:space="preserve">In addition to competing with suppliers of other energy sources, our propane operations compete with other retail propane distributors. The retail propane industry is highly fragmented and competition generally occurs on a local </w:t>
      </w:r>
      <w:r>
        <w:rPr>
          <w:sz w:val="20"/>
          <w:szCs w:val="20"/>
        </w:rPr>
        <w:t>basis with other large full-service multi-state propane marketers, thousands of smaller local independent marketers and farm cooperatives. Based on industry statistics contained in the 202</w:t>
      </w:r>
      <w:r>
        <w:rPr>
          <w:sz w:val="20"/>
          <w:szCs w:val="20"/>
        </w:rPr>
        <w:t>0</w:t>
      </w:r>
      <w:r>
        <w:rPr>
          <w:i/>
          <w:iCs/>
          <w:sz w:val="20"/>
          <w:szCs w:val="20"/>
        </w:rPr>
        <w:t xml:space="preserve"> Annual Retail Propane Sales Repor</w:t>
      </w:r>
      <w:r>
        <w:rPr>
          <w:i/>
          <w:iCs/>
          <w:sz w:val="20"/>
          <w:szCs w:val="20"/>
        </w:rPr>
        <w:t>t</w:t>
      </w:r>
      <w:r>
        <w:rPr>
          <w:sz w:val="20"/>
          <w:szCs w:val="20"/>
        </w:rPr>
        <w:t>, as published by the Propane Ed</w:t>
      </w:r>
      <w:r>
        <w:rPr>
          <w:sz w:val="20"/>
          <w:szCs w:val="20"/>
        </w:rPr>
        <w:t>ucation &amp; Research Council in December 2021, and</w:t>
      </w:r>
      <w:r>
        <w:rPr>
          <w:sz w:val="20"/>
          <w:szCs w:val="20"/>
        </w:rPr>
        <w:t xml:space="preserve"> </w:t>
      </w:r>
      <w:r>
        <w:rPr>
          <w:i/>
          <w:iCs/>
          <w:sz w:val="20"/>
          <w:szCs w:val="20"/>
        </w:rPr>
        <w:t>LP/Gas Magazin</w:t>
      </w:r>
      <w:r>
        <w:rPr>
          <w:i/>
          <w:iCs/>
          <w:sz w:val="20"/>
          <w:szCs w:val="20"/>
        </w:rPr>
        <w:t>e</w:t>
      </w:r>
      <w:r>
        <w:rPr>
          <w:sz w:val="20"/>
          <w:szCs w:val="20"/>
        </w:rPr>
        <w:t xml:space="preserve"> dated February 2021, the ten largest retailers, including us, account for approximately 33% of total retail sales of propane in the United States. Each of our customer service centers operate</w:t>
      </w:r>
      <w:r>
        <w:rPr>
          <w:sz w:val="20"/>
          <w:szCs w:val="20"/>
        </w:rPr>
        <w:t>s in its own competitive environment because retail marketers tend to locate in close proximity to customers in order to lower the cost of providing service. Our typical customer service center has an effective marketing radius of approximately 50 miles, a</w:t>
      </w:r>
      <w:r>
        <w:rPr>
          <w:sz w:val="20"/>
          <w:szCs w:val="20"/>
        </w:rPr>
        <w:t>lthough in certain areas the marketing radius may be extended by one or more satellite offices. Most of our customer service centers compete with five or more marketers or distributors at any point in time</w:t>
      </w:r>
      <w:r>
        <w:rPr>
          <w:sz w:val="20"/>
          <w:szCs w:val="20"/>
        </w:rPr>
        <w:t>.</w:t>
      </w:r>
    </w:p>
    <w:p w14:paraId="4539597D" w14:textId="77777777" w:rsidR="00000000" w:rsidRDefault="00832D71">
      <w:pPr>
        <w:pStyle w:val="a3"/>
        <w:spacing w:before="360" w:beforeAutospacing="0" w:after="0" w:afterAutospacing="0"/>
        <w:jc w:val="center"/>
        <w:rPr>
          <w:sz w:val="20"/>
          <w:szCs w:val="20"/>
        </w:rPr>
      </w:pPr>
      <w:r>
        <w:rPr>
          <w:b/>
          <w:bCs/>
          <w:i/>
          <w:iCs/>
          <w:sz w:val="20"/>
          <w:szCs w:val="20"/>
        </w:rPr>
        <w:t>Fuel Oil and Refined Fuel</w:t>
      </w:r>
      <w:r>
        <w:rPr>
          <w:b/>
          <w:bCs/>
          <w:i/>
          <w:iCs/>
          <w:sz w:val="20"/>
          <w:szCs w:val="20"/>
        </w:rPr>
        <w:t>s</w:t>
      </w:r>
    </w:p>
    <w:p w14:paraId="442AF7F6" w14:textId="77777777" w:rsidR="00000000" w:rsidRDefault="00832D71">
      <w:pPr>
        <w:pStyle w:val="a3"/>
        <w:spacing w:before="240" w:beforeAutospacing="0" w:after="0" w:afterAutospacing="0"/>
        <w:jc w:val="both"/>
        <w:rPr>
          <w:sz w:val="20"/>
          <w:szCs w:val="20"/>
        </w:rPr>
      </w:pPr>
      <w:r>
        <w:rPr>
          <w:i/>
          <w:iCs/>
          <w:sz w:val="20"/>
          <w:szCs w:val="20"/>
        </w:rPr>
        <w:t>Product Distribution and Marketin</w:t>
      </w:r>
      <w:r>
        <w:rPr>
          <w:i/>
          <w:iCs/>
          <w:sz w:val="20"/>
          <w:szCs w:val="20"/>
        </w:rPr>
        <w:t>g</w:t>
      </w:r>
    </w:p>
    <w:p w14:paraId="3F777341" w14:textId="77777777" w:rsidR="00000000" w:rsidRDefault="00832D71">
      <w:pPr>
        <w:pStyle w:val="a3"/>
        <w:spacing w:before="120" w:beforeAutospacing="0" w:after="0" w:afterAutospacing="0"/>
        <w:ind w:firstLine="555"/>
        <w:jc w:val="both"/>
        <w:rPr>
          <w:sz w:val="20"/>
          <w:szCs w:val="20"/>
        </w:rPr>
      </w:pPr>
      <w:r>
        <w:rPr>
          <w:sz w:val="20"/>
          <w:szCs w:val="20"/>
        </w:rPr>
        <w:t>We market and distribute fuel oil, kerosene, diesel fuel and gasoline to approximately 33,000 residential and commercial customers primarily in the northeast region of the United States. Sales of fuel oil and refined fuel</w:t>
      </w:r>
      <w:r>
        <w:rPr>
          <w:sz w:val="20"/>
          <w:szCs w:val="20"/>
        </w:rPr>
        <w:t>s for fiscal 2022 amounted to 22.8 million gallons. Approximately 66% of the fuel oil and refined fuels gallons sold by us in fiscal 2022 were to residential customers, principally for home heating, 6% were to commercial customers, and 8% to other users. S</w:t>
      </w:r>
      <w:r>
        <w:rPr>
          <w:sz w:val="20"/>
          <w:szCs w:val="20"/>
        </w:rPr>
        <w:t>ales of diesel and gasoline accounted for the remaining 20% of total volumes sold in this segment during fiscal 2022. Fuel oil has a more limited use, compared to propane, and is used almost exclusively for space and water heating in residential and commer</w:t>
      </w:r>
      <w:r>
        <w:rPr>
          <w:sz w:val="20"/>
          <w:szCs w:val="20"/>
        </w:rPr>
        <w:t>cial buildings. We sell diesel fuel and gasoline to commercial and industrial customers for use primarily to operate motor vehicles</w:t>
      </w:r>
      <w:r>
        <w:rPr>
          <w:sz w:val="20"/>
          <w:szCs w:val="20"/>
        </w:rPr>
        <w:t>.</w:t>
      </w:r>
    </w:p>
    <w:p w14:paraId="648D6B1D" w14:textId="77777777" w:rsidR="00000000" w:rsidRDefault="00832D71">
      <w:pPr>
        <w:pStyle w:val="a3"/>
        <w:spacing w:before="240" w:beforeAutospacing="0" w:after="0" w:afterAutospacing="0"/>
        <w:ind w:firstLine="555"/>
        <w:jc w:val="both"/>
        <w:rPr>
          <w:sz w:val="20"/>
          <w:szCs w:val="20"/>
        </w:rPr>
      </w:pPr>
      <w:r>
        <w:rPr>
          <w:sz w:val="20"/>
          <w:szCs w:val="20"/>
        </w:rPr>
        <w:t>Approximately 45% of our fuel oil customers receive their fuel oil under an automatic delivery system. These deliveries are</w:t>
      </w:r>
      <w:r>
        <w:rPr>
          <w:sz w:val="20"/>
          <w:szCs w:val="20"/>
        </w:rPr>
        <w:t xml:space="preserve"> scheduled through proprietary technology, based upon each customer’s historical consumption patterns and prevailing weather conditions. Additionally, we offer our customers a budget payment plan whereby the customer’s estimated annual fuel oil purchases a</w:t>
      </w:r>
      <w:r>
        <w:rPr>
          <w:sz w:val="20"/>
          <w:szCs w:val="20"/>
        </w:rPr>
        <w:t>re paid for in a series of estimated equal monthly payments over a twelve-month period. From our customer service centers, we also sell, install and service heating equipment to customers who purchase fuel oil from us</w:t>
      </w:r>
      <w:r>
        <w:rPr>
          <w:sz w:val="20"/>
          <w:szCs w:val="20"/>
        </w:rPr>
        <w:t>.</w:t>
      </w:r>
    </w:p>
    <w:p w14:paraId="205323F5" w14:textId="77777777" w:rsidR="00000000" w:rsidRDefault="00832D71">
      <w:pPr>
        <w:pStyle w:val="a3"/>
        <w:spacing w:before="240" w:beforeAutospacing="0" w:after="0" w:afterAutospacing="0"/>
        <w:ind w:firstLine="555"/>
        <w:jc w:val="both"/>
        <w:rPr>
          <w:sz w:val="20"/>
          <w:szCs w:val="20"/>
        </w:rPr>
      </w:pPr>
      <w:r>
        <w:rPr>
          <w:sz w:val="20"/>
          <w:szCs w:val="20"/>
        </w:rPr>
        <w:t>Deliveries of fuel oil are usually ma</w:t>
      </w:r>
      <w:r>
        <w:rPr>
          <w:sz w:val="20"/>
          <w:szCs w:val="20"/>
        </w:rPr>
        <w:t>de to customers by means of tankwagon trucks, which have capacities ranging from 2,500 gallons to 3,000 gallons. Fuel oil is pumped from the tankwagon truck into a stationary storage tank that is located on the customer’s premises, which is owned by the cu</w:t>
      </w:r>
      <w:r>
        <w:rPr>
          <w:sz w:val="20"/>
          <w:szCs w:val="20"/>
        </w:rPr>
        <w:t>stomer. The capacity of customer storage tanks ranges from approximately 275 gallons to approximately 1,000 gallons. No single customer accounted for 10% or more of our fuel oil and refined fuels revenues during fiscal 2022</w:t>
      </w:r>
      <w:r>
        <w:rPr>
          <w:sz w:val="20"/>
          <w:szCs w:val="20"/>
        </w:rPr>
        <w:t>.</w:t>
      </w:r>
    </w:p>
    <w:p w14:paraId="3097417A" w14:textId="77777777" w:rsidR="00000000" w:rsidRDefault="00832D71">
      <w:pPr>
        <w:pStyle w:val="a3"/>
        <w:spacing w:before="360" w:beforeAutospacing="0" w:after="0" w:afterAutospacing="0"/>
        <w:jc w:val="both"/>
        <w:rPr>
          <w:sz w:val="20"/>
          <w:szCs w:val="20"/>
        </w:rPr>
      </w:pPr>
      <w:r>
        <w:rPr>
          <w:i/>
          <w:iCs/>
          <w:sz w:val="20"/>
          <w:szCs w:val="20"/>
        </w:rPr>
        <w:t>Suppl</w:t>
      </w:r>
      <w:r>
        <w:rPr>
          <w:i/>
          <w:iCs/>
          <w:sz w:val="20"/>
          <w:szCs w:val="20"/>
        </w:rPr>
        <w:t>y</w:t>
      </w:r>
    </w:p>
    <w:p w14:paraId="35B7A622" w14:textId="77777777" w:rsidR="00000000" w:rsidRDefault="00832D71">
      <w:pPr>
        <w:pStyle w:val="a3"/>
        <w:spacing w:before="120" w:beforeAutospacing="0" w:after="0" w:afterAutospacing="0"/>
        <w:ind w:firstLine="555"/>
        <w:jc w:val="both"/>
        <w:rPr>
          <w:sz w:val="20"/>
          <w:szCs w:val="20"/>
        </w:rPr>
      </w:pPr>
      <w:r>
        <w:rPr>
          <w:sz w:val="20"/>
          <w:szCs w:val="20"/>
        </w:rPr>
        <w:t>We obtain fuel oil and other refined fuels in pipeline, truckload or tankwagon quantities, and have contracts with certain pipeline and terminal operators for the right to temporarily store fuel oil at 13 terminal facilities that we do not own. We have arr</w:t>
      </w:r>
      <w:r>
        <w:rPr>
          <w:sz w:val="20"/>
          <w:szCs w:val="20"/>
        </w:rPr>
        <w:t>angements with certain suppliers of fuel oil, which provide open access to fuel oil at specific terminals throughout the northeast. Additionally, a portion of our purchases of fuel oil are made at local wholesale terminal racks. In most cases, the supply c</w:t>
      </w:r>
      <w:r>
        <w:rPr>
          <w:sz w:val="20"/>
          <w:szCs w:val="20"/>
        </w:rPr>
        <w:t>ontracts do not establish the price of fuel oil in advance; rather, prices are typically established based upon market prices at the time of delivery, plus or minus a differential for transportation and volume discounts. We purchase fuel oil from approxima</w:t>
      </w:r>
      <w:r>
        <w:rPr>
          <w:sz w:val="20"/>
          <w:szCs w:val="20"/>
        </w:rPr>
        <w:t xml:space="preserve">tely 20 suppliers at approximately 45 supply points. While fuel oil supply is more susceptible to longer periods of supply constraint than propane, we believe that our supply arrangements will provide us with sufficient supply sources. Although we make no </w:t>
      </w:r>
      <w:r>
        <w:rPr>
          <w:sz w:val="20"/>
          <w:szCs w:val="20"/>
        </w:rPr>
        <w:t>assurance regarding the availability of supplies of fuel oil in the future, we currently expect to be able to secure adequate supplies during fiscal 2023</w:t>
      </w:r>
      <w:r>
        <w:rPr>
          <w:sz w:val="20"/>
          <w:szCs w:val="20"/>
        </w:rPr>
        <w:t>.</w:t>
      </w:r>
    </w:p>
    <w:p w14:paraId="616D44C2" w14:textId="77777777" w:rsidR="00000000" w:rsidRDefault="00832D71">
      <w:pPr>
        <w:pStyle w:val="a3"/>
        <w:spacing w:before="360" w:beforeAutospacing="0" w:after="0" w:afterAutospacing="0"/>
        <w:jc w:val="both"/>
        <w:rPr>
          <w:sz w:val="20"/>
          <w:szCs w:val="20"/>
        </w:rPr>
      </w:pPr>
      <w:r>
        <w:rPr>
          <w:i/>
          <w:iCs/>
          <w:sz w:val="20"/>
          <w:szCs w:val="20"/>
        </w:rPr>
        <w:t>Competitio</w:t>
      </w:r>
      <w:r>
        <w:rPr>
          <w:i/>
          <w:iCs/>
          <w:sz w:val="20"/>
          <w:szCs w:val="20"/>
        </w:rPr>
        <w:t>n</w:t>
      </w:r>
    </w:p>
    <w:p w14:paraId="37F3C196" w14:textId="77777777" w:rsidR="00000000" w:rsidRDefault="00832D71">
      <w:pPr>
        <w:pStyle w:val="a3"/>
        <w:spacing w:before="120" w:beforeAutospacing="0" w:after="0" w:afterAutospacing="0"/>
        <w:ind w:firstLine="555"/>
        <w:jc w:val="both"/>
        <w:rPr>
          <w:sz w:val="20"/>
          <w:szCs w:val="20"/>
        </w:rPr>
      </w:pPr>
      <w:r>
        <w:rPr>
          <w:sz w:val="20"/>
          <w:szCs w:val="20"/>
        </w:rPr>
        <w:t>The fuel oil industry is a mature industry with total demand expected to remain relativel</w:t>
      </w:r>
      <w:r>
        <w:rPr>
          <w:sz w:val="20"/>
          <w:szCs w:val="20"/>
        </w:rPr>
        <w:t>y flat to moderately declining. The fuel oil industry is highly fragmented, characterized by a large number of relatively small, independently owned and operated loca</w:t>
      </w:r>
      <w:r>
        <w:rPr>
          <w:sz w:val="20"/>
          <w:szCs w:val="20"/>
        </w:rPr>
        <w:t>l</w:t>
      </w:r>
      <w:r>
        <w:rPr>
          <w:sz w:val="20"/>
          <w:szCs w:val="20"/>
        </w:rPr>
        <w:t xml:space="preserve"> </w:t>
      </w:r>
    </w:p>
    <w:p w14:paraId="1D565BAE" w14:textId="77777777" w:rsidR="00000000" w:rsidRDefault="00832D71">
      <w:pPr>
        <w:pStyle w:val="a3"/>
        <w:spacing w:before="0" w:beforeAutospacing="0" w:after="0" w:afterAutospacing="0"/>
        <w:jc w:val="center"/>
        <w:rPr>
          <w:sz w:val="20"/>
          <w:szCs w:val="20"/>
        </w:rPr>
      </w:pPr>
      <w:r>
        <w:rPr>
          <w:sz w:val="20"/>
          <w:szCs w:val="20"/>
        </w:rPr>
        <w:t> </w:t>
      </w:r>
    </w:p>
    <w:p w14:paraId="1507E0EE" w14:textId="77777777" w:rsidR="00000000" w:rsidRDefault="00832D71">
      <w:pPr>
        <w:pStyle w:val="a3"/>
        <w:spacing w:before="0" w:beforeAutospacing="0" w:after="0" w:afterAutospacing="0"/>
        <w:jc w:val="center"/>
        <w:rPr>
          <w:sz w:val="20"/>
          <w:szCs w:val="20"/>
        </w:rPr>
      </w:pPr>
      <w:r>
        <w:rPr>
          <w:sz w:val="20"/>
          <w:szCs w:val="20"/>
        </w:rPr>
        <w:t>5</w:t>
      </w:r>
    </w:p>
    <w:p w14:paraId="6A4CBF35" w14:textId="77777777" w:rsidR="00000000" w:rsidRDefault="00832D71">
      <w:pPr>
        <w:rPr>
          <w:rFonts w:eastAsia="Times New Roman"/>
        </w:rPr>
      </w:pPr>
      <w:r>
        <w:rPr>
          <w:rFonts w:eastAsia="Times New Roman"/>
        </w:rPr>
        <w:pict w14:anchorId="4F805B1B">
          <v:rect id="_x0000_i1032" style="width:0;height:1.5pt" o:hralign="center" o:hrstd="t" o:hr="t" fillcolor="#a0a0a0" stroked="f"/>
        </w:pict>
      </w:r>
    </w:p>
    <w:p w14:paraId="1D504FAA"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 xml:space="preserve">Table </w:t>
        </w:r>
        <w:r>
          <w:rPr>
            <w:rStyle w:val="a4"/>
            <w:sz w:val="18"/>
            <w:szCs w:val="18"/>
          </w:rPr>
          <w:t>of Content</w:t>
        </w:r>
        <w:r>
          <w:rPr>
            <w:rStyle w:val="a4"/>
            <w:sz w:val="18"/>
            <w:szCs w:val="18"/>
          </w:rPr>
          <w:t>s</w:t>
        </w:r>
      </w:hyperlink>
    </w:p>
    <w:p w14:paraId="2D0CE674" w14:textId="77777777" w:rsidR="00000000" w:rsidRDefault="00832D71">
      <w:pPr>
        <w:pStyle w:val="a3"/>
        <w:spacing w:before="120" w:beforeAutospacing="0" w:after="0" w:afterAutospacing="0"/>
        <w:jc w:val="both"/>
        <w:rPr>
          <w:sz w:val="20"/>
          <w:szCs w:val="20"/>
        </w:rPr>
      </w:pPr>
      <w:r>
        <w:rPr>
          <w:sz w:val="20"/>
          <w:szCs w:val="20"/>
        </w:rPr>
        <w:t xml:space="preserve">distributors. We compete with other fuel oil distributors offering a broad range of services and prices, from full service distributors to those that solely offer the delivery service. We are a full-service energy provider and have developed a </w:t>
      </w:r>
      <w:r>
        <w:rPr>
          <w:sz w:val="20"/>
          <w:szCs w:val="20"/>
        </w:rPr>
        <w:t>wide range of sales programs and service offerings for our fuel oil customer base that are intended to build customer loyalty. For instance, we provide home heating equipment repair service to our fuel oil customers on a 24-hour a day basis. The fuel oil b</w:t>
      </w:r>
      <w:r>
        <w:rPr>
          <w:sz w:val="20"/>
          <w:szCs w:val="20"/>
        </w:rPr>
        <w:t>usiness unit also competes for retail customers with suppliers of alternative energy sources, principally natural gas, propane and electricity</w:t>
      </w:r>
      <w:r>
        <w:rPr>
          <w:sz w:val="20"/>
          <w:szCs w:val="20"/>
        </w:rPr>
        <w:t>.</w:t>
      </w:r>
    </w:p>
    <w:p w14:paraId="62F1C4BC" w14:textId="77777777" w:rsidR="00000000" w:rsidRDefault="00832D71">
      <w:pPr>
        <w:pStyle w:val="a3"/>
        <w:spacing w:before="360" w:beforeAutospacing="0" w:after="0" w:afterAutospacing="0"/>
        <w:jc w:val="center"/>
        <w:rPr>
          <w:sz w:val="20"/>
          <w:szCs w:val="20"/>
        </w:rPr>
      </w:pPr>
      <w:r>
        <w:rPr>
          <w:b/>
          <w:bCs/>
          <w:i/>
          <w:iCs/>
          <w:sz w:val="20"/>
          <w:szCs w:val="20"/>
        </w:rPr>
        <w:t>Natural Gas and Electricit</w:t>
      </w:r>
      <w:r>
        <w:rPr>
          <w:b/>
          <w:bCs/>
          <w:i/>
          <w:iCs/>
          <w:sz w:val="20"/>
          <w:szCs w:val="20"/>
        </w:rPr>
        <w:t>y</w:t>
      </w:r>
    </w:p>
    <w:p w14:paraId="70153CE8" w14:textId="77777777" w:rsidR="00000000" w:rsidRDefault="00832D71">
      <w:pPr>
        <w:pStyle w:val="a3"/>
        <w:spacing w:before="240" w:beforeAutospacing="0" w:after="0" w:afterAutospacing="0"/>
        <w:ind w:firstLine="555"/>
        <w:jc w:val="both"/>
        <w:rPr>
          <w:sz w:val="20"/>
          <w:szCs w:val="20"/>
        </w:rPr>
      </w:pPr>
      <w:r>
        <w:rPr>
          <w:sz w:val="20"/>
          <w:szCs w:val="20"/>
        </w:rPr>
        <w:t>We market natural gas and electricity through our 100%-owned subsidiary, Agway Energ</w:t>
      </w:r>
      <w:r>
        <w:rPr>
          <w:sz w:val="20"/>
          <w:szCs w:val="20"/>
        </w:rPr>
        <w:t>y Services, LLC (“AES”), in the deregulated markets of New York, Pennsylvania and Maryland, primarily to residential and small commercial customers. Historically, local utility companies provided their customers with all three aspects of electric and natur</w:t>
      </w:r>
      <w:r>
        <w:rPr>
          <w:sz w:val="20"/>
          <w:szCs w:val="20"/>
        </w:rPr>
        <w:t xml:space="preserve">al gas service: generation, transmission and distribution. However, under deregulation, public utility commissions in several states are licensing energy service companies, such as AES, to act as alternative suppliers of the commodity to end consumers. In </w:t>
      </w:r>
      <w:r>
        <w:rPr>
          <w:sz w:val="20"/>
          <w:szCs w:val="20"/>
        </w:rPr>
        <w:t>essence, the local utility companies distribute electricity and natural gas on their distribution systems and we arrange for the supply of electricity or natural gas to specific delivery points. The business strategy of this segment is to expand its market</w:t>
      </w:r>
      <w:r>
        <w:rPr>
          <w:sz w:val="20"/>
          <w:szCs w:val="20"/>
        </w:rPr>
        <w:t xml:space="preserve"> share by concentrating on growth in the customer base and expansion into other deregulated markets that are considered strategic markets</w:t>
      </w:r>
      <w:r>
        <w:rPr>
          <w:sz w:val="20"/>
          <w:szCs w:val="20"/>
        </w:rPr>
        <w:t>.</w:t>
      </w:r>
    </w:p>
    <w:p w14:paraId="79CE7D99" w14:textId="77777777" w:rsidR="00000000" w:rsidRDefault="00832D71">
      <w:pPr>
        <w:pStyle w:val="a3"/>
        <w:spacing w:before="240" w:beforeAutospacing="0" w:after="0" w:afterAutospacing="0"/>
        <w:ind w:firstLine="555"/>
        <w:jc w:val="both"/>
        <w:rPr>
          <w:sz w:val="20"/>
          <w:szCs w:val="20"/>
        </w:rPr>
      </w:pPr>
      <w:r>
        <w:rPr>
          <w:sz w:val="20"/>
          <w:szCs w:val="20"/>
        </w:rPr>
        <w:t xml:space="preserve">We serve approximately 34,000 natural gas and electricity customers in New York, Pennsylvania and Maryland. An Order </w:t>
      </w:r>
      <w:r>
        <w:rPr>
          <w:sz w:val="20"/>
          <w:szCs w:val="20"/>
        </w:rPr>
        <w:t>from the New York Public Service Commission (“NY PSC”) regarding low income consumers went into effect in 2018 and required that all energy service companies (“ESCOs”) stop serving certain low-income consumers. A similar order also went into effect in Penn</w:t>
      </w:r>
      <w:r>
        <w:rPr>
          <w:sz w:val="20"/>
          <w:szCs w:val="20"/>
        </w:rPr>
        <w:t xml:space="preserve">sylvania in 2019. AES returned approximately 500 of its customers to local utility service in fiscal 2022 as a result of these orders. A second order (“Reset Order”) issued by the NY PSC in 2016 attempted to impose rules that would have allowed the NY PSC </w:t>
      </w:r>
      <w:r>
        <w:rPr>
          <w:sz w:val="20"/>
          <w:szCs w:val="20"/>
        </w:rPr>
        <w:t>to regulate ESCO pricing, which was subsequently challenged and struck down by the New York Supreme Court. On appeal, the New York State Court of Appeals issued a ruling in 2019 that held that the NY PSC cannot regulate ESCO pricing, but does have the abil</w:t>
      </w:r>
      <w:r>
        <w:rPr>
          <w:sz w:val="20"/>
          <w:szCs w:val="20"/>
        </w:rPr>
        <w:t>ity to restrict an ESCO’s access to the utility distribution system if the NY PSC determines that an ESCO’s pricing is not “just and reasonable.” In December 2019, the NY PSC issued an Order that imposed product, pricing, and other requirements on ESCOs (“</w:t>
      </w:r>
      <w:r>
        <w:rPr>
          <w:sz w:val="20"/>
          <w:szCs w:val="20"/>
        </w:rPr>
        <w:t>Second Reset Order”). AES was specifically and solely exempted from complying with the criteria concerning product offerings during the pendency of further rulemaking proceedings. In September 2020, the NY PSC issued another Order reaffirming the Second Re</w:t>
      </w:r>
      <w:r>
        <w:rPr>
          <w:sz w:val="20"/>
          <w:szCs w:val="20"/>
        </w:rPr>
        <w:t>set Order, including the exemption that allows AES to maintain its existing business model in New York while rulemaking proceedings continue. Separately, the State of New York issued a State of Emergency Order in March of 2020 due to the COVID-19 pandemic.</w:t>
      </w:r>
      <w:r>
        <w:rPr>
          <w:sz w:val="20"/>
          <w:szCs w:val="20"/>
        </w:rPr>
        <w:t xml:space="preserve"> While the New York State of Emergency Order for COVID-19 ended in June 2021, other state of emergency orders were issued in July 2021 and remain in effect. Under New York laws, telemarketers are prevented from making cold sales calls during states of emer</w:t>
      </w:r>
      <w:r>
        <w:rPr>
          <w:sz w:val="20"/>
          <w:szCs w:val="20"/>
        </w:rPr>
        <w:t>gency. As a result, AES halted cold call telemarketing sales efforts in New York in March 2020, and this condition continues to remain in effect as of the date of this Annual Report</w:t>
      </w:r>
      <w:r>
        <w:rPr>
          <w:sz w:val="20"/>
          <w:szCs w:val="20"/>
        </w:rPr>
        <w:t>.</w:t>
      </w:r>
      <w:r>
        <w:rPr>
          <w:sz w:val="20"/>
          <w:szCs w:val="20"/>
        </w:rPr>
        <w:t xml:space="preserve"> </w:t>
      </w:r>
    </w:p>
    <w:p w14:paraId="01B55763" w14:textId="77777777" w:rsidR="00000000" w:rsidRDefault="00832D71">
      <w:pPr>
        <w:pStyle w:val="a3"/>
        <w:spacing w:before="240" w:beforeAutospacing="0" w:after="0" w:afterAutospacing="0"/>
        <w:ind w:firstLine="555"/>
        <w:jc w:val="both"/>
        <w:rPr>
          <w:sz w:val="20"/>
          <w:szCs w:val="20"/>
        </w:rPr>
      </w:pPr>
      <w:r>
        <w:rPr>
          <w:sz w:val="20"/>
          <w:szCs w:val="20"/>
        </w:rPr>
        <w:t>During fiscal 2022, we sold approximately 1.5 million dekatherms of natu</w:t>
      </w:r>
      <w:r>
        <w:rPr>
          <w:sz w:val="20"/>
          <w:szCs w:val="20"/>
        </w:rPr>
        <w:t>ral gas and 180.3 million kilowatt hours of electricity through the natural gas and electricity segment. Approximately 87% of our customers were residential households and the remainder were small commercial and industrial customers. New accounts are obtai</w:t>
      </w:r>
      <w:r>
        <w:rPr>
          <w:sz w:val="20"/>
          <w:szCs w:val="20"/>
        </w:rPr>
        <w:t>ned through numerous marketing and advertising programs, including telemarketing, direct mail initiatives, and digital marketing campaigns. Most local utility companies that AES is actively marketing have established billing service arrangements whereby cu</w:t>
      </w:r>
      <w:r>
        <w:rPr>
          <w:sz w:val="20"/>
          <w:szCs w:val="20"/>
        </w:rPr>
        <w:t>stomers receive a single bill from the local utility company, which includes distribution charges from the local utility company, as well as supply charges for the amount of natural gas or electricity provided by AES and utilized by the customer. We have a</w:t>
      </w:r>
      <w:r>
        <w:rPr>
          <w:sz w:val="20"/>
          <w:szCs w:val="20"/>
        </w:rPr>
        <w:t>rrangements with several local utility companies that provide billing and collection services for a fee. Under these arrangements, we are paid by the local utility company for all or a portion of customer billings after a specified number of days following</w:t>
      </w:r>
      <w:r>
        <w:rPr>
          <w:sz w:val="20"/>
          <w:szCs w:val="20"/>
        </w:rPr>
        <w:t xml:space="preserve"> the customer billing with no receivables risk to AES</w:t>
      </w:r>
      <w:r>
        <w:rPr>
          <w:sz w:val="20"/>
          <w:szCs w:val="20"/>
        </w:rPr>
        <w:t>.</w:t>
      </w:r>
    </w:p>
    <w:p w14:paraId="24E62DBC" w14:textId="77777777" w:rsidR="00000000" w:rsidRDefault="00832D71">
      <w:pPr>
        <w:pStyle w:val="a3"/>
        <w:spacing w:before="240" w:beforeAutospacing="0" w:after="0" w:afterAutospacing="0"/>
        <w:ind w:firstLine="555"/>
        <w:jc w:val="both"/>
        <w:rPr>
          <w:sz w:val="20"/>
          <w:szCs w:val="20"/>
        </w:rPr>
      </w:pPr>
      <w:r>
        <w:rPr>
          <w:sz w:val="20"/>
          <w:szCs w:val="20"/>
        </w:rPr>
        <w:t>Supply of natural gas is arranged through annual supply agreements with major national wholesale suppliers. Pricing under annual natural gas supply contracts is based on posted market prices at the tim</w:t>
      </w:r>
      <w:r>
        <w:rPr>
          <w:sz w:val="20"/>
          <w:szCs w:val="20"/>
        </w:rPr>
        <w:t>e of delivery, and some contracts include a pricing formula that typically is based on prevailing market prices. The majority of our electricity requirements are purchased through the New York Independent System Operator (“NYISO”) and PJM Interconnection (</w:t>
      </w:r>
      <w:r>
        <w:rPr>
          <w:sz w:val="20"/>
          <w:szCs w:val="20"/>
        </w:rPr>
        <w:t>“PJM”) under annual supply agreements, as well as purchase arrangements through other national wholesale suppliers on the open market. Electricity pricing under the NYISO and PJM agreements are based on local market indices at the time of delivery. Competi</w:t>
      </w:r>
      <w:r>
        <w:rPr>
          <w:sz w:val="20"/>
          <w:szCs w:val="20"/>
        </w:rPr>
        <w:t>tion is primarily with local utility companies, as well as other marketers of natural gas and electricity providing similar alternatives as AES</w:t>
      </w:r>
      <w:r>
        <w:rPr>
          <w:sz w:val="20"/>
          <w:szCs w:val="20"/>
        </w:rPr>
        <w:t>.</w:t>
      </w:r>
    </w:p>
    <w:p w14:paraId="2D7544B1" w14:textId="77777777" w:rsidR="00000000" w:rsidRDefault="00832D71">
      <w:pPr>
        <w:pStyle w:val="a3"/>
        <w:spacing w:before="360" w:beforeAutospacing="0" w:after="0" w:afterAutospacing="0"/>
        <w:jc w:val="center"/>
        <w:rPr>
          <w:sz w:val="20"/>
          <w:szCs w:val="20"/>
        </w:rPr>
      </w:pPr>
      <w:r>
        <w:rPr>
          <w:b/>
          <w:bCs/>
          <w:i/>
          <w:iCs/>
          <w:sz w:val="20"/>
          <w:szCs w:val="20"/>
        </w:rPr>
        <w:t>All Othe</w:t>
      </w:r>
      <w:r>
        <w:rPr>
          <w:b/>
          <w:bCs/>
          <w:i/>
          <w:iCs/>
          <w:sz w:val="20"/>
          <w:szCs w:val="20"/>
        </w:rPr>
        <w:t>r</w:t>
      </w:r>
    </w:p>
    <w:p w14:paraId="06D8F80C" w14:textId="77777777" w:rsidR="00000000" w:rsidRDefault="00832D71">
      <w:pPr>
        <w:pStyle w:val="a3"/>
        <w:spacing w:before="240" w:beforeAutospacing="0" w:after="0" w:afterAutospacing="0"/>
        <w:ind w:firstLine="555"/>
        <w:jc w:val="both"/>
        <w:rPr>
          <w:sz w:val="20"/>
          <w:szCs w:val="20"/>
        </w:rPr>
      </w:pPr>
      <w:r>
        <w:rPr>
          <w:sz w:val="20"/>
          <w:szCs w:val="20"/>
        </w:rPr>
        <w:t>We sell, install and service various types of whole-house heating products, air cleaners, humidifiers</w:t>
      </w:r>
      <w:r>
        <w:rPr>
          <w:sz w:val="20"/>
          <w:szCs w:val="20"/>
        </w:rPr>
        <w:t xml:space="preserve"> and space heaters to the customers of our propane and fuel oil businesses. Our supply needs are filled through supply arrangements with several large regional equipment manufacturers and distribution companies. Competition in this business is primarily wi</w:t>
      </w:r>
      <w:r>
        <w:rPr>
          <w:sz w:val="20"/>
          <w:szCs w:val="20"/>
        </w:rPr>
        <w:t>th small, local heating and ventilation providers and contractors, as well as, to a lesser extent, other regional service providers. The focus of our ongoing service offerings are in support of the service needs of our existing customer base within our pro</w:t>
      </w:r>
      <w:r>
        <w:rPr>
          <w:sz w:val="20"/>
          <w:szCs w:val="20"/>
        </w:rPr>
        <w:t>pane and refined fuels business segments. Additionally, we have entered into arrangements with third-party service providers to complement and, in certain instances, supplement our existin</w:t>
      </w:r>
      <w:r>
        <w:rPr>
          <w:sz w:val="20"/>
          <w:szCs w:val="20"/>
        </w:rPr>
        <w:t>g</w:t>
      </w:r>
      <w:r>
        <w:rPr>
          <w:sz w:val="20"/>
          <w:szCs w:val="20"/>
        </w:rPr>
        <w:t xml:space="preserve"> </w:t>
      </w:r>
    </w:p>
    <w:p w14:paraId="4CB08B3F" w14:textId="77777777" w:rsidR="00000000" w:rsidRDefault="00832D71">
      <w:pPr>
        <w:pStyle w:val="a3"/>
        <w:spacing w:before="0" w:beforeAutospacing="0" w:after="0" w:afterAutospacing="0"/>
        <w:jc w:val="center"/>
        <w:rPr>
          <w:sz w:val="20"/>
          <w:szCs w:val="20"/>
        </w:rPr>
      </w:pPr>
      <w:r>
        <w:rPr>
          <w:sz w:val="20"/>
          <w:szCs w:val="20"/>
        </w:rPr>
        <w:t> </w:t>
      </w:r>
    </w:p>
    <w:p w14:paraId="2BDAD424" w14:textId="77777777" w:rsidR="00000000" w:rsidRDefault="00832D71">
      <w:pPr>
        <w:pStyle w:val="a3"/>
        <w:spacing w:before="0" w:beforeAutospacing="0" w:after="0" w:afterAutospacing="0"/>
        <w:jc w:val="center"/>
        <w:rPr>
          <w:sz w:val="20"/>
          <w:szCs w:val="20"/>
        </w:rPr>
      </w:pPr>
      <w:r>
        <w:rPr>
          <w:sz w:val="20"/>
          <w:szCs w:val="20"/>
        </w:rPr>
        <w:t>6</w:t>
      </w:r>
    </w:p>
    <w:p w14:paraId="05094445" w14:textId="77777777" w:rsidR="00000000" w:rsidRDefault="00832D71">
      <w:pPr>
        <w:rPr>
          <w:rFonts w:eastAsia="Times New Roman"/>
        </w:rPr>
      </w:pPr>
      <w:r>
        <w:rPr>
          <w:rFonts w:eastAsia="Times New Roman"/>
        </w:rPr>
        <w:pict w14:anchorId="0A33EBCF">
          <v:rect id="_x0000_i1033" style="width:0;height:1.5pt" o:hralign="center" o:hrstd="t" o:hr="t" fillcolor="#a0a0a0" stroked="f"/>
        </w:pict>
      </w:r>
    </w:p>
    <w:p w14:paraId="4F8CC0B7"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65CA086A" w14:textId="77777777" w:rsidR="00000000" w:rsidRDefault="00832D71">
      <w:pPr>
        <w:pStyle w:val="a3"/>
        <w:spacing w:before="240" w:beforeAutospacing="0" w:after="0" w:afterAutospacing="0"/>
        <w:jc w:val="both"/>
        <w:rPr>
          <w:sz w:val="20"/>
          <w:szCs w:val="20"/>
        </w:rPr>
      </w:pPr>
      <w:r>
        <w:rPr>
          <w:sz w:val="20"/>
          <w:szCs w:val="20"/>
        </w:rPr>
        <w:t>service capabilities. Our equity investment in IH and investments in biodigester systems for the production of RNG are included within “all other”</w:t>
      </w:r>
      <w:r>
        <w:rPr>
          <w:sz w:val="20"/>
          <w:szCs w:val="20"/>
        </w:rPr>
        <w:t>.</w:t>
      </w:r>
    </w:p>
    <w:p w14:paraId="12B1C5D8" w14:textId="77777777" w:rsidR="00000000" w:rsidRDefault="00832D71">
      <w:pPr>
        <w:pStyle w:val="a3"/>
        <w:spacing w:before="360" w:beforeAutospacing="0" w:after="0" w:afterAutospacing="0"/>
        <w:jc w:val="both"/>
        <w:rPr>
          <w:sz w:val="20"/>
          <w:szCs w:val="20"/>
        </w:rPr>
      </w:pPr>
      <w:r>
        <w:rPr>
          <w:b/>
          <w:bCs/>
          <w:sz w:val="20"/>
          <w:szCs w:val="20"/>
        </w:rPr>
        <w:t>Seasonalit</w:t>
      </w:r>
      <w:r>
        <w:rPr>
          <w:b/>
          <w:bCs/>
          <w:sz w:val="20"/>
          <w:szCs w:val="20"/>
        </w:rPr>
        <w:t>y</w:t>
      </w:r>
    </w:p>
    <w:p w14:paraId="48FFA232" w14:textId="77777777" w:rsidR="00000000" w:rsidRDefault="00832D71">
      <w:pPr>
        <w:pStyle w:val="a3"/>
        <w:spacing w:before="120" w:beforeAutospacing="0" w:after="0" w:afterAutospacing="0"/>
        <w:ind w:firstLine="555"/>
        <w:jc w:val="both"/>
        <w:rPr>
          <w:sz w:val="20"/>
          <w:szCs w:val="20"/>
        </w:rPr>
      </w:pPr>
      <w:r>
        <w:rPr>
          <w:sz w:val="20"/>
          <w:szCs w:val="20"/>
        </w:rPr>
        <w:t>The retail propane and fuel oil distri</w:t>
      </w:r>
      <w:r>
        <w:rPr>
          <w:sz w:val="20"/>
          <w:szCs w:val="20"/>
        </w:rPr>
        <w:t>bution businesses, as well as the natural gas marketing business, are seasonal because the primary use of these fuels is for heating residential and commercial buildings. Historically, approximately two</w:t>
      </w:r>
      <w:r>
        <w:rPr>
          <w:sz w:val="20"/>
          <w:szCs w:val="20"/>
        </w:rPr>
        <w:noBreakHyphen/>
        <w:t>thirds of our retail propane volume is sold during th</w:t>
      </w:r>
      <w:r>
        <w:rPr>
          <w:sz w:val="20"/>
          <w:szCs w:val="20"/>
        </w:rPr>
        <w:t>e six-month peak heating season from October through March. The fuel oil business tends to experience greater seasonality given its more limited use for space heating, and approximately three-fourths of our fuel oil volumes are sold between October and Mar</w:t>
      </w:r>
      <w:r>
        <w:rPr>
          <w:sz w:val="20"/>
          <w:szCs w:val="20"/>
        </w:rPr>
        <w:t>ch. Consequently, sales and operating profits are concentrated in our first and second fiscal quarters. Cash flows from operations, therefore, are greatest during the second and third fiscal quarters when customers pay for product purchased during the wint</w:t>
      </w:r>
      <w:r>
        <w:rPr>
          <w:sz w:val="20"/>
          <w:szCs w:val="20"/>
        </w:rPr>
        <w:t>er heating season. We expect lower operating profits and either net losses or lower net income during the period from April through September (our third and fourth fiscal quarters)</w:t>
      </w:r>
      <w:r>
        <w:rPr>
          <w:sz w:val="20"/>
          <w:szCs w:val="20"/>
        </w:rPr>
        <w:t>.</w:t>
      </w:r>
    </w:p>
    <w:p w14:paraId="11FE30E2" w14:textId="77777777" w:rsidR="00000000" w:rsidRDefault="00832D71">
      <w:pPr>
        <w:pStyle w:val="a3"/>
        <w:spacing w:before="240" w:beforeAutospacing="0" w:after="0" w:afterAutospacing="0"/>
        <w:ind w:firstLine="555"/>
        <w:jc w:val="both"/>
        <w:rPr>
          <w:sz w:val="20"/>
          <w:szCs w:val="20"/>
        </w:rPr>
      </w:pPr>
      <w:r>
        <w:rPr>
          <w:sz w:val="20"/>
          <w:szCs w:val="20"/>
        </w:rPr>
        <w:t>Weather conditions have a significant impact on the demand for our product</w:t>
      </w:r>
      <w:r>
        <w:rPr>
          <w:sz w:val="20"/>
          <w:szCs w:val="20"/>
        </w:rPr>
        <w:t xml:space="preserve">s, in particular propane, fuel oil and natural gas, for both heating and agricultural purposes. Many of our customers rely on propane, fuel oil or natural gas primarily as a heating source. Accordingly, the volume sold is directly affected by the severity </w:t>
      </w:r>
      <w:r>
        <w:rPr>
          <w:sz w:val="20"/>
          <w:szCs w:val="20"/>
        </w:rPr>
        <w:t>of the winter weather in our service areas, which can vary substantially from year to year. In any given area, sustained warmer than normal temperatures will tend to result in reduced propane, fuel oil and natural gas consumption, while sustained colder th</w:t>
      </w:r>
      <w:r>
        <w:rPr>
          <w:sz w:val="20"/>
          <w:szCs w:val="20"/>
        </w:rPr>
        <w:t>an normal temperatures will tend to result in greater consumption</w:t>
      </w:r>
      <w:r>
        <w:rPr>
          <w:sz w:val="20"/>
          <w:szCs w:val="20"/>
        </w:rPr>
        <w:t>.</w:t>
      </w:r>
    </w:p>
    <w:p w14:paraId="5FA603F9" w14:textId="77777777" w:rsidR="00000000" w:rsidRDefault="00832D71">
      <w:pPr>
        <w:pStyle w:val="a3"/>
        <w:spacing w:before="360" w:beforeAutospacing="0" w:after="0" w:afterAutospacing="0"/>
        <w:jc w:val="both"/>
        <w:rPr>
          <w:sz w:val="20"/>
          <w:szCs w:val="20"/>
        </w:rPr>
      </w:pPr>
      <w:r>
        <w:rPr>
          <w:b/>
          <w:bCs/>
          <w:sz w:val="20"/>
          <w:szCs w:val="20"/>
        </w:rPr>
        <w:t>Trademarks and Tradename</w:t>
      </w:r>
      <w:r>
        <w:rPr>
          <w:b/>
          <w:bCs/>
          <w:sz w:val="20"/>
          <w:szCs w:val="20"/>
        </w:rPr>
        <w:t>s</w:t>
      </w:r>
    </w:p>
    <w:p w14:paraId="7EF3584C" w14:textId="77777777" w:rsidR="00000000" w:rsidRDefault="00832D71">
      <w:pPr>
        <w:pStyle w:val="a3"/>
        <w:spacing w:before="120" w:beforeAutospacing="0" w:after="0" w:afterAutospacing="0"/>
        <w:ind w:firstLine="555"/>
        <w:jc w:val="both"/>
        <w:rPr>
          <w:sz w:val="20"/>
          <w:szCs w:val="20"/>
        </w:rPr>
      </w:pPr>
      <w:r>
        <w:rPr>
          <w:sz w:val="20"/>
          <w:szCs w:val="20"/>
        </w:rPr>
        <w:t xml:space="preserve">We rely primarily on a combination of trademark, trade secret and copyright laws, as well as contractual provisions with employees and third parties, to establish </w:t>
      </w:r>
      <w:r>
        <w:rPr>
          <w:sz w:val="20"/>
          <w:szCs w:val="20"/>
        </w:rPr>
        <w:t>and protect our intellectual property rights. We utilize a variety of trademarks and tradenames owned by us, including “Suburban Propane,” and “Agway Energy Services” and related marks or designs incorporating such related logos such as “Go Green with Subu</w:t>
      </w:r>
      <w:r>
        <w:rPr>
          <w:sz w:val="20"/>
          <w:szCs w:val="20"/>
        </w:rPr>
        <w:t>rban Propane” and “Energy Guard.” All of the trademarks and tradenames used by Suburban Propane and Agway Energy Services are registered (or have applications pending for registration) with the U.S. Patent and Trademark Office. We regard our trademarks, tr</w:t>
      </w:r>
      <w:r>
        <w:rPr>
          <w:sz w:val="20"/>
          <w:szCs w:val="20"/>
        </w:rPr>
        <w:t>adenames and other proprietary rights as valuable assets and believe that they have significant value in the marketing of our products and services</w:t>
      </w:r>
      <w:r>
        <w:rPr>
          <w:sz w:val="20"/>
          <w:szCs w:val="20"/>
        </w:rPr>
        <w:t>.</w:t>
      </w:r>
      <w:r>
        <w:rPr>
          <w:sz w:val="20"/>
          <w:szCs w:val="20"/>
        </w:rPr>
        <w:t xml:space="preserve"> </w:t>
      </w:r>
    </w:p>
    <w:p w14:paraId="588F4A94" w14:textId="77777777" w:rsidR="00000000" w:rsidRDefault="00832D71">
      <w:pPr>
        <w:pStyle w:val="a3"/>
        <w:spacing w:before="360" w:beforeAutospacing="0" w:after="0" w:afterAutospacing="0"/>
        <w:jc w:val="both"/>
        <w:rPr>
          <w:sz w:val="20"/>
          <w:szCs w:val="20"/>
        </w:rPr>
      </w:pPr>
      <w:r>
        <w:rPr>
          <w:b/>
          <w:bCs/>
          <w:sz w:val="20"/>
          <w:szCs w:val="20"/>
        </w:rPr>
        <w:t>Government Regulation; Environmental, Health and Safety Matter</w:t>
      </w:r>
      <w:r>
        <w:rPr>
          <w:b/>
          <w:bCs/>
          <w:sz w:val="20"/>
          <w:szCs w:val="20"/>
        </w:rPr>
        <w:t>s</w:t>
      </w:r>
    </w:p>
    <w:p w14:paraId="0C2CEA0F" w14:textId="77777777" w:rsidR="00000000" w:rsidRDefault="00832D71">
      <w:pPr>
        <w:pStyle w:val="a3"/>
        <w:spacing w:before="120" w:beforeAutospacing="0" w:after="0" w:afterAutospacing="0"/>
        <w:ind w:firstLine="555"/>
        <w:jc w:val="both"/>
        <w:rPr>
          <w:sz w:val="20"/>
          <w:szCs w:val="20"/>
        </w:rPr>
      </w:pPr>
      <w:r>
        <w:rPr>
          <w:sz w:val="20"/>
          <w:szCs w:val="20"/>
        </w:rPr>
        <w:t>Our operations are subject to numerous fed</w:t>
      </w:r>
      <w:r>
        <w:rPr>
          <w:sz w:val="20"/>
          <w:szCs w:val="20"/>
        </w:rPr>
        <w:t>eral, state and local environmental, health and safety laws and regulations. Generally, these laws and regulations impose limitations on the discharge of hazardous materials and pollutants and establish standards for the handling, transportation, distribut</w:t>
      </w:r>
      <w:r>
        <w:rPr>
          <w:sz w:val="20"/>
          <w:szCs w:val="20"/>
        </w:rPr>
        <w:t>ion, treatment, storage and disposal of hazardous materials and solid and hazardous wastes, which may require the investigation, assessment, cleanup, or monitoring of, or compensation for, environmental impacts, including natural resource damages. Notably,</w:t>
      </w:r>
      <w:r>
        <w:rPr>
          <w:sz w:val="20"/>
          <w:szCs w:val="20"/>
        </w:rPr>
        <w:t xml:space="preserve"> these laws include the federal Comprehensive Environmental Response, Compensation, and Liability Act (“CERCLA”); Resource Conservation and Recovery Act (“RCRA”); Clean Air Act; Clean Water Act; National Environmental Policy Act, and their implementing reg</w:t>
      </w:r>
      <w:r>
        <w:rPr>
          <w:sz w:val="20"/>
          <w:szCs w:val="20"/>
        </w:rPr>
        <w:t>ulations, as well as comparable state laws and regulations. Additionally, there are environmental laws and regulations specific to the sale of electricity and natural gas in the retail energy market by our wholly owned subsidiary Agway Energy Services, LLC</w:t>
      </w:r>
      <w:r>
        <w:rPr>
          <w:sz w:val="20"/>
          <w:szCs w:val="20"/>
        </w:rPr>
        <w:t>. Under the various laws and regulations to which we are subject, we must maintain various permits and comply with various monitoring and reporting requirements</w:t>
      </w:r>
      <w:r>
        <w:rPr>
          <w:sz w:val="20"/>
          <w:szCs w:val="20"/>
        </w:rPr>
        <w:t>.</w:t>
      </w:r>
    </w:p>
    <w:p w14:paraId="321BF035" w14:textId="77777777" w:rsidR="00000000" w:rsidRDefault="00832D71">
      <w:pPr>
        <w:pStyle w:val="a3"/>
        <w:spacing w:before="240" w:beforeAutospacing="0" w:after="0" w:afterAutospacing="0"/>
        <w:ind w:firstLine="555"/>
        <w:jc w:val="both"/>
        <w:rPr>
          <w:sz w:val="20"/>
          <w:szCs w:val="20"/>
        </w:rPr>
      </w:pPr>
      <w:r>
        <w:rPr>
          <w:sz w:val="20"/>
          <w:szCs w:val="20"/>
        </w:rPr>
        <w:t>We own real property at locations where hazardous materials may be or may have been present as</w:t>
      </w:r>
      <w:r>
        <w:rPr>
          <w:sz w:val="20"/>
          <w:szCs w:val="20"/>
        </w:rPr>
        <w:t xml:space="preserve"> a result of prior activities. We expect that we will be required to expend funds to participate in the remediation of certain sites, including sites where we have been designated as a potentially responsible party under applicable laws and at sites with a</w:t>
      </w:r>
      <w:r>
        <w:rPr>
          <w:sz w:val="20"/>
          <w:szCs w:val="20"/>
        </w:rPr>
        <w:t>boveground and underground fuel storage tanks. We will also incur other expenses associated with environmental compliance. We continually monitor our operations with respect to potential environmental issues, including changes in legal requirements and rem</w:t>
      </w:r>
      <w:r>
        <w:rPr>
          <w:sz w:val="20"/>
          <w:szCs w:val="20"/>
        </w:rPr>
        <w:t>ediation technologies. As of September 24, 2022, we had accrued environmental liabilities of $1.5 million representing the total estimated future liability for remediation and monitoring of all of our properties</w:t>
      </w:r>
      <w:r>
        <w:rPr>
          <w:sz w:val="20"/>
          <w:szCs w:val="20"/>
        </w:rPr>
        <w:t>.</w:t>
      </w:r>
    </w:p>
    <w:p w14:paraId="74DAE1EA" w14:textId="77777777" w:rsidR="00000000" w:rsidRDefault="00832D71">
      <w:pPr>
        <w:pStyle w:val="a3"/>
        <w:spacing w:before="240" w:beforeAutospacing="0" w:after="0" w:afterAutospacing="0"/>
        <w:ind w:firstLine="555"/>
        <w:jc w:val="both"/>
        <w:rPr>
          <w:sz w:val="20"/>
          <w:szCs w:val="20"/>
        </w:rPr>
      </w:pPr>
      <w:r>
        <w:rPr>
          <w:sz w:val="20"/>
          <w:szCs w:val="20"/>
        </w:rPr>
        <w:t>Estimating the extent of our responsibility</w:t>
      </w:r>
      <w:r>
        <w:rPr>
          <w:sz w:val="20"/>
          <w:szCs w:val="20"/>
        </w:rPr>
        <w:t xml:space="preserve"> at a particular site, and the method and ultimate cost of remediation and monitoring of that site, requires making numerous assumptions. As a result, the ultimate cost to remediate and monitor any site may differ from current estimates, and will depend, i</w:t>
      </w:r>
      <w:r>
        <w:rPr>
          <w:sz w:val="20"/>
          <w:szCs w:val="20"/>
        </w:rPr>
        <w:t xml:space="preserve">n part, on whether there is additional contamination, not currently known to us, relating to that site. However, we believe that our past experience provides a reasonable basis for estimating these liabilities. As additional information becomes available, </w:t>
      </w:r>
      <w:r>
        <w:rPr>
          <w:sz w:val="20"/>
          <w:szCs w:val="20"/>
        </w:rPr>
        <w:t>estimates are adjusted as necessary. While we do not anticipate that any such adjustment would be material to our financial statements, the result of ongoing or future environmental studies or other factors could alter this expectation and require recordin</w:t>
      </w:r>
      <w:r>
        <w:rPr>
          <w:sz w:val="20"/>
          <w:szCs w:val="20"/>
        </w:rPr>
        <w:t>g additional liabilities. We currently cannot determine whether we will incur additional environmental liabilities or the extent or amount of any such liabilities, or the extent to which such additional liabilities would be subject to any contractual indem</w:t>
      </w:r>
      <w:r>
        <w:rPr>
          <w:sz w:val="20"/>
          <w:szCs w:val="20"/>
        </w:rPr>
        <w:t>nification protections</w:t>
      </w:r>
      <w:r>
        <w:rPr>
          <w:sz w:val="20"/>
          <w:szCs w:val="20"/>
        </w:rPr>
        <w:t>.</w:t>
      </w:r>
    </w:p>
    <w:p w14:paraId="0C19C4D9" w14:textId="77777777" w:rsidR="00000000" w:rsidRDefault="00832D71">
      <w:pPr>
        <w:pStyle w:val="a3"/>
        <w:spacing w:before="0" w:beforeAutospacing="0" w:after="0" w:afterAutospacing="0"/>
        <w:jc w:val="center"/>
        <w:rPr>
          <w:sz w:val="20"/>
          <w:szCs w:val="20"/>
        </w:rPr>
      </w:pPr>
      <w:r>
        <w:rPr>
          <w:sz w:val="20"/>
          <w:szCs w:val="20"/>
        </w:rPr>
        <w:t> </w:t>
      </w:r>
    </w:p>
    <w:p w14:paraId="53A16F9B" w14:textId="77777777" w:rsidR="00000000" w:rsidRDefault="00832D71">
      <w:pPr>
        <w:pStyle w:val="a3"/>
        <w:spacing w:before="0" w:beforeAutospacing="0" w:after="0" w:afterAutospacing="0"/>
        <w:jc w:val="center"/>
        <w:rPr>
          <w:sz w:val="20"/>
          <w:szCs w:val="20"/>
        </w:rPr>
      </w:pPr>
      <w:r>
        <w:rPr>
          <w:sz w:val="20"/>
          <w:szCs w:val="20"/>
        </w:rPr>
        <w:t>7</w:t>
      </w:r>
    </w:p>
    <w:p w14:paraId="73435EAE" w14:textId="77777777" w:rsidR="00000000" w:rsidRDefault="00832D71">
      <w:pPr>
        <w:rPr>
          <w:rFonts w:eastAsia="Times New Roman"/>
        </w:rPr>
      </w:pPr>
      <w:r>
        <w:rPr>
          <w:rFonts w:eastAsia="Times New Roman"/>
        </w:rPr>
        <w:pict w14:anchorId="04EA253E">
          <v:rect id="_x0000_i1034" style="width:0;height:1.5pt" o:hralign="center" o:hrstd="t" o:hr="t" fillcolor="#a0a0a0" stroked="f"/>
        </w:pict>
      </w:r>
    </w:p>
    <w:p w14:paraId="7A941D16"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1F2CDA24" w14:textId="77777777" w:rsidR="00000000" w:rsidRDefault="00832D71">
      <w:pPr>
        <w:pStyle w:val="a3"/>
        <w:spacing w:before="240" w:beforeAutospacing="0" w:after="0" w:afterAutospacing="0"/>
        <w:ind w:firstLine="555"/>
        <w:jc w:val="both"/>
        <w:rPr>
          <w:sz w:val="20"/>
          <w:szCs w:val="20"/>
        </w:rPr>
      </w:pPr>
      <w:r>
        <w:rPr>
          <w:sz w:val="20"/>
          <w:szCs w:val="20"/>
        </w:rPr>
        <w:t>Certain rules and procedures imposed by the National Fire Protection Association (“NFPA”), as well as comparable state laws and regula</w:t>
      </w:r>
      <w:r>
        <w:rPr>
          <w:sz w:val="20"/>
          <w:szCs w:val="20"/>
        </w:rPr>
        <w:t xml:space="preserve">tions, govern the safe handling of propane and establish industry standards for propane storage, distribution and equipment installation and operation in all of the states in which we operate. In some states, these laws and regulations are administered by </w:t>
      </w:r>
      <w:r>
        <w:rPr>
          <w:sz w:val="20"/>
          <w:szCs w:val="20"/>
        </w:rPr>
        <w:t>state agencies, and in others they are administered on a municipal level</w:t>
      </w:r>
      <w:r>
        <w:rPr>
          <w:sz w:val="20"/>
          <w:szCs w:val="20"/>
        </w:rPr>
        <w:t>.</w:t>
      </w:r>
      <w:r>
        <w:rPr>
          <w:sz w:val="20"/>
          <w:szCs w:val="20"/>
        </w:rPr>
        <w:t xml:space="preserve"> </w:t>
      </w:r>
    </w:p>
    <w:p w14:paraId="16B96861" w14:textId="77777777" w:rsidR="00000000" w:rsidRDefault="00832D71">
      <w:pPr>
        <w:pStyle w:val="a3"/>
        <w:spacing w:before="240" w:beforeAutospacing="0" w:after="0" w:afterAutospacing="0"/>
        <w:ind w:firstLine="555"/>
        <w:jc w:val="both"/>
        <w:rPr>
          <w:sz w:val="20"/>
          <w:szCs w:val="20"/>
        </w:rPr>
      </w:pPr>
      <w:r>
        <w:rPr>
          <w:sz w:val="20"/>
          <w:szCs w:val="20"/>
        </w:rPr>
        <w:t>The NFPA’s rules and procedures, as well as comparable state laws and regulations govern the safe handling of distillates (fuel oil, kerosene and diesel fuel) and gasoline and estab</w:t>
      </w:r>
      <w:r>
        <w:rPr>
          <w:sz w:val="20"/>
          <w:szCs w:val="20"/>
        </w:rPr>
        <w:t>lish industry standards for fuel oil, kerosene, diesel fuel and gasoline storage, distribution and equipment installation and operation in all of the states in which we sell those products. In some states these laws and regulations are administered by stat</w:t>
      </w:r>
      <w:r>
        <w:rPr>
          <w:sz w:val="20"/>
          <w:szCs w:val="20"/>
        </w:rPr>
        <w:t>e agencies and in others they are administered on a municipal level</w:t>
      </w:r>
      <w:r>
        <w:rPr>
          <w:sz w:val="20"/>
          <w:szCs w:val="20"/>
        </w:rPr>
        <w:t>.</w:t>
      </w:r>
      <w:r>
        <w:rPr>
          <w:sz w:val="20"/>
          <w:szCs w:val="20"/>
        </w:rPr>
        <w:t xml:space="preserve"> </w:t>
      </w:r>
    </w:p>
    <w:p w14:paraId="61E607C9" w14:textId="77777777" w:rsidR="00000000" w:rsidRDefault="00832D71">
      <w:pPr>
        <w:pStyle w:val="a3"/>
        <w:spacing w:before="240" w:beforeAutospacing="0" w:after="0" w:afterAutospacing="0"/>
        <w:ind w:firstLine="555"/>
        <w:jc w:val="both"/>
        <w:rPr>
          <w:sz w:val="20"/>
          <w:szCs w:val="20"/>
        </w:rPr>
      </w:pPr>
      <w:r>
        <w:rPr>
          <w:sz w:val="20"/>
          <w:szCs w:val="20"/>
        </w:rPr>
        <w:t>With respect to the transportation of propane, distillates and gasoline by truck, we are subject to laws and regulations that cover the transportation of hazardous materials and are admi</w:t>
      </w:r>
      <w:r>
        <w:rPr>
          <w:sz w:val="20"/>
          <w:szCs w:val="20"/>
        </w:rPr>
        <w:t>nistered, respectively, by the Federal Motor Carrier Safety Administration and the Pipeline and Hazardous Materials Safety Administration of the United States Department of Transportation (“DOT”), or comparable state agencies. We conduct ongoing training p</w:t>
      </w:r>
      <w:r>
        <w:rPr>
          <w:sz w:val="20"/>
          <w:szCs w:val="20"/>
        </w:rPr>
        <w:t>rograms to help ensure that our operations are in compliance with these and other applicable safety laws and regulations. We maintain various permits that are necessary to operate our equipment and facilities, some of which may be material to our operation</w:t>
      </w:r>
      <w:r>
        <w:rPr>
          <w:sz w:val="20"/>
          <w:szCs w:val="20"/>
        </w:rPr>
        <w:t>s. In compliance with the DOT’s pipeline safety regulations for “jurisdictional” propane systems that serve multiple customers, we provide training and written instruction for our employees, provide customers with periodic awareness notices and safety info</w:t>
      </w:r>
      <w:r>
        <w:rPr>
          <w:sz w:val="20"/>
          <w:szCs w:val="20"/>
        </w:rPr>
        <w:t>rmation, have established written procedures to minimize the hazards resulting from gas pipeline emergencies and keep records of inspections</w:t>
      </w:r>
      <w:r>
        <w:rPr>
          <w:sz w:val="20"/>
          <w:szCs w:val="20"/>
        </w:rPr>
        <w:t>.</w:t>
      </w:r>
      <w:r>
        <w:rPr>
          <w:sz w:val="20"/>
          <w:szCs w:val="20"/>
        </w:rPr>
        <w:t xml:space="preserve"> </w:t>
      </w:r>
    </w:p>
    <w:p w14:paraId="50C58CD9" w14:textId="77777777" w:rsidR="00000000" w:rsidRDefault="00832D71">
      <w:pPr>
        <w:pStyle w:val="a3"/>
        <w:spacing w:before="240" w:beforeAutospacing="0" w:after="0" w:afterAutospacing="0"/>
        <w:ind w:firstLine="555"/>
        <w:jc w:val="both"/>
        <w:rPr>
          <w:sz w:val="20"/>
          <w:szCs w:val="20"/>
        </w:rPr>
      </w:pPr>
      <w:r>
        <w:rPr>
          <w:sz w:val="20"/>
          <w:szCs w:val="20"/>
        </w:rPr>
        <w:t xml:space="preserve">Our operations are subject to workplace safety standards under the Federal Occupational Safety and Health Act of </w:t>
      </w:r>
      <w:r>
        <w:rPr>
          <w:sz w:val="20"/>
          <w:szCs w:val="20"/>
        </w:rPr>
        <w:t>1970 (“OSHA”) and comparable state laws that regulate the protection of worker health and safety. Compliance with these standards is monitored through required workplace injury and illness recordkeeping, and reporting. We believe that our operations are in</w:t>
      </w:r>
      <w:r>
        <w:rPr>
          <w:sz w:val="20"/>
          <w:szCs w:val="20"/>
        </w:rPr>
        <w:t xml:space="preserve"> compliance, in all material respects, with applicable worker health and safety standards. We are also subject to laws and regulations governing the security of hazardous materials, including propane, under the Federal Homeland Security Act of 2002, as adm</w:t>
      </w:r>
      <w:r>
        <w:rPr>
          <w:sz w:val="20"/>
          <w:szCs w:val="20"/>
        </w:rPr>
        <w:t xml:space="preserve">inistered by the Department of Homeland Security (“DHS”). The DHS promulgated the Chemical Facility Anti-Terrorism Standards (“CFATS”) to identify and secure chemical facilities that present the greatest security risk using a risk-based tiering structure. </w:t>
      </w:r>
      <w:r>
        <w:rPr>
          <w:sz w:val="20"/>
          <w:szCs w:val="20"/>
        </w:rPr>
        <w:t>We have a number of facilities registered with the DHS, now referred to as the “Cybersecurity and Infrastructure Security Agency” or “CISA”</w:t>
      </w:r>
      <w:r>
        <w:rPr>
          <w:sz w:val="20"/>
          <w:szCs w:val="20"/>
        </w:rPr>
        <w:t>.</w:t>
      </w:r>
      <w:r>
        <w:rPr>
          <w:sz w:val="20"/>
          <w:szCs w:val="20"/>
        </w:rPr>
        <w:t xml:space="preserve"> </w:t>
      </w:r>
    </w:p>
    <w:p w14:paraId="45B95113" w14:textId="77777777" w:rsidR="00000000" w:rsidRDefault="00832D71">
      <w:pPr>
        <w:pStyle w:val="a3"/>
        <w:spacing w:before="240" w:beforeAutospacing="0" w:after="0" w:afterAutospacing="0"/>
        <w:ind w:firstLine="555"/>
        <w:jc w:val="both"/>
        <w:rPr>
          <w:sz w:val="20"/>
          <w:szCs w:val="20"/>
        </w:rPr>
      </w:pPr>
      <w:r>
        <w:rPr>
          <w:sz w:val="20"/>
          <w:szCs w:val="20"/>
        </w:rPr>
        <w:t>Currently, we have submitted all required Top-Screens as defined by CISA and have developed approved Site Security</w:t>
      </w:r>
      <w:r>
        <w:rPr>
          <w:sz w:val="20"/>
          <w:szCs w:val="20"/>
        </w:rPr>
        <w:t xml:space="preserve"> Plans for our regulated or “tiered” facilities. Less than 5% of our facilities are designated as tiered facilities. We expect to continue to incur minor costs associated with administrative controls and enhanced cyber and physical security measures for th</w:t>
      </w:r>
      <w:r>
        <w:rPr>
          <w:sz w:val="20"/>
          <w:szCs w:val="20"/>
        </w:rPr>
        <w:t>ose tiered facilities that are subject to ongoing compliance activity</w:t>
      </w:r>
      <w:r>
        <w:rPr>
          <w:sz w:val="20"/>
          <w:szCs w:val="20"/>
        </w:rPr>
        <w:t>.</w:t>
      </w:r>
    </w:p>
    <w:p w14:paraId="7168237C" w14:textId="77777777" w:rsidR="00000000" w:rsidRDefault="00832D71">
      <w:pPr>
        <w:pStyle w:val="a3"/>
        <w:spacing w:before="240" w:beforeAutospacing="0" w:after="0" w:afterAutospacing="0"/>
        <w:ind w:firstLine="555"/>
        <w:jc w:val="both"/>
        <w:rPr>
          <w:sz w:val="20"/>
          <w:szCs w:val="20"/>
        </w:rPr>
      </w:pPr>
      <w:r>
        <w:rPr>
          <w:sz w:val="20"/>
          <w:szCs w:val="20"/>
        </w:rPr>
        <w:t>In 2009 the U.S. Environmental Protection Agency (“EPA”</w:t>
      </w:r>
      <w:r>
        <w:rPr>
          <w:sz w:val="20"/>
          <w:szCs w:val="20"/>
        </w:rPr>
        <w:t xml:space="preserve">) issued an Endangerment Finding under the Clean Air Act, determining that emissions of carbon dioxide, methane and four other greenhouse gases (“GHGs”) threaten the public health and welfare of current and future generations. Based on these findings, the </w:t>
      </w:r>
      <w:r>
        <w:rPr>
          <w:sz w:val="20"/>
          <w:szCs w:val="20"/>
        </w:rPr>
        <w:t>EPA has implemented regulations to restrict emissions of GHGs from certain industries and require reporting by certain regulated entities. While the Partnership is not a regulated entity and propane is not a greenhouse gas, these regulations impact both ou</w:t>
      </w:r>
      <w:r>
        <w:rPr>
          <w:sz w:val="20"/>
          <w:szCs w:val="20"/>
        </w:rPr>
        <w:t>r core business, as well as the retail sale of electricity and natural gas by AES. In June 2022, the U.S. Supreme Court issued a decision in West Virginia v. EPA, which did not preclude, but instead limited the EPA’s ability to regulate GHGs absent clear c</w:t>
      </w:r>
      <w:r>
        <w:rPr>
          <w:sz w:val="20"/>
          <w:szCs w:val="20"/>
        </w:rPr>
        <w:t>ongressional authorization. The Court determined that the EPA’s emission reduction measures requiring an industry-wide shift in electricity production from coal- and natural gas-fired power plants to renewable power sources require specific congressional a</w:t>
      </w:r>
      <w:r>
        <w:rPr>
          <w:sz w:val="20"/>
          <w:szCs w:val="20"/>
        </w:rPr>
        <w:t>uthorization which had not been given under the Clean Air Act. In August 2022, the Inflation Reduction Act of 2022 (the “Inflation Reduction Act”) was signed into law. The Inflation Reduction Act includes tax credits and other incentives intended to combat</w:t>
      </w:r>
      <w:r>
        <w:rPr>
          <w:sz w:val="20"/>
          <w:szCs w:val="20"/>
        </w:rPr>
        <w:t xml:space="preserve"> climate change by advancing decarbonization and promoting increased investment in renewable and low carbon intensity energy</w:t>
      </w:r>
      <w:r>
        <w:rPr>
          <w:sz w:val="20"/>
          <w:szCs w:val="20"/>
        </w:rPr>
        <w:t>.</w:t>
      </w:r>
    </w:p>
    <w:p w14:paraId="4326473B" w14:textId="77777777" w:rsidR="00000000" w:rsidRDefault="00832D71">
      <w:pPr>
        <w:pStyle w:val="a3"/>
        <w:spacing w:before="240" w:beforeAutospacing="0" w:after="0" w:afterAutospacing="0"/>
        <w:ind w:firstLine="555"/>
        <w:jc w:val="both"/>
        <w:rPr>
          <w:sz w:val="20"/>
          <w:szCs w:val="20"/>
        </w:rPr>
      </w:pPr>
      <w:r>
        <w:rPr>
          <w:sz w:val="20"/>
          <w:szCs w:val="20"/>
        </w:rPr>
        <w:t>Current EPA leadership has prioritized climate change mitigation measures and has implemented regulations requiring significant re</w:t>
      </w:r>
      <w:r>
        <w:rPr>
          <w:sz w:val="20"/>
          <w:szCs w:val="20"/>
        </w:rPr>
        <w:t>ductions in GHG emissions. Changes in the EPA administration may result in changes to the EPA’s prioritization of climate change mitigation. We cannot predict the impact of future changes to EPA’s prioritization of climate change mitigation or the impact o</w:t>
      </w:r>
      <w:r>
        <w:rPr>
          <w:sz w:val="20"/>
          <w:szCs w:val="20"/>
        </w:rPr>
        <w:t>f future GHG legislation or regulations on our business, financial conditions or operations in the future</w:t>
      </w:r>
      <w:r>
        <w:rPr>
          <w:sz w:val="20"/>
          <w:szCs w:val="20"/>
        </w:rPr>
        <w:t>.</w:t>
      </w:r>
    </w:p>
    <w:p w14:paraId="2E876D97" w14:textId="77777777" w:rsidR="00000000" w:rsidRDefault="00832D71">
      <w:pPr>
        <w:pStyle w:val="a3"/>
        <w:spacing w:before="240" w:beforeAutospacing="0" w:after="0" w:afterAutospacing="0"/>
        <w:ind w:firstLine="555"/>
        <w:jc w:val="both"/>
        <w:rPr>
          <w:sz w:val="20"/>
          <w:szCs w:val="20"/>
        </w:rPr>
      </w:pPr>
      <w:r>
        <w:rPr>
          <w:sz w:val="20"/>
          <w:szCs w:val="20"/>
        </w:rPr>
        <w:t xml:space="preserve">Regardless of what happens at the federal level, numerous states and municipalities have begun to adopt laws and policies to regulate GHG emissions. </w:t>
      </w:r>
      <w:r>
        <w:rPr>
          <w:sz w:val="20"/>
          <w:szCs w:val="20"/>
        </w:rPr>
        <w:t>These regulatory actions could require us to incur increased expenses or lost revenue. We cannot predict when, or in what form, additional climate change laws and regulations will be enacted, and what effect such laws and regulations may have on our busine</w:t>
      </w:r>
      <w:r>
        <w:rPr>
          <w:sz w:val="20"/>
          <w:szCs w:val="20"/>
        </w:rPr>
        <w:t>ss, financial condition or operations in the future. These local, state, and prospective federal laws and regulations have sparked a shift in our industry toward the next generation of clean energy. We are an industry leader in this regard by making strate</w:t>
      </w:r>
      <w:r>
        <w:rPr>
          <w:sz w:val="20"/>
          <w:szCs w:val="20"/>
        </w:rPr>
        <w:t>gic investments so we can be positioned to have an adequate clean energy supply as these laws and regulations become operative. For example, we have taken a 38% equity stake in Oberon, a producer of low carbon intensity, rDME transportation fuel, a 25% equ</w:t>
      </w:r>
      <w:r>
        <w:rPr>
          <w:sz w:val="20"/>
          <w:szCs w:val="20"/>
        </w:rPr>
        <w:t>ity stake in IH, a veteran-owned and operated start-up company developing a low carbon intensity gaseous hydrogen ecosystem, and we entered into an agreement to produce RNG at Adirondack Farms, a family owned dairy farm in upstate New York. We have also ex</w:t>
      </w:r>
      <w:r>
        <w:rPr>
          <w:sz w:val="20"/>
          <w:szCs w:val="20"/>
        </w:rPr>
        <w:t>ecuted agreements to purchase and distribute renewable propane, which offers a low carbon intensity alternative to traditional propane</w:t>
      </w:r>
      <w:r>
        <w:rPr>
          <w:sz w:val="20"/>
          <w:szCs w:val="20"/>
        </w:rPr>
        <w:t>,</w:t>
      </w:r>
      <w:r>
        <w:rPr>
          <w:sz w:val="20"/>
          <w:szCs w:val="20"/>
        </w:rPr>
        <w:t xml:space="preserve"> </w:t>
      </w:r>
    </w:p>
    <w:p w14:paraId="1C83F474" w14:textId="77777777" w:rsidR="00000000" w:rsidRDefault="00832D71">
      <w:pPr>
        <w:pStyle w:val="a3"/>
        <w:spacing w:before="0" w:beforeAutospacing="0" w:after="0" w:afterAutospacing="0"/>
        <w:jc w:val="center"/>
        <w:rPr>
          <w:sz w:val="20"/>
          <w:szCs w:val="20"/>
        </w:rPr>
      </w:pPr>
      <w:r>
        <w:rPr>
          <w:sz w:val="20"/>
          <w:szCs w:val="20"/>
        </w:rPr>
        <w:t> </w:t>
      </w:r>
    </w:p>
    <w:p w14:paraId="0D45BB45" w14:textId="77777777" w:rsidR="00000000" w:rsidRDefault="00832D71">
      <w:pPr>
        <w:pStyle w:val="a3"/>
        <w:spacing w:before="0" w:beforeAutospacing="0" w:after="0" w:afterAutospacing="0"/>
        <w:jc w:val="center"/>
        <w:rPr>
          <w:sz w:val="20"/>
          <w:szCs w:val="20"/>
        </w:rPr>
      </w:pPr>
      <w:r>
        <w:rPr>
          <w:sz w:val="20"/>
          <w:szCs w:val="20"/>
        </w:rPr>
        <w:t>8</w:t>
      </w:r>
    </w:p>
    <w:p w14:paraId="472DF13A" w14:textId="77777777" w:rsidR="00000000" w:rsidRDefault="00832D71">
      <w:pPr>
        <w:rPr>
          <w:rFonts w:eastAsia="Times New Roman"/>
        </w:rPr>
      </w:pPr>
      <w:r>
        <w:rPr>
          <w:rFonts w:eastAsia="Times New Roman"/>
        </w:rPr>
        <w:pict w14:anchorId="25A3621D">
          <v:rect id="_x0000_i1035" style="width:0;height:1.5pt" o:hralign="center" o:hrstd="t" o:hr="t" fillcolor="#a0a0a0" stroked="f"/>
        </w:pict>
      </w:r>
    </w:p>
    <w:p w14:paraId="488C0986"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3F563026" w14:textId="77777777" w:rsidR="00000000" w:rsidRDefault="00832D71">
      <w:pPr>
        <w:pStyle w:val="a3"/>
        <w:spacing w:before="240" w:beforeAutospacing="0" w:after="0" w:afterAutospacing="0"/>
        <w:jc w:val="both"/>
        <w:rPr>
          <w:sz w:val="20"/>
          <w:szCs w:val="20"/>
        </w:rPr>
      </w:pPr>
      <w:r>
        <w:rPr>
          <w:sz w:val="20"/>
          <w:szCs w:val="20"/>
        </w:rPr>
        <w:t xml:space="preserve">gasoline or diesel. </w:t>
      </w:r>
      <w:r>
        <w:rPr>
          <w:sz w:val="20"/>
          <w:szCs w:val="20"/>
        </w:rPr>
        <w:t>We are committed to increasing the availability of; rDME blended propane, renewable propane, hydrogen, and RNG in the coming years</w:t>
      </w:r>
      <w:r>
        <w:rPr>
          <w:sz w:val="20"/>
          <w:szCs w:val="20"/>
        </w:rPr>
        <w:t>.</w:t>
      </w:r>
    </w:p>
    <w:p w14:paraId="6881ECCE" w14:textId="77777777" w:rsidR="00000000" w:rsidRDefault="00832D71">
      <w:pPr>
        <w:pStyle w:val="a3"/>
        <w:spacing w:before="240" w:beforeAutospacing="0" w:after="0" w:afterAutospacing="0"/>
        <w:ind w:firstLine="555"/>
        <w:jc w:val="both"/>
        <w:rPr>
          <w:sz w:val="20"/>
          <w:szCs w:val="20"/>
        </w:rPr>
      </w:pPr>
      <w:r>
        <w:rPr>
          <w:sz w:val="20"/>
          <w:szCs w:val="20"/>
        </w:rPr>
        <w:t xml:space="preserve">Our investments in Oberon and IH as well as our agreement with Adirondack Farms are expected to result in the production of </w:t>
      </w:r>
      <w:r>
        <w:rPr>
          <w:sz w:val="20"/>
          <w:szCs w:val="20"/>
        </w:rPr>
        <w:t>rDME, hydrogen, and RNG all of which, along with renewable propane, are products that present an opportunity to generate environmental attributes. The monetization of these environmental attributes occurs under several state and federal programs. At the fe</w:t>
      </w:r>
      <w:r>
        <w:rPr>
          <w:sz w:val="20"/>
          <w:szCs w:val="20"/>
        </w:rPr>
        <w:t>deral level those programs include; the renewable fuel standard program (“RFS”) which was authorized under the Energy Policy Act of 2005 and expanded through the Energy Independence and Security Act of 2007, and the Inflation Reduction Act. At the state le</w:t>
      </w:r>
      <w:r>
        <w:rPr>
          <w:sz w:val="20"/>
          <w:szCs w:val="20"/>
        </w:rPr>
        <w:t>vel, those programs include; the California Low Carbon Fuel Standard (“CA LCFS”), the Oregon Clean Fuels Program (“OR CFP”), and the Washington Clean Fuel Standard (“WA CFS”)</w:t>
      </w:r>
      <w:r>
        <w:rPr>
          <w:sz w:val="20"/>
          <w:szCs w:val="20"/>
        </w:rPr>
        <w:t>.</w:t>
      </w:r>
    </w:p>
    <w:p w14:paraId="5B669438" w14:textId="77777777" w:rsidR="00000000" w:rsidRDefault="00832D71">
      <w:pPr>
        <w:pStyle w:val="a3"/>
        <w:spacing w:before="240" w:beforeAutospacing="0" w:after="0" w:afterAutospacing="0"/>
        <w:ind w:firstLine="555"/>
        <w:jc w:val="both"/>
        <w:rPr>
          <w:sz w:val="20"/>
          <w:szCs w:val="20"/>
        </w:rPr>
      </w:pPr>
      <w:r>
        <w:rPr>
          <w:sz w:val="20"/>
          <w:szCs w:val="20"/>
        </w:rPr>
        <w:t>The RFS is administered by the EPA and requires the production and use of specif</w:t>
      </w:r>
      <w:r>
        <w:rPr>
          <w:sz w:val="20"/>
          <w:szCs w:val="20"/>
        </w:rPr>
        <w:t>ic volumes with the goal of: increasing energy security by reducing dependence on foreign oil, establishing domestic biofuel industries, and improving environmental quality by reducing GHG emissions. The RFS seeks to achieve these goals by mandating that t</w:t>
      </w:r>
      <w:r>
        <w:rPr>
          <w:sz w:val="20"/>
          <w:szCs w:val="20"/>
        </w:rPr>
        <w:t>ransportation fuels contain a minimum volume of renewable fuel. To enforce compliance, the EPA uses a credit system based on a biofuel’s renewable identification number (“RIN”). The amount of RIN credits (“RINs”) generated by each biofuel depends on the pr</w:t>
      </w:r>
      <w:r>
        <w:rPr>
          <w:sz w:val="20"/>
          <w:szCs w:val="20"/>
        </w:rPr>
        <w:t>ocess and feedstock used to create the specific biofuel. There is a market for RINs and as we produce RFS compliant biofuel we expect to generate RINs which can be sold in the open market</w:t>
      </w:r>
      <w:r>
        <w:rPr>
          <w:sz w:val="20"/>
          <w:szCs w:val="20"/>
        </w:rPr>
        <w:t>.</w:t>
      </w:r>
    </w:p>
    <w:p w14:paraId="09510C14" w14:textId="77777777" w:rsidR="00000000" w:rsidRDefault="00832D71">
      <w:pPr>
        <w:pStyle w:val="a3"/>
        <w:spacing w:before="240" w:beforeAutospacing="0" w:after="0" w:afterAutospacing="0"/>
        <w:ind w:firstLine="555"/>
        <w:jc w:val="both"/>
        <w:rPr>
          <w:sz w:val="20"/>
          <w:szCs w:val="20"/>
        </w:rPr>
      </w:pPr>
      <w:r>
        <w:rPr>
          <w:sz w:val="20"/>
          <w:szCs w:val="20"/>
        </w:rPr>
        <w:t>The Inflation Reduction Act will be administered by multiple federa</w:t>
      </w:r>
      <w:r>
        <w:rPr>
          <w:sz w:val="20"/>
          <w:szCs w:val="20"/>
        </w:rPr>
        <w:t xml:space="preserve">l agencies including EPA, U.S. Department of Energy (“DOE”) and the Internal Revenue Service of the U.S. Department of the Treasury (“IRS”). The goals of the Inflation Reduction Act include incentivizing the development and production of renewable energy. </w:t>
      </w:r>
      <w:r>
        <w:rPr>
          <w:sz w:val="20"/>
          <w:szCs w:val="20"/>
        </w:rPr>
        <w:t>As of the fiscal year ending September 24, 2022, the EPA, DOE, and IRS had not commenced rule makings or issued guidance on the implementation of the Inflation Reduction Act. We cannot speculate on exactly how the Inflation Reduction Act will be implemente</w:t>
      </w:r>
      <w:r>
        <w:rPr>
          <w:sz w:val="20"/>
          <w:szCs w:val="20"/>
        </w:rPr>
        <w:t>d; however, the Act does contain numerus incentives for the production of clean energy for which certain of our renewable energy products, as well as those produced by Oberon and IH, are expected to qualify. These incentives include grants, loan guaranties</w:t>
      </w:r>
      <w:r>
        <w:rPr>
          <w:sz w:val="20"/>
          <w:szCs w:val="20"/>
        </w:rPr>
        <w:t>, development funding, investment tax credits, and production tax credits</w:t>
      </w:r>
      <w:r>
        <w:rPr>
          <w:sz w:val="20"/>
          <w:szCs w:val="20"/>
        </w:rPr>
        <w:t>.</w:t>
      </w:r>
    </w:p>
    <w:p w14:paraId="054905AE" w14:textId="77777777" w:rsidR="00000000" w:rsidRDefault="00832D71">
      <w:pPr>
        <w:pStyle w:val="a3"/>
        <w:spacing w:before="240" w:beforeAutospacing="0" w:after="0" w:afterAutospacing="0"/>
        <w:ind w:firstLine="555"/>
        <w:jc w:val="both"/>
        <w:rPr>
          <w:sz w:val="20"/>
          <w:szCs w:val="20"/>
        </w:rPr>
      </w:pPr>
      <w:r>
        <w:rPr>
          <w:sz w:val="20"/>
          <w:szCs w:val="20"/>
        </w:rPr>
        <w:t>At the state level, the CA LCFS, OR CFP, and WA CFS (collectively “LCFS Programs”) are administered by state agencies and have the goal of reducing GHG emissions from the transporta</w:t>
      </w:r>
      <w:r>
        <w:rPr>
          <w:sz w:val="20"/>
          <w:szCs w:val="20"/>
        </w:rPr>
        <w:t>tion sector by lowering the carbon intensity of transportation fuels. While there are differences in the CA LCFS, OR CFP, and WA CFS, all LCFS Programs seek to achieve their goals through the use of a cap and trade program where low carbon intensity transp</w:t>
      </w:r>
      <w:r>
        <w:rPr>
          <w:sz w:val="20"/>
          <w:szCs w:val="20"/>
        </w:rPr>
        <w:t>ortation fuels generate LCFS Program credits (“LCFS Credits”). In addition to our renewable energy product offerings, as well as those produced by Oberon and IH, traditional propane, when used as an engine fuel in LCFS Program states, also qualifies for LC</w:t>
      </w:r>
      <w:r>
        <w:rPr>
          <w:sz w:val="20"/>
          <w:szCs w:val="20"/>
        </w:rPr>
        <w:t>FS Credits. As we sell LCFS Program compliant fuels, we generate LCFS Credits. There are individual state LCFS Credit markets under the various LCFS Programs, and we can sell our LCFS Credits in these respective open markets</w:t>
      </w:r>
      <w:r>
        <w:rPr>
          <w:sz w:val="20"/>
          <w:szCs w:val="20"/>
        </w:rPr>
        <w:t>.</w:t>
      </w:r>
    </w:p>
    <w:p w14:paraId="5D6B9058" w14:textId="77777777" w:rsidR="00000000" w:rsidRDefault="00832D71">
      <w:pPr>
        <w:pStyle w:val="a3"/>
        <w:spacing w:before="240" w:beforeAutospacing="0" w:after="0" w:afterAutospacing="0"/>
        <w:ind w:firstLine="555"/>
        <w:jc w:val="both"/>
        <w:rPr>
          <w:sz w:val="20"/>
          <w:szCs w:val="20"/>
        </w:rPr>
      </w:pPr>
      <w:r>
        <w:rPr>
          <w:sz w:val="20"/>
          <w:szCs w:val="20"/>
        </w:rPr>
        <w:t xml:space="preserve">The climate change regulatory </w:t>
      </w:r>
      <w:r>
        <w:rPr>
          <w:sz w:val="20"/>
          <w:szCs w:val="20"/>
        </w:rPr>
        <w:t>landscape is highly complex and continuously evolving. The adoption of federal, state or local climate change legislation or regulatory programs to reduce emissions of GHGs could require us to incur increased capital and operating costs, with resulting imp</w:t>
      </w:r>
      <w:r>
        <w:rPr>
          <w:sz w:val="20"/>
          <w:szCs w:val="20"/>
        </w:rPr>
        <w:t>act on product price. We cannot predict whether, or in what form, climate change legislation provisions and renewable energy standards may be enacted, and what effect such regulation may have on our business, financial condition or operations in the future</w:t>
      </w:r>
      <w:r>
        <w:rPr>
          <w:sz w:val="20"/>
          <w:szCs w:val="20"/>
        </w:rPr>
        <w:t xml:space="preserve">. In addition, a consequence of climate change is increased volatility in seasonal temperatures. It is difficult to predict how the market for our products will be affected by increased temperature volatility, or increased temperatures generally, although </w:t>
      </w:r>
      <w:r>
        <w:rPr>
          <w:sz w:val="20"/>
          <w:szCs w:val="20"/>
        </w:rPr>
        <w:t>if there is an overall trend of unseasonably warmer temperatures in the winter months, it could adversely affect our business</w:t>
      </w:r>
      <w:r>
        <w:rPr>
          <w:sz w:val="20"/>
          <w:szCs w:val="20"/>
        </w:rPr>
        <w:t>.</w:t>
      </w:r>
    </w:p>
    <w:p w14:paraId="028D594A" w14:textId="77777777" w:rsidR="00000000" w:rsidRDefault="00832D71">
      <w:pPr>
        <w:pStyle w:val="a3"/>
        <w:spacing w:before="240" w:beforeAutospacing="0" w:after="0" w:afterAutospacing="0"/>
        <w:ind w:firstLine="555"/>
        <w:jc w:val="both"/>
        <w:rPr>
          <w:sz w:val="20"/>
          <w:szCs w:val="20"/>
        </w:rPr>
      </w:pPr>
      <w:r>
        <w:rPr>
          <w:sz w:val="20"/>
          <w:szCs w:val="20"/>
        </w:rPr>
        <w:t>Future developments, such as stricter environmental, health or safety laws and regulations, could affect our operations. We do no</w:t>
      </w:r>
      <w:r>
        <w:rPr>
          <w:sz w:val="20"/>
          <w:szCs w:val="20"/>
        </w:rPr>
        <w:t>t anticipate that the cost of our compliance with environmental, health and safety laws and regulations, including RCRA and CERCLA, as currently in effect and applicable to known sites will have a material adverse effect on our financial condition or resul</w:t>
      </w:r>
      <w:r>
        <w:rPr>
          <w:sz w:val="20"/>
          <w:szCs w:val="20"/>
        </w:rPr>
        <w:t>ts of operations. However, there can be no assurance that our financial condition or operations will not be materially adversely affected by future discovery of presently unknown, environmental liabilities or future environmental regulations</w:t>
      </w:r>
      <w:r>
        <w:rPr>
          <w:sz w:val="20"/>
          <w:szCs w:val="20"/>
        </w:rPr>
        <w:t>.</w:t>
      </w:r>
    </w:p>
    <w:p w14:paraId="03A70CC8" w14:textId="77777777" w:rsidR="00000000" w:rsidRDefault="00832D71">
      <w:pPr>
        <w:pStyle w:val="a3"/>
        <w:spacing w:before="240" w:beforeAutospacing="0" w:after="0" w:afterAutospacing="0"/>
        <w:ind w:firstLine="555"/>
        <w:jc w:val="both"/>
        <w:rPr>
          <w:sz w:val="20"/>
          <w:szCs w:val="20"/>
        </w:rPr>
      </w:pPr>
      <w:r>
        <w:rPr>
          <w:sz w:val="20"/>
          <w:szCs w:val="20"/>
        </w:rPr>
        <w:t>Many of the s</w:t>
      </w:r>
      <w:r>
        <w:rPr>
          <w:sz w:val="20"/>
          <w:szCs w:val="20"/>
        </w:rPr>
        <w:t>tates in which we do business have passed laws prohibiting “unfair or deceptive practices” in transactions between consumers and sellers of products used for residential purposes, which give the Attorney General or other officials of that state the authori</w:t>
      </w:r>
      <w:r>
        <w:rPr>
          <w:sz w:val="20"/>
          <w:szCs w:val="20"/>
        </w:rPr>
        <w:t>ty to investigate alleged violations of those laws. From time to time, we receive inquiries or requests for additional information under these laws from the offices of Attorneys General or other government officials in connection with the sale of our produ</w:t>
      </w:r>
      <w:r>
        <w:rPr>
          <w:sz w:val="20"/>
          <w:szCs w:val="20"/>
        </w:rPr>
        <w:t>cts to residential customers. Based on information to date, and because our policies and business practices are designed to comply with all applicable laws, we do not believe that the costs or liabilities associated with such inquiries or requests will res</w:t>
      </w:r>
      <w:r>
        <w:rPr>
          <w:sz w:val="20"/>
          <w:szCs w:val="20"/>
        </w:rPr>
        <w:t>ult in a material adverse effect on our financial condition or results of operations; however, there can be no assurance that our financial condition or results of operations may not be materially and adversely affected as a result of current or future gov</w:t>
      </w:r>
      <w:r>
        <w:rPr>
          <w:sz w:val="20"/>
          <w:szCs w:val="20"/>
        </w:rPr>
        <w:t>ernment investigations or civil litigation derived therefrom</w:t>
      </w:r>
      <w:r>
        <w:rPr>
          <w:sz w:val="20"/>
          <w:szCs w:val="20"/>
        </w:rPr>
        <w:t>.</w:t>
      </w:r>
    </w:p>
    <w:p w14:paraId="3AA1FE2B" w14:textId="77777777" w:rsidR="00000000" w:rsidRDefault="00832D71">
      <w:pPr>
        <w:pStyle w:val="a3"/>
        <w:spacing w:before="0" w:beforeAutospacing="0" w:after="0" w:afterAutospacing="0"/>
        <w:jc w:val="center"/>
        <w:rPr>
          <w:sz w:val="20"/>
          <w:szCs w:val="20"/>
        </w:rPr>
      </w:pPr>
      <w:r>
        <w:rPr>
          <w:sz w:val="20"/>
          <w:szCs w:val="20"/>
        </w:rPr>
        <w:t> </w:t>
      </w:r>
    </w:p>
    <w:p w14:paraId="73A09A37" w14:textId="77777777" w:rsidR="00000000" w:rsidRDefault="00832D71">
      <w:pPr>
        <w:pStyle w:val="a3"/>
        <w:spacing w:before="0" w:beforeAutospacing="0" w:after="0" w:afterAutospacing="0"/>
        <w:jc w:val="center"/>
        <w:rPr>
          <w:sz w:val="20"/>
          <w:szCs w:val="20"/>
        </w:rPr>
      </w:pPr>
      <w:r>
        <w:rPr>
          <w:sz w:val="20"/>
          <w:szCs w:val="20"/>
        </w:rPr>
        <w:t>9</w:t>
      </w:r>
    </w:p>
    <w:p w14:paraId="73492265" w14:textId="77777777" w:rsidR="00000000" w:rsidRDefault="00832D71">
      <w:pPr>
        <w:rPr>
          <w:rFonts w:eastAsia="Times New Roman"/>
        </w:rPr>
      </w:pPr>
      <w:r>
        <w:rPr>
          <w:rFonts w:eastAsia="Times New Roman"/>
        </w:rPr>
        <w:pict w14:anchorId="07F7BAEB">
          <v:rect id="_x0000_i1036" style="width:0;height:1.5pt" o:hralign="center" o:hrstd="t" o:hr="t" fillcolor="#a0a0a0" stroked="f"/>
        </w:pict>
      </w:r>
    </w:p>
    <w:p w14:paraId="57B9649E"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7E55D8D6" w14:textId="77777777" w:rsidR="00000000" w:rsidRDefault="00832D71">
      <w:pPr>
        <w:pStyle w:val="a3"/>
        <w:spacing w:before="240" w:beforeAutospacing="0" w:after="0" w:afterAutospacing="0"/>
        <w:ind w:firstLine="555"/>
        <w:jc w:val="both"/>
        <w:rPr>
          <w:sz w:val="20"/>
          <w:szCs w:val="20"/>
        </w:rPr>
      </w:pPr>
      <w:r>
        <w:rPr>
          <w:sz w:val="20"/>
          <w:szCs w:val="20"/>
        </w:rPr>
        <w:t>See the Risk Factor entitled “The ability of AES to acquire and retain retail natural gas and el</w:t>
      </w:r>
      <w:r>
        <w:rPr>
          <w:sz w:val="20"/>
          <w:szCs w:val="20"/>
        </w:rPr>
        <w:t>ectricity customers is highly competitive, price sensitive and may be impacted by changes in state regulations” for a description of certain regulatory and litigation impacts on our AES business</w:t>
      </w:r>
      <w:r>
        <w:rPr>
          <w:sz w:val="20"/>
          <w:szCs w:val="20"/>
        </w:rPr>
        <w:t>.</w:t>
      </w:r>
      <w:r>
        <w:rPr>
          <w:sz w:val="20"/>
          <w:szCs w:val="20"/>
        </w:rPr>
        <w:t xml:space="preserve"> </w:t>
      </w:r>
    </w:p>
    <w:p w14:paraId="3E6C88F9" w14:textId="77777777" w:rsidR="00000000" w:rsidRDefault="00832D71">
      <w:pPr>
        <w:pStyle w:val="a3"/>
        <w:spacing w:before="360" w:beforeAutospacing="0" w:after="0" w:afterAutospacing="0"/>
        <w:ind w:right="119"/>
        <w:rPr>
          <w:sz w:val="20"/>
          <w:szCs w:val="20"/>
        </w:rPr>
      </w:pPr>
      <w:r>
        <w:rPr>
          <w:b/>
          <w:bCs/>
          <w:sz w:val="20"/>
          <w:szCs w:val="20"/>
        </w:rPr>
        <w:t>ESG Strategy and Initiative</w:t>
      </w:r>
      <w:r>
        <w:rPr>
          <w:b/>
          <w:bCs/>
          <w:sz w:val="20"/>
          <w:szCs w:val="20"/>
        </w:rPr>
        <w:t>s</w:t>
      </w:r>
    </w:p>
    <w:p w14:paraId="64CF7C6A" w14:textId="77777777" w:rsidR="00000000" w:rsidRDefault="00832D71">
      <w:pPr>
        <w:pStyle w:val="a3"/>
        <w:spacing w:before="240" w:beforeAutospacing="0" w:after="0" w:afterAutospacing="0"/>
        <w:ind w:right="119" w:firstLine="561"/>
        <w:jc w:val="both"/>
        <w:rPr>
          <w:sz w:val="20"/>
          <w:szCs w:val="20"/>
        </w:rPr>
      </w:pPr>
      <w:r>
        <w:rPr>
          <w:sz w:val="20"/>
          <w:szCs w:val="20"/>
        </w:rPr>
        <w:t>We are committed to delivering</w:t>
      </w:r>
      <w:r>
        <w:rPr>
          <w:sz w:val="20"/>
          <w:szCs w:val="20"/>
        </w:rPr>
        <w:t xml:space="preserve"> safe, reliable, affordable, and low carbon intensity (“CI”) energy to our customers and the local communities we serve. We have made significant progress on our environmental, social and governance (“ESG”) initiatives, which accelerated with the launch of</w:t>
      </w:r>
      <w:r>
        <w:rPr>
          <w:sz w:val="20"/>
          <w:szCs w:val="20"/>
        </w:rPr>
        <w:t xml:space="preserve"> our Three Pillars of the Suburban Propane Experience in June 2019. The three essential pillars are: i)</w:t>
      </w:r>
      <w:r>
        <w:rPr>
          <w:sz w:val="20"/>
          <w:szCs w:val="20"/>
        </w:rPr>
        <w:t xml:space="preserve"> </w:t>
      </w:r>
      <w:r>
        <w:rPr>
          <w:b/>
          <w:bCs/>
          <w:i/>
          <w:iCs/>
          <w:sz w:val="20"/>
          <w:szCs w:val="20"/>
        </w:rPr>
        <w:t>Go Green with Suburban Propan</w:t>
      </w:r>
      <w:r>
        <w:rPr>
          <w:b/>
          <w:bCs/>
          <w:i/>
          <w:iCs/>
          <w:sz w:val="20"/>
          <w:szCs w:val="20"/>
        </w:rPr>
        <w:t>e</w:t>
      </w:r>
      <w:r>
        <w:rPr>
          <w:sz w:val="20"/>
          <w:szCs w:val="20"/>
        </w:rPr>
        <w:t>, ii)</w:t>
      </w:r>
      <w:r>
        <w:rPr>
          <w:sz w:val="20"/>
          <w:szCs w:val="20"/>
        </w:rPr>
        <w:t xml:space="preserve"> </w:t>
      </w:r>
      <w:r>
        <w:rPr>
          <w:b/>
          <w:bCs/>
          <w:i/>
          <w:iCs/>
          <w:sz w:val="20"/>
          <w:szCs w:val="20"/>
        </w:rPr>
        <w:t>SuburbanCare</w:t>
      </w:r>
      <w:r>
        <w:rPr>
          <w:b/>
          <w:bCs/>
          <w:i/>
          <w:iCs/>
          <w:sz w:val="20"/>
          <w:szCs w:val="20"/>
        </w:rPr>
        <w:t>s</w:t>
      </w:r>
      <w:r>
        <w:rPr>
          <w:sz w:val="20"/>
          <w:szCs w:val="20"/>
        </w:rPr>
        <w:t>, and iii</w:t>
      </w:r>
      <w:r>
        <w:rPr>
          <w:sz w:val="20"/>
          <w:szCs w:val="20"/>
        </w:rPr>
        <w:t>)</w:t>
      </w:r>
      <w:r>
        <w:rPr>
          <w:b/>
          <w:bCs/>
          <w:i/>
          <w:iCs/>
          <w:sz w:val="20"/>
          <w:szCs w:val="20"/>
        </w:rPr>
        <w:t xml:space="preserve"> Suburban Commitment to Excellenc</w:t>
      </w:r>
      <w:r>
        <w:rPr>
          <w:b/>
          <w:bCs/>
          <w:i/>
          <w:iCs/>
          <w:sz w:val="20"/>
          <w:szCs w:val="20"/>
        </w:rPr>
        <w:t>e</w:t>
      </w:r>
      <w:r>
        <w:rPr>
          <w:sz w:val="20"/>
          <w:szCs w:val="20"/>
        </w:rPr>
        <w:t>. We identified these three critical corporate pillars to e</w:t>
      </w:r>
      <w:r>
        <w:rPr>
          <w:sz w:val="20"/>
          <w:szCs w:val="20"/>
        </w:rPr>
        <w:t>mphasize our ongoing commitment to excellence for the safety and comfort of our customers, our dedication to the safety and career development of our employees, our philanthropic efforts to give back to the communities we serve, our work to advocate for th</w:t>
      </w:r>
      <w:r>
        <w:rPr>
          <w:sz w:val="20"/>
          <w:szCs w:val="20"/>
        </w:rPr>
        <w:t>e inherent environmental advantages of using propane as a clean energy solution, our focus on supporting the sustainability needs of our customers and our ongoing strategic efforts to invest in and develop innovative solutions to help lead the way to lower</w:t>
      </w:r>
      <w:r>
        <w:rPr>
          <w:sz w:val="20"/>
          <w:szCs w:val="20"/>
        </w:rPr>
        <w:t xml:space="preserve"> greenhouse gas emissions. We are committed to implementing business strategies using a holistic approach to doing what is best for our customers, employees, the communities we serve and our investors. Effective ESG management for us supports our goal to c</w:t>
      </w:r>
      <w:r>
        <w:rPr>
          <w:sz w:val="20"/>
          <w:szCs w:val="20"/>
        </w:rPr>
        <w:t>reate long-term value for our Unitholders and to support the interests of all stakeholders. Our Board of Supervisors takes an active role in overseeing the management of risks facing Suburban, including those impacted by ESG issues</w:t>
      </w:r>
      <w:r>
        <w:rPr>
          <w:sz w:val="20"/>
          <w:szCs w:val="20"/>
        </w:rPr>
        <w:t>.</w:t>
      </w:r>
    </w:p>
    <w:p w14:paraId="06E4E50C" w14:textId="77777777" w:rsidR="00000000" w:rsidRDefault="00832D71">
      <w:pPr>
        <w:pStyle w:val="a3"/>
        <w:spacing w:before="240" w:beforeAutospacing="0" w:after="0" w:afterAutospacing="0"/>
        <w:ind w:right="119" w:firstLine="561"/>
        <w:jc w:val="both"/>
        <w:rPr>
          <w:sz w:val="20"/>
          <w:szCs w:val="20"/>
        </w:rPr>
      </w:pPr>
      <w:r>
        <w:rPr>
          <w:sz w:val="20"/>
          <w:szCs w:val="20"/>
        </w:rPr>
        <w:t>In support of our efforts to successfully manage and grow our business, we will continue to identify ways to include more ESG initiatives in our strategies that support our customers, employees, investors, and the communities we serve, including initiative</w:t>
      </w:r>
      <w:r>
        <w:rPr>
          <w:sz w:val="20"/>
          <w:szCs w:val="20"/>
        </w:rPr>
        <w:t>s that support our three-pillars strategic plan. Advancing our focus on ESG initiatives will allow for increased engagement across our business and help us to continue to identify and meet the evolving expectations of our customers, employees, investors, a</w:t>
      </w:r>
      <w:r>
        <w:rPr>
          <w:sz w:val="20"/>
          <w:szCs w:val="20"/>
        </w:rPr>
        <w:t>nd other stakeholders</w:t>
      </w:r>
      <w:r>
        <w:rPr>
          <w:sz w:val="20"/>
          <w:szCs w:val="20"/>
        </w:rPr>
        <w:t>.</w:t>
      </w:r>
      <w:r>
        <w:rPr>
          <w:sz w:val="20"/>
          <w:szCs w:val="20"/>
        </w:rPr>
        <w:t xml:space="preserve"> </w:t>
      </w:r>
    </w:p>
    <w:p w14:paraId="1633BE7A" w14:textId="77777777" w:rsidR="00000000" w:rsidRDefault="00832D71">
      <w:pPr>
        <w:pStyle w:val="a3"/>
        <w:spacing w:before="240" w:beforeAutospacing="0" w:after="0" w:afterAutospacing="0"/>
        <w:ind w:right="119"/>
        <w:jc w:val="both"/>
        <w:rPr>
          <w:sz w:val="20"/>
          <w:szCs w:val="20"/>
        </w:rPr>
      </w:pPr>
      <w:r>
        <w:rPr>
          <w:b/>
          <w:bCs/>
          <w:i/>
          <w:iCs/>
          <w:sz w:val="20"/>
          <w:szCs w:val="20"/>
        </w:rPr>
        <w:t>Environmental Initiative</w:t>
      </w:r>
      <w:r>
        <w:rPr>
          <w:b/>
          <w:bCs/>
          <w:i/>
          <w:iCs/>
          <w:sz w:val="20"/>
          <w:szCs w:val="20"/>
        </w:rPr>
        <w:t>s</w:t>
      </w:r>
    </w:p>
    <w:p w14:paraId="5A1EFBE0" w14:textId="77777777" w:rsidR="00000000" w:rsidRDefault="00832D71">
      <w:pPr>
        <w:pStyle w:val="a3"/>
        <w:spacing w:before="240" w:beforeAutospacing="0" w:after="0" w:afterAutospacing="0"/>
        <w:ind w:right="119" w:firstLine="561"/>
        <w:jc w:val="both"/>
        <w:rPr>
          <w:sz w:val="20"/>
          <w:szCs w:val="20"/>
        </w:rPr>
      </w:pPr>
      <w:r>
        <w:rPr>
          <w:sz w:val="20"/>
          <w:szCs w:val="20"/>
        </w:rPr>
        <w:t>Our</w:t>
      </w:r>
      <w:r>
        <w:rPr>
          <w:sz w:val="20"/>
          <w:szCs w:val="20"/>
        </w:rPr>
        <w:t xml:space="preserve"> </w:t>
      </w:r>
      <w:r>
        <w:rPr>
          <w:b/>
          <w:bCs/>
          <w:i/>
          <w:iCs/>
          <w:sz w:val="20"/>
          <w:szCs w:val="20"/>
        </w:rPr>
        <w:t>Go Green with Suburban Propan</w:t>
      </w:r>
      <w:r>
        <w:rPr>
          <w:b/>
          <w:bCs/>
          <w:i/>
          <w:iCs/>
          <w:sz w:val="20"/>
          <w:szCs w:val="20"/>
        </w:rPr>
        <w:t>e</w:t>
      </w:r>
      <w:r>
        <w:rPr>
          <w:sz w:val="20"/>
          <w:szCs w:val="20"/>
        </w:rPr>
        <w:t xml:space="preserve"> </w:t>
      </w:r>
      <w:r>
        <w:rPr>
          <w:sz w:val="20"/>
          <w:szCs w:val="20"/>
        </w:rPr>
        <w:t xml:space="preserve">corporate pillar encompasses our commitment and efforts to promote the versatile, affordable, low CI and clean air benefits of traditional propane as one solution that can contribute to our customers achieving their sustainability goals and our efforts to </w:t>
      </w:r>
      <w:r>
        <w:rPr>
          <w:sz w:val="20"/>
          <w:szCs w:val="20"/>
        </w:rPr>
        <w:t xml:space="preserve">contribute to the goals of reducing the nation’s carbon footprint and having a positive effect on climate change. Traditional propane is an alternative fuel under the Clean Air Act Amendments. Propane can offer immediate reductions in carbon emissions and </w:t>
      </w:r>
      <w:r>
        <w:rPr>
          <w:sz w:val="20"/>
          <w:szCs w:val="20"/>
        </w:rPr>
        <w:t>immediate improvements in air quality over other traditional fuels, particularly in the transportation sector. Propane is non-toxic, does not produce sulfur dioxide and emits 60% to 70% fewer smog producing hydrocarbons than gasoline and diesel. Several st</w:t>
      </w:r>
      <w:r>
        <w:rPr>
          <w:sz w:val="20"/>
          <w:szCs w:val="20"/>
        </w:rPr>
        <w:t>ates have implemented low-carbon fuel standards that recognize the environmental benefits of using propane to power over-the-road vehicles and forklifts. Through our dedicated sales efforts, we are actively promoting the use of propane in the transportatio</w:t>
      </w:r>
      <w:r>
        <w:rPr>
          <w:sz w:val="20"/>
          <w:szCs w:val="20"/>
        </w:rPr>
        <w:t>n sector, and for each of the last three fiscal years, we sold an average of more than 28.7 million gallons of propane annually to the over-the-road vehicle and forklift markets</w:t>
      </w:r>
      <w:r>
        <w:rPr>
          <w:sz w:val="20"/>
          <w:szCs w:val="20"/>
        </w:rPr>
        <w:t>.</w:t>
      </w:r>
    </w:p>
    <w:p w14:paraId="71B1AAFF" w14:textId="77777777" w:rsidR="00000000" w:rsidRDefault="00832D71">
      <w:pPr>
        <w:pStyle w:val="a3"/>
        <w:spacing w:before="240" w:beforeAutospacing="0" w:after="0" w:afterAutospacing="0"/>
        <w:ind w:right="119" w:firstLine="561"/>
        <w:jc w:val="both"/>
        <w:rPr>
          <w:sz w:val="20"/>
          <w:szCs w:val="20"/>
        </w:rPr>
      </w:pPr>
      <w:r>
        <w:rPr>
          <w:sz w:val="20"/>
          <w:szCs w:val="20"/>
        </w:rPr>
        <w:t>With advancements in new technologies for the production of propane from rene</w:t>
      </w:r>
      <w:r>
        <w:rPr>
          <w:sz w:val="20"/>
          <w:szCs w:val="20"/>
        </w:rPr>
        <w:t>wable sources, as well as other technological advances to reduce the carbon intensity of traditional propane, our</w:t>
      </w:r>
      <w:r>
        <w:rPr>
          <w:sz w:val="20"/>
          <w:szCs w:val="20"/>
        </w:rPr>
        <w:t xml:space="preserve"> </w:t>
      </w:r>
      <w:r>
        <w:rPr>
          <w:b/>
          <w:bCs/>
          <w:i/>
          <w:iCs/>
          <w:sz w:val="20"/>
          <w:szCs w:val="20"/>
        </w:rPr>
        <w:t>Go Green with Suburban Propan</w:t>
      </w:r>
      <w:r>
        <w:rPr>
          <w:b/>
          <w:bCs/>
          <w:i/>
          <w:iCs/>
          <w:sz w:val="20"/>
          <w:szCs w:val="20"/>
        </w:rPr>
        <w:t>e</w:t>
      </w:r>
      <w:r>
        <w:rPr>
          <w:sz w:val="20"/>
          <w:szCs w:val="20"/>
        </w:rPr>
        <w:t xml:space="preserve"> corporate pillar also underscores our commitment to invest in innovative solutions that can contribute to a sus</w:t>
      </w:r>
      <w:r>
        <w:rPr>
          <w:sz w:val="20"/>
          <w:szCs w:val="20"/>
        </w:rPr>
        <w:t>tainable energy future. Starting in fiscal year 2020, the Partnership made great strides in advancing our strategic growth initiatives through our</w:t>
      </w:r>
      <w:r>
        <w:rPr>
          <w:sz w:val="20"/>
          <w:szCs w:val="20"/>
        </w:rPr>
        <w:t xml:space="preserve"> </w:t>
      </w:r>
      <w:r>
        <w:rPr>
          <w:b/>
          <w:bCs/>
          <w:i/>
          <w:iCs/>
          <w:sz w:val="20"/>
          <w:szCs w:val="20"/>
        </w:rPr>
        <w:t>Go Green with Suburban Propan</w:t>
      </w:r>
      <w:r>
        <w:rPr>
          <w:b/>
          <w:bCs/>
          <w:i/>
          <w:iCs/>
          <w:sz w:val="20"/>
          <w:szCs w:val="20"/>
        </w:rPr>
        <w:t>e</w:t>
      </w:r>
      <w:r>
        <w:rPr>
          <w:sz w:val="20"/>
          <w:szCs w:val="20"/>
        </w:rPr>
        <w:t xml:space="preserve"> corporate pillar. Specifically, we contracted for the supply and distribution </w:t>
      </w:r>
      <w:r>
        <w:rPr>
          <w:sz w:val="20"/>
          <w:szCs w:val="20"/>
        </w:rPr>
        <w:t>of over 1.0 million gallons annually of renewable propane, to meet customer demand for a renewable energy source. In support of our long-term strategic growth initiative to build out a comprehensive renewable energy platform, we acquired a 38% equity stake</w:t>
      </w:r>
      <w:r>
        <w:rPr>
          <w:sz w:val="20"/>
          <w:szCs w:val="20"/>
        </w:rPr>
        <w:t xml:space="preserve"> in Oberon, a 25% stake in IH, and committed to building a dairy waste anaerobic digester in upstate New York for the production of renewable natural gas. Through our investment in Oberon, we have brought to market a new blended product Propane+rDME. This </w:t>
      </w:r>
      <w:r>
        <w:rPr>
          <w:sz w:val="20"/>
          <w:szCs w:val="20"/>
        </w:rPr>
        <w:t>new product is a blend of traditional propane and rDME and has a lower CI than the traditional propane product. We are collaborating with Oberon and others to support continued development efforts to commercialize a Propane+rDME blended product, and have t</w:t>
      </w:r>
      <w:r>
        <w:rPr>
          <w:sz w:val="20"/>
          <w:szCs w:val="20"/>
        </w:rPr>
        <w:t>he exclusive right to market and sell Oberon’s rDME in North America</w:t>
      </w:r>
      <w:r>
        <w:rPr>
          <w:sz w:val="20"/>
          <w:szCs w:val="20"/>
        </w:rPr>
        <w:t>.</w:t>
      </w:r>
    </w:p>
    <w:p w14:paraId="47F9E4AF" w14:textId="77777777" w:rsidR="00000000" w:rsidRDefault="00832D71">
      <w:pPr>
        <w:pStyle w:val="a3"/>
        <w:spacing w:before="240" w:beforeAutospacing="0" w:after="0" w:afterAutospacing="0"/>
        <w:ind w:right="119" w:firstLine="561"/>
        <w:jc w:val="both"/>
        <w:rPr>
          <w:sz w:val="20"/>
          <w:szCs w:val="20"/>
        </w:rPr>
      </w:pPr>
      <w:r>
        <w:rPr>
          <w:sz w:val="20"/>
          <w:szCs w:val="20"/>
        </w:rPr>
        <w:t>In further support of the Partnership’s efforts to advance its</w:t>
      </w:r>
      <w:r>
        <w:rPr>
          <w:sz w:val="20"/>
          <w:szCs w:val="20"/>
        </w:rPr>
        <w:t xml:space="preserve"> </w:t>
      </w:r>
      <w:r>
        <w:rPr>
          <w:b/>
          <w:bCs/>
          <w:i/>
          <w:iCs/>
          <w:sz w:val="20"/>
          <w:szCs w:val="20"/>
        </w:rPr>
        <w:t>Go Green with Suburban Propan</w:t>
      </w:r>
      <w:r>
        <w:rPr>
          <w:b/>
          <w:bCs/>
          <w:i/>
          <w:iCs/>
          <w:sz w:val="20"/>
          <w:szCs w:val="20"/>
        </w:rPr>
        <w:t>e</w:t>
      </w:r>
      <w:r>
        <w:rPr>
          <w:sz w:val="20"/>
          <w:szCs w:val="20"/>
        </w:rPr>
        <w:t xml:space="preserve"> corporate pillar, we have officially registered the</w:t>
      </w:r>
      <w:r>
        <w:rPr>
          <w:sz w:val="20"/>
          <w:szCs w:val="20"/>
        </w:rPr>
        <w:t xml:space="preserve"> </w:t>
      </w:r>
      <w:r>
        <w:rPr>
          <w:b/>
          <w:bCs/>
          <w:i/>
          <w:iCs/>
          <w:sz w:val="20"/>
          <w:szCs w:val="20"/>
        </w:rPr>
        <w:t>Go Green with Suburban Propan</w:t>
      </w:r>
      <w:r>
        <w:rPr>
          <w:b/>
          <w:bCs/>
          <w:i/>
          <w:iCs/>
          <w:sz w:val="20"/>
          <w:szCs w:val="20"/>
        </w:rPr>
        <w:t>e</w:t>
      </w:r>
      <w:r>
        <w:rPr>
          <w:sz w:val="20"/>
          <w:szCs w:val="20"/>
        </w:rPr>
        <w:t xml:space="preserve"> logo with</w:t>
      </w:r>
      <w:r>
        <w:rPr>
          <w:sz w:val="20"/>
          <w:szCs w:val="20"/>
        </w:rPr>
        <w:t xml:space="preserve"> the United States Patent and Trademark office. As part of our commitment to innovating for a sustainable energy future, and in support of our strategic growth initiatives to build out a renewable energy platform, the Partnership also created an executive-</w:t>
      </w:r>
      <w:r>
        <w:rPr>
          <w:sz w:val="20"/>
          <w:szCs w:val="20"/>
        </w:rPr>
        <w:t>level position (reporting directly to our President and Chief Executive Officer) entitled Vice President, Strategic Initiatives – Renewable Energy. This position focuses on identifying, analyzing and developing opportunities within the renewable energy spa</w:t>
      </w:r>
      <w:r>
        <w:rPr>
          <w:sz w:val="20"/>
          <w:szCs w:val="20"/>
        </w:rPr>
        <w:t>ce for potential future acquisitions, partnerships or collaborative arrangements that support the Partnership’s efforts to grow its overall business through investment in, and development of, innovative solutions that will help pave the way to lowering gre</w:t>
      </w:r>
      <w:r>
        <w:rPr>
          <w:sz w:val="20"/>
          <w:szCs w:val="20"/>
        </w:rPr>
        <w:t>enhouse gas emissions</w:t>
      </w:r>
      <w:r>
        <w:rPr>
          <w:sz w:val="20"/>
          <w:szCs w:val="20"/>
        </w:rPr>
        <w:t>.</w:t>
      </w:r>
      <w:r>
        <w:rPr>
          <w:sz w:val="20"/>
          <w:szCs w:val="20"/>
        </w:rPr>
        <w:t xml:space="preserve"> </w:t>
      </w:r>
    </w:p>
    <w:p w14:paraId="58C6E4B7" w14:textId="77777777" w:rsidR="00000000" w:rsidRDefault="00832D71">
      <w:pPr>
        <w:pStyle w:val="a3"/>
        <w:spacing w:before="0" w:beforeAutospacing="0" w:after="0" w:afterAutospacing="0"/>
        <w:jc w:val="center"/>
        <w:rPr>
          <w:sz w:val="20"/>
          <w:szCs w:val="20"/>
        </w:rPr>
      </w:pPr>
      <w:r>
        <w:rPr>
          <w:sz w:val="20"/>
          <w:szCs w:val="20"/>
        </w:rPr>
        <w:t> </w:t>
      </w:r>
    </w:p>
    <w:p w14:paraId="614123D5" w14:textId="77777777" w:rsidR="00000000" w:rsidRDefault="00832D71">
      <w:pPr>
        <w:pStyle w:val="a3"/>
        <w:spacing w:before="0" w:beforeAutospacing="0" w:after="0" w:afterAutospacing="0"/>
        <w:jc w:val="center"/>
        <w:rPr>
          <w:sz w:val="20"/>
          <w:szCs w:val="20"/>
        </w:rPr>
      </w:pPr>
      <w:r>
        <w:rPr>
          <w:sz w:val="20"/>
          <w:szCs w:val="20"/>
        </w:rPr>
        <w:t>1</w:t>
      </w:r>
      <w:r>
        <w:rPr>
          <w:sz w:val="20"/>
          <w:szCs w:val="20"/>
        </w:rPr>
        <w:t>0</w:t>
      </w:r>
    </w:p>
    <w:p w14:paraId="1B089D0A" w14:textId="77777777" w:rsidR="00000000" w:rsidRDefault="00832D71">
      <w:pPr>
        <w:rPr>
          <w:rFonts w:eastAsia="Times New Roman"/>
        </w:rPr>
      </w:pPr>
      <w:r>
        <w:rPr>
          <w:rFonts w:eastAsia="Times New Roman"/>
        </w:rPr>
        <w:pict w14:anchorId="45CA8EAE">
          <v:rect id="_x0000_i1037" style="width:0;height:1.5pt" o:hralign="center" o:hrstd="t" o:hr="t" fillcolor="#a0a0a0" stroked="f"/>
        </w:pict>
      </w:r>
    </w:p>
    <w:p w14:paraId="347D495F"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457498F4" w14:textId="77777777" w:rsidR="00000000" w:rsidRDefault="00832D71">
      <w:pPr>
        <w:pStyle w:val="a3"/>
        <w:spacing w:before="240" w:beforeAutospacing="0" w:after="0" w:afterAutospacing="0"/>
        <w:ind w:right="119" w:firstLine="561"/>
        <w:jc w:val="both"/>
        <w:rPr>
          <w:sz w:val="20"/>
          <w:szCs w:val="20"/>
        </w:rPr>
      </w:pPr>
      <w:r>
        <w:rPr>
          <w:sz w:val="20"/>
          <w:szCs w:val="20"/>
        </w:rPr>
        <w:t>We present information about our commitment to sustainable and environmentally sound practices on the “Go Green” page on our website</w:t>
      </w:r>
      <w:r>
        <w:rPr>
          <w:sz w:val="20"/>
          <w:szCs w:val="20"/>
        </w:rPr>
        <w:t>, which may be accessed at</w:t>
      </w:r>
      <w:r>
        <w:rPr>
          <w:sz w:val="20"/>
          <w:szCs w:val="20"/>
        </w:rPr>
        <w:t xml:space="preserve"> </w:t>
      </w:r>
      <w:r>
        <w:rPr>
          <w:sz w:val="20"/>
          <w:szCs w:val="20"/>
          <w:u w:val="single"/>
        </w:rPr>
        <w:t>www.suburbanpropane.com/suburban-propane-experience/go-gree</w:t>
      </w:r>
      <w:r>
        <w:rPr>
          <w:sz w:val="20"/>
          <w:szCs w:val="20"/>
          <w:u w:val="single"/>
        </w:rPr>
        <w:t>n</w:t>
      </w:r>
      <w:r>
        <w:rPr>
          <w:sz w:val="20"/>
          <w:szCs w:val="20"/>
        </w:rPr>
        <w:t>. The information included on our “Go Green” page is not intended to be incorporated by reference into this Form 10-K Annual Report</w:t>
      </w:r>
      <w:r>
        <w:rPr>
          <w:sz w:val="20"/>
          <w:szCs w:val="20"/>
        </w:rPr>
        <w:t>.</w:t>
      </w:r>
    </w:p>
    <w:p w14:paraId="251CA182" w14:textId="77777777" w:rsidR="00000000" w:rsidRDefault="00832D71">
      <w:pPr>
        <w:pStyle w:val="a3"/>
        <w:spacing w:before="240" w:beforeAutospacing="0" w:after="0" w:afterAutospacing="0"/>
        <w:ind w:right="119"/>
        <w:jc w:val="both"/>
        <w:rPr>
          <w:sz w:val="20"/>
          <w:szCs w:val="20"/>
        </w:rPr>
      </w:pPr>
      <w:r>
        <w:rPr>
          <w:b/>
          <w:bCs/>
          <w:i/>
          <w:iCs/>
          <w:sz w:val="20"/>
          <w:szCs w:val="20"/>
        </w:rPr>
        <w:t>Social Initiative</w:t>
      </w:r>
      <w:r>
        <w:rPr>
          <w:b/>
          <w:bCs/>
          <w:i/>
          <w:iCs/>
          <w:sz w:val="20"/>
          <w:szCs w:val="20"/>
        </w:rPr>
        <w:t>s</w:t>
      </w:r>
    </w:p>
    <w:p w14:paraId="566CBC09" w14:textId="77777777" w:rsidR="00000000" w:rsidRDefault="00832D71">
      <w:pPr>
        <w:pStyle w:val="a3"/>
        <w:spacing w:before="240" w:beforeAutospacing="0" w:after="0" w:afterAutospacing="0"/>
        <w:ind w:right="119" w:firstLine="561"/>
        <w:jc w:val="both"/>
        <w:rPr>
          <w:sz w:val="20"/>
          <w:szCs w:val="20"/>
        </w:rPr>
      </w:pPr>
      <w:r>
        <w:rPr>
          <w:sz w:val="20"/>
          <w:szCs w:val="20"/>
        </w:rPr>
        <w:t>The Partnership h</w:t>
      </w:r>
      <w:r>
        <w:rPr>
          <w:sz w:val="20"/>
          <w:szCs w:val="20"/>
        </w:rPr>
        <w:t>as an almost 95-year legacy of an unwavering commitment to the highest standard for safety and outstanding customer service. From our origins as a family-owned business in 1928, we have maintained a family-oriented culture with deep roots in each of the lo</w:t>
      </w:r>
      <w:r>
        <w:rPr>
          <w:sz w:val="20"/>
          <w:szCs w:val="20"/>
        </w:rPr>
        <w:t>cal communities we serve. Our</w:t>
      </w:r>
      <w:r>
        <w:rPr>
          <w:sz w:val="20"/>
          <w:szCs w:val="20"/>
        </w:rPr>
        <w:t xml:space="preserve"> </w:t>
      </w:r>
      <w:r>
        <w:rPr>
          <w:b/>
          <w:bCs/>
          <w:i/>
          <w:iCs/>
          <w:sz w:val="20"/>
          <w:szCs w:val="20"/>
        </w:rPr>
        <w:t>SuburbanCares</w:t>
      </w:r>
      <w:r>
        <w:rPr>
          <w:b/>
          <w:bCs/>
          <w:i/>
          <w:iCs/>
          <w:sz w:val="20"/>
          <w:szCs w:val="20"/>
        </w:rPr>
        <w:t xml:space="preserve"> </w:t>
      </w:r>
      <w:r>
        <w:rPr>
          <w:sz w:val="20"/>
          <w:szCs w:val="20"/>
        </w:rPr>
        <w:t>corporate pillar highlights our continued dedication to philanthropic endeavors through the Partnership’s national partnership with the American Red Cross and countless local community sponsorships and events, as</w:t>
      </w:r>
      <w:r>
        <w:rPr>
          <w:sz w:val="20"/>
          <w:szCs w:val="20"/>
        </w:rPr>
        <w:t xml:space="preserve"> well as the many employee-focused initiatives that differentiate the Partnership as a great place to work. This pillar is supported by the tagline,</w:t>
      </w:r>
      <w:r>
        <w:rPr>
          <w:sz w:val="20"/>
          <w:szCs w:val="20"/>
        </w:rPr>
        <w:t xml:space="preserve"> </w:t>
      </w:r>
      <w:r>
        <w:rPr>
          <w:i/>
          <w:iCs/>
          <w:sz w:val="20"/>
          <w:szCs w:val="20"/>
        </w:rPr>
        <w:t>“Suburban cares about our people and the communities we serve.</w:t>
      </w:r>
      <w:r>
        <w:rPr>
          <w:i/>
          <w:iCs/>
          <w:sz w:val="20"/>
          <w:szCs w:val="20"/>
        </w:rPr>
        <w:t>”</w:t>
      </w:r>
    </w:p>
    <w:p w14:paraId="24768DDF" w14:textId="77777777" w:rsidR="00000000" w:rsidRDefault="00832D71">
      <w:pPr>
        <w:pStyle w:val="a3"/>
        <w:spacing w:before="240" w:beforeAutospacing="0" w:after="0" w:afterAutospacing="0"/>
        <w:ind w:right="119" w:firstLine="561"/>
        <w:jc w:val="both"/>
        <w:rPr>
          <w:sz w:val="20"/>
          <w:szCs w:val="20"/>
        </w:rPr>
      </w:pPr>
      <w:r>
        <w:rPr>
          <w:sz w:val="20"/>
          <w:szCs w:val="20"/>
        </w:rPr>
        <w:t>During the fiscal year ending September 24,</w:t>
      </w:r>
      <w:r>
        <w:rPr>
          <w:sz w:val="20"/>
          <w:szCs w:val="20"/>
        </w:rPr>
        <w:t xml:space="preserve"> 2022, the Partnership placed a specific focus on partnering with organizations that provide much needed assistance in underserved communities throughout our operating footprint with food, shelter, educational supplies and many other essential items. We al</w:t>
      </w:r>
      <w:r>
        <w:rPr>
          <w:sz w:val="20"/>
          <w:szCs w:val="20"/>
        </w:rPr>
        <w:t>so entered into a partnership with the United States Army’s Partnership for Youth Success (“PaYS”) program, which guarantees soldiers an interview and possible employment within the Partnership upon completion of their service, and includes the Partnership</w:t>
      </w:r>
      <w:r>
        <w:rPr>
          <w:sz w:val="20"/>
          <w:szCs w:val="20"/>
        </w:rPr>
        <w:t xml:space="preserve"> in recruiting functions, community events and various outreach initiatives undertaken through the PaYS program. This year, our</w:t>
      </w:r>
      <w:r>
        <w:rPr>
          <w:sz w:val="20"/>
          <w:szCs w:val="20"/>
        </w:rPr>
        <w:t xml:space="preserve"> </w:t>
      </w:r>
      <w:r>
        <w:rPr>
          <w:b/>
          <w:bCs/>
          <w:i/>
          <w:iCs/>
          <w:sz w:val="20"/>
          <w:szCs w:val="20"/>
        </w:rPr>
        <w:t>SuburbanCares</w:t>
      </w:r>
      <w:r>
        <w:rPr>
          <w:b/>
          <w:bCs/>
          <w:i/>
          <w:iCs/>
          <w:sz w:val="20"/>
          <w:szCs w:val="20"/>
        </w:rPr>
        <w:t xml:space="preserve"> </w:t>
      </w:r>
      <w:r>
        <w:rPr>
          <w:sz w:val="20"/>
          <w:szCs w:val="20"/>
        </w:rPr>
        <w:t>activities were recognized by S&amp;P Global - Platts Global Energy Awards as a finalist for Corporate Impact - Sustai</w:t>
      </w:r>
      <w:r>
        <w:rPr>
          <w:sz w:val="20"/>
          <w:szCs w:val="20"/>
        </w:rPr>
        <w:t>ned Commitment. We also continued our ongoing support of the American Red Cross</w:t>
      </w:r>
      <w:r>
        <w:rPr>
          <w:sz w:val="20"/>
          <w:szCs w:val="20"/>
        </w:rPr>
        <w:t>.</w:t>
      </w:r>
    </w:p>
    <w:p w14:paraId="732D6D5D" w14:textId="77777777" w:rsidR="00000000" w:rsidRDefault="00832D71">
      <w:pPr>
        <w:pStyle w:val="a3"/>
        <w:spacing w:before="240" w:beforeAutospacing="0" w:after="0" w:afterAutospacing="0"/>
        <w:ind w:right="119"/>
        <w:jc w:val="both"/>
        <w:rPr>
          <w:sz w:val="20"/>
          <w:szCs w:val="20"/>
        </w:rPr>
      </w:pPr>
      <w:r>
        <w:rPr>
          <w:i/>
          <w:iCs/>
          <w:sz w:val="20"/>
          <w:szCs w:val="20"/>
        </w:rPr>
        <w:t>Safet</w:t>
      </w:r>
      <w:r>
        <w:rPr>
          <w:i/>
          <w:iCs/>
          <w:sz w:val="20"/>
          <w:szCs w:val="20"/>
        </w:rPr>
        <w:t>y</w:t>
      </w:r>
    </w:p>
    <w:p w14:paraId="30C98252" w14:textId="77777777" w:rsidR="00000000" w:rsidRDefault="00832D71">
      <w:pPr>
        <w:pStyle w:val="a3"/>
        <w:spacing w:before="240" w:beforeAutospacing="0" w:after="0" w:afterAutospacing="0"/>
        <w:ind w:right="119" w:firstLine="561"/>
        <w:jc w:val="both"/>
        <w:rPr>
          <w:sz w:val="20"/>
          <w:szCs w:val="20"/>
        </w:rPr>
      </w:pPr>
      <w:r>
        <w:rPr>
          <w:sz w:val="20"/>
          <w:szCs w:val="20"/>
        </w:rPr>
        <w:t xml:space="preserve">Embedded in our culture and the Partnership’s mission statement is our commitment to safety. We believe that the safety and well-being of our employees, customers, and </w:t>
      </w:r>
      <w:r>
        <w:rPr>
          <w:sz w:val="20"/>
          <w:szCs w:val="20"/>
        </w:rPr>
        <w:t>communities is of the utmost importance. Safety is the top priority for our business and we continue to invest in programs, technology, and training to improve safety throughout our operations. We believe that the achievement of superior safety performance</w:t>
      </w:r>
      <w:r>
        <w:rPr>
          <w:sz w:val="20"/>
          <w:szCs w:val="20"/>
        </w:rPr>
        <w:t xml:space="preserve"> is both an important short-term and long-term strategic initiative in supporting our business and managing our operations</w:t>
      </w:r>
      <w:r>
        <w:rPr>
          <w:sz w:val="20"/>
          <w:szCs w:val="20"/>
        </w:rPr>
        <w:t>.</w:t>
      </w:r>
    </w:p>
    <w:p w14:paraId="3D994F3E" w14:textId="77777777" w:rsidR="00000000" w:rsidRDefault="00832D71">
      <w:pPr>
        <w:pStyle w:val="a3"/>
        <w:spacing w:before="240" w:beforeAutospacing="0" w:after="0" w:afterAutospacing="0"/>
        <w:ind w:right="119"/>
        <w:jc w:val="both"/>
        <w:rPr>
          <w:sz w:val="20"/>
          <w:szCs w:val="20"/>
        </w:rPr>
      </w:pPr>
      <w:r>
        <w:rPr>
          <w:i/>
          <w:iCs/>
          <w:sz w:val="20"/>
          <w:szCs w:val="20"/>
        </w:rPr>
        <w:t>Human Capital Managemen</w:t>
      </w:r>
      <w:r>
        <w:rPr>
          <w:i/>
          <w:iCs/>
          <w:sz w:val="20"/>
          <w:szCs w:val="20"/>
        </w:rPr>
        <w:t>t</w:t>
      </w:r>
    </w:p>
    <w:p w14:paraId="3D81D3FE" w14:textId="77777777" w:rsidR="00000000" w:rsidRDefault="00832D71">
      <w:pPr>
        <w:pStyle w:val="a3"/>
        <w:spacing w:before="240" w:beforeAutospacing="0" w:after="0" w:afterAutospacing="0"/>
        <w:ind w:right="119" w:firstLine="561"/>
        <w:jc w:val="both"/>
        <w:rPr>
          <w:sz w:val="20"/>
          <w:szCs w:val="20"/>
        </w:rPr>
      </w:pPr>
      <w:r>
        <w:rPr>
          <w:sz w:val="20"/>
          <w:szCs w:val="20"/>
        </w:rPr>
        <w:t>Our Board, and our management, consider effective talent development and human capital management to be cri</w:t>
      </w:r>
      <w:r>
        <w:rPr>
          <w:sz w:val="20"/>
          <w:szCs w:val="20"/>
        </w:rPr>
        <w:t>tical components to the Partnership’s continued success. Our Board is involved in leadership development and actively oversees the Partnership’s succession planning, which includes periodic reviews of our talent management strategies, leadership pipeline a</w:t>
      </w:r>
      <w:r>
        <w:rPr>
          <w:sz w:val="20"/>
          <w:szCs w:val="20"/>
        </w:rPr>
        <w:t>nd succession planning for key executive positions. Our Board oversees the process of succession planning and the Compensation Committee of our Board implements programs to compensate, retain and motivate key talent</w:t>
      </w:r>
      <w:r>
        <w:rPr>
          <w:sz w:val="20"/>
          <w:szCs w:val="20"/>
        </w:rPr>
        <w:t>.</w:t>
      </w:r>
    </w:p>
    <w:p w14:paraId="38AE8247" w14:textId="77777777" w:rsidR="00000000" w:rsidRDefault="00832D71">
      <w:pPr>
        <w:pStyle w:val="a3"/>
        <w:spacing w:before="240" w:beforeAutospacing="0" w:after="0" w:afterAutospacing="0"/>
        <w:ind w:right="119" w:firstLine="561"/>
        <w:jc w:val="both"/>
        <w:rPr>
          <w:sz w:val="20"/>
          <w:szCs w:val="20"/>
        </w:rPr>
      </w:pPr>
      <w:r>
        <w:rPr>
          <w:sz w:val="20"/>
          <w:szCs w:val="20"/>
        </w:rPr>
        <w:t>In further support of our</w:t>
      </w:r>
      <w:r>
        <w:rPr>
          <w:sz w:val="20"/>
          <w:szCs w:val="20"/>
        </w:rPr>
        <w:t xml:space="preserve"> </w:t>
      </w:r>
      <w:r>
        <w:rPr>
          <w:b/>
          <w:bCs/>
          <w:i/>
          <w:iCs/>
          <w:sz w:val="20"/>
          <w:szCs w:val="20"/>
        </w:rPr>
        <w:t>SuburbanCare</w:t>
      </w:r>
      <w:r>
        <w:rPr>
          <w:b/>
          <w:bCs/>
          <w:i/>
          <w:iCs/>
          <w:sz w:val="20"/>
          <w:szCs w:val="20"/>
        </w:rPr>
        <w:t>s</w:t>
      </w:r>
      <w:r>
        <w:rPr>
          <w:sz w:val="20"/>
          <w:szCs w:val="20"/>
        </w:rPr>
        <w:t xml:space="preserve"> corporate pillar, and our commitment to building a diverse and inclusive culture, we have developed many employee-focused initiatives to support employee career development and hiring, such as our “Steer Your Career” program, which encourages and supports</w:t>
      </w:r>
      <w:r>
        <w:rPr>
          <w:sz w:val="20"/>
          <w:szCs w:val="20"/>
        </w:rPr>
        <w:t xml:space="preserve"> employees to further their education and enhance their knowledge and skills to prepare them for expanded opportunities and responsibilities; our “Heroes Hired Here” program, in which we take pride in our efforts to attract and employ military veterans in </w:t>
      </w:r>
      <w:r>
        <w:rPr>
          <w:sz w:val="20"/>
          <w:szCs w:val="20"/>
        </w:rPr>
        <w:t>recognition and appreciation for the values, leadership, dedication and unique skills that they bring to the Partnership, and support provided to their family members; and our “Apprentice Program,” which provides company-paid, on-the-job training for appre</w:t>
      </w:r>
      <w:r>
        <w:rPr>
          <w:sz w:val="20"/>
          <w:szCs w:val="20"/>
        </w:rPr>
        <w:t>ntices to develop their careers and provide them the necessary skills and tools to prepare them for a successful career within the Partnership</w:t>
      </w:r>
      <w:r>
        <w:rPr>
          <w:sz w:val="20"/>
          <w:szCs w:val="20"/>
        </w:rPr>
        <w:t>.</w:t>
      </w:r>
    </w:p>
    <w:p w14:paraId="19C8B0D1" w14:textId="77777777" w:rsidR="00000000" w:rsidRDefault="00832D71">
      <w:pPr>
        <w:pStyle w:val="a3"/>
        <w:spacing w:before="240" w:beforeAutospacing="0" w:after="0" w:afterAutospacing="0"/>
        <w:jc w:val="both"/>
        <w:rPr>
          <w:sz w:val="20"/>
          <w:szCs w:val="20"/>
        </w:rPr>
      </w:pPr>
      <w:r>
        <w:rPr>
          <w:b/>
          <w:bCs/>
          <w:i/>
          <w:iCs/>
          <w:sz w:val="20"/>
          <w:szCs w:val="20"/>
        </w:rPr>
        <w:t>Governance Initiative</w:t>
      </w:r>
      <w:r>
        <w:rPr>
          <w:b/>
          <w:bCs/>
          <w:i/>
          <w:iCs/>
          <w:sz w:val="20"/>
          <w:szCs w:val="20"/>
        </w:rPr>
        <w:t>s</w:t>
      </w:r>
    </w:p>
    <w:p w14:paraId="4333FF4B" w14:textId="77777777" w:rsidR="00000000" w:rsidRDefault="00832D71">
      <w:pPr>
        <w:pStyle w:val="a3"/>
        <w:spacing w:before="240" w:beforeAutospacing="0" w:after="0" w:afterAutospacing="0"/>
        <w:ind w:firstLine="555"/>
        <w:jc w:val="both"/>
        <w:rPr>
          <w:sz w:val="20"/>
          <w:szCs w:val="20"/>
        </w:rPr>
      </w:pPr>
      <w:r>
        <w:rPr>
          <w:sz w:val="20"/>
          <w:szCs w:val="20"/>
        </w:rPr>
        <w:t>The Board believes that sound corporate governance practices and policies provide an impo</w:t>
      </w:r>
      <w:r>
        <w:rPr>
          <w:sz w:val="20"/>
          <w:szCs w:val="20"/>
        </w:rPr>
        <w:t>rtant framework to assist the Board in fulfilling its duty to Unitholders. Our corporate governance practices and policies, which are periodically reassessed, are reflected in our committee charters, Code of Business Conduct and Ethics, and our Corporate G</w:t>
      </w:r>
      <w:r>
        <w:rPr>
          <w:sz w:val="20"/>
          <w:szCs w:val="20"/>
        </w:rPr>
        <w:t>overnance Guidelines &amp; Principles. A copy of each is available from our website at</w:t>
      </w:r>
      <w:r>
        <w:rPr>
          <w:sz w:val="20"/>
          <w:szCs w:val="20"/>
        </w:rPr>
        <w:t xml:space="preserve"> </w:t>
      </w:r>
      <w:r>
        <w:rPr>
          <w:sz w:val="20"/>
          <w:szCs w:val="20"/>
          <w:u w:val="single"/>
        </w:rPr>
        <w:t>www.suburbanpropane.co</w:t>
      </w:r>
      <w:r>
        <w:rPr>
          <w:sz w:val="20"/>
          <w:szCs w:val="20"/>
          <w:u w:val="single"/>
        </w:rPr>
        <w:t>m</w:t>
      </w:r>
      <w:r>
        <w:rPr>
          <w:sz w:val="20"/>
          <w:szCs w:val="20"/>
        </w:rPr>
        <w:t>.</w:t>
      </w:r>
    </w:p>
    <w:p w14:paraId="3CD5B105" w14:textId="77777777" w:rsidR="00000000" w:rsidRDefault="00832D71">
      <w:pPr>
        <w:pStyle w:val="a3"/>
        <w:spacing w:before="240" w:beforeAutospacing="0" w:after="0" w:afterAutospacing="0"/>
        <w:ind w:firstLine="555"/>
        <w:jc w:val="both"/>
        <w:rPr>
          <w:sz w:val="20"/>
          <w:szCs w:val="20"/>
        </w:rPr>
      </w:pPr>
      <w:r>
        <w:rPr>
          <w:sz w:val="20"/>
          <w:szCs w:val="20"/>
        </w:rPr>
        <w:t>The Partnership was one of the first publicly traded partnerships to eliminate the “incentive distribution rights” of its general partner, which we completed in 2006. This removed the potential for conflicts of interest between our general partner and limi</w:t>
      </w:r>
      <w:r>
        <w:rPr>
          <w:sz w:val="20"/>
          <w:szCs w:val="20"/>
        </w:rPr>
        <w:t>ted partners, and simplified our capital structure. The general partner of both the Partnership and our Operating Partnership is Suburban Energy Services Group LLC (the “General Partner”), a Delaware limited liability company, the sole member of which is t</w:t>
      </w:r>
      <w:r>
        <w:rPr>
          <w:sz w:val="20"/>
          <w:szCs w:val="20"/>
        </w:rPr>
        <w:t xml:space="preserve">he Partnership’s Chief Executive Officer. Other than as a holder of 784 Common Units that will remain in the General Partner, the General Partner does not have any economic interest in us or our Operating Partnership. Accordingly, and unlike many publicly </w:t>
      </w:r>
      <w:r>
        <w:rPr>
          <w:sz w:val="20"/>
          <w:szCs w:val="20"/>
        </w:rPr>
        <w:t>traded partnerships, the Partnership is controlled by our Unitholders through the independently elected Board</w:t>
      </w:r>
      <w:r>
        <w:rPr>
          <w:sz w:val="20"/>
          <w:szCs w:val="20"/>
        </w:rPr>
        <w:t>.</w:t>
      </w:r>
      <w:r>
        <w:rPr>
          <w:sz w:val="20"/>
          <w:szCs w:val="20"/>
        </w:rPr>
        <w:t xml:space="preserve"> </w:t>
      </w:r>
    </w:p>
    <w:p w14:paraId="6CF4DF4F" w14:textId="77777777" w:rsidR="00000000" w:rsidRDefault="00832D71">
      <w:pPr>
        <w:pStyle w:val="a3"/>
        <w:spacing w:before="0" w:beforeAutospacing="0" w:after="0" w:afterAutospacing="0"/>
        <w:jc w:val="center"/>
        <w:rPr>
          <w:sz w:val="20"/>
          <w:szCs w:val="20"/>
        </w:rPr>
      </w:pPr>
      <w:r>
        <w:rPr>
          <w:sz w:val="20"/>
          <w:szCs w:val="20"/>
        </w:rPr>
        <w:t> </w:t>
      </w:r>
    </w:p>
    <w:p w14:paraId="0927D961" w14:textId="77777777" w:rsidR="00000000" w:rsidRDefault="00832D71">
      <w:pPr>
        <w:pStyle w:val="a3"/>
        <w:spacing w:before="0" w:beforeAutospacing="0" w:after="0" w:afterAutospacing="0"/>
        <w:jc w:val="center"/>
        <w:rPr>
          <w:sz w:val="20"/>
          <w:szCs w:val="20"/>
        </w:rPr>
      </w:pPr>
      <w:r>
        <w:rPr>
          <w:sz w:val="20"/>
          <w:szCs w:val="20"/>
        </w:rPr>
        <w:t>1</w:t>
      </w:r>
      <w:r>
        <w:rPr>
          <w:sz w:val="20"/>
          <w:szCs w:val="20"/>
        </w:rPr>
        <w:t>1</w:t>
      </w:r>
    </w:p>
    <w:p w14:paraId="58CB257E" w14:textId="77777777" w:rsidR="00000000" w:rsidRDefault="00832D71">
      <w:pPr>
        <w:rPr>
          <w:rFonts w:eastAsia="Times New Roman"/>
        </w:rPr>
      </w:pPr>
      <w:r>
        <w:rPr>
          <w:rFonts w:eastAsia="Times New Roman"/>
        </w:rPr>
        <w:pict w14:anchorId="06D083BA">
          <v:rect id="_x0000_i1038" style="width:0;height:1.5pt" o:hralign="center" o:hrstd="t" o:hr="t" fillcolor="#a0a0a0" stroked="f"/>
        </w:pict>
      </w:r>
    </w:p>
    <w:p w14:paraId="046A4904"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7C7FC3B0" w14:textId="77777777" w:rsidR="00000000" w:rsidRDefault="00832D71">
      <w:pPr>
        <w:pStyle w:val="a3"/>
        <w:spacing w:before="240" w:beforeAutospacing="0" w:after="0" w:afterAutospacing="0"/>
        <w:jc w:val="both"/>
        <w:rPr>
          <w:sz w:val="20"/>
          <w:szCs w:val="20"/>
        </w:rPr>
      </w:pPr>
      <w:r>
        <w:rPr>
          <w:i/>
          <w:iCs/>
          <w:sz w:val="20"/>
          <w:szCs w:val="20"/>
        </w:rPr>
        <w:t>Governance Highlight</w:t>
      </w:r>
      <w:r>
        <w:rPr>
          <w:i/>
          <w:iCs/>
          <w:sz w:val="20"/>
          <w:szCs w:val="20"/>
        </w:rPr>
        <w:t>s</w:t>
      </w:r>
    </w:p>
    <w:p w14:paraId="4C8341B4" w14:textId="77777777" w:rsidR="00000000" w:rsidRDefault="00832D71">
      <w:pPr>
        <w:pStyle w:val="a3"/>
        <w:spacing w:before="240" w:beforeAutospacing="0" w:after="0" w:afterAutospacing="0"/>
        <w:ind w:firstLine="555"/>
        <w:jc w:val="both"/>
        <w:rPr>
          <w:sz w:val="20"/>
          <w:szCs w:val="20"/>
        </w:rPr>
      </w:pPr>
      <w:r>
        <w:rPr>
          <w:sz w:val="20"/>
          <w:szCs w:val="20"/>
        </w:rPr>
        <w:t>Several highlights tha</w:t>
      </w:r>
      <w:r>
        <w:rPr>
          <w:sz w:val="20"/>
          <w:szCs w:val="20"/>
        </w:rPr>
        <w:t>t demonstrate our commitment to sound corporate governance include</w:t>
      </w:r>
      <w:r>
        <w:rPr>
          <w:sz w:val="20"/>
          <w:szCs w:val="20"/>
        </w:rPr>
        <w:t>:</w:t>
      </w:r>
    </w:p>
    <w:p w14:paraId="627C7F83" w14:textId="77777777" w:rsidR="00000000" w:rsidRDefault="00832D71">
      <w:pPr>
        <w:jc w:val="both"/>
        <w:divId w:val="195122185"/>
        <w:rPr>
          <w:rFonts w:eastAsia="Times New Roman"/>
        </w:rPr>
      </w:pPr>
      <w:r>
        <w:rPr>
          <w:rFonts w:eastAsia="Times New Roman"/>
          <w:sz w:val="20"/>
          <w:szCs w:val="20"/>
        </w:rPr>
        <w:t>•</w:t>
      </w:r>
    </w:p>
    <w:p w14:paraId="5D34BEB9" w14:textId="77777777" w:rsidR="00000000" w:rsidRDefault="00832D71">
      <w:pPr>
        <w:jc w:val="both"/>
        <w:divId w:val="1831168635"/>
        <w:rPr>
          <w:rFonts w:eastAsia="Times New Roman"/>
        </w:rPr>
      </w:pPr>
      <w:r>
        <w:rPr>
          <w:rFonts w:eastAsia="Times New Roman"/>
          <w:b/>
          <w:bCs/>
          <w:sz w:val="20"/>
          <w:szCs w:val="20"/>
        </w:rPr>
        <w:t>Supervisor and Committee Independenc</w:t>
      </w:r>
      <w:r>
        <w:rPr>
          <w:rFonts w:eastAsia="Times New Roman"/>
          <w:b/>
          <w:bCs/>
          <w:sz w:val="20"/>
          <w:szCs w:val="20"/>
        </w:rPr>
        <w:t>e</w:t>
      </w:r>
    </w:p>
    <w:p w14:paraId="4B859BE5" w14:textId="77777777" w:rsidR="00000000" w:rsidRDefault="00832D71">
      <w:pPr>
        <w:jc w:val="both"/>
        <w:divId w:val="473062050"/>
        <w:rPr>
          <w:rFonts w:eastAsia="Times New Roman"/>
        </w:rPr>
      </w:pPr>
      <w:r>
        <w:rPr>
          <w:rFonts w:eastAsia="Times New Roman"/>
          <w:sz w:val="20"/>
          <w:szCs w:val="20"/>
        </w:rPr>
        <w:t>o</w:t>
      </w:r>
    </w:p>
    <w:p w14:paraId="5FBA6E1D" w14:textId="77777777" w:rsidR="00000000" w:rsidRDefault="00832D71">
      <w:pPr>
        <w:jc w:val="both"/>
        <w:divId w:val="236474608"/>
        <w:rPr>
          <w:rFonts w:eastAsia="Times New Roman"/>
        </w:rPr>
      </w:pPr>
      <w:r>
        <w:rPr>
          <w:rFonts w:eastAsia="Times New Roman"/>
          <w:sz w:val="20"/>
          <w:szCs w:val="20"/>
        </w:rPr>
        <w:t>Six of our seven Supervisors are independent, as of September 24, 202</w:t>
      </w:r>
      <w:r>
        <w:rPr>
          <w:rFonts w:eastAsia="Times New Roman"/>
          <w:sz w:val="20"/>
          <w:szCs w:val="20"/>
        </w:rPr>
        <w:t>2</w:t>
      </w:r>
    </w:p>
    <w:p w14:paraId="0E1F4B25" w14:textId="77777777" w:rsidR="00000000" w:rsidRDefault="00832D71">
      <w:pPr>
        <w:jc w:val="both"/>
        <w:divId w:val="561252980"/>
        <w:rPr>
          <w:rFonts w:eastAsia="Times New Roman"/>
        </w:rPr>
      </w:pPr>
      <w:r>
        <w:rPr>
          <w:rFonts w:eastAsia="Times New Roman"/>
          <w:sz w:val="20"/>
          <w:szCs w:val="20"/>
        </w:rPr>
        <w:t>o</w:t>
      </w:r>
    </w:p>
    <w:p w14:paraId="6192808A" w14:textId="77777777" w:rsidR="00000000" w:rsidRDefault="00832D71">
      <w:pPr>
        <w:jc w:val="both"/>
        <w:divId w:val="182020284"/>
        <w:rPr>
          <w:rFonts w:eastAsia="Times New Roman"/>
        </w:rPr>
      </w:pPr>
      <w:r>
        <w:rPr>
          <w:rFonts w:eastAsia="Times New Roman"/>
          <w:sz w:val="20"/>
          <w:szCs w:val="20"/>
        </w:rPr>
        <w:t>Our Audit, Compensation and Nominating/Governance Committees are fully in</w:t>
      </w:r>
      <w:r>
        <w:rPr>
          <w:rFonts w:eastAsia="Times New Roman"/>
          <w:sz w:val="20"/>
          <w:szCs w:val="20"/>
        </w:rPr>
        <w:t>dependen</w:t>
      </w:r>
      <w:r>
        <w:rPr>
          <w:rFonts w:eastAsia="Times New Roman"/>
          <w:sz w:val="20"/>
          <w:szCs w:val="20"/>
        </w:rPr>
        <w:t>t</w:t>
      </w:r>
    </w:p>
    <w:p w14:paraId="4C5A0D84" w14:textId="77777777" w:rsidR="00000000" w:rsidRDefault="00832D71">
      <w:pPr>
        <w:jc w:val="both"/>
        <w:divId w:val="218173465"/>
        <w:rPr>
          <w:rFonts w:eastAsia="Times New Roman"/>
        </w:rPr>
      </w:pPr>
      <w:r>
        <w:rPr>
          <w:rFonts w:eastAsia="Times New Roman"/>
          <w:sz w:val="20"/>
          <w:szCs w:val="20"/>
        </w:rPr>
        <w:t>o</w:t>
      </w:r>
    </w:p>
    <w:p w14:paraId="35C5638F" w14:textId="77777777" w:rsidR="00000000" w:rsidRDefault="00832D71">
      <w:pPr>
        <w:jc w:val="both"/>
        <w:divId w:val="132676670"/>
        <w:rPr>
          <w:rFonts w:eastAsia="Times New Roman"/>
        </w:rPr>
      </w:pPr>
      <w:r>
        <w:rPr>
          <w:rFonts w:eastAsia="Times New Roman"/>
          <w:sz w:val="20"/>
          <w:szCs w:val="20"/>
        </w:rPr>
        <w:t>Independent Supervisors chair each of our Committee</w:t>
      </w:r>
      <w:r>
        <w:rPr>
          <w:rFonts w:eastAsia="Times New Roman"/>
          <w:sz w:val="20"/>
          <w:szCs w:val="20"/>
        </w:rPr>
        <w:t>s</w:t>
      </w:r>
    </w:p>
    <w:p w14:paraId="70894049" w14:textId="77777777" w:rsidR="00000000" w:rsidRDefault="00832D71">
      <w:pPr>
        <w:jc w:val="both"/>
        <w:divId w:val="1152063609"/>
        <w:rPr>
          <w:rFonts w:eastAsia="Times New Roman"/>
        </w:rPr>
      </w:pPr>
      <w:r>
        <w:rPr>
          <w:rFonts w:eastAsia="Times New Roman"/>
          <w:sz w:val="20"/>
          <w:szCs w:val="20"/>
        </w:rPr>
        <w:t>•</w:t>
      </w:r>
    </w:p>
    <w:p w14:paraId="5C741A77" w14:textId="77777777" w:rsidR="00000000" w:rsidRDefault="00832D71">
      <w:pPr>
        <w:jc w:val="both"/>
        <w:divId w:val="512840708"/>
        <w:rPr>
          <w:rFonts w:eastAsia="Times New Roman"/>
        </w:rPr>
      </w:pPr>
      <w:r>
        <w:rPr>
          <w:rFonts w:eastAsia="Times New Roman"/>
          <w:b/>
          <w:bCs/>
          <w:sz w:val="20"/>
          <w:szCs w:val="20"/>
        </w:rPr>
        <w:t>Board Leadership and Engagemen</w:t>
      </w:r>
      <w:r>
        <w:rPr>
          <w:rFonts w:eastAsia="Times New Roman"/>
          <w:b/>
          <w:bCs/>
          <w:sz w:val="20"/>
          <w:szCs w:val="20"/>
        </w:rPr>
        <w:t>t</w:t>
      </w:r>
    </w:p>
    <w:p w14:paraId="6D284170" w14:textId="77777777" w:rsidR="00000000" w:rsidRDefault="00832D71">
      <w:pPr>
        <w:jc w:val="both"/>
        <w:divId w:val="780494791"/>
        <w:rPr>
          <w:rFonts w:eastAsia="Times New Roman"/>
        </w:rPr>
      </w:pPr>
      <w:r>
        <w:rPr>
          <w:rFonts w:eastAsia="Times New Roman"/>
          <w:sz w:val="20"/>
          <w:szCs w:val="20"/>
        </w:rPr>
        <w:t>o</w:t>
      </w:r>
    </w:p>
    <w:p w14:paraId="3C634958" w14:textId="77777777" w:rsidR="00000000" w:rsidRDefault="00832D71">
      <w:pPr>
        <w:jc w:val="both"/>
        <w:divId w:val="1885949688"/>
        <w:rPr>
          <w:rFonts w:eastAsia="Times New Roman"/>
        </w:rPr>
      </w:pPr>
      <w:r>
        <w:rPr>
          <w:rFonts w:eastAsia="Times New Roman"/>
          <w:sz w:val="20"/>
          <w:szCs w:val="20"/>
        </w:rPr>
        <w:t>An independent Supervisor chairs our Board</w:t>
      </w:r>
      <w:r>
        <w:rPr>
          <w:rFonts w:eastAsia="Times New Roman"/>
          <w:sz w:val="20"/>
          <w:szCs w:val="20"/>
        </w:rPr>
        <w:t xml:space="preserve"> </w:t>
      </w:r>
    </w:p>
    <w:p w14:paraId="48017EEC" w14:textId="77777777" w:rsidR="00000000" w:rsidRDefault="00832D71">
      <w:pPr>
        <w:jc w:val="both"/>
        <w:divId w:val="65887184"/>
        <w:rPr>
          <w:rFonts w:eastAsia="Times New Roman"/>
        </w:rPr>
      </w:pPr>
      <w:r>
        <w:rPr>
          <w:rFonts w:eastAsia="Times New Roman"/>
          <w:sz w:val="20"/>
          <w:szCs w:val="20"/>
        </w:rPr>
        <w:t>o</w:t>
      </w:r>
    </w:p>
    <w:p w14:paraId="7C6F0849" w14:textId="77777777" w:rsidR="00000000" w:rsidRDefault="00832D71">
      <w:pPr>
        <w:jc w:val="both"/>
        <w:divId w:val="1551646171"/>
        <w:rPr>
          <w:rFonts w:eastAsia="Times New Roman"/>
        </w:rPr>
      </w:pPr>
      <w:r>
        <w:rPr>
          <w:rFonts w:eastAsia="Times New Roman"/>
          <w:sz w:val="20"/>
          <w:szCs w:val="20"/>
        </w:rPr>
        <w:t>Independent Supervisors conduct executive sessions at meetings without the presence of members of managemen</w:t>
      </w:r>
      <w:r>
        <w:rPr>
          <w:rFonts w:eastAsia="Times New Roman"/>
          <w:sz w:val="20"/>
          <w:szCs w:val="20"/>
        </w:rPr>
        <w:t>t</w:t>
      </w:r>
    </w:p>
    <w:p w14:paraId="4A9DCF95" w14:textId="77777777" w:rsidR="00000000" w:rsidRDefault="00832D71">
      <w:pPr>
        <w:jc w:val="both"/>
        <w:divId w:val="116796924"/>
        <w:rPr>
          <w:rFonts w:eastAsia="Times New Roman"/>
        </w:rPr>
      </w:pPr>
      <w:r>
        <w:rPr>
          <w:rFonts w:eastAsia="Times New Roman"/>
          <w:sz w:val="20"/>
          <w:szCs w:val="20"/>
        </w:rPr>
        <w:t>o</w:t>
      </w:r>
    </w:p>
    <w:p w14:paraId="233152BC" w14:textId="77777777" w:rsidR="00000000" w:rsidRDefault="00832D71">
      <w:pPr>
        <w:jc w:val="both"/>
        <w:divId w:val="1596597064"/>
        <w:rPr>
          <w:rFonts w:eastAsia="Times New Roman"/>
        </w:rPr>
      </w:pPr>
      <w:r>
        <w:rPr>
          <w:rFonts w:eastAsia="Times New Roman"/>
          <w:sz w:val="20"/>
          <w:szCs w:val="20"/>
        </w:rPr>
        <w:t>Supervisors attended more than 75% of the total number of meetings of the Board and of the Committees of the Board on which such Supervisor serve</w:t>
      </w:r>
      <w:r>
        <w:rPr>
          <w:rFonts w:eastAsia="Times New Roman"/>
          <w:sz w:val="20"/>
          <w:szCs w:val="20"/>
        </w:rPr>
        <w:t>d in fiscal 202</w:t>
      </w:r>
      <w:r>
        <w:rPr>
          <w:rFonts w:eastAsia="Times New Roman"/>
          <w:sz w:val="20"/>
          <w:szCs w:val="20"/>
        </w:rPr>
        <w:t>2</w:t>
      </w:r>
    </w:p>
    <w:p w14:paraId="363FB457" w14:textId="77777777" w:rsidR="00000000" w:rsidRDefault="00832D71">
      <w:pPr>
        <w:jc w:val="both"/>
        <w:divId w:val="1992099492"/>
        <w:rPr>
          <w:rFonts w:eastAsia="Times New Roman"/>
        </w:rPr>
      </w:pPr>
      <w:r>
        <w:rPr>
          <w:rFonts w:eastAsia="Times New Roman"/>
          <w:sz w:val="20"/>
          <w:szCs w:val="20"/>
        </w:rPr>
        <w:t>•</w:t>
      </w:r>
    </w:p>
    <w:p w14:paraId="44F6305E" w14:textId="77777777" w:rsidR="00000000" w:rsidRDefault="00832D71">
      <w:pPr>
        <w:jc w:val="both"/>
        <w:divId w:val="1068531557"/>
        <w:rPr>
          <w:rFonts w:eastAsia="Times New Roman"/>
        </w:rPr>
      </w:pPr>
      <w:r>
        <w:rPr>
          <w:rFonts w:eastAsia="Times New Roman"/>
          <w:b/>
          <w:bCs/>
          <w:sz w:val="20"/>
          <w:szCs w:val="20"/>
        </w:rPr>
        <w:t>Board Evaluations and Effectivenes</w:t>
      </w:r>
      <w:r>
        <w:rPr>
          <w:rFonts w:eastAsia="Times New Roman"/>
          <w:b/>
          <w:bCs/>
          <w:sz w:val="20"/>
          <w:szCs w:val="20"/>
        </w:rPr>
        <w:t>s</w:t>
      </w:r>
    </w:p>
    <w:p w14:paraId="33AA59EB" w14:textId="77777777" w:rsidR="00000000" w:rsidRDefault="00832D71">
      <w:pPr>
        <w:jc w:val="both"/>
        <w:divId w:val="1564172564"/>
        <w:rPr>
          <w:rFonts w:eastAsia="Times New Roman"/>
        </w:rPr>
      </w:pPr>
      <w:r>
        <w:rPr>
          <w:rFonts w:eastAsia="Times New Roman"/>
          <w:sz w:val="20"/>
          <w:szCs w:val="20"/>
        </w:rPr>
        <w:t>o</w:t>
      </w:r>
    </w:p>
    <w:p w14:paraId="2948690F" w14:textId="77777777" w:rsidR="00000000" w:rsidRDefault="00832D71">
      <w:pPr>
        <w:jc w:val="both"/>
        <w:divId w:val="1317341904"/>
        <w:rPr>
          <w:rFonts w:eastAsia="Times New Roman"/>
        </w:rPr>
      </w:pPr>
      <w:r>
        <w:rPr>
          <w:rFonts w:eastAsia="Times New Roman"/>
          <w:sz w:val="20"/>
          <w:szCs w:val="20"/>
        </w:rPr>
        <w:t>Our Board conducts annual self-assessments to evaluate Board and Committee effectiveness, and identify opportunities for improving our Board and Committee operation</w:t>
      </w:r>
      <w:r>
        <w:rPr>
          <w:rFonts w:eastAsia="Times New Roman"/>
          <w:sz w:val="20"/>
          <w:szCs w:val="20"/>
        </w:rPr>
        <w:t>s</w:t>
      </w:r>
    </w:p>
    <w:p w14:paraId="59F33260" w14:textId="77777777" w:rsidR="00000000" w:rsidRDefault="00832D71">
      <w:pPr>
        <w:jc w:val="both"/>
        <w:divId w:val="1351568699"/>
        <w:rPr>
          <w:rFonts w:eastAsia="Times New Roman"/>
        </w:rPr>
      </w:pPr>
      <w:r>
        <w:rPr>
          <w:rFonts w:eastAsia="Times New Roman"/>
          <w:sz w:val="20"/>
          <w:szCs w:val="20"/>
        </w:rPr>
        <w:t>•</w:t>
      </w:r>
    </w:p>
    <w:p w14:paraId="61E0631E" w14:textId="77777777" w:rsidR="00000000" w:rsidRDefault="00832D71">
      <w:pPr>
        <w:jc w:val="both"/>
        <w:divId w:val="1446802899"/>
        <w:rPr>
          <w:rFonts w:eastAsia="Times New Roman"/>
        </w:rPr>
      </w:pPr>
      <w:r>
        <w:rPr>
          <w:rFonts w:eastAsia="Times New Roman"/>
          <w:b/>
          <w:bCs/>
          <w:sz w:val="20"/>
          <w:szCs w:val="20"/>
        </w:rPr>
        <w:t>Clawback, Insider Trading and Anti-Hedging Policie</w:t>
      </w:r>
      <w:r>
        <w:rPr>
          <w:rFonts w:eastAsia="Times New Roman"/>
          <w:b/>
          <w:bCs/>
          <w:sz w:val="20"/>
          <w:szCs w:val="20"/>
        </w:rPr>
        <w:t>s</w:t>
      </w:r>
    </w:p>
    <w:p w14:paraId="7847525B" w14:textId="77777777" w:rsidR="00000000" w:rsidRDefault="00832D71">
      <w:pPr>
        <w:jc w:val="both"/>
        <w:divId w:val="1247880159"/>
        <w:rPr>
          <w:rFonts w:eastAsia="Times New Roman"/>
        </w:rPr>
      </w:pPr>
      <w:r>
        <w:rPr>
          <w:rFonts w:eastAsia="Times New Roman"/>
          <w:sz w:val="20"/>
          <w:szCs w:val="20"/>
        </w:rPr>
        <w:t>o</w:t>
      </w:r>
    </w:p>
    <w:p w14:paraId="632F72CE" w14:textId="77777777" w:rsidR="00000000" w:rsidRDefault="00832D71">
      <w:pPr>
        <w:jc w:val="both"/>
        <w:divId w:val="2008822626"/>
        <w:rPr>
          <w:rFonts w:eastAsia="Times New Roman"/>
        </w:rPr>
      </w:pPr>
      <w:r>
        <w:rPr>
          <w:rFonts w:eastAsia="Times New Roman"/>
          <w:sz w:val="20"/>
          <w:szCs w:val="20"/>
        </w:rPr>
        <w:t>Performance-based incentive awards</w:t>
      </w:r>
      <w:r>
        <w:rPr>
          <w:rFonts w:eastAsia="Times New Roman"/>
          <w:sz w:val="20"/>
          <w:szCs w:val="20"/>
        </w:rPr>
        <w:t xml:space="preserve"> or payments for our officers are subject to our Incentive Compensation Recoupment Policy, which permits the Partnership to recoup incentive compensation in the event of a material restatement of financial results, or other events that negatively impact th</w:t>
      </w:r>
      <w:r>
        <w:rPr>
          <w:rFonts w:eastAsia="Times New Roman"/>
          <w:sz w:val="20"/>
          <w:szCs w:val="20"/>
        </w:rPr>
        <w:t>e Partnership, including fraudulent or intentional misconduct that results in an adverse impact on our financial performanc</w:t>
      </w:r>
      <w:r>
        <w:rPr>
          <w:rFonts w:eastAsia="Times New Roman"/>
          <w:sz w:val="20"/>
          <w:szCs w:val="20"/>
        </w:rPr>
        <w:t>e</w:t>
      </w:r>
    </w:p>
    <w:p w14:paraId="2E542B85" w14:textId="77777777" w:rsidR="00000000" w:rsidRDefault="00832D71">
      <w:pPr>
        <w:jc w:val="both"/>
        <w:divId w:val="1574511940"/>
        <w:rPr>
          <w:rFonts w:eastAsia="Times New Roman"/>
        </w:rPr>
      </w:pPr>
      <w:r>
        <w:rPr>
          <w:rFonts w:eastAsia="Times New Roman"/>
          <w:sz w:val="20"/>
          <w:szCs w:val="20"/>
        </w:rPr>
        <w:t>o</w:t>
      </w:r>
    </w:p>
    <w:p w14:paraId="6E164942" w14:textId="77777777" w:rsidR="00000000" w:rsidRDefault="00832D71">
      <w:pPr>
        <w:jc w:val="both"/>
        <w:divId w:val="918371828"/>
        <w:rPr>
          <w:rFonts w:eastAsia="Times New Roman"/>
        </w:rPr>
      </w:pPr>
      <w:r>
        <w:rPr>
          <w:rFonts w:eastAsia="Times New Roman"/>
          <w:sz w:val="20"/>
          <w:szCs w:val="20"/>
        </w:rPr>
        <w:t>Our Insider Trading Policy prohibits our Supervisors, executive officers and certain other key employees from engaging in insider</w:t>
      </w:r>
      <w:r>
        <w:rPr>
          <w:rFonts w:eastAsia="Times New Roman"/>
          <w:sz w:val="20"/>
          <w:szCs w:val="20"/>
        </w:rPr>
        <w:t xml:space="preserve"> trading, or in hedging transactions or derivative investments involving the Partnership’s equity securitie</w:t>
      </w:r>
      <w:r>
        <w:rPr>
          <w:rFonts w:eastAsia="Times New Roman"/>
          <w:sz w:val="20"/>
          <w:szCs w:val="20"/>
        </w:rPr>
        <w:t>s</w:t>
      </w:r>
    </w:p>
    <w:p w14:paraId="68054ECD" w14:textId="77777777" w:rsidR="00000000" w:rsidRDefault="00832D71">
      <w:pPr>
        <w:jc w:val="both"/>
        <w:divId w:val="1995720419"/>
        <w:rPr>
          <w:rFonts w:eastAsia="Times New Roman"/>
        </w:rPr>
      </w:pPr>
      <w:r>
        <w:rPr>
          <w:rFonts w:eastAsia="Times New Roman"/>
          <w:sz w:val="20"/>
          <w:szCs w:val="20"/>
        </w:rPr>
        <w:t>•</w:t>
      </w:r>
    </w:p>
    <w:p w14:paraId="2EAD08FB" w14:textId="77777777" w:rsidR="00000000" w:rsidRDefault="00832D71">
      <w:pPr>
        <w:jc w:val="both"/>
        <w:divId w:val="641621101"/>
        <w:rPr>
          <w:rFonts w:eastAsia="Times New Roman"/>
        </w:rPr>
      </w:pPr>
      <w:r>
        <w:rPr>
          <w:rFonts w:eastAsia="Times New Roman"/>
          <w:b/>
          <w:bCs/>
          <w:sz w:val="20"/>
          <w:szCs w:val="20"/>
        </w:rPr>
        <w:t>Share Ownershi</w:t>
      </w:r>
      <w:r>
        <w:rPr>
          <w:rFonts w:eastAsia="Times New Roman"/>
          <w:b/>
          <w:bCs/>
          <w:sz w:val="20"/>
          <w:szCs w:val="20"/>
        </w:rPr>
        <w:t>p</w:t>
      </w:r>
    </w:p>
    <w:p w14:paraId="3F3E5E59" w14:textId="77777777" w:rsidR="00000000" w:rsidRDefault="00832D71">
      <w:pPr>
        <w:jc w:val="both"/>
        <w:divId w:val="1913737380"/>
        <w:rPr>
          <w:rFonts w:eastAsia="Times New Roman"/>
        </w:rPr>
      </w:pPr>
      <w:r>
        <w:rPr>
          <w:rFonts w:eastAsia="Times New Roman"/>
          <w:sz w:val="20"/>
          <w:szCs w:val="20"/>
        </w:rPr>
        <w:t>o</w:t>
      </w:r>
    </w:p>
    <w:p w14:paraId="56B65C04" w14:textId="77777777" w:rsidR="00000000" w:rsidRDefault="00832D71">
      <w:pPr>
        <w:jc w:val="both"/>
        <w:divId w:val="70473874"/>
        <w:rPr>
          <w:rFonts w:eastAsia="Times New Roman"/>
        </w:rPr>
      </w:pPr>
      <w:r>
        <w:rPr>
          <w:rFonts w:eastAsia="Times New Roman"/>
          <w:sz w:val="20"/>
          <w:szCs w:val="20"/>
        </w:rPr>
        <w:t>Our Equity Holding Policy establishes guidelines for the level of equity holdings in the Partnership that Supervisors and our e</w:t>
      </w:r>
      <w:r>
        <w:rPr>
          <w:rFonts w:eastAsia="Times New Roman"/>
          <w:sz w:val="20"/>
          <w:szCs w:val="20"/>
        </w:rPr>
        <w:t>xecutive officers are expected to maintai</w:t>
      </w:r>
      <w:r>
        <w:rPr>
          <w:rFonts w:eastAsia="Times New Roman"/>
          <w:sz w:val="20"/>
          <w:szCs w:val="20"/>
        </w:rPr>
        <w:t>n</w:t>
      </w:r>
    </w:p>
    <w:p w14:paraId="2CF4DD92" w14:textId="77777777" w:rsidR="00000000" w:rsidRDefault="00832D71">
      <w:pPr>
        <w:jc w:val="both"/>
        <w:divId w:val="586383357"/>
        <w:rPr>
          <w:rFonts w:eastAsia="Times New Roman"/>
        </w:rPr>
      </w:pPr>
      <w:r>
        <w:rPr>
          <w:rFonts w:eastAsia="Times New Roman"/>
          <w:sz w:val="20"/>
          <w:szCs w:val="20"/>
        </w:rPr>
        <w:t>o</w:t>
      </w:r>
    </w:p>
    <w:p w14:paraId="48E4F4E4" w14:textId="77777777" w:rsidR="00000000" w:rsidRDefault="00832D71">
      <w:pPr>
        <w:jc w:val="both"/>
        <w:divId w:val="1099250549"/>
        <w:rPr>
          <w:rFonts w:eastAsia="Times New Roman"/>
        </w:rPr>
      </w:pPr>
      <w:r>
        <w:rPr>
          <w:rFonts w:eastAsia="Times New Roman"/>
          <w:sz w:val="20"/>
          <w:szCs w:val="20"/>
        </w:rPr>
        <w:t xml:space="preserve">Supervisors are required to hold Common Units, the value of which is equivalent to 4x the cash portion of their annual retainer (including additional fees to Committee chairs) no later than the measurement date </w:t>
      </w:r>
      <w:r>
        <w:rPr>
          <w:rFonts w:eastAsia="Times New Roman"/>
          <w:sz w:val="20"/>
          <w:szCs w:val="20"/>
        </w:rPr>
        <w:t>next following the second anniversary of the date upon which the Supervisor joined the Boar</w:t>
      </w:r>
      <w:r>
        <w:rPr>
          <w:rFonts w:eastAsia="Times New Roman"/>
          <w:sz w:val="20"/>
          <w:szCs w:val="20"/>
        </w:rPr>
        <w:t>d</w:t>
      </w:r>
    </w:p>
    <w:p w14:paraId="1293BA47" w14:textId="77777777" w:rsidR="00000000" w:rsidRDefault="00832D71">
      <w:pPr>
        <w:jc w:val="both"/>
        <w:divId w:val="336005151"/>
        <w:rPr>
          <w:rFonts w:eastAsia="Times New Roman"/>
        </w:rPr>
      </w:pPr>
      <w:r>
        <w:rPr>
          <w:rFonts w:eastAsia="Times New Roman"/>
          <w:sz w:val="20"/>
          <w:szCs w:val="20"/>
        </w:rPr>
        <w:t>o</w:t>
      </w:r>
    </w:p>
    <w:p w14:paraId="485DFB67" w14:textId="77777777" w:rsidR="00000000" w:rsidRDefault="00832D71">
      <w:pPr>
        <w:jc w:val="both"/>
        <w:divId w:val="1243836825"/>
        <w:rPr>
          <w:rFonts w:eastAsia="Times New Roman"/>
        </w:rPr>
      </w:pPr>
      <w:r>
        <w:rPr>
          <w:rFonts w:eastAsia="Times New Roman"/>
          <w:sz w:val="20"/>
          <w:szCs w:val="20"/>
        </w:rPr>
        <w:t>Our CEO is required to hold Common Units, the value of which is equivalent to 5x base salar</w:t>
      </w:r>
      <w:r>
        <w:rPr>
          <w:rFonts w:eastAsia="Times New Roman"/>
          <w:sz w:val="20"/>
          <w:szCs w:val="20"/>
        </w:rPr>
        <w:t>y</w:t>
      </w:r>
    </w:p>
    <w:p w14:paraId="58826E71" w14:textId="77777777" w:rsidR="00000000" w:rsidRDefault="00832D71">
      <w:pPr>
        <w:jc w:val="both"/>
        <w:divId w:val="1834102329"/>
        <w:rPr>
          <w:rFonts w:eastAsia="Times New Roman"/>
        </w:rPr>
      </w:pPr>
      <w:r>
        <w:rPr>
          <w:rFonts w:eastAsia="Times New Roman"/>
          <w:sz w:val="20"/>
          <w:szCs w:val="20"/>
        </w:rPr>
        <w:t>o</w:t>
      </w:r>
    </w:p>
    <w:p w14:paraId="1ED3BE98" w14:textId="77777777" w:rsidR="00000000" w:rsidRDefault="00832D71">
      <w:pPr>
        <w:jc w:val="both"/>
        <w:divId w:val="251009612"/>
        <w:rPr>
          <w:rFonts w:eastAsia="Times New Roman"/>
        </w:rPr>
      </w:pPr>
      <w:r>
        <w:rPr>
          <w:rFonts w:eastAsia="Times New Roman"/>
          <w:sz w:val="20"/>
          <w:szCs w:val="20"/>
        </w:rPr>
        <w:t xml:space="preserve">Other named executive officers are required to hold Common Units, </w:t>
      </w:r>
      <w:r>
        <w:rPr>
          <w:rFonts w:eastAsia="Times New Roman"/>
          <w:sz w:val="20"/>
          <w:szCs w:val="20"/>
        </w:rPr>
        <w:t>the value of which is equivalent to 2.5x to 3x their base salary, depending upon their positio</w:t>
      </w:r>
      <w:r>
        <w:rPr>
          <w:rFonts w:eastAsia="Times New Roman"/>
          <w:sz w:val="20"/>
          <w:szCs w:val="20"/>
        </w:rPr>
        <w:t>n</w:t>
      </w:r>
    </w:p>
    <w:p w14:paraId="3C438305" w14:textId="77777777" w:rsidR="00000000" w:rsidRDefault="00832D71">
      <w:pPr>
        <w:pStyle w:val="a3"/>
        <w:spacing w:before="240" w:beforeAutospacing="0" w:after="0" w:afterAutospacing="0"/>
        <w:jc w:val="both"/>
        <w:rPr>
          <w:sz w:val="20"/>
          <w:szCs w:val="20"/>
        </w:rPr>
      </w:pPr>
      <w:r>
        <w:rPr>
          <w:i/>
          <w:iCs/>
          <w:sz w:val="20"/>
          <w:szCs w:val="20"/>
        </w:rPr>
        <w:t>Board Diversity Highlight</w:t>
      </w:r>
      <w:r>
        <w:rPr>
          <w:i/>
          <w:iCs/>
          <w:sz w:val="20"/>
          <w:szCs w:val="20"/>
        </w:rPr>
        <w:t>s</w:t>
      </w:r>
    </w:p>
    <w:p w14:paraId="05061A55" w14:textId="77777777" w:rsidR="00000000" w:rsidRDefault="00832D71">
      <w:pPr>
        <w:pStyle w:val="a3"/>
        <w:spacing w:before="240" w:beforeAutospacing="0" w:after="0" w:afterAutospacing="0"/>
        <w:ind w:firstLine="555"/>
        <w:jc w:val="both"/>
        <w:rPr>
          <w:sz w:val="20"/>
          <w:szCs w:val="20"/>
        </w:rPr>
      </w:pPr>
      <w:r>
        <w:rPr>
          <w:sz w:val="20"/>
          <w:szCs w:val="20"/>
        </w:rPr>
        <w:t xml:space="preserve">Our Supervisors have extensive and diverse experience relevant to our business and strategy that enhances the knowledge of our Board </w:t>
      </w:r>
      <w:r>
        <w:rPr>
          <w:sz w:val="20"/>
          <w:szCs w:val="20"/>
        </w:rPr>
        <w:t>and the insight that they provide the Partnership, including significant experience in the following industries</w:t>
      </w:r>
      <w:r>
        <w:rPr>
          <w:sz w:val="20"/>
          <w:szCs w:val="20"/>
        </w:rPr>
        <w:t>:</w:t>
      </w:r>
    </w:p>
    <w:p w14:paraId="562CD53E" w14:textId="77777777" w:rsidR="00000000" w:rsidRDefault="00832D71">
      <w:pPr>
        <w:jc w:val="both"/>
        <w:divId w:val="1041904016"/>
        <w:rPr>
          <w:rFonts w:eastAsia="Times New Roman"/>
        </w:rPr>
      </w:pPr>
      <w:r>
        <w:rPr>
          <w:rFonts w:eastAsia="Times New Roman"/>
          <w:sz w:val="20"/>
          <w:szCs w:val="20"/>
        </w:rPr>
        <w:t>•</w:t>
      </w:r>
    </w:p>
    <w:p w14:paraId="10FD855E" w14:textId="77777777" w:rsidR="00000000" w:rsidRDefault="00832D71">
      <w:pPr>
        <w:jc w:val="both"/>
        <w:divId w:val="1563252480"/>
        <w:rPr>
          <w:rFonts w:eastAsia="Times New Roman"/>
        </w:rPr>
      </w:pPr>
      <w:r>
        <w:rPr>
          <w:rFonts w:eastAsia="Times New Roman"/>
          <w:sz w:val="20"/>
          <w:szCs w:val="20"/>
        </w:rPr>
        <w:t>Retail distribution of energy and other products</w:t>
      </w:r>
      <w:r>
        <w:rPr>
          <w:rFonts w:eastAsia="Times New Roman"/>
          <w:sz w:val="20"/>
          <w:szCs w:val="20"/>
        </w:rPr>
        <w:t>;</w:t>
      </w:r>
    </w:p>
    <w:p w14:paraId="68F21274" w14:textId="77777777" w:rsidR="00000000" w:rsidRDefault="00832D71">
      <w:pPr>
        <w:jc w:val="both"/>
        <w:divId w:val="1568806292"/>
        <w:rPr>
          <w:rFonts w:eastAsia="Times New Roman"/>
        </w:rPr>
      </w:pPr>
      <w:r>
        <w:rPr>
          <w:rFonts w:eastAsia="Times New Roman"/>
          <w:sz w:val="20"/>
          <w:szCs w:val="20"/>
        </w:rPr>
        <w:t>•</w:t>
      </w:r>
    </w:p>
    <w:p w14:paraId="29BAEBE5" w14:textId="77777777" w:rsidR="00000000" w:rsidRDefault="00832D71">
      <w:pPr>
        <w:jc w:val="both"/>
        <w:divId w:val="1860503662"/>
        <w:rPr>
          <w:rFonts w:eastAsia="Times New Roman"/>
        </w:rPr>
      </w:pPr>
      <w:r>
        <w:rPr>
          <w:rFonts w:eastAsia="Times New Roman"/>
          <w:sz w:val="20"/>
          <w:szCs w:val="20"/>
        </w:rPr>
        <w:t>Energy infrastructure and logistics</w:t>
      </w:r>
      <w:r>
        <w:rPr>
          <w:rFonts w:eastAsia="Times New Roman"/>
          <w:sz w:val="20"/>
          <w:szCs w:val="20"/>
        </w:rPr>
        <w:t>;</w:t>
      </w:r>
    </w:p>
    <w:p w14:paraId="02F87E6C" w14:textId="77777777" w:rsidR="00000000" w:rsidRDefault="00832D71">
      <w:pPr>
        <w:jc w:val="both"/>
        <w:divId w:val="1430855585"/>
        <w:rPr>
          <w:rFonts w:eastAsia="Times New Roman"/>
        </w:rPr>
      </w:pPr>
      <w:r>
        <w:rPr>
          <w:rFonts w:eastAsia="Times New Roman"/>
          <w:sz w:val="20"/>
          <w:szCs w:val="20"/>
        </w:rPr>
        <w:t>•</w:t>
      </w:r>
    </w:p>
    <w:p w14:paraId="12169AA0" w14:textId="77777777" w:rsidR="00000000" w:rsidRDefault="00832D71">
      <w:pPr>
        <w:jc w:val="both"/>
        <w:divId w:val="1473868763"/>
        <w:rPr>
          <w:rFonts w:eastAsia="Times New Roman"/>
        </w:rPr>
      </w:pPr>
      <w:r>
        <w:rPr>
          <w:rFonts w:eastAsia="Times New Roman"/>
          <w:sz w:val="20"/>
          <w:szCs w:val="20"/>
        </w:rPr>
        <w:t>Chemical processing and refining</w:t>
      </w:r>
      <w:r>
        <w:rPr>
          <w:rFonts w:eastAsia="Times New Roman"/>
          <w:sz w:val="20"/>
          <w:szCs w:val="20"/>
        </w:rPr>
        <w:t>;</w:t>
      </w:r>
    </w:p>
    <w:p w14:paraId="0836B81C" w14:textId="77777777" w:rsidR="00000000" w:rsidRDefault="00832D71">
      <w:pPr>
        <w:jc w:val="both"/>
        <w:divId w:val="1526400672"/>
        <w:rPr>
          <w:rFonts w:eastAsia="Times New Roman"/>
        </w:rPr>
      </w:pPr>
      <w:r>
        <w:rPr>
          <w:rFonts w:eastAsia="Times New Roman"/>
          <w:sz w:val="20"/>
          <w:szCs w:val="20"/>
        </w:rPr>
        <w:t>•</w:t>
      </w:r>
    </w:p>
    <w:p w14:paraId="3641B555" w14:textId="77777777" w:rsidR="00000000" w:rsidRDefault="00832D71">
      <w:pPr>
        <w:jc w:val="both"/>
        <w:divId w:val="1807818413"/>
        <w:rPr>
          <w:rFonts w:eastAsia="Times New Roman"/>
        </w:rPr>
      </w:pPr>
      <w:r>
        <w:rPr>
          <w:rFonts w:eastAsia="Times New Roman"/>
          <w:sz w:val="20"/>
          <w:szCs w:val="20"/>
        </w:rPr>
        <w:t>Energy consulting</w:t>
      </w:r>
      <w:r>
        <w:rPr>
          <w:rFonts w:eastAsia="Times New Roman"/>
          <w:sz w:val="20"/>
          <w:szCs w:val="20"/>
        </w:rPr>
        <w:t>;</w:t>
      </w:r>
    </w:p>
    <w:p w14:paraId="11D64956" w14:textId="77777777" w:rsidR="00000000" w:rsidRDefault="00832D71">
      <w:pPr>
        <w:jc w:val="both"/>
        <w:divId w:val="329715422"/>
        <w:rPr>
          <w:rFonts w:eastAsia="Times New Roman"/>
        </w:rPr>
      </w:pPr>
      <w:r>
        <w:rPr>
          <w:rFonts w:eastAsia="Times New Roman"/>
          <w:sz w:val="20"/>
          <w:szCs w:val="20"/>
        </w:rPr>
        <w:t>•</w:t>
      </w:r>
    </w:p>
    <w:p w14:paraId="64C81858" w14:textId="77777777" w:rsidR="00000000" w:rsidRDefault="00832D71">
      <w:pPr>
        <w:jc w:val="both"/>
        <w:divId w:val="535510354"/>
        <w:rPr>
          <w:rFonts w:eastAsia="Times New Roman"/>
        </w:rPr>
      </w:pPr>
      <w:r>
        <w:rPr>
          <w:rFonts w:eastAsia="Times New Roman"/>
          <w:sz w:val="20"/>
          <w:szCs w:val="20"/>
        </w:rPr>
        <w:t>Public policy and government relations</w:t>
      </w:r>
      <w:r>
        <w:rPr>
          <w:rFonts w:eastAsia="Times New Roman"/>
          <w:sz w:val="20"/>
          <w:szCs w:val="20"/>
        </w:rPr>
        <w:t>;</w:t>
      </w:r>
    </w:p>
    <w:p w14:paraId="6B5AD955" w14:textId="77777777" w:rsidR="00000000" w:rsidRDefault="00832D71">
      <w:pPr>
        <w:jc w:val="both"/>
        <w:divId w:val="437062046"/>
        <w:rPr>
          <w:rFonts w:eastAsia="Times New Roman"/>
        </w:rPr>
      </w:pPr>
      <w:r>
        <w:rPr>
          <w:rFonts w:eastAsia="Times New Roman"/>
          <w:sz w:val="20"/>
          <w:szCs w:val="20"/>
        </w:rPr>
        <w:t>•</w:t>
      </w:r>
    </w:p>
    <w:p w14:paraId="17508B44" w14:textId="77777777" w:rsidR="00000000" w:rsidRDefault="00832D71">
      <w:pPr>
        <w:jc w:val="both"/>
        <w:divId w:val="1527520162"/>
        <w:rPr>
          <w:rFonts w:eastAsia="Times New Roman"/>
        </w:rPr>
      </w:pPr>
      <w:r>
        <w:rPr>
          <w:rFonts w:eastAsia="Times New Roman"/>
          <w:sz w:val="20"/>
          <w:szCs w:val="20"/>
        </w:rPr>
        <w:t>Mergers and acquisitions</w:t>
      </w:r>
      <w:r>
        <w:rPr>
          <w:rFonts w:eastAsia="Times New Roman"/>
          <w:sz w:val="20"/>
          <w:szCs w:val="20"/>
        </w:rPr>
        <w:t>;</w:t>
      </w:r>
    </w:p>
    <w:p w14:paraId="07FB6D13" w14:textId="77777777" w:rsidR="00000000" w:rsidRDefault="00832D71">
      <w:pPr>
        <w:jc w:val="both"/>
        <w:divId w:val="1938978772"/>
        <w:rPr>
          <w:rFonts w:eastAsia="Times New Roman"/>
        </w:rPr>
      </w:pPr>
      <w:r>
        <w:rPr>
          <w:rFonts w:eastAsia="Times New Roman"/>
          <w:sz w:val="20"/>
          <w:szCs w:val="20"/>
        </w:rPr>
        <w:t>•</w:t>
      </w:r>
    </w:p>
    <w:p w14:paraId="53941C50" w14:textId="77777777" w:rsidR="00000000" w:rsidRDefault="00832D71">
      <w:pPr>
        <w:jc w:val="both"/>
        <w:divId w:val="220869171"/>
        <w:rPr>
          <w:rFonts w:eastAsia="Times New Roman"/>
        </w:rPr>
      </w:pPr>
      <w:r>
        <w:rPr>
          <w:rFonts w:eastAsia="Times New Roman"/>
          <w:sz w:val="20"/>
          <w:szCs w:val="20"/>
        </w:rPr>
        <w:t>Investment banking and financial management; an</w:t>
      </w:r>
      <w:r>
        <w:rPr>
          <w:rFonts w:eastAsia="Times New Roman"/>
          <w:sz w:val="20"/>
          <w:szCs w:val="20"/>
        </w:rPr>
        <w:t>d</w:t>
      </w:r>
    </w:p>
    <w:p w14:paraId="740EFB8E" w14:textId="77777777" w:rsidR="00000000" w:rsidRDefault="00832D71">
      <w:pPr>
        <w:jc w:val="both"/>
        <w:divId w:val="181555327"/>
        <w:rPr>
          <w:rFonts w:eastAsia="Times New Roman"/>
        </w:rPr>
      </w:pPr>
      <w:r>
        <w:rPr>
          <w:rFonts w:eastAsia="Times New Roman"/>
          <w:sz w:val="20"/>
          <w:szCs w:val="20"/>
        </w:rPr>
        <w:t>•</w:t>
      </w:r>
    </w:p>
    <w:p w14:paraId="7DD57643" w14:textId="77777777" w:rsidR="00000000" w:rsidRDefault="00832D71">
      <w:pPr>
        <w:jc w:val="both"/>
        <w:divId w:val="707685807"/>
        <w:rPr>
          <w:rFonts w:eastAsia="Times New Roman"/>
        </w:rPr>
      </w:pPr>
      <w:r>
        <w:rPr>
          <w:rFonts w:eastAsia="Times New Roman"/>
          <w:sz w:val="20"/>
          <w:szCs w:val="20"/>
        </w:rPr>
        <w:t>Business assurance</w:t>
      </w:r>
      <w:r>
        <w:rPr>
          <w:rFonts w:eastAsia="Times New Roman"/>
          <w:sz w:val="20"/>
          <w:szCs w:val="20"/>
        </w:rPr>
        <w:t>.</w:t>
      </w:r>
    </w:p>
    <w:p w14:paraId="0126D5F7" w14:textId="77777777" w:rsidR="00000000" w:rsidRDefault="00832D71">
      <w:pPr>
        <w:pStyle w:val="a3"/>
        <w:spacing w:before="240" w:beforeAutospacing="0" w:after="0" w:afterAutospacing="0"/>
        <w:ind w:firstLine="555"/>
        <w:jc w:val="both"/>
        <w:rPr>
          <w:sz w:val="20"/>
          <w:szCs w:val="20"/>
        </w:rPr>
      </w:pPr>
      <w:r>
        <w:rPr>
          <w:sz w:val="20"/>
          <w:szCs w:val="20"/>
        </w:rPr>
        <w:t>Our Supervisors also currently hold, or have held, a diver</w:t>
      </w:r>
      <w:r>
        <w:rPr>
          <w:sz w:val="20"/>
          <w:szCs w:val="20"/>
        </w:rPr>
        <w:t>se range of leadership positions, including</w:t>
      </w:r>
      <w:r>
        <w:rPr>
          <w:sz w:val="20"/>
          <w:szCs w:val="20"/>
        </w:rPr>
        <w:t>:</w:t>
      </w:r>
      <w:r>
        <w:rPr>
          <w:sz w:val="20"/>
          <w:szCs w:val="20"/>
        </w:rPr>
        <w:t xml:space="preserve"> </w:t>
      </w:r>
    </w:p>
    <w:p w14:paraId="49EB0E51" w14:textId="77777777" w:rsidR="00000000" w:rsidRDefault="00832D71">
      <w:pPr>
        <w:jc w:val="both"/>
        <w:divId w:val="512652005"/>
        <w:rPr>
          <w:rFonts w:eastAsia="Times New Roman"/>
        </w:rPr>
      </w:pPr>
      <w:r>
        <w:rPr>
          <w:rFonts w:eastAsia="Times New Roman"/>
          <w:sz w:val="20"/>
          <w:szCs w:val="20"/>
        </w:rPr>
        <w:t>•</w:t>
      </w:r>
    </w:p>
    <w:p w14:paraId="59910BFF" w14:textId="77777777" w:rsidR="00000000" w:rsidRDefault="00832D71">
      <w:pPr>
        <w:jc w:val="both"/>
        <w:divId w:val="1133981667"/>
        <w:rPr>
          <w:rFonts w:eastAsia="Times New Roman"/>
        </w:rPr>
      </w:pPr>
      <w:r>
        <w:rPr>
          <w:rFonts w:eastAsia="Times New Roman"/>
          <w:sz w:val="20"/>
          <w:szCs w:val="20"/>
        </w:rPr>
        <w:t>Chairman</w:t>
      </w:r>
      <w:r>
        <w:rPr>
          <w:rFonts w:eastAsia="Times New Roman"/>
          <w:sz w:val="20"/>
          <w:szCs w:val="20"/>
        </w:rPr>
        <w:t>;</w:t>
      </w:r>
    </w:p>
    <w:p w14:paraId="2C862163" w14:textId="77777777" w:rsidR="00000000" w:rsidRDefault="00832D71">
      <w:pPr>
        <w:jc w:val="both"/>
        <w:divId w:val="1572933702"/>
        <w:rPr>
          <w:rFonts w:eastAsia="Times New Roman"/>
        </w:rPr>
      </w:pPr>
      <w:r>
        <w:rPr>
          <w:rFonts w:eastAsia="Times New Roman"/>
          <w:sz w:val="20"/>
          <w:szCs w:val="20"/>
        </w:rPr>
        <w:t>•</w:t>
      </w:r>
    </w:p>
    <w:p w14:paraId="30BB8E16" w14:textId="77777777" w:rsidR="00000000" w:rsidRDefault="00832D71">
      <w:pPr>
        <w:jc w:val="both"/>
        <w:divId w:val="1397126732"/>
        <w:rPr>
          <w:rFonts w:eastAsia="Times New Roman"/>
        </w:rPr>
      </w:pPr>
      <w:r>
        <w:rPr>
          <w:rFonts w:eastAsia="Times New Roman"/>
          <w:sz w:val="20"/>
          <w:szCs w:val="20"/>
        </w:rPr>
        <w:t>President</w:t>
      </w:r>
      <w:r>
        <w:rPr>
          <w:rFonts w:eastAsia="Times New Roman"/>
          <w:sz w:val="20"/>
          <w:szCs w:val="20"/>
        </w:rPr>
        <w:t>;</w:t>
      </w:r>
    </w:p>
    <w:p w14:paraId="2646A189" w14:textId="77777777" w:rsidR="00000000" w:rsidRDefault="00832D71">
      <w:pPr>
        <w:jc w:val="both"/>
        <w:divId w:val="1491673953"/>
        <w:rPr>
          <w:rFonts w:eastAsia="Times New Roman"/>
        </w:rPr>
      </w:pPr>
      <w:r>
        <w:rPr>
          <w:rFonts w:eastAsia="Times New Roman"/>
          <w:sz w:val="20"/>
          <w:szCs w:val="20"/>
        </w:rPr>
        <w:t>•</w:t>
      </w:r>
    </w:p>
    <w:p w14:paraId="7EAFB971" w14:textId="77777777" w:rsidR="00000000" w:rsidRDefault="00832D71">
      <w:pPr>
        <w:jc w:val="both"/>
        <w:divId w:val="1801411306"/>
        <w:rPr>
          <w:rFonts w:eastAsia="Times New Roman"/>
        </w:rPr>
      </w:pPr>
      <w:r>
        <w:rPr>
          <w:rFonts w:eastAsia="Times New Roman"/>
          <w:sz w:val="20"/>
          <w:szCs w:val="20"/>
        </w:rPr>
        <w:t>Chief Executive Officer</w:t>
      </w:r>
      <w:r>
        <w:rPr>
          <w:rFonts w:eastAsia="Times New Roman"/>
          <w:sz w:val="20"/>
          <w:szCs w:val="20"/>
        </w:rPr>
        <w:t>;</w:t>
      </w:r>
    </w:p>
    <w:p w14:paraId="366A187E" w14:textId="77777777" w:rsidR="00000000" w:rsidRDefault="00832D71">
      <w:pPr>
        <w:jc w:val="both"/>
        <w:divId w:val="873926488"/>
        <w:rPr>
          <w:rFonts w:eastAsia="Times New Roman"/>
        </w:rPr>
      </w:pPr>
      <w:r>
        <w:rPr>
          <w:rFonts w:eastAsia="Times New Roman"/>
          <w:sz w:val="20"/>
          <w:szCs w:val="20"/>
        </w:rPr>
        <w:t>•</w:t>
      </w:r>
    </w:p>
    <w:p w14:paraId="1F3A57BE" w14:textId="77777777" w:rsidR="00000000" w:rsidRDefault="00832D71">
      <w:pPr>
        <w:jc w:val="both"/>
        <w:divId w:val="1228612245"/>
        <w:rPr>
          <w:rFonts w:eastAsia="Times New Roman"/>
        </w:rPr>
      </w:pPr>
      <w:r>
        <w:rPr>
          <w:rFonts w:eastAsia="Times New Roman"/>
          <w:sz w:val="20"/>
          <w:szCs w:val="20"/>
        </w:rPr>
        <w:t>Chief Financial Officer</w:t>
      </w:r>
      <w:r>
        <w:rPr>
          <w:rFonts w:eastAsia="Times New Roman"/>
          <w:sz w:val="20"/>
          <w:szCs w:val="20"/>
        </w:rPr>
        <w:t>;</w:t>
      </w:r>
    </w:p>
    <w:p w14:paraId="1C44CFD2" w14:textId="77777777" w:rsidR="00000000" w:rsidRDefault="00832D71">
      <w:pPr>
        <w:jc w:val="both"/>
        <w:divId w:val="1756323959"/>
        <w:rPr>
          <w:rFonts w:eastAsia="Times New Roman"/>
        </w:rPr>
      </w:pPr>
      <w:r>
        <w:rPr>
          <w:rFonts w:eastAsia="Times New Roman"/>
          <w:sz w:val="20"/>
          <w:szCs w:val="20"/>
        </w:rPr>
        <w:t>•</w:t>
      </w:r>
    </w:p>
    <w:p w14:paraId="16E55CD2" w14:textId="77777777" w:rsidR="00000000" w:rsidRDefault="00832D71">
      <w:pPr>
        <w:jc w:val="both"/>
        <w:divId w:val="502938994"/>
        <w:rPr>
          <w:rFonts w:eastAsia="Times New Roman"/>
        </w:rPr>
      </w:pPr>
      <w:r>
        <w:rPr>
          <w:rFonts w:eastAsia="Times New Roman"/>
          <w:sz w:val="20"/>
          <w:szCs w:val="20"/>
        </w:rPr>
        <w:t>State governor</w:t>
      </w:r>
      <w:r>
        <w:rPr>
          <w:rFonts w:eastAsia="Times New Roman"/>
          <w:sz w:val="20"/>
          <w:szCs w:val="20"/>
        </w:rPr>
        <w:t>;</w:t>
      </w:r>
    </w:p>
    <w:p w14:paraId="78269A3C" w14:textId="77777777" w:rsidR="00000000" w:rsidRDefault="00832D71">
      <w:pPr>
        <w:jc w:val="both"/>
        <w:divId w:val="1475415353"/>
        <w:rPr>
          <w:rFonts w:eastAsia="Times New Roman"/>
        </w:rPr>
      </w:pPr>
      <w:r>
        <w:rPr>
          <w:rFonts w:eastAsia="Times New Roman"/>
          <w:sz w:val="20"/>
          <w:szCs w:val="20"/>
        </w:rPr>
        <w:t>•</w:t>
      </w:r>
    </w:p>
    <w:p w14:paraId="7BF7E79B" w14:textId="77777777" w:rsidR="00000000" w:rsidRDefault="00832D71">
      <w:pPr>
        <w:jc w:val="both"/>
        <w:divId w:val="1239363119"/>
        <w:rPr>
          <w:rFonts w:eastAsia="Times New Roman"/>
        </w:rPr>
      </w:pPr>
      <w:r>
        <w:rPr>
          <w:rFonts w:eastAsia="Times New Roman"/>
          <w:sz w:val="20"/>
          <w:szCs w:val="20"/>
        </w:rPr>
        <w:t>General external auditor; an</w:t>
      </w:r>
      <w:r>
        <w:rPr>
          <w:rFonts w:eastAsia="Times New Roman"/>
          <w:sz w:val="20"/>
          <w:szCs w:val="20"/>
        </w:rPr>
        <w:t>d</w:t>
      </w:r>
    </w:p>
    <w:p w14:paraId="707D103B" w14:textId="77777777" w:rsidR="00000000" w:rsidRDefault="00832D71">
      <w:pPr>
        <w:jc w:val="both"/>
        <w:divId w:val="2106996088"/>
        <w:rPr>
          <w:rFonts w:eastAsia="Times New Roman"/>
        </w:rPr>
      </w:pPr>
      <w:r>
        <w:rPr>
          <w:rFonts w:eastAsia="Times New Roman"/>
          <w:sz w:val="20"/>
          <w:szCs w:val="20"/>
        </w:rPr>
        <w:t>•</w:t>
      </w:r>
    </w:p>
    <w:p w14:paraId="08E48912" w14:textId="77777777" w:rsidR="00000000" w:rsidRDefault="00832D71">
      <w:pPr>
        <w:jc w:val="both"/>
        <w:divId w:val="1468359657"/>
        <w:rPr>
          <w:rFonts w:eastAsia="Times New Roman"/>
        </w:rPr>
      </w:pPr>
      <w:r>
        <w:rPr>
          <w:rFonts w:eastAsia="Times New Roman"/>
          <w:sz w:val="20"/>
          <w:szCs w:val="20"/>
        </w:rPr>
        <w:t>Business owner/entrepreneur</w:t>
      </w:r>
      <w:r>
        <w:rPr>
          <w:rFonts w:eastAsia="Times New Roman"/>
          <w:sz w:val="20"/>
          <w:szCs w:val="20"/>
        </w:rPr>
        <w:t>.</w:t>
      </w:r>
    </w:p>
    <w:p w14:paraId="426B1EBA" w14:textId="77777777" w:rsidR="00000000" w:rsidRDefault="00832D71">
      <w:pPr>
        <w:pStyle w:val="a3"/>
        <w:spacing w:before="0" w:beforeAutospacing="0" w:after="0" w:afterAutospacing="0"/>
        <w:jc w:val="center"/>
        <w:rPr>
          <w:sz w:val="20"/>
          <w:szCs w:val="20"/>
        </w:rPr>
      </w:pPr>
      <w:r>
        <w:rPr>
          <w:sz w:val="20"/>
          <w:szCs w:val="20"/>
        </w:rPr>
        <w:t> </w:t>
      </w:r>
    </w:p>
    <w:p w14:paraId="22869F56" w14:textId="77777777" w:rsidR="00000000" w:rsidRDefault="00832D71">
      <w:pPr>
        <w:pStyle w:val="a3"/>
        <w:spacing w:before="0" w:beforeAutospacing="0" w:after="0" w:afterAutospacing="0"/>
        <w:jc w:val="center"/>
        <w:rPr>
          <w:sz w:val="20"/>
          <w:szCs w:val="20"/>
        </w:rPr>
      </w:pPr>
      <w:r>
        <w:rPr>
          <w:sz w:val="20"/>
          <w:szCs w:val="20"/>
        </w:rPr>
        <w:t>1</w:t>
      </w:r>
      <w:r>
        <w:rPr>
          <w:sz w:val="20"/>
          <w:szCs w:val="20"/>
        </w:rPr>
        <w:t>2</w:t>
      </w:r>
    </w:p>
    <w:p w14:paraId="219B70F3" w14:textId="77777777" w:rsidR="00000000" w:rsidRDefault="00832D71">
      <w:pPr>
        <w:rPr>
          <w:rFonts w:eastAsia="Times New Roman"/>
        </w:rPr>
      </w:pPr>
      <w:r>
        <w:rPr>
          <w:rFonts w:eastAsia="Times New Roman"/>
        </w:rPr>
        <w:pict w14:anchorId="085A3A3C">
          <v:rect id="_x0000_i1039" style="width:0;height:1.5pt" o:hralign="center" o:hrstd="t" o:hr="t" fillcolor="#a0a0a0" stroked="f"/>
        </w:pict>
      </w:r>
    </w:p>
    <w:p w14:paraId="6348D16C"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7B971072" w14:textId="77777777" w:rsidR="00000000" w:rsidRDefault="00832D71">
      <w:pPr>
        <w:pStyle w:val="a3"/>
        <w:spacing w:before="240" w:beforeAutospacing="0" w:after="0" w:afterAutospacing="0"/>
        <w:ind w:firstLine="555"/>
        <w:jc w:val="both"/>
        <w:rPr>
          <w:sz w:val="20"/>
          <w:szCs w:val="20"/>
        </w:rPr>
      </w:pPr>
      <w:r>
        <w:rPr>
          <w:sz w:val="20"/>
          <w:szCs w:val="20"/>
        </w:rPr>
        <w:t>If a vacancy on our Board arises, then our Nominating/Governance Committee is instructed by its charter to consider candidates from various disciplines and divers</w:t>
      </w:r>
      <w:r>
        <w:rPr>
          <w:sz w:val="20"/>
          <w:szCs w:val="20"/>
        </w:rPr>
        <w:t>e backgrounds that optimally enhance the current mix of talent and experience on the Board. While industry-specific expertise is an essential component of our Board’s oversight of the Partnership, we consider all aspects of a candidate’s qualifications and</w:t>
      </w:r>
      <w:r>
        <w:rPr>
          <w:sz w:val="20"/>
          <w:szCs w:val="20"/>
        </w:rPr>
        <w:t xml:space="preserve"> skills in the context of the Partnership’s needs, with a view to creating a Board with a diversity of experience and perspectives; including diversity with respect to race, gender, age, background and areas of expertise. We also benefit from the viewpoint</w:t>
      </w:r>
      <w:r>
        <w:rPr>
          <w:sz w:val="20"/>
          <w:szCs w:val="20"/>
        </w:rPr>
        <w:t>s of supervisors with expertise outside of our industry and our Nominating/Governance Committee includes, and has any search firm that it may engage include, women and minority candidates in the pool from which the Nominating/Governance Committee selects s</w:t>
      </w:r>
      <w:r>
        <w:rPr>
          <w:sz w:val="20"/>
          <w:szCs w:val="20"/>
        </w:rPr>
        <w:t>upervisor candidates</w:t>
      </w:r>
      <w:r>
        <w:rPr>
          <w:sz w:val="20"/>
          <w:szCs w:val="20"/>
        </w:rPr>
        <w:t>.</w:t>
      </w:r>
    </w:p>
    <w:p w14:paraId="6D5EDB0D" w14:textId="77777777" w:rsidR="00000000" w:rsidRDefault="00832D71">
      <w:pPr>
        <w:pStyle w:val="a3"/>
        <w:spacing w:before="240" w:beforeAutospacing="0" w:after="0" w:afterAutospacing="0"/>
        <w:jc w:val="both"/>
        <w:rPr>
          <w:sz w:val="20"/>
          <w:szCs w:val="20"/>
        </w:rPr>
      </w:pPr>
      <w:r>
        <w:rPr>
          <w:i/>
          <w:iCs/>
          <w:sz w:val="20"/>
          <w:szCs w:val="20"/>
        </w:rPr>
        <w:t>Safety and Ethics Hotlin</w:t>
      </w:r>
      <w:r>
        <w:rPr>
          <w:i/>
          <w:iCs/>
          <w:sz w:val="20"/>
          <w:szCs w:val="20"/>
        </w:rPr>
        <w:t>e</w:t>
      </w:r>
    </w:p>
    <w:p w14:paraId="6B066274" w14:textId="77777777" w:rsidR="00000000" w:rsidRDefault="00832D71">
      <w:pPr>
        <w:pStyle w:val="a3"/>
        <w:spacing w:before="240" w:beforeAutospacing="0" w:after="0" w:afterAutospacing="0"/>
        <w:ind w:firstLine="555"/>
        <w:jc w:val="both"/>
        <w:rPr>
          <w:sz w:val="20"/>
          <w:szCs w:val="20"/>
        </w:rPr>
      </w:pPr>
      <w:r>
        <w:rPr>
          <w:sz w:val="20"/>
          <w:szCs w:val="20"/>
        </w:rPr>
        <w:t>It is the Partnership’s policy to encourage the communication of bona fide concerns relating to the lawful and ethical conduct of its business, and its audit and accounting procedures or related matters. It i</w:t>
      </w:r>
      <w:r>
        <w:rPr>
          <w:sz w:val="20"/>
          <w:szCs w:val="20"/>
        </w:rPr>
        <w:t>s also the policy of the Partnership to protect those who communicate their bona fide concerns from any retaliation for such reporting. All employees, customers, vendors and other stakeholders can communicate concerns by calling our Safety and Ethics Hotli</w:t>
      </w:r>
      <w:r>
        <w:rPr>
          <w:sz w:val="20"/>
          <w:szCs w:val="20"/>
        </w:rPr>
        <w:t xml:space="preserve">ne, which is hosted by a third party to maintain confidentiality and anonymity when requested. Our senior leadership team, along with our Audit Committee, review matters reported through the Safety and Ethics Hotline. Confidential and anonymous mechanisms </w:t>
      </w:r>
      <w:r>
        <w:rPr>
          <w:sz w:val="20"/>
          <w:szCs w:val="20"/>
        </w:rPr>
        <w:t>for reporting concerns are also available and described in our Code of Business Conduct and Ethics</w:t>
      </w:r>
      <w:r>
        <w:rPr>
          <w:sz w:val="20"/>
          <w:szCs w:val="20"/>
        </w:rPr>
        <w:t>.</w:t>
      </w:r>
      <w:r>
        <w:rPr>
          <w:sz w:val="20"/>
          <w:szCs w:val="20"/>
        </w:rPr>
        <w:t xml:space="preserve"> </w:t>
      </w:r>
    </w:p>
    <w:p w14:paraId="6EFBE929" w14:textId="77777777" w:rsidR="00000000" w:rsidRDefault="00832D71">
      <w:pPr>
        <w:pStyle w:val="a3"/>
        <w:spacing w:before="240" w:beforeAutospacing="0" w:after="0" w:afterAutospacing="0"/>
        <w:jc w:val="both"/>
        <w:rPr>
          <w:sz w:val="20"/>
          <w:szCs w:val="20"/>
        </w:rPr>
      </w:pPr>
      <w:r>
        <w:rPr>
          <w:i/>
          <w:iCs/>
          <w:sz w:val="20"/>
          <w:szCs w:val="20"/>
        </w:rPr>
        <w:t>Cybersecurit</w:t>
      </w:r>
      <w:r>
        <w:rPr>
          <w:i/>
          <w:iCs/>
          <w:sz w:val="20"/>
          <w:szCs w:val="20"/>
        </w:rPr>
        <w:t>y</w:t>
      </w:r>
    </w:p>
    <w:p w14:paraId="512CAED2" w14:textId="77777777" w:rsidR="00000000" w:rsidRDefault="00832D71">
      <w:pPr>
        <w:pStyle w:val="a3"/>
        <w:spacing w:before="240" w:beforeAutospacing="0" w:after="0" w:afterAutospacing="0"/>
        <w:ind w:firstLine="555"/>
        <w:jc w:val="both"/>
        <w:rPr>
          <w:sz w:val="20"/>
          <w:szCs w:val="20"/>
        </w:rPr>
      </w:pPr>
      <w:r>
        <w:rPr>
          <w:sz w:val="20"/>
          <w:szCs w:val="20"/>
        </w:rPr>
        <w:t>The Partnership’s cybersecurity program is based upon the National Institute of Standards of Technology (NIST) Cybersecurity Framework. Our p</w:t>
      </w:r>
      <w:r>
        <w:rPr>
          <w:sz w:val="20"/>
          <w:szCs w:val="20"/>
        </w:rPr>
        <w:t>rogram is comprehensive in scope and covers all of the Partnership’s general corporate Information Technology (IT) systems, as well as operational technology systems supporting our business. Our senior leadership team, along with our Audit Committee, recei</w:t>
      </w:r>
      <w:r>
        <w:rPr>
          <w:sz w:val="20"/>
          <w:szCs w:val="20"/>
        </w:rPr>
        <w:t>ve regular and recurring program updates, metrics, and roadmaps to promote the effectiveness of the program and the alignment with the Partnership’s business objectives. Our program and controls are periodically reviewed and tested by independent third par</w:t>
      </w:r>
      <w:r>
        <w:rPr>
          <w:sz w:val="20"/>
          <w:szCs w:val="20"/>
        </w:rPr>
        <w:t>ties to enable the Partnership to employ industry best practices</w:t>
      </w:r>
      <w:r>
        <w:rPr>
          <w:sz w:val="20"/>
          <w:szCs w:val="20"/>
        </w:rPr>
        <w:t>.</w:t>
      </w:r>
    </w:p>
    <w:p w14:paraId="3A3BA1E7" w14:textId="77777777" w:rsidR="00000000" w:rsidRDefault="00832D71">
      <w:pPr>
        <w:pStyle w:val="a3"/>
        <w:spacing w:before="360" w:beforeAutospacing="0" w:after="0" w:afterAutospacing="0"/>
        <w:rPr>
          <w:sz w:val="20"/>
          <w:szCs w:val="20"/>
        </w:rPr>
      </w:pPr>
      <w:r>
        <w:rPr>
          <w:b/>
          <w:bCs/>
          <w:sz w:val="20"/>
          <w:szCs w:val="20"/>
        </w:rPr>
        <w:t>Employee</w:t>
      </w:r>
      <w:r>
        <w:rPr>
          <w:b/>
          <w:bCs/>
          <w:sz w:val="20"/>
          <w:szCs w:val="20"/>
        </w:rPr>
        <w:t>s</w:t>
      </w:r>
    </w:p>
    <w:p w14:paraId="1CBEFF2D" w14:textId="77777777" w:rsidR="00000000" w:rsidRDefault="00832D71">
      <w:pPr>
        <w:pStyle w:val="a3"/>
        <w:spacing w:before="240" w:beforeAutospacing="0" w:after="0" w:afterAutospacing="0"/>
        <w:ind w:firstLine="555"/>
        <w:jc w:val="both"/>
        <w:rPr>
          <w:sz w:val="20"/>
          <w:szCs w:val="20"/>
        </w:rPr>
      </w:pPr>
      <w:r>
        <w:rPr>
          <w:sz w:val="20"/>
          <w:szCs w:val="20"/>
        </w:rPr>
        <w:t>As of September 24, 2022, we had 3,174 full time employees, of whom 587 were engaged in general and administrative activities (including fleet maintenance), 37 were engaged in tran</w:t>
      </w:r>
      <w:r>
        <w:rPr>
          <w:sz w:val="20"/>
          <w:szCs w:val="20"/>
        </w:rPr>
        <w:t xml:space="preserve">sportation and product supply activities and 2,550 were customer service center employees, as well as 95 part time employees. As of September 24, 2022, 55 of our employees were represented by seven different local chapters of labor unions. We believe that </w:t>
      </w:r>
      <w:r>
        <w:rPr>
          <w:sz w:val="20"/>
          <w:szCs w:val="20"/>
        </w:rPr>
        <w:t>our relations with both our union and non-union employees are satisfactory. In addition, we hire temporary workers to meet peak seasonal demands</w:t>
      </w:r>
      <w:r>
        <w:rPr>
          <w:sz w:val="20"/>
          <w:szCs w:val="20"/>
        </w:rPr>
        <w:t>.</w:t>
      </w:r>
    </w:p>
    <w:p w14:paraId="6650162C" w14:textId="77777777" w:rsidR="00000000" w:rsidRDefault="00832D71">
      <w:pPr>
        <w:pStyle w:val="a3"/>
        <w:spacing w:before="240" w:beforeAutospacing="0" w:after="0" w:afterAutospacing="0"/>
        <w:ind w:firstLine="555"/>
        <w:jc w:val="both"/>
        <w:rPr>
          <w:sz w:val="20"/>
          <w:szCs w:val="20"/>
        </w:rPr>
      </w:pPr>
      <w:r>
        <w:rPr>
          <w:sz w:val="20"/>
          <w:szCs w:val="20"/>
        </w:rPr>
        <w:t> </w:t>
      </w:r>
    </w:p>
    <w:p w14:paraId="296F71FF" w14:textId="77777777" w:rsidR="00000000" w:rsidRDefault="00832D71">
      <w:pPr>
        <w:pStyle w:val="a3"/>
        <w:spacing w:before="0" w:beforeAutospacing="0" w:after="0" w:afterAutospacing="0"/>
        <w:jc w:val="center"/>
        <w:rPr>
          <w:sz w:val="20"/>
          <w:szCs w:val="20"/>
        </w:rPr>
      </w:pPr>
      <w:r>
        <w:rPr>
          <w:sz w:val="20"/>
          <w:szCs w:val="20"/>
        </w:rPr>
        <w:t> </w:t>
      </w:r>
    </w:p>
    <w:p w14:paraId="33751F93" w14:textId="77777777" w:rsidR="00000000" w:rsidRDefault="00832D71">
      <w:pPr>
        <w:pStyle w:val="a3"/>
        <w:spacing w:before="0" w:beforeAutospacing="0" w:after="0" w:afterAutospacing="0"/>
        <w:jc w:val="center"/>
        <w:rPr>
          <w:sz w:val="20"/>
          <w:szCs w:val="20"/>
        </w:rPr>
      </w:pPr>
      <w:r>
        <w:rPr>
          <w:sz w:val="20"/>
          <w:szCs w:val="20"/>
        </w:rPr>
        <w:t>1</w:t>
      </w:r>
      <w:r>
        <w:rPr>
          <w:sz w:val="20"/>
          <w:szCs w:val="20"/>
        </w:rPr>
        <w:t>3</w:t>
      </w:r>
    </w:p>
    <w:p w14:paraId="2F491F5F" w14:textId="77777777" w:rsidR="00000000" w:rsidRDefault="00832D71">
      <w:pPr>
        <w:rPr>
          <w:rFonts w:eastAsia="Times New Roman"/>
        </w:rPr>
      </w:pPr>
      <w:r>
        <w:rPr>
          <w:rFonts w:eastAsia="Times New Roman"/>
        </w:rPr>
        <w:pict w14:anchorId="0878C41A">
          <v:rect id="_x0000_i1040" style="width:0;height:1.5pt" o:hralign="center" o:hrstd="t" o:hr="t" fillcolor="#a0a0a0" stroked="f"/>
        </w:pict>
      </w:r>
    </w:p>
    <w:p w14:paraId="2345589B"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3664E4A9" w14:textId="77777777" w:rsidR="00000000" w:rsidRDefault="00832D71">
      <w:pPr>
        <w:pStyle w:val="a3"/>
        <w:spacing w:before="0" w:beforeAutospacing="0" w:after="0" w:afterAutospacing="0"/>
        <w:ind w:hanging="1400"/>
        <w:rPr>
          <w:sz w:val="20"/>
          <w:szCs w:val="20"/>
        </w:rPr>
      </w:pPr>
      <w:r>
        <w:rPr>
          <w:b/>
          <w:bCs/>
          <w:sz w:val="20"/>
          <w:szCs w:val="20"/>
        </w:rPr>
        <w:t>ITEM 1A.</w:t>
      </w:r>
      <w:r>
        <w:rPr>
          <w:b/>
          <w:bCs/>
          <w:sz w:val="20"/>
          <w:szCs w:val="20"/>
        </w:rPr>
        <w:t xml:space="preserve"> R</w:t>
      </w:r>
      <w:r>
        <w:rPr>
          <w:b/>
          <w:bCs/>
          <w:sz w:val="20"/>
          <w:szCs w:val="20"/>
        </w:rPr>
        <w:t>I</w:t>
      </w:r>
      <w:r>
        <w:rPr>
          <w:b/>
          <w:bCs/>
          <w:sz w:val="20"/>
          <w:szCs w:val="20"/>
        </w:rPr>
        <w:t>SK FACTOR</w:t>
      </w:r>
      <w:r>
        <w:rPr>
          <w:b/>
          <w:bCs/>
          <w:sz w:val="20"/>
          <w:szCs w:val="20"/>
        </w:rPr>
        <w:t>S</w:t>
      </w:r>
    </w:p>
    <w:p w14:paraId="57A503A1" w14:textId="77777777" w:rsidR="00000000" w:rsidRDefault="00832D71">
      <w:pPr>
        <w:pStyle w:val="a3"/>
        <w:spacing w:before="120" w:beforeAutospacing="0" w:after="0" w:afterAutospacing="0"/>
        <w:ind w:firstLine="555"/>
        <w:jc w:val="both"/>
        <w:rPr>
          <w:sz w:val="20"/>
          <w:szCs w:val="20"/>
        </w:rPr>
      </w:pPr>
      <w:r>
        <w:rPr>
          <w:i/>
          <w:iCs/>
          <w:sz w:val="20"/>
          <w:szCs w:val="20"/>
        </w:rPr>
        <w:t>The following is a cautionary discussion of the most significant risks, uncertainties and assumptions that we believe are significant to our business and should be considered carefully in conjunction with all of the other information set fort</w:t>
      </w:r>
      <w:r>
        <w:rPr>
          <w:i/>
          <w:iCs/>
          <w:sz w:val="20"/>
          <w:szCs w:val="20"/>
        </w:rPr>
        <w:t>h in this Annual Report on Form 10-K. The risks described below are not an exhaustive list of all of the risks that we face. The risks described below are organized by category of risks to the Partnership, but are not necessarily listed by order of priorit</w:t>
      </w:r>
      <w:r>
        <w:rPr>
          <w:i/>
          <w:iCs/>
          <w:sz w:val="20"/>
          <w:szCs w:val="20"/>
        </w:rPr>
        <w:t>y or materiality. In addition to the factors discussed elsewhere in this Annual Report on Form 10-K, the factors described in this item could, individually or in the aggregate, cause our actual results to differ materially from those described in any forwa</w:t>
      </w:r>
      <w:r>
        <w:rPr>
          <w:i/>
          <w:iCs/>
          <w:sz w:val="20"/>
          <w:szCs w:val="20"/>
        </w:rPr>
        <w:t>rd-looking statements. Should unknown risks or uncertainties materialize or underlying assumptions prove inaccurate, actual results could materially differ from past results and/or those anticipated, estimated or projected. Achievement of future results is</w:t>
      </w:r>
      <w:r>
        <w:rPr>
          <w:i/>
          <w:iCs/>
          <w:sz w:val="20"/>
          <w:szCs w:val="20"/>
        </w:rPr>
        <w:t xml:space="preserve"> subject to risks, uncertainties and potentially inaccurate assumptions. In this case, the trading price of our Common Units could decline and you might lose part or all of the value in our Common Units. Investing in our Common Units involves a high degree</w:t>
      </w:r>
      <w:r>
        <w:rPr>
          <w:i/>
          <w:iCs/>
          <w:sz w:val="20"/>
          <w:szCs w:val="20"/>
        </w:rPr>
        <w:t xml:space="preserve"> of risk. Past financial performance may not be a reliable indicator of future performance and historical trends should not be used to anticipate results or trends in future periods. You should carefully consider the specific risk factors set forth below a</w:t>
      </w:r>
      <w:r>
        <w:rPr>
          <w:i/>
          <w:iCs/>
          <w:sz w:val="20"/>
          <w:szCs w:val="20"/>
        </w:rPr>
        <w:t>s well as the other information contained or incorporated by reference in this Annual Report. Some factors in this section are Forward-Looking Statements. See “Disclosure Regarding Forward-Looking Statements” above</w:t>
      </w:r>
      <w:r>
        <w:rPr>
          <w:i/>
          <w:iCs/>
          <w:sz w:val="20"/>
          <w:szCs w:val="20"/>
        </w:rPr>
        <w:t>.</w:t>
      </w:r>
    </w:p>
    <w:p w14:paraId="70892854" w14:textId="77777777" w:rsidR="00000000" w:rsidRDefault="00832D71">
      <w:pPr>
        <w:pStyle w:val="a3"/>
        <w:spacing w:before="360" w:beforeAutospacing="0" w:after="0" w:afterAutospacing="0"/>
        <w:jc w:val="center"/>
        <w:rPr>
          <w:sz w:val="20"/>
          <w:szCs w:val="20"/>
        </w:rPr>
      </w:pPr>
      <w:r>
        <w:rPr>
          <w:b/>
          <w:bCs/>
          <w:sz w:val="20"/>
          <w:szCs w:val="20"/>
          <w:u w:val="single"/>
        </w:rPr>
        <w:t>RISKS RELATED TO OUR BUSINES</w:t>
      </w:r>
      <w:r>
        <w:rPr>
          <w:b/>
          <w:bCs/>
          <w:sz w:val="20"/>
          <w:szCs w:val="20"/>
          <w:u w:val="single"/>
        </w:rPr>
        <w:t>S</w:t>
      </w:r>
    </w:p>
    <w:p w14:paraId="58DD0D7C" w14:textId="77777777" w:rsidR="00000000" w:rsidRDefault="00832D71">
      <w:pPr>
        <w:pStyle w:val="a3"/>
        <w:spacing w:before="360" w:beforeAutospacing="0" w:after="0" w:afterAutospacing="0"/>
        <w:jc w:val="both"/>
        <w:rPr>
          <w:sz w:val="20"/>
          <w:szCs w:val="20"/>
        </w:rPr>
      </w:pPr>
      <w:r>
        <w:rPr>
          <w:b/>
          <w:bCs/>
          <w:i/>
          <w:iCs/>
          <w:sz w:val="20"/>
          <w:szCs w:val="20"/>
        </w:rPr>
        <w:t>Because weather conditions may adversely affect demand for propane, fuel oil and other refined fuels and natural gas, our results of operations and financial condition are vulnerable to warm winters and natural disasters</w:t>
      </w:r>
      <w:r>
        <w:rPr>
          <w:b/>
          <w:bCs/>
          <w:i/>
          <w:iCs/>
          <w:sz w:val="20"/>
          <w:szCs w:val="20"/>
        </w:rPr>
        <w:t>.</w:t>
      </w:r>
    </w:p>
    <w:p w14:paraId="335B2856" w14:textId="77777777" w:rsidR="00000000" w:rsidRDefault="00832D71">
      <w:pPr>
        <w:pStyle w:val="a3"/>
        <w:spacing w:before="120" w:beforeAutospacing="0" w:after="0" w:afterAutospacing="0"/>
        <w:ind w:firstLine="555"/>
        <w:jc w:val="both"/>
        <w:rPr>
          <w:sz w:val="20"/>
          <w:szCs w:val="20"/>
        </w:rPr>
      </w:pPr>
      <w:r>
        <w:rPr>
          <w:sz w:val="20"/>
          <w:szCs w:val="20"/>
        </w:rPr>
        <w:t>Weat</w:t>
      </w:r>
      <w:r>
        <w:rPr>
          <w:sz w:val="20"/>
          <w:szCs w:val="20"/>
        </w:rPr>
        <w:t>her conditions have a significant impact on the demand for propane, fuel oil and other refined fuels and natural gas for both heating and agricultural purposes. Many of our customers rely on propane, fuel oil or natural gas primarily as a heating source. T</w:t>
      </w:r>
      <w:r>
        <w:rPr>
          <w:sz w:val="20"/>
          <w:szCs w:val="20"/>
        </w:rPr>
        <w:t>he volume of propane, fuel oil and natural gas sold is at its highest during the six-month peak heating season of October through March and is directly affected by the severity and length of the winter months. Typically, we sell approximately two-thirds of</w:t>
      </w:r>
      <w:r>
        <w:rPr>
          <w:sz w:val="20"/>
          <w:szCs w:val="20"/>
        </w:rPr>
        <w:t xml:space="preserve"> our retail propane volume and approximately three-fourths of our retail fuel oil volume during the peak heating season. Weather conditions can vary substantially from year to year in the regions in which we operate, which could significantly impact the de</w:t>
      </w:r>
      <w:r>
        <w:rPr>
          <w:sz w:val="20"/>
          <w:szCs w:val="20"/>
        </w:rPr>
        <w:t>mand for our products and our financial performance and condition. The agricultural demand for propane is also affected by the weather, as dry or warm weather during the harvest season may reduce the demand for propane used in some crop drying applications</w:t>
      </w:r>
      <w:r>
        <w:rPr>
          <w:sz w:val="20"/>
          <w:szCs w:val="20"/>
        </w:rPr>
        <w:t xml:space="preserve"> for which we service</w:t>
      </w:r>
      <w:r>
        <w:rPr>
          <w:sz w:val="20"/>
          <w:szCs w:val="20"/>
        </w:rPr>
        <w:t>.</w:t>
      </w:r>
    </w:p>
    <w:p w14:paraId="4B27405C" w14:textId="77777777" w:rsidR="00000000" w:rsidRDefault="00832D71">
      <w:pPr>
        <w:pStyle w:val="a3"/>
        <w:spacing w:before="240" w:beforeAutospacing="0" w:after="0" w:afterAutospacing="0"/>
        <w:ind w:firstLine="555"/>
        <w:jc w:val="both"/>
        <w:rPr>
          <w:sz w:val="20"/>
          <w:szCs w:val="20"/>
        </w:rPr>
      </w:pPr>
      <w:r>
        <w:rPr>
          <w:sz w:val="20"/>
          <w:szCs w:val="20"/>
        </w:rPr>
        <w:t xml:space="preserve">Actual weather conditions can vary substantially from year to year, significantly affecting our financial performance. For example, average temperatures in our service territories were 10% warmer than normal for each of fiscal 2022, </w:t>
      </w:r>
      <w:r>
        <w:rPr>
          <w:sz w:val="20"/>
          <w:szCs w:val="20"/>
        </w:rPr>
        <w:t>fiscal 2021 and fiscal 2020, as measured by the number of heating degree days reported by the National Oceanic and Atmospheric Administration (“NOAA”). If this trend continues, it could have a negative impact on our financial performance. Furthermore, vari</w:t>
      </w:r>
      <w:r>
        <w:rPr>
          <w:sz w:val="20"/>
          <w:szCs w:val="20"/>
        </w:rPr>
        <w:t>ations in weather in one or more regions in which we operate can significantly affect the total volume of propane, fuel oil and other refined fuels and natural gas we sell and, consequently, our results of operations. Variations in the weather in the north</w:t>
      </w:r>
      <w:r>
        <w:rPr>
          <w:sz w:val="20"/>
          <w:szCs w:val="20"/>
        </w:rPr>
        <w:t>east, where we have a greater concentration of propane accounts and substantially all of our fuel oil and natural gas operations, generally have a greater impact on our operations than variations in the weather in other regions. We can give no assurance th</w:t>
      </w:r>
      <w:r>
        <w:rPr>
          <w:sz w:val="20"/>
          <w:szCs w:val="20"/>
        </w:rPr>
        <w:t>at the weather conditions in any quarter or year will not have a material adverse effect on our operations, or that our available cash will be sufficient to pay principal and interest on our indebtedness and distributions to Unitholders</w:t>
      </w:r>
      <w:r>
        <w:rPr>
          <w:sz w:val="20"/>
          <w:szCs w:val="20"/>
        </w:rPr>
        <w:t>.</w:t>
      </w:r>
    </w:p>
    <w:p w14:paraId="3BDCF073" w14:textId="77777777" w:rsidR="00000000" w:rsidRDefault="00832D71">
      <w:pPr>
        <w:pStyle w:val="a3"/>
        <w:spacing w:before="240" w:beforeAutospacing="0" w:after="0" w:afterAutospacing="0"/>
        <w:ind w:firstLine="555"/>
        <w:jc w:val="both"/>
        <w:rPr>
          <w:sz w:val="20"/>
          <w:szCs w:val="20"/>
        </w:rPr>
      </w:pPr>
      <w:r>
        <w:rPr>
          <w:sz w:val="20"/>
          <w:szCs w:val="20"/>
        </w:rPr>
        <w:t>If the frequency o</w:t>
      </w:r>
      <w:r>
        <w:rPr>
          <w:sz w:val="20"/>
          <w:szCs w:val="20"/>
        </w:rPr>
        <w:t>r magnitude of significant weather conditions or natural disasters such as floods, droughts, wildfires, hurricanes, blizzards or earthquakes increase, as a result of climate change or for other reasons, our results of operations and our financial performan</w:t>
      </w:r>
      <w:r>
        <w:rPr>
          <w:sz w:val="20"/>
          <w:szCs w:val="20"/>
        </w:rPr>
        <w:t>ce could be negatively impacted by the extent of damage to our facilities or to our customers’ residential homes and business structures, or of disruption to the supply or delivery of the products we sell</w:t>
      </w:r>
      <w:r>
        <w:rPr>
          <w:sz w:val="20"/>
          <w:szCs w:val="20"/>
        </w:rPr>
        <w:t>.</w:t>
      </w:r>
    </w:p>
    <w:p w14:paraId="26013C41" w14:textId="77777777" w:rsidR="00000000" w:rsidRDefault="00832D71">
      <w:pPr>
        <w:pStyle w:val="a3"/>
        <w:spacing w:before="360" w:beforeAutospacing="0" w:after="0" w:afterAutospacing="0"/>
        <w:jc w:val="both"/>
        <w:rPr>
          <w:sz w:val="20"/>
          <w:szCs w:val="20"/>
        </w:rPr>
      </w:pPr>
      <w:r>
        <w:rPr>
          <w:b/>
          <w:bCs/>
          <w:i/>
          <w:iCs/>
          <w:sz w:val="20"/>
          <w:szCs w:val="20"/>
        </w:rPr>
        <w:t xml:space="preserve">Deterioration of general economic conditions have </w:t>
      </w:r>
      <w:r>
        <w:rPr>
          <w:b/>
          <w:bCs/>
          <w:i/>
          <w:iCs/>
          <w:sz w:val="20"/>
          <w:szCs w:val="20"/>
        </w:rPr>
        <w:t>harmed and could continue to harm our business and results of operations</w:t>
      </w:r>
      <w:r>
        <w:rPr>
          <w:b/>
          <w:bCs/>
          <w:i/>
          <w:iCs/>
          <w:sz w:val="20"/>
          <w:szCs w:val="20"/>
        </w:rPr>
        <w:t>.</w:t>
      </w:r>
    </w:p>
    <w:p w14:paraId="1871403D" w14:textId="77777777" w:rsidR="00000000" w:rsidRDefault="00832D71">
      <w:pPr>
        <w:pStyle w:val="a3"/>
        <w:spacing w:before="120" w:beforeAutospacing="0" w:after="0" w:afterAutospacing="0"/>
        <w:ind w:firstLine="555"/>
        <w:jc w:val="both"/>
        <w:rPr>
          <w:sz w:val="20"/>
          <w:szCs w:val="20"/>
        </w:rPr>
      </w:pPr>
      <w:r>
        <w:rPr>
          <w:sz w:val="20"/>
          <w:szCs w:val="20"/>
        </w:rPr>
        <w:t>Our business and results of operations have been, and may continue to be, adversely affected by changes in national or global economic conditions, including inflation, interest rates</w:t>
      </w:r>
      <w:r>
        <w:rPr>
          <w:sz w:val="20"/>
          <w:szCs w:val="20"/>
        </w:rPr>
        <w:t>, availability of capital markets, consumer spending rates, unemployment rates, energy availability and costs, the negative impacts caused by pandemics and public health crises, and the effects of governmental initiatives to manage economic conditions</w:t>
      </w:r>
      <w:r>
        <w:rPr>
          <w:sz w:val="20"/>
          <w:szCs w:val="20"/>
        </w:rPr>
        <w:t>.</w:t>
      </w:r>
    </w:p>
    <w:p w14:paraId="4BBA2798" w14:textId="77777777" w:rsidR="00000000" w:rsidRDefault="00832D71">
      <w:pPr>
        <w:pStyle w:val="a3"/>
        <w:spacing w:before="0" w:beforeAutospacing="0" w:after="0" w:afterAutospacing="0"/>
        <w:jc w:val="center"/>
        <w:rPr>
          <w:sz w:val="20"/>
          <w:szCs w:val="20"/>
        </w:rPr>
      </w:pPr>
      <w:r>
        <w:rPr>
          <w:sz w:val="20"/>
          <w:szCs w:val="20"/>
        </w:rPr>
        <w:t> </w:t>
      </w:r>
    </w:p>
    <w:p w14:paraId="3F8DDE57" w14:textId="77777777" w:rsidR="00000000" w:rsidRDefault="00832D71">
      <w:pPr>
        <w:pStyle w:val="a3"/>
        <w:spacing w:before="0" w:beforeAutospacing="0" w:after="0" w:afterAutospacing="0"/>
        <w:jc w:val="center"/>
        <w:rPr>
          <w:sz w:val="20"/>
          <w:szCs w:val="20"/>
        </w:rPr>
      </w:pPr>
      <w:r>
        <w:rPr>
          <w:sz w:val="20"/>
          <w:szCs w:val="20"/>
        </w:rPr>
        <w:t>1</w:t>
      </w:r>
      <w:r>
        <w:rPr>
          <w:sz w:val="20"/>
          <w:szCs w:val="20"/>
        </w:rPr>
        <w:t>4</w:t>
      </w:r>
    </w:p>
    <w:p w14:paraId="40978D91" w14:textId="77777777" w:rsidR="00000000" w:rsidRDefault="00832D71">
      <w:pPr>
        <w:rPr>
          <w:rFonts w:eastAsia="Times New Roman"/>
        </w:rPr>
      </w:pPr>
      <w:r>
        <w:rPr>
          <w:rFonts w:eastAsia="Times New Roman"/>
        </w:rPr>
        <w:pict w14:anchorId="1C07C4AE">
          <v:rect id="_x0000_i1041" style="width:0;height:1.5pt" o:hralign="center" o:hrstd="t" o:hr="t" fillcolor="#a0a0a0" stroked="f"/>
        </w:pict>
      </w:r>
    </w:p>
    <w:p w14:paraId="111EC4FA"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6477615E" w14:textId="77777777" w:rsidR="00000000" w:rsidRDefault="00832D71">
      <w:pPr>
        <w:pStyle w:val="a3"/>
        <w:spacing w:before="240" w:beforeAutospacing="0" w:after="0" w:afterAutospacing="0"/>
        <w:ind w:firstLine="555"/>
        <w:jc w:val="both"/>
        <w:rPr>
          <w:sz w:val="20"/>
          <w:szCs w:val="20"/>
        </w:rPr>
      </w:pPr>
      <w:r>
        <w:rPr>
          <w:sz w:val="20"/>
          <w:szCs w:val="20"/>
        </w:rPr>
        <w:t>Volatility in financial markets and deterioration of national and global economic conditions have impacted, and may again impact, our business and operations in</w:t>
      </w:r>
      <w:r>
        <w:rPr>
          <w:sz w:val="20"/>
          <w:szCs w:val="20"/>
        </w:rPr>
        <w:t xml:space="preserve"> a variety of ways, including as follows</w:t>
      </w:r>
      <w:r>
        <w:rPr>
          <w:sz w:val="20"/>
          <w:szCs w:val="20"/>
        </w:rPr>
        <w:t>:</w:t>
      </w:r>
    </w:p>
    <w:p w14:paraId="52DF35FA" w14:textId="77777777" w:rsidR="00000000" w:rsidRDefault="00832D71">
      <w:pPr>
        <w:jc w:val="both"/>
        <w:divId w:val="1770001077"/>
        <w:rPr>
          <w:rFonts w:eastAsia="Times New Roman"/>
        </w:rPr>
      </w:pPr>
      <w:r>
        <w:rPr>
          <w:rFonts w:eastAsia="Times New Roman"/>
          <w:sz w:val="20"/>
          <w:szCs w:val="20"/>
        </w:rPr>
        <w:t>•</w:t>
      </w:r>
    </w:p>
    <w:p w14:paraId="5826A810" w14:textId="77777777" w:rsidR="00000000" w:rsidRDefault="00832D71">
      <w:pPr>
        <w:jc w:val="both"/>
        <w:divId w:val="1705131665"/>
        <w:rPr>
          <w:rFonts w:eastAsia="Times New Roman"/>
        </w:rPr>
      </w:pPr>
      <w:r>
        <w:rPr>
          <w:rFonts w:eastAsia="Times New Roman"/>
          <w:sz w:val="20"/>
          <w:szCs w:val="20"/>
        </w:rPr>
        <w:t>our customers may reduce their discretionary spending, or may forego certain purchases altogether, during economic downturns, and may reduce or delay their payments for our products as a result of significant unemployment or an inability to operate or make</w:t>
      </w:r>
      <w:r>
        <w:rPr>
          <w:rFonts w:eastAsia="Times New Roman"/>
          <w:sz w:val="20"/>
          <w:szCs w:val="20"/>
        </w:rPr>
        <w:t xml:space="preserve"> payments</w:t>
      </w:r>
      <w:r>
        <w:rPr>
          <w:rFonts w:eastAsia="Times New Roman"/>
          <w:sz w:val="20"/>
          <w:szCs w:val="20"/>
        </w:rPr>
        <w:t>;</w:t>
      </w:r>
    </w:p>
    <w:p w14:paraId="5E0A4B65" w14:textId="77777777" w:rsidR="00000000" w:rsidRDefault="00832D71">
      <w:pPr>
        <w:jc w:val="both"/>
        <w:divId w:val="1032799699"/>
        <w:rPr>
          <w:rFonts w:eastAsia="Times New Roman"/>
        </w:rPr>
      </w:pPr>
      <w:r>
        <w:rPr>
          <w:rFonts w:eastAsia="Times New Roman"/>
          <w:sz w:val="20"/>
          <w:szCs w:val="20"/>
        </w:rPr>
        <w:t>•</w:t>
      </w:r>
    </w:p>
    <w:p w14:paraId="4BFB5CE0" w14:textId="77777777" w:rsidR="00000000" w:rsidRDefault="00832D71">
      <w:pPr>
        <w:jc w:val="both"/>
        <w:divId w:val="753206541"/>
        <w:rPr>
          <w:rFonts w:eastAsia="Times New Roman"/>
        </w:rPr>
      </w:pPr>
      <w:r>
        <w:rPr>
          <w:rFonts w:eastAsia="Times New Roman"/>
          <w:sz w:val="20"/>
          <w:szCs w:val="20"/>
        </w:rPr>
        <w:t>if volatile or negative economic conditions continue to impact our customers, it could lead to increases in customer payment default rates and/or related challenges in collecting on accounts receivable</w:t>
      </w:r>
      <w:r>
        <w:rPr>
          <w:rFonts w:eastAsia="Times New Roman"/>
          <w:sz w:val="20"/>
          <w:szCs w:val="20"/>
        </w:rPr>
        <w:t>;</w:t>
      </w:r>
    </w:p>
    <w:p w14:paraId="0526C888" w14:textId="77777777" w:rsidR="00000000" w:rsidRDefault="00832D71">
      <w:pPr>
        <w:jc w:val="both"/>
        <w:divId w:val="604119831"/>
        <w:rPr>
          <w:rFonts w:eastAsia="Times New Roman"/>
        </w:rPr>
      </w:pPr>
      <w:r>
        <w:rPr>
          <w:rFonts w:eastAsia="Times New Roman"/>
          <w:sz w:val="20"/>
          <w:szCs w:val="20"/>
        </w:rPr>
        <w:t>•</w:t>
      </w:r>
    </w:p>
    <w:p w14:paraId="3BE7C400" w14:textId="77777777" w:rsidR="00000000" w:rsidRDefault="00832D71">
      <w:pPr>
        <w:jc w:val="both"/>
        <w:divId w:val="1001740602"/>
        <w:rPr>
          <w:rFonts w:eastAsia="Times New Roman"/>
        </w:rPr>
      </w:pPr>
      <w:r>
        <w:rPr>
          <w:rFonts w:eastAsia="Times New Roman"/>
          <w:sz w:val="20"/>
          <w:szCs w:val="20"/>
        </w:rPr>
        <w:t>if a significant percentage of our wor</w:t>
      </w:r>
      <w:r>
        <w:rPr>
          <w:rFonts w:eastAsia="Times New Roman"/>
          <w:sz w:val="20"/>
          <w:szCs w:val="20"/>
        </w:rPr>
        <w:t>kforce is unable to work, including because of illness or travel or government restrictions, our operations may be negatively impacted</w:t>
      </w:r>
      <w:r>
        <w:rPr>
          <w:rFonts w:eastAsia="Times New Roman"/>
          <w:sz w:val="20"/>
          <w:szCs w:val="20"/>
        </w:rPr>
        <w:t>;</w:t>
      </w:r>
    </w:p>
    <w:p w14:paraId="45570F7D" w14:textId="77777777" w:rsidR="00000000" w:rsidRDefault="00832D71">
      <w:pPr>
        <w:jc w:val="both"/>
        <w:divId w:val="1910262686"/>
        <w:rPr>
          <w:rFonts w:eastAsia="Times New Roman"/>
        </w:rPr>
      </w:pPr>
      <w:r>
        <w:rPr>
          <w:rFonts w:eastAsia="Times New Roman"/>
          <w:sz w:val="20"/>
          <w:szCs w:val="20"/>
        </w:rPr>
        <w:t>•</w:t>
      </w:r>
    </w:p>
    <w:p w14:paraId="37F9FFEF" w14:textId="77777777" w:rsidR="00000000" w:rsidRDefault="00832D71">
      <w:pPr>
        <w:jc w:val="both"/>
        <w:divId w:val="879706026"/>
        <w:rPr>
          <w:rFonts w:eastAsia="Times New Roman"/>
        </w:rPr>
      </w:pPr>
      <w:r>
        <w:rPr>
          <w:rFonts w:eastAsia="Times New Roman"/>
          <w:sz w:val="20"/>
          <w:szCs w:val="20"/>
        </w:rPr>
        <w:t>decreased demand in the residential, commercial, industrial, government, agricultural or wholesale markets may adversely affect our propane, fuel oil and refined fuels, and natural gas and electricity businesses;</w:t>
      </w:r>
      <w:r>
        <w:rPr>
          <w:rFonts w:eastAsia="Times New Roman"/>
          <w:sz w:val="20"/>
          <w:szCs w:val="20"/>
        </w:rPr>
        <w:t xml:space="preserve"> </w:t>
      </w:r>
    </w:p>
    <w:p w14:paraId="0CDC3F48" w14:textId="77777777" w:rsidR="00000000" w:rsidRDefault="00832D71">
      <w:pPr>
        <w:jc w:val="both"/>
        <w:divId w:val="299848789"/>
        <w:rPr>
          <w:rFonts w:eastAsia="Times New Roman"/>
        </w:rPr>
      </w:pPr>
      <w:r>
        <w:rPr>
          <w:rFonts w:eastAsia="Times New Roman"/>
          <w:sz w:val="20"/>
          <w:szCs w:val="20"/>
        </w:rPr>
        <w:t>•</w:t>
      </w:r>
    </w:p>
    <w:p w14:paraId="78745D42" w14:textId="77777777" w:rsidR="00000000" w:rsidRDefault="00832D71">
      <w:pPr>
        <w:jc w:val="both"/>
        <w:divId w:val="182979669"/>
        <w:rPr>
          <w:rFonts w:eastAsia="Times New Roman"/>
        </w:rPr>
      </w:pPr>
      <w:r>
        <w:rPr>
          <w:rFonts w:eastAsia="Times New Roman"/>
          <w:sz w:val="20"/>
          <w:szCs w:val="20"/>
        </w:rPr>
        <w:t xml:space="preserve">volatility in commodity and other input </w:t>
      </w:r>
      <w:r>
        <w:rPr>
          <w:rFonts w:eastAsia="Times New Roman"/>
          <w:sz w:val="20"/>
          <w:szCs w:val="20"/>
        </w:rPr>
        <w:t>costs could substantially impact our result of operations</w:t>
      </w:r>
      <w:r>
        <w:rPr>
          <w:rFonts w:eastAsia="Times New Roman"/>
          <w:sz w:val="20"/>
          <w:szCs w:val="20"/>
        </w:rPr>
        <w:t>;</w:t>
      </w:r>
    </w:p>
    <w:p w14:paraId="232A9E58" w14:textId="77777777" w:rsidR="00000000" w:rsidRDefault="00832D71">
      <w:pPr>
        <w:jc w:val="both"/>
        <w:divId w:val="132254965"/>
        <w:rPr>
          <w:rFonts w:eastAsia="Times New Roman"/>
        </w:rPr>
      </w:pPr>
      <w:r>
        <w:rPr>
          <w:rFonts w:eastAsia="Times New Roman"/>
          <w:sz w:val="20"/>
          <w:szCs w:val="20"/>
        </w:rPr>
        <w:t>•</w:t>
      </w:r>
    </w:p>
    <w:p w14:paraId="35096911" w14:textId="77777777" w:rsidR="00000000" w:rsidRDefault="00832D71">
      <w:pPr>
        <w:jc w:val="both"/>
        <w:divId w:val="1747653477"/>
        <w:rPr>
          <w:rFonts w:eastAsia="Times New Roman"/>
        </w:rPr>
      </w:pPr>
      <w:r>
        <w:rPr>
          <w:rFonts w:eastAsia="Times New Roman"/>
          <w:sz w:val="20"/>
          <w:szCs w:val="20"/>
        </w:rPr>
        <w:t>if our indebtedness increases, or our consolidated EBITDA declines, it could adversely affect our liquidity and lead to increased risks of default under our credit agreement; an</w:t>
      </w:r>
      <w:r>
        <w:rPr>
          <w:rFonts w:eastAsia="Times New Roman"/>
          <w:sz w:val="20"/>
          <w:szCs w:val="20"/>
        </w:rPr>
        <w:t>d</w:t>
      </w:r>
    </w:p>
    <w:p w14:paraId="45107583" w14:textId="77777777" w:rsidR="00000000" w:rsidRDefault="00832D71">
      <w:pPr>
        <w:jc w:val="both"/>
        <w:divId w:val="2035568186"/>
        <w:rPr>
          <w:rFonts w:eastAsia="Times New Roman"/>
        </w:rPr>
      </w:pPr>
      <w:r>
        <w:rPr>
          <w:rFonts w:eastAsia="Times New Roman"/>
          <w:sz w:val="20"/>
          <w:szCs w:val="20"/>
        </w:rPr>
        <w:t>•</w:t>
      </w:r>
    </w:p>
    <w:p w14:paraId="2378EF3E" w14:textId="77777777" w:rsidR="00000000" w:rsidRDefault="00832D71">
      <w:pPr>
        <w:jc w:val="both"/>
        <w:divId w:val="528252079"/>
        <w:rPr>
          <w:rFonts w:eastAsia="Times New Roman"/>
        </w:rPr>
      </w:pPr>
      <w:r>
        <w:rPr>
          <w:rFonts w:eastAsia="Times New Roman"/>
          <w:sz w:val="20"/>
          <w:szCs w:val="20"/>
        </w:rPr>
        <w:t xml:space="preserve">it may become </w:t>
      </w:r>
      <w:r>
        <w:rPr>
          <w:rFonts w:eastAsia="Times New Roman"/>
          <w:sz w:val="20"/>
          <w:szCs w:val="20"/>
        </w:rPr>
        <w:t>more costly or difficult to obtain debt or equity financing to fund investment opportunities, or to refinance our debt in the future, in each case on terms and within a time period acceptable to us</w:t>
      </w:r>
      <w:r>
        <w:rPr>
          <w:rFonts w:eastAsia="Times New Roman"/>
          <w:sz w:val="20"/>
          <w:szCs w:val="20"/>
        </w:rPr>
        <w:t>.</w:t>
      </w:r>
    </w:p>
    <w:p w14:paraId="717EF064" w14:textId="77777777" w:rsidR="00000000" w:rsidRDefault="00832D71">
      <w:pPr>
        <w:pStyle w:val="a3"/>
        <w:spacing w:before="360" w:beforeAutospacing="0" w:after="0" w:afterAutospacing="0"/>
        <w:jc w:val="both"/>
        <w:rPr>
          <w:sz w:val="20"/>
          <w:szCs w:val="20"/>
        </w:rPr>
      </w:pPr>
      <w:r>
        <w:rPr>
          <w:b/>
          <w:bCs/>
          <w:i/>
          <w:iCs/>
          <w:sz w:val="20"/>
          <w:szCs w:val="20"/>
        </w:rPr>
        <w:t>Disruption of our supply chain could have an adverse impa</w:t>
      </w:r>
      <w:r>
        <w:rPr>
          <w:b/>
          <w:bCs/>
          <w:i/>
          <w:iCs/>
          <w:sz w:val="20"/>
          <w:szCs w:val="20"/>
        </w:rPr>
        <w:t>ct on our business and our operating results</w:t>
      </w:r>
      <w:r>
        <w:rPr>
          <w:b/>
          <w:bCs/>
          <w:i/>
          <w:iCs/>
          <w:sz w:val="20"/>
          <w:szCs w:val="20"/>
        </w:rPr>
        <w:t>.</w:t>
      </w:r>
    </w:p>
    <w:p w14:paraId="2DD9287C" w14:textId="77777777" w:rsidR="00000000" w:rsidRDefault="00832D71">
      <w:pPr>
        <w:pStyle w:val="a3"/>
        <w:spacing w:before="120" w:beforeAutospacing="0" w:after="0" w:afterAutospacing="0"/>
        <w:ind w:firstLine="555"/>
        <w:jc w:val="both"/>
        <w:rPr>
          <w:sz w:val="20"/>
          <w:szCs w:val="20"/>
        </w:rPr>
      </w:pPr>
      <w:r>
        <w:rPr>
          <w:sz w:val="20"/>
          <w:szCs w:val="20"/>
        </w:rPr>
        <w:t xml:space="preserve">Damage or disruption to our supply chain, including third-party production or transportation and distribution capabilities, due to weather, including any potential effects of climate change, natural disasters, </w:t>
      </w:r>
      <w:r>
        <w:rPr>
          <w:sz w:val="20"/>
          <w:szCs w:val="20"/>
        </w:rPr>
        <w:t xml:space="preserve">fires or explosions, terrorism, pandemics, strikes, government action, economic and operational considerations of producers and refineries, or other reasons beyond our control or the control of our suppliers and business partners, could impair our ability </w:t>
      </w:r>
      <w:r>
        <w:rPr>
          <w:sz w:val="20"/>
          <w:szCs w:val="20"/>
        </w:rPr>
        <w:t>to acquire sufficient supplies of the products we sell</w:t>
      </w:r>
      <w:r>
        <w:rPr>
          <w:sz w:val="20"/>
          <w:szCs w:val="20"/>
        </w:rPr>
        <w:t>.</w:t>
      </w:r>
      <w:r>
        <w:rPr>
          <w:sz w:val="20"/>
          <w:szCs w:val="20"/>
        </w:rPr>
        <w:t xml:space="preserve"> </w:t>
      </w:r>
    </w:p>
    <w:p w14:paraId="7EF2F622" w14:textId="77777777" w:rsidR="00000000" w:rsidRDefault="00832D71">
      <w:pPr>
        <w:pStyle w:val="a3"/>
        <w:spacing w:before="240" w:beforeAutospacing="0" w:after="0" w:afterAutospacing="0"/>
        <w:ind w:firstLine="555"/>
        <w:jc w:val="both"/>
        <w:rPr>
          <w:sz w:val="20"/>
          <w:szCs w:val="20"/>
        </w:rPr>
      </w:pPr>
      <w:r>
        <w:rPr>
          <w:sz w:val="20"/>
          <w:szCs w:val="20"/>
        </w:rPr>
        <w:t>We have actively monitored and managed supply chain and logistical (including transport) issues and disruptions in the past. Although we source our propane, fuel oil and refined fuels, and natural ga</w:t>
      </w:r>
      <w:r>
        <w:rPr>
          <w:sz w:val="20"/>
          <w:szCs w:val="20"/>
        </w:rPr>
        <w:t>s from a broad group of suppliers, restrictions on businesses or volatility in the economy or supply chain could cause global supply, logistics and transport of these fuels to become constrained, which may cause the price to increase and/or adversely affec</w:t>
      </w:r>
      <w:r>
        <w:rPr>
          <w:sz w:val="20"/>
          <w:szCs w:val="20"/>
        </w:rPr>
        <w:t>t our ability to acquire adequate supplies to meet customer demand. The disruptions to the global economy over the past three years have impeded global supply chains, resulting in longer lead times and increased freight expenses in general. We have taken s</w:t>
      </w:r>
      <w:r>
        <w:rPr>
          <w:sz w:val="20"/>
          <w:szCs w:val="20"/>
        </w:rPr>
        <w:t>teps to minimize the impact of these increased costs by working closely with our suppliers and customers, and strategically managing our purchasing functions and logistics in delivering our products and services. Despite the actions we have undertaken to m</w:t>
      </w:r>
      <w:r>
        <w:rPr>
          <w:sz w:val="20"/>
          <w:szCs w:val="20"/>
        </w:rPr>
        <w:t>inimize the impacts from disruptions to the global economy, there can be no assurances that unforeseen future events in the global supply chain, our ability to deliver our products and services or the costs associated therewith, will not have a material ad</w:t>
      </w:r>
      <w:r>
        <w:rPr>
          <w:sz w:val="20"/>
          <w:szCs w:val="20"/>
        </w:rPr>
        <w:t>verse effect on our business, financial condition and results of operations</w:t>
      </w:r>
      <w:r>
        <w:rPr>
          <w:sz w:val="20"/>
          <w:szCs w:val="20"/>
        </w:rPr>
        <w:t>.</w:t>
      </w:r>
      <w:r>
        <w:rPr>
          <w:sz w:val="20"/>
          <w:szCs w:val="20"/>
        </w:rPr>
        <w:t xml:space="preserve"> </w:t>
      </w:r>
    </w:p>
    <w:p w14:paraId="49D9756E" w14:textId="77777777" w:rsidR="00000000" w:rsidRDefault="00832D71">
      <w:pPr>
        <w:pStyle w:val="a3"/>
        <w:spacing w:before="360" w:beforeAutospacing="0" w:after="0" w:afterAutospacing="0"/>
        <w:jc w:val="both"/>
        <w:rPr>
          <w:sz w:val="20"/>
          <w:szCs w:val="20"/>
        </w:rPr>
      </w:pPr>
      <w:r>
        <w:rPr>
          <w:b/>
          <w:bCs/>
          <w:i/>
          <w:iCs/>
          <w:sz w:val="20"/>
          <w:szCs w:val="20"/>
        </w:rPr>
        <w:t>Sudden increases in our costs to acquire and transport propane, fuel oil and other refined fuels and natural gas due to, among other things, our inability to obtain adequate supp</w:t>
      </w:r>
      <w:r>
        <w:rPr>
          <w:b/>
          <w:bCs/>
          <w:i/>
          <w:iCs/>
          <w:sz w:val="20"/>
          <w:szCs w:val="20"/>
        </w:rPr>
        <w:t>lies from our usual suppliers, or our inability to obtain adequate supplies of such products from alternative suppliers, or inflationary conditions, may adversely affect our operating results</w:t>
      </w:r>
      <w:r>
        <w:rPr>
          <w:b/>
          <w:bCs/>
          <w:i/>
          <w:iCs/>
          <w:sz w:val="20"/>
          <w:szCs w:val="20"/>
        </w:rPr>
        <w:t>.</w:t>
      </w:r>
    </w:p>
    <w:p w14:paraId="367AD933" w14:textId="77777777" w:rsidR="00000000" w:rsidRDefault="00832D71">
      <w:pPr>
        <w:pStyle w:val="a3"/>
        <w:spacing w:before="120" w:beforeAutospacing="0" w:after="0" w:afterAutospacing="0"/>
        <w:ind w:firstLine="555"/>
        <w:jc w:val="both"/>
        <w:rPr>
          <w:sz w:val="20"/>
          <w:szCs w:val="20"/>
        </w:rPr>
      </w:pPr>
      <w:r>
        <w:rPr>
          <w:sz w:val="20"/>
          <w:szCs w:val="20"/>
        </w:rPr>
        <w:t>Our profitability in the retail propane, fuel oil and refined f</w:t>
      </w:r>
      <w:r>
        <w:rPr>
          <w:sz w:val="20"/>
          <w:szCs w:val="20"/>
        </w:rPr>
        <w:t>uels and natural gas businesses is largely dependent on the difference between our costs to acquire and transport product, and retail sales price. Propane, fuel oil and other refined fuels and natural gas are commodities, and the availability of those prod</w:t>
      </w:r>
      <w:r>
        <w:rPr>
          <w:sz w:val="20"/>
          <w:szCs w:val="20"/>
        </w:rPr>
        <w:t>ucts, and the unit prices we need to pay to acquire and transport those products, are subject to volatile changes in response to changes in production and supply or other market conditions over which we have no control, including the severity and length of</w:t>
      </w:r>
      <w:r>
        <w:rPr>
          <w:sz w:val="20"/>
          <w:szCs w:val="20"/>
        </w:rPr>
        <w:t xml:space="preserve"> winter weather, natural disasters, the price and availability of competing alternative energy sources, competing demands for the products (including for export) and infrastructure (including highway, rail, pipeline and refinery) constraints, general infla</w:t>
      </w:r>
      <w:r>
        <w:rPr>
          <w:sz w:val="20"/>
          <w:szCs w:val="20"/>
        </w:rPr>
        <w:t>tionary pressures or delays in shipping availability, backlogs at shipping ports or other points of entry, and lack of available trucking or other shipping means. Our supply of these products from our usual sources may be interrupted due to these and other</w:t>
      </w:r>
      <w:r>
        <w:rPr>
          <w:sz w:val="20"/>
          <w:szCs w:val="20"/>
        </w:rPr>
        <w:t xml:space="preserve"> reasons that are beyond our control, necessitating the transportation of product, if it is available at all, by truck, rail car or other means from other suppliers in other areas, with resulting delay in receipt and delivery to customers and increased exp</w:t>
      </w:r>
      <w:r>
        <w:rPr>
          <w:sz w:val="20"/>
          <w:szCs w:val="20"/>
        </w:rPr>
        <w:t>ense. As a result, our costs of acquiring and transporting alternative supplies of these products to our facilities may be materially higher at least on a short-term basis. Because we may not be able to pass on to our customers immediately, or in full, all</w:t>
      </w:r>
      <w:r>
        <w:rPr>
          <w:sz w:val="20"/>
          <w:szCs w:val="20"/>
        </w:rPr>
        <w:t xml:space="preserve"> increases in our wholesale and transportation costs of propane, fuel oil and other refined fuels and natural gas, these increases could reduce our profitability. Due to high inflation in the United States during fiscal 2022, we have experienced higher com</w:t>
      </w:r>
      <w:r>
        <w:rPr>
          <w:sz w:val="20"/>
          <w:szCs w:val="20"/>
        </w:rPr>
        <w:t>modity, transportation and labor costs and the cost of tanks and other equipment, which have impacted our profitability in recent periods and may continue to do so while high inflationary conditions exist. In addition, our inability to obtain sufficient su</w:t>
      </w:r>
      <w:r>
        <w:rPr>
          <w:sz w:val="20"/>
          <w:szCs w:val="20"/>
        </w:rPr>
        <w:t>pplies of propane, fuel oil and other refined fuels and natural gas in order for us to fully meet customer demand for these products on a timely basis could adversely affect our revenues, and consequently our profitability</w:t>
      </w:r>
      <w:r>
        <w:rPr>
          <w:sz w:val="20"/>
          <w:szCs w:val="20"/>
        </w:rPr>
        <w:t>.</w:t>
      </w:r>
    </w:p>
    <w:p w14:paraId="21EB4402" w14:textId="77777777" w:rsidR="00000000" w:rsidRDefault="00832D71">
      <w:pPr>
        <w:pStyle w:val="a3"/>
        <w:spacing w:before="0" w:beforeAutospacing="0" w:after="0" w:afterAutospacing="0"/>
        <w:jc w:val="center"/>
        <w:rPr>
          <w:sz w:val="20"/>
          <w:szCs w:val="20"/>
        </w:rPr>
      </w:pPr>
      <w:r>
        <w:rPr>
          <w:sz w:val="20"/>
          <w:szCs w:val="20"/>
        </w:rPr>
        <w:t> </w:t>
      </w:r>
    </w:p>
    <w:p w14:paraId="599CC955" w14:textId="77777777" w:rsidR="00000000" w:rsidRDefault="00832D71">
      <w:pPr>
        <w:pStyle w:val="a3"/>
        <w:spacing w:before="0" w:beforeAutospacing="0" w:after="0" w:afterAutospacing="0"/>
        <w:jc w:val="center"/>
        <w:rPr>
          <w:sz w:val="20"/>
          <w:szCs w:val="20"/>
        </w:rPr>
      </w:pPr>
      <w:r>
        <w:rPr>
          <w:sz w:val="20"/>
          <w:szCs w:val="20"/>
        </w:rPr>
        <w:t>1</w:t>
      </w:r>
      <w:r>
        <w:rPr>
          <w:sz w:val="20"/>
          <w:szCs w:val="20"/>
        </w:rPr>
        <w:t>5</w:t>
      </w:r>
    </w:p>
    <w:p w14:paraId="6EE49C17" w14:textId="77777777" w:rsidR="00000000" w:rsidRDefault="00832D71">
      <w:pPr>
        <w:rPr>
          <w:rFonts w:eastAsia="Times New Roman"/>
        </w:rPr>
      </w:pPr>
      <w:r>
        <w:rPr>
          <w:rFonts w:eastAsia="Times New Roman"/>
        </w:rPr>
        <w:pict w14:anchorId="711119A1">
          <v:rect id="_x0000_i1042" style="width:0;height:1.5pt" o:hralign="center" o:hrstd="t" o:hr="t" fillcolor="#a0a0a0" stroked="f"/>
        </w:pict>
      </w:r>
    </w:p>
    <w:p w14:paraId="534512DE"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1BF1B9E0" w14:textId="77777777" w:rsidR="00000000" w:rsidRDefault="00832D71">
      <w:pPr>
        <w:pStyle w:val="a3"/>
        <w:spacing w:before="240" w:beforeAutospacing="0" w:after="0" w:afterAutospacing="0"/>
        <w:ind w:firstLine="555"/>
        <w:jc w:val="both"/>
        <w:rPr>
          <w:sz w:val="20"/>
          <w:szCs w:val="20"/>
        </w:rPr>
      </w:pPr>
      <w:r>
        <w:rPr>
          <w:sz w:val="20"/>
          <w:szCs w:val="20"/>
        </w:rPr>
        <w:t>In general, product supply contracts permit suppliers to charge posted prices at the time of delivery, or the current prices established at major supply points, including Mont Belvieu, Tex</w:t>
      </w:r>
      <w:r>
        <w:rPr>
          <w:sz w:val="20"/>
          <w:szCs w:val="20"/>
        </w:rPr>
        <w:t>as, and Conway, Kansas. We engage in transactions to manage the price risk associated with certain of our product costs from time to time in an attempt to reduce cost volatility and to help ensure availability of product. We can give no assurance that futu</w:t>
      </w:r>
      <w:r>
        <w:rPr>
          <w:sz w:val="20"/>
          <w:szCs w:val="20"/>
        </w:rPr>
        <w:t>re increases in our costs to acquire and transport propane, fuel oil and natural gas will not have a material adverse effect on our profitability and cash flow, or that our available cash will be sufficient to pay principal and interest on our indebtedness</w:t>
      </w:r>
      <w:r>
        <w:rPr>
          <w:sz w:val="20"/>
          <w:szCs w:val="20"/>
        </w:rPr>
        <w:t xml:space="preserve"> and distributions to our Unitholders</w:t>
      </w:r>
      <w:r>
        <w:rPr>
          <w:sz w:val="20"/>
          <w:szCs w:val="20"/>
        </w:rPr>
        <w:t>.</w:t>
      </w:r>
    </w:p>
    <w:p w14:paraId="23747715" w14:textId="77777777" w:rsidR="00000000" w:rsidRDefault="00832D71">
      <w:pPr>
        <w:pStyle w:val="a3"/>
        <w:spacing w:before="360" w:beforeAutospacing="0" w:after="0" w:afterAutospacing="0"/>
        <w:jc w:val="both"/>
        <w:rPr>
          <w:sz w:val="20"/>
          <w:szCs w:val="20"/>
        </w:rPr>
      </w:pPr>
      <w:r>
        <w:rPr>
          <w:b/>
          <w:bCs/>
          <w:i/>
          <w:iCs/>
          <w:sz w:val="20"/>
          <w:szCs w:val="20"/>
        </w:rPr>
        <w:t>High prices for propane, fuel oil and other refined fuels and natural gas can lead to customer conservation, resulting in reduced demand for our product</w:t>
      </w:r>
      <w:r>
        <w:rPr>
          <w:b/>
          <w:bCs/>
          <w:i/>
          <w:iCs/>
          <w:sz w:val="20"/>
          <w:szCs w:val="20"/>
        </w:rPr>
        <w:t>.</w:t>
      </w:r>
    </w:p>
    <w:p w14:paraId="460916A7" w14:textId="77777777" w:rsidR="00000000" w:rsidRDefault="00832D71">
      <w:pPr>
        <w:pStyle w:val="a3"/>
        <w:spacing w:before="120" w:beforeAutospacing="0" w:after="0" w:afterAutospacing="0"/>
        <w:ind w:firstLine="555"/>
        <w:jc w:val="both"/>
        <w:rPr>
          <w:sz w:val="20"/>
          <w:szCs w:val="20"/>
        </w:rPr>
      </w:pPr>
      <w:r>
        <w:rPr>
          <w:sz w:val="20"/>
          <w:szCs w:val="20"/>
        </w:rPr>
        <w:t>Prices for propane, fuel oil and other refined fuels and natura</w:t>
      </w:r>
      <w:r>
        <w:rPr>
          <w:sz w:val="20"/>
          <w:szCs w:val="20"/>
        </w:rPr>
        <w:t>l gas are subject to fluctuations in response to changes in wholesale prices and other market conditions beyond our control. Therefore, our average retail sales prices can vary significantly within a heating season, or from year to year, as wholesale price</w:t>
      </w:r>
      <w:r>
        <w:rPr>
          <w:sz w:val="20"/>
          <w:szCs w:val="20"/>
        </w:rPr>
        <w:t>s fluctuate with propane, fuel oil and natural gas commodity market conditions. During periods with high product costs for propane, fuel oil and other refined fuels and natural gas, our selling prices generally increase. High prices can lead to customer co</w:t>
      </w:r>
      <w:r>
        <w:rPr>
          <w:sz w:val="20"/>
          <w:szCs w:val="20"/>
        </w:rPr>
        <w:t>nservation, resulting in reduced demand for our products. In recent months, higher commodity, transportation and labor costs due to inflationary conditions have impacted wholesale prices and caused certain customers to reduce their consumption of energy. T</w:t>
      </w:r>
      <w:r>
        <w:rPr>
          <w:sz w:val="20"/>
          <w:szCs w:val="20"/>
        </w:rPr>
        <w:t>his has had a negative impact on our sales and profitability, and may continue to do so while such inflationary conditions continue</w:t>
      </w:r>
      <w:r>
        <w:rPr>
          <w:sz w:val="20"/>
          <w:szCs w:val="20"/>
        </w:rPr>
        <w:t>.</w:t>
      </w:r>
    </w:p>
    <w:p w14:paraId="65B6DD15" w14:textId="77777777" w:rsidR="00000000" w:rsidRDefault="00832D71">
      <w:pPr>
        <w:pStyle w:val="a3"/>
        <w:spacing w:before="360" w:beforeAutospacing="0" w:after="0" w:afterAutospacing="0"/>
        <w:jc w:val="both"/>
        <w:rPr>
          <w:sz w:val="20"/>
          <w:szCs w:val="20"/>
        </w:rPr>
      </w:pPr>
      <w:r>
        <w:rPr>
          <w:b/>
          <w:bCs/>
          <w:i/>
          <w:iCs/>
          <w:sz w:val="20"/>
          <w:szCs w:val="20"/>
        </w:rPr>
        <w:t>Because of the highly competitive nature of the retail propane and fuel oil businesses, we may not be able to retain existi</w:t>
      </w:r>
      <w:r>
        <w:rPr>
          <w:b/>
          <w:bCs/>
          <w:i/>
          <w:iCs/>
          <w:sz w:val="20"/>
          <w:szCs w:val="20"/>
        </w:rPr>
        <w:t>ng customers or acquire or attract new customers, which could have an adverse impact on our operating results and financial condition</w:t>
      </w:r>
      <w:r>
        <w:rPr>
          <w:b/>
          <w:bCs/>
          <w:i/>
          <w:iCs/>
          <w:sz w:val="20"/>
          <w:szCs w:val="20"/>
        </w:rPr>
        <w:t>.</w:t>
      </w:r>
    </w:p>
    <w:p w14:paraId="334C555B" w14:textId="77777777" w:rsidR="00000000" w:rsidRDefault="00832D71">
      <w:pPr>
        <w:pStyle w:val="a3"/>
        <w:spacing w:before="120" w:beforeAutospacing="0" w:after="0" w:afterAutospacing="0"/>
        <w:ind w:firstLine="555"/>
        <w:jc w:val="both"/>
        <w:rPr>
          <w:sz w:val="20"/>
          <w:szCs w:val="20"/>
        </w:rPr>
      </w:pPr>
      <w:r>
        <w:rPr>
          <w:sz w:val="20"/>
          <w:szCs w:val="20"/>
        </w:rPr>
        <w:t>The retail propane and fuel oil industries are mature and highly competitive. We expect overall demand for propane and fu</w:t>
      </w:r>
      <w:r>
        <w:rPr>
          <w:sz w:val="20"/>
          <w:szCs w:val="20"/>
        </w:rPr>
        <w:t>el oil to be relatively flat to moderately declining over the next several years. Year-to-year industry volumes of propane and fuel oil are expected to be primarily affected by weather patterns and from competition intensifying during warmer than normal wi</w:t>
      </w:r>
      <w:r>
        <w:rPr>
          <w:sz w:val="20"/>
          <w:szCs w:val="20"/>
        </w:rPr>
        <w:t>nters, as well as from the impact of a sustained higher commodity price environment on customer conservation, and the impact of perceived uncertainty about the economy on customer buying habits</w:t>
      </w:r>
      <w:r>
        <w:rPr>
          <w:sz w:val="20"/>
          <w:szCs w:val="20"/>
        </w:rPr>
        <w:t>.</w:t>
      </w:r>
    </w:p>
    <w:p w14:paraId="12735F06" w14:textId="77777777" w:rsidR="00000000" w:rsidRDefault="00832D71">
      <w:pPr>
        <w:pStyle w:val="a3"/>
        <w:spacing w:before="240" w:beforeAutospacing="0" w:after="0" w:afterAutospacing="0"/>
        <w:ind w:firstLine="555"/>
        <w:jc w:val="both"/>
        <w:rPr>
          <w:sz w:val="20"/>
          <w:szCs w:val="20"/>
        </w:rPr>
      </w:pPr>
      <w:r>
        <w:rPr>
          <w:sz w:val="20"/>
          <w:szCs w:val="20"/>
        </w:rPr>
        <w:t>Propane and fuel oil compete with electricity, natural gas and other existing and future sources of energy, some of which are, or may in the future be, less costly for equivalent energy value. For example, natural gas currently is a significantly less expe</w:t>
      </w:r>
      <w:r>
        <w:rPr>
          <w:sz w:val="20"/>
          <w:szCs w:val="20"/>
        </w:rPr>
        <w:t>nsive source of energy than propane and fuel oil on an equivalent BTU basis. As a result, except for some industrial and commercial applications, propane and fuel oil are generally not economically competitive with natural gas in areas where natural gas pi</w:t>
      </w:r>
      <w:r>
        <w:rPr>
          <w:sz w:val="20"/>
          <w:szCs w:val="20"/>
        </w:rPr>
        <w:t>pelines already exist. The gradual expansion of the nation’s natural gas distribution systems has made natural gas available in many areas that previously depended upon propane or fuel oil. We expect this trend to continue, and, with the increasingly abund</w:t>
      </w:r>
      <w:r>
        <w:rPr>
          <w:sz w:val="20"/>
          <w:szCs w:val="20"/>
        </w:rPr>
        <w:t>ant supply of natural gas from domestic sources, perhaps accelerate. Propane and fuel oil compete to a lesser extent with each other due to the cost of converting from one source to the other</w:t>
      </w:r>
      <w:r>
        <w:rPr>
          <w:sz w:val="20"/>
          <w:szCs w:val="20"/>
        </w:rPr>
        <w:t>.</w:t>
      </w:r>
    </w:p>
    <w:p w14:paraId="6F113049" w14:textId="77777777" w:rsidR="00000000" w:rsidRDefault="00832D71">
      <w:pPr>
        <w:pStyle w:val="a3"/>
        <w:spacing w:before="240" w:beforeAutospacing="0" w:after="0" w:afterAutospacing="0"/>
        <w:ind w:firstLine="555"/>
        <w:jc w:val="both"/>
        <w:rPr>
          <w:sz w:val="20"/>
          <w:szCs w:val="20"/>
        </w:rPr>
      </w:pPr>
      <w:r>
        <w:rPr>
          <w:sz w:val="20"/>
          <w:szCs w:val="20"/>
        </w:rPr>
        <w:t>In addition to competing with other sources of energy, our prop</w:t>
      </w:r>
      <w:r>
        <w:rPr>
          <w:sz w:val="20"/>
          <w:szCs w:val="20"/>
        </w:rPr>
        <w:t>ane and fuel oil businesses compete with other distributors of those respective products principally on the basis of price, service and availability. Competition in the retail propane business is highly fragmented and generally occurs on a local basis with</w:t>
      </w:r>
      <w:r>
        <w:rPr>
          <w:sz w:val="20"/>
          <w:szCs w:val="20"/>
        </w:rPr>
        <w:t xml:space="preserve"> other large full-service multi-state propane marketers, thousands of smaller local independent marketers and farm cooperatives. Our fuel oil business competes with fuel oil distributors offering a broad range of services and prices, from full service dist</w:t>
      </w:r>
      <w:r>
        <w:rPr>
          <w:sz w:val="20"/>
          <w:szCs w:val="20"/>
        </w:rPr>
        <w:t>ributors to those offering delivery only. In addition, our existing fuel oil customers, unlike our existing propane customers, generally own their own tanks, which can result in intensified competition for these customers</w:t>
      </w:r>
      <w:r>
        <w:rPr>
          <w:sz w:val="20"/>
          <w:szCs w:val="20"/>
        </w:rPr>
        <w:t>.</w:t>
      </w:r>
    </w:p>
    <w:p w14:paraId="017648D3" w14:textId="77777777" w:rsidR="00000000" w:rsidRDefault="00832D71">
      <w:pPr>
        <w:pStyle w:val="a3"/>
        <w:spacing w:before="240" w:beforeAutospacing="0" w:after="0" w:afterAutospacing="0"/>
        <w:ind w:firstLine="555"/>
        <w:jc w:val="both"/>
        <w:rPr>
          <w:sz w:val="20"/>
          <w:szCs w:val="20"/>
        </w:rPr>
      </w:pPr>
      <w:r>
        <w:rPr>
          <w:sz w:val="20"/>
          <w:szCs w:val="20"/>
        </w:rPr>
        <w:t>As a result of the highly competi</w:t>
      </w:r>
      <w:r>
        <w:rPr>
          <w:sz w:val="20"/>
          <w:szCs w:val="20"/>
        </w:rPr>
        <w:t>tive nature of the retail propane and fuel oil businesses, our growth within these industries depends on our ability to acquire other well-run retail distributors, open new customer service centers, acquire or attract new customers and retain existing cust</w:t>
      </w:r>
      <w:r>
        <w:rPr>
          <w:sz w:val="20"/>
          <w:szCs w:val="20"/>
        </w:rPr>
        <w:t>omers. We can give no assurance that we will be able to acquire other retail distributors, add new customers or retain existing customers</w:t>
      </w:r>
      <w:r>
        <w:rPr>
          <w:sz w:val="20"/>
          <w:szCs w:val="20"/>
        </w:rPr>
        <w:t>.</w:t>
      </w:r>
    </w:p>
    <w:p w14:paraId="31D47423" w14:textId="77777777" w:rsidR="00000000" w:rsidRDefault="00832D71">
      <w:pPr>
        <w:pStyle w:val="a3"/>
        <w:spacing w:before="360" w:beforeAutospacing="0" w:after="0" w:afterAutospacing="0"/>
        <w:jc w:val="both"/>
        <w:rPr>
          <w:sz w:val="20"/>
          <w:szCs w:val="20"/>
        </w:rPr>
      </w:pPr>
      <w:r>
        <w:rPr>
          <w:b/>
          <w:bCs/>
          <w:i/>
          <w:iCs/>
          <w:sz w:val="20"/>
          <w:szCs w:val="20"/>
        </w:rPr>
        <w:t>Energy efficiency, general economic conditions and technological advances have affected and may continue to affect de</w:t>
      </w:r>
      <w:r>
        <w:rPr>
          <w:b/>
          <w:bCs/>
          <w:i/>
          <w:iCs/>
          <w:sz w:val="20"/>
          <w:szCs w:val="20"/>
        </w:rPr>
        <w:t>mand for propane and fuel oil by our retail customers</w:t>
      </w:r>
      <w:r>
        <w:rPr>
          <w:b/>
          <w:bCs/>
          <w:i/>
          <w:iCs/>
          <w:sz w:val="20"/>
          <w:szCs w:val="20"/>
        </w:rPr>
        <w:t>.</w:t>
      </w:r>
    </w:p>
    <w:p w14:paraId="3E782002" w14:textId="77777777" w:rsidR="00000000" w:rsidRDefault="00832D71">
      <w:pPr>
        <w:pStyle w:val="a3"/>
        <w:spacing w:before="120" w:beforeAutospacing="0" w:after="0" w:afterAutospacing="0"/>
        <w:ind w:firstLine="555"/>
        <w:jc w:val="both"/>
        <w:rPr>
          <w:sz w:val="20"/>
          <w:szCs w:val="20"/>
        </w:rPr>
      </w:pPr>
      <w:r>
        <w:rPr>
          <w:sz w:val="20"/>
          <w:szCs w:val="20"/>
        </w:rPr>
        <w:t>The national trend toward increased conservation and technological advances, including installation of improved insulation and other advancements in building materials, as well as the development of mo</w:t>
      </w:r>
      <w:r>
        <w:rPr>
          <w:sz w:val="20"/>
          <w:szCs w:val="20"/>
        </w:rPr>
        <w:t>re efficient furnaces and other heating and energy sources, has adversely affected the demand for propane and fuel oil by our retail customers which, in turn, has resulted in lower sales volumes to our customers. In addition, perceived uncertainty about th</w:t>
      </w:r>
      <w:r>
        <w:rPr>
          <w:sz w:val="20"/>
          <w:szCs w:val="20"/>
        </w:rPr>
        <w:t xml:space="preserve">e economy may lead to additional conservation by retail customers seeking to further reduce their heating costs, particularly during periods of sustained higher commodity prices. Future technological advances in heating, conservation and energy generation </w:t>
      </w:r>
      <w:r>
        <w:rPr>
          <w:sz w:val="20"/>
          <w:szCs w:val="20"/>
        </w:rPr>
        <w:t>and continued economic weakness may adversely affect our volumes sold, which, in turn, may adversely affect our financial condition and results of operations</w:t>
      </w:r>
      <w:r>
        <w:rPr>
          <w:sz w:val="20"/>
          <w:szCs w:val="20"/>
        </w:rPr>
        <w:t>.</w:t>
      </w:r>
    </w:p>
    <w:p w14:paraId="2170C209" w14:textId="77777777" w:rsidR="00000000" w:rsidRDefault="00832D71">
      <w:pPr>
        <w:pStyle w:val="a3"/>
        <w:spacing w:before="0" w:beforeAutospacing="0" w:after="0" w:afterAutospacing="0"/>
        <w:jc w:val="center"/>
        <w:rPr>
          <w:sz w:val="20"/>
          <w:szCs w:val="20"/>
        </w:rPr>
      </w:pPr>
      <w:r>
        <w:rPr>
          <w:sz w:val="20"/>
          <w:szCs w:val="20"/>
        </w:rPr>
        <w:t> </w:t>
      </w:r>
    </w:p>
    <w:p w14:paraId="7DD09235" w14:textId="77777777" w:rsidR="00000000" w:rsidRDefault="00832D71">
      <w:pPr>
        <w:pStyle w:val="a3"/>
        <w:spacing w:before="0" w:beforeAutospacing="0" w:after="0" w:afterAutospacing="0"/>
        <w:jc w:val="center"/>
        <w:rPr>
          <w:sz w:val="20"/>
          <w:szCs w:val="20"/>
        </w:rPr>
      </w:pPr>
      <w:r>
        <w:rPr>
          <w:sz w:val="20"/>
          <w:szCs w:val="20"/>
        </w:rPr>
        <w:t>1</w:t>
      </w:r>
      <w:r>
        <w:rPr>
          <w:sz w:val="20"/>
          <w:szCs w:val="20"/>
        </w:rPr>
        <w:t>6</w:t>
      </w:r>
    </w:p>
    <w:p w14:paraId="4585EB46" w14:textId="77777777" w:rsidR="00000000" w:rsidRDefault="00832D71">
      <w:pPr>
        <w:rPr>
          <w:rFonts w:eastAsia="Times New Roman"/>
        </w:rPr>
      </w:pPr>
      <w:r>
        <w:rPr>
          <w:rFonts w:eastAsia="Times New Roman"/>
        </w:rPr>
        <w:pict w14:anchorId="38112E33">
          <v:rect id="_x0000_i1043" style="width:0;height:1.5pt" o:hralign="center" o:hrstd="t" o:hr="t" fillcolor="#a0a0a0" stroked="f"/>
        </w:pict>
      </w:r>
    </w:p>
    <w:p w14:paraId="3D9FA52F"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3090E43A" w14:textId="77777777" w:rsidR="00000000" w:rsidRDefault="00832D71">
      <w:pPr>
        <w:pStyle w:val="a3"/>
        <w:spacing w:before="360" w:beforeAutospacing="0" w:after="0" w:afterAutospacing="0"/>
        <w:jc w:val="both"/>
        <w:rPr>
          <w:sz w:val="20"/>
          <w:szCs w:val="20"/>
        </w:rPr>
      </w:pPr>
      <w:r>
        <w:rPr>
          <w:b/>
          <w:bCs/>
          <w:i/>
          <w:iCs/>
          <w:sz w:val="20"/>
          <w:szCs w:val="20"/>
        </w:rPr>
        <w:t>Current conditions in the global capital and credit markets, and general economic pressures, may adversely affect our financial position and results of operations</w:t>
      </w:r>
      <w:r>
        <w:rPr>
          <w:b/>
          <w:bCs/>
          <w:i/>
          <w:iCs/>
          <w:sz w:val="20"/>
          <w:szCs w:val="20"/>
        </w:rPr>
        <w:t>.</w:t>
      </w:r>
    </w:p>
    <w:p w14:paraId="41904AFB" w14:textId="77777777" w:rsidR="00000000" w:rsidRDefault="00832D71">
      <w:pPr>
        <w:pStyle w:val="a3"/>
        <w:spacing w:before="120" w:beforeAutospacing="0" w:after="0" w:afterAutospacing="0"/>
        <w:ind w:firstLine="555"/>
        <w:jc w:val="both"/>
        <w:rPr>
          <w:sz w:val="20"/>
          <w:szCs w:val="20"/>
        </w:rPr>
      </w:pPr>
      <w:r>
        <w:rPr>
          <w:sz w:val="20"/>
          <w:szCs w:val="20"/>
        </w:rPr>
        <w:t>Our business and operating results are materially affected by worldwide economic condition</w:t>
      </w:r>
      <w:r>
        <w:rPr>
          <w:sz w:val="20"/>
          <w:szCs w:val="20"/>
        </w:rPr>
        <w:t>s. Conditions in the global capital and credit markets, as well as general economic pressures, including high inflation and temporary or prolonged recessionary conditions, could impact consumer and/or business confidence and increase market volatility, whi</w:t>
      </w:r>
      <w:r>
        <w:rPr>
          <w:sz w:val="20"/>
          <w:szCs w:val="20"/>
        </w:rPr>
        <w:t>ch could negatively affect business activity generally. This situation, especially when coupled with increasing energy prices, may cause our customers to experience cash flow shortages which in turn may lead to delayed or cancelled plans to purchase our pr</w:t>
      </w:r>
      <w:r>
        <w:rPr>
          <w:sz w:val="20"/>
          <w:szCs w:val="20"/>
        </w:rPr>
        <w:t>oducts, and affect the ability of our customers to pay for our products. In addition, any disruptions in the U.S. residential mortgage market (as a result of changes in tax laws or otherwise) and the rate of mortgage foreclosures may adversely affect retai</w:t>
      </w:r>
      <w:r>
        <w:rPr>
          <w:sz w:val="20"/>
          <w:szCs w:val="20"/>
        </w:rPr>
        <w:t>l customer demand for our products (in particular, products used for home heating and home comfort equipment) and our business and results of operations</w:t>
      </w:r>
      <w:r>
        <w:rPr>
          <w:sz w:val="20"/>
          <w:szCs w:val="20"/>
        </w:rPr>
        <w:t>.</w:t>
      </w:r>
    </w:p>
    <w:p w14:paraId="579944B7" w14:textId="77777777" w:rsidR="00000000" w:rsidRDefault="00832D71">
      <w:pPr>
        <w:pStyle w:val="a3"/>
        <w:spacing w:before="360" w:beforeAutospacing="0" w:after="0" w:afterAutospacing="0"/>
        <w:jc w:val="both"/>
        <w:rPr>
          <w:sz w:val="20"/>
          <w:szCs w:val="20"/>
        </w:rPr>
      </w:pPr>
      <w:r>
        <w:rPr>
          <w:b/>
          <w:bCs/>
          <w:i/>
          <w:iCs/>
          <w:sz w:val="20"/>
          <w:szCs w:val="20"/>
        </w:rPr>
        <w:t>We may not be able to attract and retain qualified employees or find, develop and retain key employees</w:t>
      </w:r>
      <w:r>
        <w:rPr>
          <w:b/>
          <w:bCs/>
          <w:i/>
          <w:iCs/>
          <w:sz w:val="20"/>
          <w:szCs w:val="20"/>
        </w:rPr>
        <w:t xml:space="preserve"> to support and grow our business, which may adversely affect our business and results of operations</w:t>
      </w:r>
      <w:r>
        <w:rPr>
          <w:b/>
          <w:bCs/>
          <w:i/>
          <w:iCs/>
          <w:sz w:val="20"/>
          <w:szCs w:val="20"/>
        </w:rPr>
        <w:t>.</w:t>
      </w:r>
      <w:r>
        <w:rPr>
          <w:b/>
          <w:bCs/>
          <w:i/>
          <w:iCs/>
          <w:sz w:val="20"/>
          <w:szCs w:val="20"/>
        </w:rPr>
        <w:t xml:space="preserve"> </w:t>
      </w:r>
    </w:p>
    <w:p w14:paraId="2DEE0FE6" w14:textId="77777777" w:rsidR="00000000" w:rsidRDefault="00832D71">
      <w:pPr>
        <w:pStyle w:val="a3"/>
        <w:spacing w:before="120" w:beforeAutospacing="0" w:after="0" w:afterAutospacing="0"/>
        <w:ind w:firstLine="555"/>
        <w:jc w:val="both"/>
        <w:rPr>
          <w:sz w:val="20"/>
          <w:szCs w:val="20"/>
        </w:rPr>
      </w:pPr>
      <w:r>
        <w:rPr>
          <w:sz w:val="20"/>
          <w:szCs w:val="20"/>
        </w:rPr>
        <w:t>Like most companies in the markets in which we operate, we are continuously challenged in attracting, developing and retaining a sufficient number of emp</w:t>
      </w:r>
      <w:r>
        <w:rPr>
          <w:sz w:val="20"/>
          <w:szCs w:val="20"/>
        </w:rPr>
        <w:t>loyees to operate our businesses throughout our operating geographies, particularly with regard to our driver and technician positions. Our industry in general, as well as the overall trucking industry, is currently experiencing a shortage of qualified dri</w:t>
      </w:r>
      <w:r>
        <w:rPr>
          <w:sz w:val="20"/>
          <w:szCs w:val="20"/>
        </w:rPr>
        <w:t>vers and technicians that is exacerbated by several factors, including</w:t>
      </w:r>
      <w:r>
        <w:rPr>
          <w:sz w:val="20"/>
          <w:szCs w:val="20"/>
        </w:rPr>
        <w:t>:</w:t>
      </w:r>
    </w:p>
    <w:p w14:paraId="20E4C838" w14:textId="77777777" w:rsidR="00000000" w:rsidRDefault="00832D71">
      <w:pPr>
        <w:jc w:val="both"/>
        <w:divId w:val="1082406685"/>
        <w:rPr>
          <w:rFonts w:eastAsia="Times New Roman"/>
        </w:rPr>
      </w:pPr>
      <w:r>
        <w:rPr>
          <w:rFonts w:eastAsia="Times New Roman"/>
          <w:sz w:val="20"/>
          <w:szCs w:val="20"/>
        </w:rPr>
        <w:t>•</w:t>
      </w:r>
    </w:p>
    <w:p w14:paraId="03E1C1C6" w14:textId="77777777" w:rsidR="00000000" w:rsidRDefault="00832D71">
      <w:pPr>
        <w:jc w:val="both"/>
        <w:divId w:val="498079847"/>
        <w:rPr>
          <w:rFonts w:eastAsia="Times New Roman"/>
        </w:rPr>
      </w:pPr>
      <w:r>
        <w:rPr>
          <w:rFonts w:eastAsia="Times New Roman"/>
          <w:sz w:val="20"/>
          <w:szCs w:val="20"/>
        </w:rPr>
        <w:t>an overall market where high driver turnover exists due to an increased number of alternative employment opportunities</w:t>
      </w:r>
      <w:r>
        <w:rPr>
          <w:rFonts w:eastAsia="Times New Roman"/>
          <w:sz w:val="20"/>
          <w:szCs w:val="20"/>
        </w:rPr>
        <w:t>;</w:t>
      </w:r>
    </w:p>
    <w:p w14:paraId="06D3699A" w14:textId="77777777" w:rsidR="00000000" w:rsidRDefault="00832D71">
      <w:pPr>
        <w:jc w:val="both"/>
        <w:divId w:val="449908064"/>
        <w:rPr>
          <w:rFonts w:eastAsia="Times New Roman"/>
        </w:rPr>
      </w:pPr>
      <w:r>
        <w:rPr>
          <w:rFonts w:eastAsia="Times New Roman"/>
          <w:sz w:val="20"/>
          <w:szCs w:val="20"/>
        </w:rPr>
        <w:t>•</w:t>
      </w:r>
    </w:p>
    <w:p w14:paraId="7786F3E9" w14:textId="77777777" w:rsidR="00000000" w:rsidRDefault="00832D71">
      <w:pPr>
        <w:jc w:val="both"/>
        <w:divId w:val="1665935453"/>
        <w:rPr>
          <w:rFonts w:eastAsia="Times New Roman"/>
        </w:rPr>
      </w:pPr>
      <w:r>
        <w:rPr>
          <w:rFonts w:eastAsia="Times New Roman"/>
          <w:sz w:val="20"/>
          <w:szCs w:val="20"/>
        </w:rPr>
        <w:t>increased competition for drivers and technicians in the ind</w:t>
      </w:r>
      <w:r>
        <w:rPr>
          <w:rFonts w:eastAsia="Times New Roman"/>
          <w:sz w:val="20"/>
          <w:szCs w:val="20"/>
        </w:rPr>
        <w:t>ustry, which impacts compensation for those positions; an</w:t>
      </w:r>
      <w:r>
        <w:rPr>
          <w:rFonts w:eastAsia="Times New Roman"/>
          <w:sz w:val="20"/>
          <w:szCs w:val="20"/>
        </w:rPr>
        <w:t>d</w:t>
      </w:r>
    </w:p>
    <w:p w14:paraId="0F482FFA" w14:textId="77777777" w:rsidR="00000000" w:rsidRDefault="00832D71">
      <w:pPr>
        <w:jc w:val="both"/>
        <w:divId w:val="1547372540"/>
        <w:rPr>
          <w:rFonts w:eastAsia="Times New Roman"/>
        </w:rPr>
      </w:pPr>
      <w:r>
        <w:rPr>
          <w:rFonts w:eastAsia="Times New Roman"/>
          <w:sz w:val="20"/>
          <w:szCs w:val="20"/>
        </w:rPr>
        <w:t>•</w:t>
      </w:r>
    </w:p>
    <w:p w14:paraId="5F6546E3" w14:textId="77777777" w:rsidR="00000000" w:rsidRDefault="00832D71">
      <w:pPr>
        <w:jc w:val="both"/>
        <w:divId w:val="803694108"/>
        <w:rPr>
          <w:rFonts w:eastAsia="Times New Roman"/>
        </w:rPr>
      </w:pPr>
      <w:r>
        <w:rPr>
          <w:rFonts w:eastAsia="Times New Roman"/>
          <w:sz w:val="20"/>
          <w:szCs w:val="20"/>
        </w:rPr>
        <w:t>a changing workforce demographic with a lack of younger employees who are qualified to join or replace aging drivers and technicians as they retire</w:t>
      </w:r>
      <w:r>
        <w:rPr>
          <w:rFonts w:eastAsia="Times New Roman"/>
          <w:sz w:val="20"/>
          <w:szCs w:val="20"/>
        </w:rPr>
        <w:t>.</w:t>
      </w:r>
    </w:p>
    <w:p w14:paraId="4B5D4DBA" w14:textId="77777777" w:rsidR="00000000" w:rsidRDefault="00832D71">
      <w:pPr>
        <w:pStyle w:val="a3"/>
        <w:spacing w:before="240" w:beforeAutospacing="0" w:after="0" w:afterAutospacing="0"/>
        <w:ind w:firstLine="555"/>
        <w:jc w:val="both"/>
        <w:rPr>
          <w:sz w:val="20"/>
          <w:szCs w:val="20"/>
        </w:rPr>
      </w:pPr>
      <w:r>
        <w:rPr>
          <w:sz w:val="20"/>
          <w:szCs w:val="20"/>
        </w:rPr>
        <w:t>We may also have difficulty recruiting and ret</w:t>
      </w:r>
      <w:r>
        <w:rPr>
          <w:sz w:val="20"/>
          <w:szCs w:val="20"/>
        </w:rPr>
        <w:t>aining new employees beyond our driver and technician positions with adequate qualifications and experience. The challenge of hiring new employees at times is further exacerbated by the rural nature of our business, which provides for a smaller pool of ski</w:t>
      </w:r>
      <w:r>
        <w:rPr>
          <w:sz w:val="20"/>
          <w:szCs w:val="20"/>
        </w:rPr>
        <w:t>lled employee candidates who meet our hiring criteria and the licensing and qualification requirements that may exist for certain types of positions such as our driver and technician positions. If we are unable to continue to attract and retain a sufficien</w:t>
      </w:r>
      <w:r>
        <w:rPr>
          <w:sz w:val="20"/>
          <w:szCs w:val="20"/>
        </w:rPr>
        <w:t>t number of new employees or retain existing employees with the technical skills upon which our business depends, we may be forced to adjust our compensation packages to pay higher wages, or offer other benefits that might impact our cost of labor, or forc</w:t>
      </w:r>
      <w:r>
        <w:rPr>
          <w:sz w:val="20"/>
          <w:szCs w:val="20"/>
        </w:rPr>
        <w:t>e us at times to operate with fewer employees and face difficulties in meeting delivery demands for our customers, any of which could adversely affect our profitability and results of operations</w:t>
      </w:r>
      <w:r>
        <w:rPr>
          <w:sz w:val="20"/>
          <w:szCs w:val="20"/>
        </w:rPr>
        <w:t>.</w:t>
      </w:r>
    </w:p>
    <w:p w14:paraId="557BBB8D" w14:textId="77777777" w:rsidR="00000000" w:rsidRDefault="00832D71">
      <w:pPr>
        <w:pStyle w:val="a3"/>
        <w:spacing w:before="360" w:beforeAutospacing="0" w:after="0" w:afterAutospacing="0"/>
        <w:jc w:val="both"/>
        <w:rPr>
          <w:sz w:val="20"/>
          <w:szCs w:val="20"/>
        </w:rPr>
      </w:pPr>
      <w:r>
        <w:rPr>
          <w:b/>
          <w:bCs/>
          <w:i/>
          <w:iCs/>
          <w:sz w:val="20"/>
          <w:szCs w:val="20"/>
        </w:rPr>
        <w:t>We are dependent on our senior management and other key pers</w:t>
      </w:r>
      <w:r>
        <w:rPr>
          <w:b/>
          <w:bCs/>
          <w:i/>
          <w:iCs/>
          <w:sz w:val="20"/>
          <w:szCs w:val="20"/>
        </w:rPr>
        <w:t>onnel</w:t>
      </w:r>
      <w:r>
        <w:rPr>
          <w:b/>
          <w:bCs/>
          <w:i/>
          <w:iCs/>
          <w:sz w:val="20"/>
          <w:szCs w:val="20"/>
        </w:rPr>
        <w:t>.</w:t>
      </w:r>
    </w:p>
    <w:p w14:paraId="06D6E80B" w14:textId="77777777" w:rsidR="00000000" w:rsidRDefault="00832D71">
      <w:pPr>
        <w:pStyle w:val="a3"/>
        <w:spacing w:before="120" w:beforeAutospacing="0" w:after="0" w:afterAutospacing="0"/>
        <w:ind w:firstLine="555"/>
        <w:jc w:val="both"/>
        <w:rPr>
          <w:sz w:val="20"/>
          <w:szCs w:val="20"/>
        </w:rPr>
      </w:pPr>
      <w:r>
        <w:rPr>
          <w:sz w:val="20"/>
          <w:szCs w:val="20"/>
        </w:rPr>
        <w:t>Our success depends on our senior management team and other key personnel with technical skills upon which our business depends and our ability to effectively identify, attract, retain and motivate high quality employees, and replace those who retire or re</w:t>
      </w:r>
      <w:r>
        <w:rPr>
          <w:sz w:val="20"/>
          <w:szCs w:val="20"/>
        </w:rPr>
        <w:t>sign. We believe that we have an experienced and highly qualified senior management team and the loss of service of any one or more of these key personnel could have a significant adverse impact on our operations and our future profitability. Failure to re</w:t>
      </w:r>
      <w:r>
        <w:rPr>
          <w:sz w:val="20"/>
          <w:szCs w:val="20"/>
        </w:rPr>
        <w:t xml:space="preserve">tain and motivate our senior management team and to hire, retain and develop other important personnel could generally impact other levels of our management and operations, ability to execute our strategies and adversely affect our business and results of </w:t>
      </w:r>
      <w:r>
        <w:rPr>
          <w:sz w:val="20"/>
          <w:szCs w:val="20"/>
        </w:rPr>
        <w:t>operations</w:t>
      </w:r>
      <w:r>
        <w:rPr>
          <w:sz w:val="20"/>
          <w:szCs w:val="20"/>
        </w:rPr>
        <w:t>.</w:t>
      </w:r>
    </w:p>
    <w:p w14:paraId="7D909CF9" w14:textId="77777777" w:rsidR="00000000" w:rsidRDefault="00832D71">
      <w:pPr>
        <w:pStyle w:val="a3"/>
        <w:spacing w:before="360" w:beforeAutospacing="0" w:after="0" w:afterAutospacing="0"/>
        <w:jc w:val="both"/>
        <w:rPr>
          <w:sz w:val="20"/>
          <w:szCs w:val="20"/>
        </w:rPr>
      </w:pPr>
      <w:r>
        <w:rPr>
          <w:b/>
          <w:bCs/>
          <w:i/>
          <w:iCs/>
          <w:sz w:val="20"/>
          <w:szCs w:val="20"/>
        </w:rPr>
        <w:t>The risk of terrorism, political unrest and the current hostilities in the Middle East or other energy producing regions, including Russian military action in Ukraine, has adversely affected, and may continue to adversely affect the economy and</w:t>
      </w:r>
      <w:r>
        <w:rPr>
          <w:b/>
          <w:bCs/>
          <w:i/>
          <w:iCs/>
          <w:sz w:val="20"/>
          <w:szCs w:val="20"/>
        </w:rPr>
        <w:t xml:space="preserve"> the price and availability of propane, fuel oil and other refined fuels and natural gas</w:t>
      </w:r>
      <w:r>
        <w:rPr>
          <w:b/>
          <w:bCs/>
          <w:i/>
          <w:iCs/>
          <w:sz w:val="20"/>
          <w:szCs w:val="20"/>
        </w:rPr>
        <w:t>.</w:t>
      </w:r>
    </w:p>
    <w:p w14:paraId="2FE2F864" w14:textId="77777777" w:rsidR="00000000" w:rsidRDefault="00832D71">
      <w:pPr>
        <w:pStyle w:val="a3"/>
        <w:spacing w:before="120" w:beforeAutospacing="0" w:after="0" w:afterAutospacing="0"/>
        <w:ind w:firstLine="555"/>
        <w:jc w:val="both"/>
        <w:rPr>
          <w:sz w:val="20"/>
          <w:szCs w:val="20"/>
        </w:rPr>
      </w:pPr>
      <w:r>
        <w:rPr>
          <w:sz w:val="20"/>
          <w:szCs w:val="20"/>
        </w:rPr>
        <w:t>Terrorist attacks, political unrest and hostilities in the Middle East or other energy producing regions could likely lead to increased volatility in the price and av</w:t>
      </w:r>
      <w:r>
        <w:rPr>
          <w:sz w:val="20"/>
          <w:szCs w:val="20"/>
        </w:rPr>
        <w:t>ailability of propane, fuel oil and other refined fuels and natural gas, as well as our results of operations, our ability to raise capital and our future growth. The impact that the foregoing may have on our industry in general, and on us in particular, i</w:t>
      </w:r>
      <w:r>
        <w:rPr>
          <w:sz w:val="20"/>
          <w:szCs w:val="20"/>
        </w:rPr>
        <w:t>s not known at this time. An act of terror could result in disruptions of crude oil or natural gas supplies and markets (the sources of propane and fuel oil), and our infrastructure facilities could be direct or indirect targets. Terrorist activity may als</w:t>
      </w:r>
      <w:r>
        <w:rPr>
          <w:sz w:val="20"/>
          <w:szCs w:val="20"/>
        </w:rPr>
        <w:t>o hinder our ability to transport propane, fuel oil and other refined fuels if our means of supply transportation, such as rail or pipeline, become damaged as a result of an attack. A lower level of economic activity could result in a decline in energy con</w:t>
      </w:r>
      <w:r>
        <w:rPr>
          <w:sz w:val="20"/>
          <w:szCs w:val="20"/>
        </w:rPr>
        <w:t>sumption, which could adversely impact our revenues or restrict our future growth. Instability in the financial markets as a result of terrorism or military conflict could also affect our ability to raise capital. The ongoing conflict in Ukraine as a resul</w:t>
      </w:r>
      <w:r>
        <w:rPr>
          <w:sz w:val="20"/>
          <w:szCs w:val="20"/>
        </w:rPr>
        <w:t xml:space="preserve">t of Russia’s significant military action has caused, and could intensify, volatility in the price and supply of natural gas, oil, and propane and other refined fuels. We have opted to purchase insurance coverage for terrorist acts within our property and </w:t>
      </w:r>
      <w:r>
        <w:rPr>
          <w:sz w:val="20"/>
          <w:szCs w:val="20"/>
        </w:rPr>
        <w:t>casualty insurance programs, but we can give no assurance that our insurance coverage will be adequate to fully compensate us for any losses to our business or property resulting from terrorist acts</w:t>
      </w:r>
      <w:r>
        <w:rPr>
          <w:sz w:val="20"/>
          <w:szCs w:val="20"/>
        </w:rPr>
        <w:t>.</w:t>
      </w:r>
    </w:p>
    <w:p w14:paraId="315FD897" w14:textId="77777777" w:rsidR="00000000" w:rsidRDefault="00832D71">
      <w:pPr>
        <w:pStyle w:val="a3"/>
        <w:spacing w:before="0" w:beforeAutospacing="0" w:after="0" w:afterAutospacing="0"/>
        <w:jc w:val="center"/>
        <w:rPr>
          <w:sz w:val="20"/>
          <w:szCs w:val="20"/>
        </w:rPr>
      </w:pPr>
      <w:r>
        <w:rPr>
          <w:sz w:val="20"/>
          <w:szCs w:val="20"/>
        </w:rPr>
        <w:t> </w:t>
      </w:r>
    </w:p>
    <w:p w14:paraId="4504DE8A" w14:textId="77777777" w:rsidR="00000000" w:rsidRDefault="00832D71">
      <w:pPr>
        <w:pStyle w:val="a3"/>
        <w:spacing w:before="0" w:beforeAutospacing="0" w:after="0" w:afterAutospacing="0"/>
        <w:jc w:val="center"/>
        <w:rPr>
          <w:sz w:val="20"/>
          <w:szCs w:val="20"/>
        </w:rPr>
      </w:pPr>
      <w:r>
        <w:rPr>
          <w:sz w:val="20"/>
          <w:szCs w:val="20"/>
        </w:rPr>
        <w:t>1</w:t>
      </w:r>
      <w:r>
        <w:rPr>
          <w:sz w:val="20"/>
          <w:szCs w:val="20"/>
        </w:rPr>
        <w:t>7</w:t>
      </w:r>
    </w:p>
    <w:p w14:paraId="66DA2B1F" w14:textId="77777777" w:rsidR="00000000" w:rsidRDefault="00832D71">
      <w:pPr>
        <w:rPr>
          <w:rFonts w:eastAsia="Times New Roman"/>
        </w:rPr>
      </w:pPr>
      <w:r>
        <w:rPr>
          <w:rFonts w:eastAsia="Times New Roman"/>
        </w:rPr>
        <w:pict w14:anchorId="062625FC">
          <v:rect id="_x0000_i1044" style="width:0;height:1.5pt" o:hralign="center" o:hrstd="t" o:hr="t" fillcolor="#a0a0a0" stroked="f"/>
        </w:pict>
      </w:r>
    </w:p>
    <w:p w14:paraId="5AB5400B"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7666C288" w14:textId="77777777" w:rsidR="00000000" w:rsidRDefault="00832D71">
      <w:pPr>
        <w:pStyle w:val="a3"/>
        <w:spacing w:before="120" w:beforeAutospacing="0" w:after="0" w:afterAutospacing="0"/>
        <w:ind w:firstLine="555"/>
        <w:jc w:val="both"/>
        <w:rPr>
          <w:sz w:val="20"/>
          <w:szCs w:val="20"/>
        </w:rPr>
      </w:pPr>
      <w:r>
        <w:rPr>
          <w:sz w:val="20"/>
          <w:szCs w:val="20"/>
        </w:rPr>
        <w:t> </w:t>
      </w:r>
    </w:p>
    <w:p w14:paraId="5F41C1C2" w14:textId="77777777" w:rsidR="00000000" w:rsidRDefault="00832D71">
      <w:pPr>
        <w:pStyle w:val="a3"/>
        <w:spacing w:before="0" w:beforeAutospacing="0" w:after="0" w:afterAutospacing="0"/>
        <w:jc w:val="both"/>
        <w:rPr>
          <w:sz w:val="20"/>
          <w:szCs w:val="20"/>
        </w:rPr>
      </w:pPr>
      <w:r>
        <w:rPr>
          <w:b/>
          <w:bCs/>
          <w:i/>
          <w:iCs/>
          <w:sz w:val="20"/>
          <w:szCs w:val="20"/>
        </w:rPr>
        <w:t>The conflict in Ukraine and related price volatility and geopolitical instability could negatively impact our business</w:t>
      </w:r>
      <w:r>
        <w:rPr>
          <w:b/>
          <w:bCs/>
          <w:i/>
          <w:iCs/>
          <w:sz w:val="20"/>
          <w:szCs w:val="20"/>
        </w:rPr>
        <w:t>.</w:t>
      </w:r>
    </w:p>
    <w:p w14:paraId="78B30E1C" w14:textId="77777777" w:rsidR="00000000" w:rsidRDefault="00832D71">
      <w:pPr>
        <w:pStyle w:val="a3"/>
        <w:spacing w:before="120" w:beforeAutospacing="0" w:after="0" w:afterAutospacing="0"/>
        <w:jc w:val="both"/>
        <w:rPr>
          <w:sz w:val="20"/>
          <w:szCs w:val="20"/>
        </w:rPr>
      </w:pPr>
      <w:r>
        <w:rPr>
          <w:sz w:val="20"/>
          <w:szCs w:val="20"/>
        </w:rPr>
        <w:t>In late February 2022, Russia launched significant military action against U</w:t>
      </w:r>
      <w:r>
        <w:rPr>
          <w:sz w:val="20"/>
          <w:szCs w:val="20"/>
        </w:rPr>
        <w:t>kraine. The conflict has caused, and could intensify, volatility in the price and supply of natural gas, oil and propane and other refined fuels. The extent and duration of the military action, sanctions and resulting market disruptions could be significan</w:t>
      </w:r>
      <w:r>
        <w:rPr>
          <w:sz w:val="20"/>
          <w:szCs w:val="20"/>
        </w:rPr>
        <w:t>t and could potentially have a substantial negative impact on the global economy and/or our business for an unknown period of time. To the extent that the Russian military action in Ukraine persists and related price volatility and geopolitical instability</w:t>
      </w:r>
      <w:r>
        <w:rPr>
          <w:sz w:val="20"/>
          <w:szCs w:val="20"/>
        </w:rPr>
        <w:t xml:space="preserve"> continues, and to the extent that any potential military action intensifies in the region or in other parts of the world which may further increase volatility in the price and supply of natural gas, oil, propane and other refined fuels, our business and r</w:t>
      </w:r>
      <w:r>
        <w:rPr>
          <w:sz w:val="20"/>
          <w:szCs w:val="20"/>
        </w:rPr>
        <w:t>esults of operations could be adversely impacted</w:t>
      </w:r>
      <w:r>
        <w:rPr>
          <w:sz w:val="20"/>
          <w:szCs w:val="20"/>
        </w:rPr>
        <w:t>.</w:t>
      </w:r>
    </w:p>
    <w:p w14:paraId="083131D3" w14:textId="77777777" w:rsidR="00000000" w:rsidRDefault="00832D71">
      <w:pPr>
        <w:pStyle w:val="a3"/>
        <w:spacing w:before="360" w:beforeAutospacing="0" w:after="0" w:afterAutospacing="0"/>
        <w:jc w:val="both"/>
        <w:rPr>
          <w:sz w:val="20"/>
          <w:szCs w:val="20"/>
        </w:rPr>
      </w:pPr>
      <w:r>
        <w:rPr>
          <w:b/>
          <w:bCs/>
          <w:i/>
          <w:iCs/>
          <w:sz w:val="20"/>
          <w:szCs w:val="20"/>
        </w:rPr>
        <w:t>Our financial condition and results of operations may be adversely affected by governmental regulation and associated environmental and health and safety costs</w:t>
      </w:r>
      <w:r>
        <w:rPr>
          <w:b/>
          <w:bCs/>
          <w:i/>
          <w:iCs/>
          <w:sz w:val="20"/>
          <w:szCs w:val="20"/>
        </w:rPr>
        <w:t>.</w:t>
      </w:r>
    </w:p>
    <w:p w14:paraId="6251239F" w14:textId="77777777" w:rsidR="00000000" w:rsidRDefault="00832D71">
      <w:pPr>
        <w:pStyle w:val="a3"/>
        <w:spacing w:before="120" w:beforeAutospacing="0" w:after="0" w:afterAutospacing="0"/>
        <w:ind w:firstLine="555"/>
        <w:jc w:val="both"/>
        <w:rPr>
          <w:sz w:val="20"/>
          <w:szCs w:val="20"/>
        </w:rPr>
      </w:pPr>
      <w:r>
        <w:rPr>
          <w:sz w:val="20"/>
          <w:szCs w:val="20"/>
        </w:rPr>
        <w:t>Our business is subject to a wide range of fe</w:t>
      </w:r>
      <w:r>
        <w:rPr>
          <w:sz w:val="20"/>
          <w:szCs w:val="20"/>
        </w:rPr>
        <w:t>deral, state and local laws and regulations related to environmental, health and safety matters; including those concerning, among other things, the investigation and remediation of contaminated soil, groundwater and other environmental resources, the tran</w:t>
      </w:r>
      <w:r>
        <w:rPr>
          <w:sz w:val="20"/>
          <w:szCs w:val="20"/>
        </w:rPr>
        <w:t>sportation of hazardous materials and guidelines and other mandates with regard to the health and safety of our employees and customers. These requirements are complex, changing and tend to become more stringent over time. In addition, we are required to m</w:t>
      </w:r>
      <w:r>
        <w:rPr>
          <w:sz w:val="20"/>
          <w:szCs w:val="20"/>
        </w:rPr>
        <w:t>aintain various permits that are necessary to operate our facilities and equipment, some of which are material to our operations. There can be no assurance that we have been, or will be, at all times in complete compliance with all legal, regulatory and pe</w:t>
      </w:r>
      <w:r>
        <w:rPr>
          <w:sz w:val="20"/>
          <w:szCs w:val="20"/>
        </w:rPr>
        <w:t>rmitting requirements or that we will not incur significant costs in the future relating to such requirements. Violations could result in penalties, or the curtailment or cessation of operations</w:t>
      </w:r>
      <w:r>
        <w:rPr>
          <w:sz w:val="20"/>
          <w:szCs w:val="20"/>
        </w:rPr>
        <w:t>.</w:t>
      </w:r>
    </w:p>
    <w:p w14:paraId="5DD07EE6" w14:textId="77777777" w:rsidR="00000000" w:rsidRDefault="00832D71">
      <w:pPr>
        <w:pStyle w:val="a3"/>
        <w:spacing w:before="240" w:beforeAutospacing="0" w:after="0" w:afterAutospacing="0"/>
        <w:ind w:firstLine="555"/>
        <w:jc w:val="both"/>
        <w:rPr>
          <w:sz w:val="20"/>
          <w:szCs w:val="20"/>
        </w:rPr>
      </w:pPr>
      <w:r>
        <w:rPr>
          <w:sz w:val="20"/>
          <w:szCs w:val="20"/>
        </w:rPr>
        <w:t>The generation and monetization of the environmental attribu</w:t>
      </w:r>
      <w:r>
        <w:rPr>
          <w:sz w:val="20"/>
          <w:szCs w:val="20"/>
        </w:rPr>
        <w:t>tes resulting from our investments in Oberon and IH, our agreement with Adirondack Farms to build an anaerobic digester, and our sale of renewable propane are contingent on several state and federal programs; including the RFS, the Inflation Reduction Act,</w:t>
      </w:r>
      <w:r>
        <w:rPr>
          <w:sz w:val="20"/>
          <w:szCs w:val="20"/>
        </w:rPr>
        <w:t xml:space="preserve"> CA LCFS, OR CFP, and WA CFS. Changes to the enabling legislation and/or changes in the regulations implementing those programs could change, or eliminate, the availability and value of RINs and LCFS Credits. Additionally, the open markets where RINs and L</w:t>
      </w:r>
      <w:r>
        <w:rPr>
          <w:sz w:val="20"/>
          <w:szCs w:val="20"/>
        </w:rPr>
        <w:t>CFS Credits are traded have experienced increased volatility over the past year and continued volatility in the future may adversely impact the value of RINs and LCFS Credits sold by the Partnership. Currently, income from RIN and LCFS Credit is not materi</w:t>
      </w:r>
      <w:r>
        <w:rPr>
          <w:sz w:val="20"/>
          <w:szCs w:val="20"/>
        </w:rPr>
        <w:t>al to the Partnership results of operations; however, as we continue to invest in the build out of our renewable energy platform, we anticipate increased RIN and LCFS Credit income as well as financial benefits from investment tax credits and production ta</w:t>
      </w:r>
      <w:r>
        <w:rPr>
          <w:sz w:val="20"/>
          <w:szCs w:val="20"/>
        </w:rPr>
        <w:t>x credits</w:t>
      </w:r>
      <w:r>
        <w:rPr>
          <w:sz w:val="20"/>
          <w:szCs w:val="20"/>
        </w:rPr>
        <w:t>.</w:t>
      </w:r>
    </w:p>
    <w:p w14:paraId="22A12C3A" w14:textId="77777777" w:rsidR="00000000" w:rsidRDefault="00832D71">
      <w:pPr>
        <w:pStyle w:val="a3"/>
        <w:spacing w:before="240" w:beforeAutospacing="0" w:after="0" w:afterAutospacing="0"/>
        <w:ind w:firstLine="555"/>
        <w:jc w:val="both"/>
        <w:rPr>
          <w:sz w:val="20"/>
          <w:szCs w:val="20"/>
        </w:rPr>
      </w:pPr>
      <w:r>
        <w:rPr>
          <w:sz w:val="20"/>
          <w:szCs w:val="20"/>
        </w:rPr>
        <w:t xml:space="preserve">There is increasing interest at the federal, state, and local level to further regulate GHG emissions by incentivizing the production of renewable energy and disincentivizing the use of fossil fuels. While our emerging renewable energy platform </w:t>
      </w:r>
      <w:r>
        <w:rPr>
          <w:sz w:val="20"/>
          <w:szCs w:val="20"/>
        </w:rPr>
        <w:t>may benefit from additional incentives for the growth of renewable energy, it is possible, especially in the short term, that such growth will be outweighed by restrictions placed on our sale of propane, fuel oil and refined fuels, and natural gas. We cann</w:t>
      </w:r>
      <w:r>
        <w:rPr>
          <w:sz w:val="20"/>
          <w:szCs w:val="20"/>
        </w:rPr>
        <w:t>ot predict what impact changes to existing federal, state, or local programs designed to reduce GHG emissions and address climate change may have on our business. Nor can we predict what impact the creation of future federal, state, and local programs desi</w:t>
      </w:r>
      <w:r>
        <w:rPr>
          <w:sz w:val="20"/>
          <w:szCs w:val="20"/>
        </w:rPr>
        <w:t>gned to reduce GHG emissions and address climate change will have on our business</w:t>
      </w:r>
      <w:r>
        <w:rPr>
          <w:sz w:val="20"/>
          <w:szCs w:val="20"/>
        </w:rPr>
        <w:t>.</w:t>
      </w:r>
    </w:p>
    <w:p w14:paraId="1C2A6B6A" w14:textId="77777777" w:rsidR="00000000" w:rsidRDefault="00832D71">
      <w:pPr>
        <w:pStyle w:val="a3"/>
        <w:spacing w:before="240" w:beforeAutospacing="0" w:after="0" w:afterAutospacing="0"/>
        <w:ind w:firstLine="555"/>
        <w:jc w:val="both"/>
        <w:rPr>
          <w:sz w:val="20"/>
          <w:szCs w:val="20"/>
        </w:rPr>
      </w:pPr>
      <w:r>
        <w:rPr>
          <w:sz w:val="20"/>
          <w:szCs w:val="20"/>
        </w:rPr>
        <w:t xml:space="preserve">Moreover, currently unknown environmental issues, such as the discovery of contamination, could result in significant expenditures, including the need to comply with future </w:t>
      </w:r>
      <w:r>
        <w:rPr>
          <w:sz w:val="20"/>
          <w:szCs w:val="20"/>
        </w:rPr>
        <w:t>changes to environmental laws and regulations or the interpretation or enforcement thereof. Such expenditures, if required, could have a material adverse effect on our business, financial condition or results of operations</w:t>
      </w:r>
      <w:r>
        <w:rPr>
          <w:sz w:val="20"/>
          <w:szCs w:val="20"/>
        </w:rPr>
        <w:t>.</w:t>
      </w:r>
    </w:p>
    <w:p w14:paraId="226779C8" w14:textId="77777777" w:rsidR="00000000" w:rsidRDefault="00832D71">
      <w:pPr>
        <w:pStyle w:val="a3"/>
        <w:spacing w:before="360" w:beforeAutospacing="0" w:after="0" w:afterAutospacing="0"/>
        <w:jc w:val="both"/>
        <w:rPr>
          <w:sz w:val="20"/>
          <w:szCs w:val="20"/>
        </w:rPr>
      </w:pPr>
      <w:r>
        <w:rPr>
          <w:b/>
          <w:bCs/>
          <w:i/>
          <w:iCs/>
          <w:sz w:val="20"/>
          <w:szCs w:val="20"/>
        </w:rPr>
        <w:t>The ability of AES to acquire an</w:t>
      </w:r>
      <w:r>
        <w:rPr>
          <w:b/>
          <w:bCs/>
          <w:i/>
          <w:iCs/>
          <w:sz w:val="20"/>
          <w:szCs w:val="20"/>
        </w:rPr>
        <w:t>d retain retail natural gas and electricity customers is highly competitive, price sensitive and may be impacted by changes in state regulations</w:t>
      </w:r>
      <w:r>
        <w:rPr>
          <w:b/>
          <w:bCs/>
          <w:i/>
          <w:iCs/>
          <w:sz w:val="20"/>
          <w:szCs w:val="20"/>
        </w:rPr>
        <w:t>.</w:t>
      </w:r>
    </w:p>
    <w:p w14:paraId="76B7B0F0" w14:textId="77777777" w:rsidR="00000000" w:rsidRDefault="00832D71">
      <w:pPr>
        <w:pStyle w:val="a3"/>
        <w:spacing w:before="120" w:beforeAutospacing="0" w:after="0" w:afterAutospacing="0"/>
        <w:ind w:firstLine="555"/>
        <w:jc w:val="both"/>
        <w:rPr>
          <w:sz w:val="20"/>
          <w:szCs w:val="20"/>
        </w:rPr>
      </w:pPr>
      <w:r>
        <w:rPr>
          <w:sz w:val="20"/>
          <w:szCs w:val="20"/>
        </w:rPr>
        <w:t>The deregulated retail natural gas and electricity industries in which AES participates are highly competitive</w:t>
      </w:r>
      <w:r>
        <w:rPr>
          <w:sz w:val="20"/>
          <w:szCs w:val="20"/>
        </w:rPr>
        <w:t>. New York has instituted significant regulation of these industries, and other states have changed business rules to provide further protections to consumers. An Order from the NY PSC regarding low income consumers went into effect in 2018 and required th</w:t>
      </w:r>
      <w:r>
        <w:rPr>
          <w:sz w:val="20"/>
          <w:szCs w:val="20"/>
        </w:rPr>
        <w:t>at all ESCOs stop serving low-income consumers. As a result, AES returned approximately 8,400 of our customers to local utility service. A Reset Order issued by the NY PSC in 2016 attempted to impose rules that would have allowed the NY PSC to regulate ESC</w:t>
      </w:r>
      <w:r>
        <w:rPr>
          <w:sz w:val="20"/>
          <w:szCs w:val="20"/>
        </w:rPr>
        <w:t>O pricing, which was subsequently challenged and struck down by the New York Supreme Court. On appeal, the New York State Court of Appeals issued a ruling in 2019 that held that the NY PSC cannot regulate ESCO pricing, but does have the ability to restrict</w:t>
      </w:r>
      <w:r>
        <w:rPr>
          <w:sz w:val="20"/>
          <w:szCs w:val="20"/>
        </w:rPr>
        <w:t xml:space="preserve"> an ESCO’s access to the utility distribution system if the NY PSC determines that an ESCO’s pricing is not “just and reasonable.” In December 2019, the NY PSC issued a Second Reset Order that imposed product, pricing, and other requirements on ESCOs. AES </w:t>
      </w:r>
      <w:r>
        <w:rPr>
          <w:sz w:val="20"/>
          <w:szCs w:val="20"/>
        </w:rPr>
        <w:t>was specifically and solely exempted from complying with the criteria concerning product offerings during the pendency of further rulemaking proceedings. I</w:t>
      </w:r>
      <w:r>
        <w:rPr>
          <w:sz w:val="20"/>
          <w:szCs w:val="20"/>
        </w:rPr>
        <w:t>n</w:t>
      </w:r>
      <w:r>
        <w:rPr>
          <w:sz w:val="20"/>
          <w:szCs w:val="20"/>
        </w:rPr>
        <w:t xml:space="preserve"> </w:t>
      </w:r>
    </w:p>
    <w:p w14:paraId="000BEBBD" w14:textId="77777777" w:rsidR="00000000" w:rsidRDefault="00832D71">
      <w:pPr>
        <w:pStyle w:val="a3"/>
        <w:spacing w:before="0" w:beforeAutospacing="0" w:after="0" w:afterAutospacing="0"/>
        <w:jc w:val="center"/>
        <w:rPr>
          <w:sz w:val="20"/>
          <w:szCs w:val="20"/>
        </w:rPr>
      </w:pPr>
      <w:r>
        <w:rPr>
          <w:sz w:val="20"/>
          <w:szCs w:val="20"/>
        </w:rPr>
        <w:t> </w:t>
      </w:r>
    </w:p>
    <w:p w14:paraId="645F7192" w14:textId="77777777" w:rsidR="00000000" w:rsidRDefault="00832D71">
      <w:pPr>
        <w:pStyle w:val="a3"/>
        <w:spacing w:before="0" w:beforeAutospacing="0" w:after="0" w:afterAutospacing="0"/>
        <w:jc w:val="center"/>
        <w:rPr>
          <w:sz w:val="20"/>
          <w:szCs w:val="20"/>
        </w:rPr>
      </w:pPr>
      <w:r>
        <w:rPr>
          <w:sz w:val="20"/>
          <w:szCs w:val="20"/>
        </w:rPr>
        <w:t>1</w:t>
      </w:r>
      <w:r>
        <w:rPr>
          <w:sz w:val="20"/>
          <w:szCs w:val="20"/>
        </w:rPr>
        <w:t>8</w:t>
      </w:r>
    </w:p>
    <w:p w14:paraId="3C94EBEC" w14:textId="77777777" w:rsidR="00000000" w:rsidRDefault="00832D71">
      <w:pPr>
        <w:rPr>
          <w:rFonts w:eastAsia="Times New Roman"/>
        </w:rPr>
      </w:pPr>
      <w:r>
        <w:rPr>
          <w:rFonts w:eastAsia="Times New Roman"/>
        </w:rPr>
        <w:pict w14:anchorId="008BE4A8">
          <v:rect id="_x0000_i1045" style="width:0;height:1.5pt" o:hralign="center" o:hrstd="t" o:hr="t" fillcolor="#a0a0a0" stroked="f"/>
        </w:pict>
      </w:r>
    </w:p>
    <w:p w14:paraId="382B83D8"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786DB767" w14:textId="77777777" w:rsidR="00000000" w:rsidRDefault="00832D71">
      <w:pPr>
        <w:pStyle w:val="a3"/>
        <w:spacing w:before="120" w:beforeAutospacing="0" w:after="0" w:afterAutospacing="0"/>
        <w:jc w:val="both"/>
        <w:rPr>
          <w:sz w:val="20"/>
          <w:szCs w:val="20"/>
        </w:rPr>
      </w:pPr>
      <w:r>
        <w:rPr>
          <w:sz w:val="20"/>
          <w:szCs w:val="20"/>
        </w:rPr>
        <w:t>September 2020, the NY PSC issued another Order reaffirming the Second Reset Order, including the exemption that allows AES to maintain its existing business mode</w:t>
      </w:r>
      <w:r>
        <w:rPr>
          <w:sz w:val="20"/>
          <w:szCs w:val="20"/>
        </w:rPr>
        <w:t>l in New York while rulemaking proceedings continue</w:t>
      </w:r>
      <w:r>
        <w:rPr>
          <w:sz w:val="20"/>
          <w:szCs w:val="20"/>
        </w:rPr>
        <w:t>.</w:t>
      </w:r>
      <w:r>
        <w:rPr>
          <w:sz w:val="20"/>
          <w:szCs w:val="20"/>
        </w:rPr>
        <w:t xml:space="preserve"> </w:t>
      </w:r>
    </w:p>
    <w:p w14:paraId="2421E4A1" w14:textId="77777777" w:rsidR="00000000" w:rsidRDefault="00832D71">
      <w:pPr>
        <w:pStyle w:val="a3"/>
        <w:spacing w:before="240" w:beforeAutospacing="0" w:after="0" w:afterAutospacing="0"/>
        <w:ind w:firstLine="555"/>
        <w:jc w:val="both"/>
        <w:rPr>
          <w:sz w:val="20"/>
          <w:szCs w:val="20"/>
        </w:rPr>
      </w:pPr>
      <w:r>
        <w:rPr>
          <w:sz w:val="20"/>
          <w:szCs w:val="20"/>
        </w:rPr>
        <w:t>These industries have also seen an increase in the number of class action lawsuits brought against retailers and relating to their pricing policies and practices. Two such lawsuits were commenced agains</w:t>
      </w:r>
      <w:r>
        <w:rPr>
          <w:sz w:val="20"/>
          <w:szCs w:val="20"/>
        </w:rPr>
        <w:t>t AES in 2017 and 2018, involving New York and Pennsylvania customers. AES filed motions to dismiss both actions on procedural and substantive grounds. The United States District Court for the Western District of Pennsylvania granted AES’s motion and dismi</w:t>
      </w:r>
      <w:r>
        <w:rPr>
          <w:sz w:val="20"/>
          <w:szCs w:val="20"/>
        </w:rPr>
        <w:t>ssed the plaintiff’s complaint with prejudice, finding that AES did not breach its contract or defraud customers. In August of 2020, the Third Circuit Court of Appeals affirmed the dismissal of plaintiff’s complaint. In the New York action, the United Stat</w:t>
      </w:r>
      <w:r>
        <w:rPr>
          <w:sz w:val="20"/>
          <w:szCs w:val="20"/>
        </w:rPr>
        <w:t>es District Court for the Northern District of New York granted AES’ dismissal motion in part in October 2018, but allowed plaintiff’s statutory consumer fraud and breach of contract causes of action to proceed. The court granted summary judgment in our fa</w:t>
      </w:r>
      <w:r>
        <w:rPr>
          <w:sz w:val="20"/>
          <w:szCs w:val="20"/>
        </w:rPr>
        <w:t>vor on the remaining counts and the complaint was dismissed in full. The plaintiff has filed an appeal to the Second Circuit Court of Appeals. While AES believes that the appeal is without merit and intends to vigorously defend itself in the matter, we are</w:t>
      </w:r>
      <w:r>
        <w:rPr>
          <w:sz w:val="20"/>
          <w:szCs w:val="20"/>
        </w:rPr>
        <w:t xml:space="preserve"> unable to predict at this time the ultimate outcome of the New York action. However, if we are ultimately unable to successfully defend our AES business in this class action lawsuit, a decision rendered against AES could have an adverse impact on our busi</w:t>
      </w:r>
      <w:r>
        <w:rPr>
          <w:sz w:val="20"/>
          <w:szCs w:val="20"/>
        </w:rPr>
        <w:t>ness and operations</w:t>
      </w:r>
      <w:r>
        <w:rPr>
          <w:sz w:val="20"/>
          <w:szCs w:val="20"/>
        </w:rPr>
        <w:t>.</w:t>
      </w:r>
    </w:p>
    <w:p w14:paraId="434CB1DB" w14:textId="77777777" w:rsidR="00000000" w:rsidRDefault="00832D71">
      <w:pPr>
        <w:pStyle w:val="a3"/>
        <w:spacing w:before="360" w:beforeAutospacing="0" w:after="0" w:afterAutospacing="0"/>
        <w:jc w:val="both"/>
        <w:rPr>
          <w:sz w:val="20"/>
          <w:szCs w:val="20"/>
        </w:rPr>
      </w:pPr>
      <w:r>
        <w:rPr>
          <w:b/>
          <w:bCs/>
          <w:i/>
          <w:iCs/>
          <w:sz w:val="20"/>
          <w:szCs w:val="20"/>
        </w:rPr>
        <w:t>Costs associated with lawsuits, investigations or increases in legal reserves that we establish based on our assessment of contingent liabilities could adversely affect our operating results to the extent not covered by insurance</w:t>
      </w:r>
      <w:r>
        <w:rPr>
          <w:b/>
          <w:bCs/>
          <w:i/>
          <w:iCs/>
          <w:sz w:val="20"/>
          <w:szCs w:val="20"/>
        </w:rPr>
        <w:t>.</w:t>
      </w:r>
    </w:p>
    <w:p w14:paraId="704FEF54" w14:textId="77777777" w:rsidR="00000000" w:rsidRDefault="00832D71">
      <w:pPr>
        <w:pStyle w:val="a3"/>
        <w:spacing w:before="120" w:beforeAutospacing="0" w:after="0" w:afterAutospacing="0"/>
        <w:ind w:firstLine="555"/>
        <w:jc w:val="both"/>
        <w:rPr>
          <w:sz w:val="20"/>
          <w:szCs w:val="20"/>
        </w:rPr>
      </w:pPr>
      <w:r>
        <w:rPr>
          <w:sz w:val="20"/>
          <w:szCs w:val="20"/>
        </w:rPr>
        <w:t xml:space="preserve">Our </w:t>
      </w:r>
      <w:r>
        <w:rPr>
          <w:sz w:val="20"/>
          <w:szCs w:val="20"/>
        </w:rPr>
        <w:t>operations expose us to various claims, lawsuits and other legal proceedings that arise in and outside of the ordinary course of our business. We may be subject to complaints and/or litigation involving our customers, employees and others with whom we cond</w:t>
      </w:r>
      <w:r>
        <w:rPr>
          <w:sz w:val="20"/>
          <w:szCs w:val="20"/>
        </w:rPr>
        <w:t>uct business, including claims for bodily injury, death and property damage related to operating hazards and risks normally associated with handling, storing and delivering combustible liquids such as propane, fuel oil and other refined fuels or claims bas</w:t>
      </w:r>
      <w:r>
        <w:rPr>
          <w:sz w:val="20"/>
          <w:szCs w:val="20"/>
        </w:rPr>
        <w:t xml:space="preserve">ed on allegations of discrimination, wage and hourly pay disputes, and various other claims as a result of other aspects of our business. We could be subject to substantial costs and/or adverse outcomes from such complaints or litigation, which could have </w:t>
      </w:r>
      <w:r>
        <w:rPr>
          <w:sz w:val="20"/>
          <w:szCs w:val="20"/>
        </w:rPr>
        <w:t>a material adverse effect on our financial condition, cash flows or results of operations</w:t>
      </w:r>
      <w:r>
        <w:rPr>
          <w:sz w:val="20"/>
          <w:szCs w:val="20"/>
        </w:rPr>
        <w:t>.</w:t>
      </w:r>
    </w:p>
    <w:p w14:paraId="459D6260" w14:textId="77777777" w:rsidR="00000000" w:rsidRDefault="00832D71">
      <w:pPr>
        <w:pStyle w:val="a3"/>
        <w:spacing w:before="240" w:beforeAutospacing="0" w:after="0" w:afterAutospacing="0"/>
        <w:ind w:firstLine="555"/>
        <w:jc w:val="both"/>
        <w:rPr>
          <w:sz w:val="20"/>
          <w:szCs w:val="20"/>
        </w:rPr>
      </w:pPr>
      <w:r>
        <w:rPr>
          <w:sz w:val="20"/>
          <w:szCs w:val="20"/>
        </w:rPr>
        <w:t>From time to time, our Partnership and/or other companies in the segments in which we operate may be reviewed or investigated by government regulators, which could l</w:t>
      </w:r>
      <w:r>
        <w:rPr>
          <w:sz w:val="20"/>
          <w:szCs w:val="20"/>
        </w:rPr>
        <w:t>ead to tax assessments, enforcement actions, fines and penalties or the assertion of private litigation claims. It is not possible to predict with certainty the outcome of claims, investigations and lawsuits, and we could in the future incur judgments, tax</w:t>
      </w:r>
      <w:r>
        <w:rPr>
          <w:sz w:val="20"/>
          <w:szCs w:val="20"/>
        </w:rPr>
        <w:t xml:space="preserve">es, fines or penalties, or enter into settlements of lawsuits or claims that could have an adverse impact on our financial condition or results of operations. We are self-insured for general and product, workers’ compensation and automobile liabilities up </w:t>
      </w:r>
      <w:r>
        <w:rPr>
          <w:sz w:val="20"/>
          <w:szCs w:val="20"/>
        </w:rPr>
        <w:t>to predetermined amounts above which third-party insurance applies. We cannot guarantee that our insurance will be adequate to protect us from all material expenses related to potential future claims for personal injury and property damage or that these le</w:t>
      </w:r>
      <w:r>
        <w:rPr>
          <w:sz w:val="20"/>
          <w:szCs w:val="20"/>
        </w:rPr>
        <w:t>vels of insurance will be available at economical prices, or that all legal matters that arise will be covered by our insurance programs</w:t>
      </w:r>
      <w:r>
        <w:rPr>
          <w:sz w:val="20"/>
          <w:szCs w:val="20"/>
        </w:rPr>
        <w:t>.</w:t>
      </w:r>
    </w:p>
    <w:p w14:paraId="41D3D644" w14:textId="77777777" w:rsidR="00000000" w:rsidRDefault="00832D71">
      <w:pPr>
        <w:pStyle w:val="a3"/>
        <w:spacing w:before="240" w:beforeAutospacing="0" w:after="0" w:afterAutospacing="0"/>
        <w:ind w:firstLine="555"/>
        <w:jc w:val="both"/>
        <w:rPr>
          <w:sz w:val="20"/>
          <w:szCs w:val="20"/>
        </w:rPr>
      </w:pPr>
      <w:r>
        <w:rPr>
          <w:sz w:val="20"/>
          <w:szCs w:val="20"/>
        </w:rPr>
        <w:t>As required by U.S. generally accepted accounting principles (“GAAP”), we establish reserves based on our assessment o</w:t>
      </w:r>
      <w:r>
        <w:rPr>
          <w:sz w:val="20"/>
          <w:szCs w:val="20"/>
        </w:rPr>
        <w:t>f actual or potential loss contingencies, including contingencies related to legal claims asserted against us. Subsequent developments may affect our assessment and estimates of such loss contingencies and require us to make payments in excess of our reser</w:t>
      </w:r>
      <w:r>
        <w:rPr>
          <w:sz w:val="20"/>
          <w:szCs w:val="20"/>
        </w:rPr>
        <w:t>ves, which could have an adverse effect on our financial condition or results of operations</w:t>
      </w:r>
      <w:r>
        <w:rPr>
          <w:sz w:val="20"/>
          <w:szCs w:val="20"/>
        </w:rPr>
        <w:t>.</w:t>
      </w:r>
    </w:p>
    <w:p w14:paraId="76CFBCED" w14:textId="77777777" w:rsidR="00000000" w:rsidRDefault="00832D71">
      <w:pPr>
        <w:pStyle w:val="a3"/>
        <w:spacing w:before="360" w:beforeAutospacing="0" w:after="0" w:afterAutospacing="0"/>
        <w:jc w:val="both"/>
        <w:rPr>
          <w:sz w:val="20"/>
          <w:szCs w:val="20"/>
        </w:rPr>
      </w:pPr>
      <w:r>
        <w:rPr>
          <w:b/>
          <w:bCs/>
          <w:i/>
          <w:iCs/>
          <w:sz w:val="20"/>
          <w:szCs w:val="20"/>
        </w:rPr>
        <w:t>If we are unable to make acquisitions on economically acceptable terms or effectively integrate such acquisitions into our operations, our financial performance ma</w:t>
      </w:r>
      <w:r>
        <w:rPr>
          <w:b/>
          <w:bCs/>
          <w:i/>
          <w:iCs/>
          <w:sz w:val="20"/>
          <w:szCs w:val="20"/>
        </w:rPr>
        <w:t>y be adversely affected</w:t>
      </w:r>
      <w:r>
        <w:rPr>
          <w:b/>
          <w:bCs/>
          <w:i/>
          <w:iCs/>
          <w:sz w:val="20"/>
          <w:szCs w:val="20"/>
        </w:rPr>
        <w:t>.</w:t>
      </w:r>
    </w:p>
    <w:p w14:paraId="1A8FC237" w14:textId="77777777" w:rsidR="00000000" w:rsidRDefault="00832D71">
      <w:pPr>
        <w:pStyle w:val="a3"/>
        <w:spacing w:before="120" w:beforeAutospacing="0" w:after="0" w:afterAutospacing="0"/>
        <w:ind w:firstLine="555"/>
        <w:jc w:val="both"/>
        <w:rPr>
          <w:sz w:val="20"/>
          <w:szCs w:val="20"/>
        </w:rPr>
      </w:pPr>
      <w:r>
        <w:rPr>
          <w:sz w:val="20"/>
          <w:szCs w:val="20"/>
        </w:rPr>
        <w:t>The retail propane and fuel oil industries are mature. We expect overall demand for propane and fuel oil to be relatively flat to moderately declining over the next several years. With respect to our retail propane business, it may</w:t>
      </w:r>
      <w:r>
        <w:rPr>
          <w:sz w:val="20"/>
          <w:szCs w:val="20"/>
        </w:rPr>
        <w:t xml:space="preserve"> be difficult for us to increase our aggregate number of retail propane customers except through acquisitions. As a result, we may engage in strategic transactions involving the acquisition of, or investment in, other retail propane and fuel oil distributo</w:t>
      </w:r>
      <w:r>
        <w:rPr>
          <w:sz w:val="20"/>
          <w:szCs w:val="20"/>
        </w:rPr>
        <w:t>rs, other energy-related businesses or other related cross-functional lines of business. The competition for these acquisitions is intense and we can make no assurance that we will be able to successfully acquire other businesses on economically acceptable</w:t>
      </w:r>
      <w:r>
        <w:rPr>
          <w:sz w:val="20"/>
          <w:szCs w:val="20"/>
        </w:rPr>
        <w:t xml:space="preserve"> terms or, if we do, that we can integrate the operations of acquired businesses effectively or to realize the expected benefits of such transactions within the anticipated timeframe, or at all, such as cost savings, synergies, sales and growth opportuniti</w:t>
      </w:r>
      <w:r>
        <w:rPr>
          <w:sz w:val="20"/>
          <w:szCs w:val="20"/>
        </w:rPr>
        <w:t>es. In addition, the integration of an acquired business may result in material unanticipated challenges, expenses, liabilities or competitive responses, including</w:t>
      </w:r>
      <w:r>
        <w:rPr>
          <w:sz w:val="20"/>
          <w:szCs w:val="20"/>
        </w:rPr>
        <w:t>:</w:t>
      </w:r>
    </w:p>
    <w:p w14:paraId="181A8409" w14:textId="77777777" w:rsidR="00000000" w:rsidRDefault="00832D71">
      <w:pPr>
        <w:jc w:val="both"/>
        <w:divId w:val="1230994335"/>
        <w:rPr>
          <w:rFonts w:eastAsia="Times New Roman"/>
        </w:rPr>
      </w:pPr>
      <w:r>
        <w:rPr>
          <w:rFonts w:eastAsia="Times New Roman"/>
          <w:sz w:val="20"/>
          <w:szCs w:val="20"/>
        </w:rPr>
        <w:t>•</w:t>
      </w:r>
    </w:p>
    <w:p w14:paraId="4C480EC2" w14:textId="77777777" w:rsidR="00000000" w:rsidRDefault="00832D71">
      <w:pPr>
        <w:jc w:val="both"/>
        <w:divId w:val="1410541366"/>
        <w:rPr>
          <w:rFonts w:eastAsia="Times New Roman"/>
        </w:rPr>
      </w:pPr>
      <w:r>
        <w:rPr>
          <w:rFonts w:eastAsia="Times New Roman"/>
          <w:sz w:val="20"/>
          <w:szCs w:val="20"/>
        </w:rPr>
        <w:t>a failure to implement our strategy for a particular strategic transaction, including suc</w:t>
      </w:r>
      <w:r>
        <w:rPr>
          <w:rFonts w:eastAsia="Times New Roman"/>
          <w:sz w:val="20"/>
          <w:szCs w:val="20"/>
        </w:rPr>
        <w:t>cessfully integrating the acquired business into our existing infrastructure, or a failure to realize value from a strategic investment</w:t>
      </w:r>
      <w:r>
        <w:rPr>
          <w:rFonts w:eastAsia="Times New Roman"/>
          <w:sz w:val="20"/>
          <w:szCs w:val="20"/>
        </w:rPr>
        <w:t>;</w:t>
      </w:r>
    </w:p>
    <w:p w14:paraId="036AF8E1" w14:textId="77777777" w:rsidR="00000000" w:rsidRDefault="00832D71">
      <w:pPr>
        <w:jc w:val="both"/>
        <w:divId w:val="1091970759"/>
        <w:rPr>
          <w:rFonts w:eastAsia="Times New Roman"/>
        </w:rPr>
      </w:pPr>
      <w:r>
        <w:rPr>
          <w:rFonts w:eastAsia="Times New Roman"/>
          <w:sz w:val="20"/>
          <w:szCs w:val="20"/>
        </w:rPr>
        <w:t>•</w:t>
      </w:r>
    </w:p>
    <w:p w14:paraId="39DA7F65" w14:textId="77777777" w:rsidR="00000000" w:rsidRDefault="00832D71">
      <w:pPr>
        <w:jc w:val="both"/>
        <w:divId w:val="491944980"/>
        <w:rPr>
          <w:rFonts w:eastAsia="Times New Roman"/>
        </w:rPr>
      </w:pPr>
      <w:r>
        <w:rPr>
          <w:rFonts w:eastAsia="Times New Roman"/>
          <w:sz w:val="20"/>
          <w:szCs w:val="20"/>
        </w:rPr>
        <w:t>inconsistencies between our standards, procedures and policies and those of the acquired business</w:t>
      </w:r>
      <w:r>
        <w:rPr>
          <w:rFonts w:eastAsia="Times New Roman"/>
          <w:sz w:val="20"/>
          <w:szCs w:val="20"/>
        </w:rPr>
        <w:t>;</w:t>
      </w:r>
    </w:p>
    <w:p w14:paraId="0E560D40" w14:textId="77777777" w:rsidR="00000000" w:rsidRDefault="00832D71">
      <w:pPr>
        <w:jc w:val="both"/>
        <w:divId w:val="1391226017"/>
        <w:rPr>
          <w:rFonts w:eastAsia="Times New Roman"/>
        </w:rPr>
      </w:pPr>
      <w:r>
        <w:rPr>
          <w:rFonts w:eastAsia="Times New Roman"/>
          <w:sz w:val="20"/>
          <w:szCs w:val="20"/>
        </w:rPr>
        <w:t>•</w:t>
      </w:r>
    </w:p>
    <w:p w14:paraId="164715A3" w14:textId="77777777" w:rsidR="00000000" w:rsidRDefault="00832D71">
      <w:pPr>
        <w:jc w:val="both"/>
        <w:divId w:val="1110901532"/>
        <w:rPr>
          <w:rFonts w:eastAsia="Times New Roman"/>
        </w:rPr>
      </w:pPr>
      <w:r>
        <w:rPr>
          <w:rFonts w:eastAsia="Times New Roman"/>
          <w:sz w:val="20"/>
          <w:szCs w:val="20"/>
        </w:rPr>
        <w:t>costs or ineffic</w:t>
      </w:r>
      <w:r>
        <w:rPr>
          <w:rFonts w:eastAsia="Times New Roman"/>
          <w:sz w:val="20"/>
          <w:szCs w:val="20"/>
        </w:rPr>
        <w:t>iencies associated with the integration of our operational and administrative systems</w:t>
      </w:r>
      <w:r>
        <w:rPr>
          <w:rFonts w:eastAsia="Times New Roman"/>
          <w:sz w:val="20"/>
          <w:szCs w:val="20"/>
        </w:rPr>
        <w:t>;</w:t>
      </w:r>
    </w:p>
    <w:p w14:paraId="4015C955" w14:textId="77777777" w:rsidR="00000000" w:rsidRDefault="00832D71">
      <w:pPr>
        <w:pStyle w:val="a3"/>
        <w:spacing w:before="0" w:beforeAutospacing="0" w:after="0" w:afterAutospacing="0"/>
        <w:jc w:val="center"/>
        <w:rPr>
          <w:sz w:val="20"/>
          <w:szCs w:val="20"/>
        </w:rPr>
      </w:pPr>
      <w:r>
        <w:rPr>
          <w:sz w:val="20"/>
          <w:szCs w:val="20"/>
        </w:rPr>
        <w:t> </w:t>
      </w:r>
    </w:p>
    <w:p w14:paraId="1ED9A7C9" w14:textId="77777777" w:rsidR="00000000" w:rsidRDefault="00832D71">
      <w:pPr>
        <w:pStyle w:val="a3"/>
        <w:spacing w:before="0" w:beforeAutospacing="0" w:after="0" w:afterAutospacing="0"/>
        <w:jc w:val="center"/>
        <w:rPr>
          <w:sz w:val="20"/>
          <w:szCs w:val="20"/>
        </w:rPr>
      </w:pPr>
      <w:r>
        <w:rPr>
          <w:sz w:val="20"/>
          <w:szCs w:val="20"/>
        </w:rPr>
        <w:t>1</w:t>
      </w:r>
      <w:r>
        <w:rPr>
          <w:sz w:val="20"/>
          <w:szCs w:val="20"/>
        </w:rPr>
        <w:t>9</w:t>
      </w:r>
    </w:p>
    <w:p w14:paraId="1F067EB2" w14:textId="77777777" w:rsidR="00000000" w:rsidRDefault="00832D71">
      <w:pPr>
        <w:rPr>
          <w:rFonts w:eastAsia="Times New Roman"/>
        </w:rPr>
      </w:pPr>
      <w:r>
        <w:rPr>
          <w:rFonts w:eastAsia="Times New Roman"/>
        </w:rPr>
        <w:pict w14:anchorId="11CFA5AD">
          <v:rect id="_x0000_i1046" style="width:0;height:1.5pt" o:hralign="center" o:hrstd="t" o:hr="t" fillcolor="#a0a0a0" stroked="f"/>
        </w:pict>
      </w:r>
    </w:p>
    <w:p w14:paraId="573740BD"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7DBB76D6" w14:textId="77777777" w:rsidR="00000000" w:rsidRDefault="00832D71">
      <w:pPr>
        <w:jc w:val="both"/>
        <w:divId w:val="25454130"/>
        <w:rPr>
          <w:rFonts w:eastAsia="Times New Roman"/>
        </w:rPr>
      </w:pPr>
      <w:r>
        <w:rPr>
          <w:rFonts w:eastAsia="Times New Roman"/>
          <w:sz w:val="20"/>
          <w:szCs w:val="20"/>
        </w:rPr>
        <w:t>•</w:t>
      </w:r>
    </w:p>
    <w:p w14:paraId="1BCAEA54" w14:textId="77777777" w:rsidR="00000000" w:rsidRDefault="00832D71">
      <w:pPr>
        <w:jc w:val="both"/>
        <w:divId w:val="2030257974"/>
        <w:rPr>
          <w:rFonts w:eastAsia="Times New Roman"/>
        </w:rPr>
      </w:pPr>
      <w:r>
        <w:rPr>
          <w:rFonts w:eastAsia="Times New Roman"/>
          <w:sz w:val="20"/>
          <w:szCs w:val="20"/>
        </w:rPr>
        <w:t>an increased scope and complexity of our operations which could require significant attention from management and could impose constraints on our operations or other projects</w:t>
      </w:r>
      <w:r>
        <w:rPr>
          <w:rFonts w:eastAsia="Times New Roman"/>
          <w:sz w:val="20"/>
          <w:szCs w:val="20"/>
        </w:rPr>
        <w:t>;</w:t>
      </w:r>
    </w:p>
    <w:p w14:paraId="528C5249" w14:textId="77777777" w:rsidR="00000000" w:rsidRDefault="00832D71">
      <w:pPr>
        <w:jc w:val="both"/>
        <w:divId w:val="1469711301"/>
        <w:rPr>
          <w:rFonts w:eastAsia="Times New Roman"/>
        </w:rPr>
      </w:pPr>
      <w:r>
        <w:rPr>
          <w:rFonts w:eastAsia="Times New Roman"/>
          <w:sz w:val="20"/>
          <w:szCs w:val="20"/>
        </w:rPr>
        <w:t>•</w:t>
      </w:r>
    </w:p>
    <w:p w14:paraId="6C3D9614" w14:textId="77777777" w:rsidR="00000000" w:rsidRDefault="00832D71">
      <w:pPr>
        <w:jc w:val="both"/>
        <w:divId w:val="683164635"/>
        <w:rPr>
          <w:rFonts w:eastAsia="Times New Roman"/>
        </w:rPr>
      </w:pPr>
      <w:r>
        <w:rPr>
          <w:rFonts w:eastAsia="Times New Roman"/>
          <w:sz w:val="20"/>
          <w:szCs w:val="20"/>
        </w:rPr>
        <w:t>unforeseen expenses, delays or conditions, including required regulatory or ot</w:t>
      </w:r>
      <w:r>
        <w:rPr>
          <w:rFonts w:eastAsia="Times New Roman"/>
          <w:sz w:val="20"/>
          <w:szCs w:val="20"/>
        </w:rPr>
        <w:t>her third-party approvals or consents, or provisions in contracts with third parties that could limit our flexibility to take certain actions</w:t>
      </w:r>
      <w:r>
        <w:rPr>
          <w:rFonts w:eastAsia="Times New Roman"/>
          <w:sz w:val="20"/>
          <w:szCs w:val="20"/>
        </w:rPr>
        <w:t>;</w:t>
      </w:r>
    </w:p>
    <w:p w14:paraId="11B37C1F" w14:textId="77777777" w:rsidR="00000000" w:rsidRDefault="00832D71">
      <w:pPr>
        <w:jc w:val="both"/>
        <w:divId w:val="1791589473"/>
        <w:rPr>
          <w:rFonts w:eastAsia="Times New Roman"/>
        </w:rPr>
      </w:pPr>
      <w:r>
        <w:rPr>
          <w:rFonts w:eastAsia="Times New Roman"/>
          <w:sz w:val="20"/>
          <w:szCs w:val="20"/>
        </w:rPr>
        <w:t>•</w:t>
      </w:r>
    </w:p>
    <w:p w14:paraId="2DAD78AB" w14:textId="77777777" w:rsidR="00000000" w:rsidRDefault="00832D71">
      <w:pPr>
        <w:jc w:val="both"/>
        <w:divId w:val="607785121"/>
        <w:rPr>
          <w:rFonts w:eastAsia="Times New Roman"/>
        </w:rPr>
      </w:pPr>
      <w:r>
        <w:rPr>
          <w:rFonts w:eastAsia="Times New Roman"/>
          <w:sz w:val="20"/>
          <w:szCs w:val="20"/>
        </w:rPr>
        <w:t>an inability to retain the customers, employees, suppliers and/or business partners of the acquired business or</w:t>
      </w:r>
      <w:r>
        <w:rPr>
          <w:rFonts w:eastAsia="Times New Roman"/>
          <w:sz w:val="20"/>
          <w:szCs w:val="20"/>
        </w:rPr>
        <w:t xml:space="preserve"> generate new customers or revenue opportunities through a strategic transaction</w:t>
      </w:r>
      <w:r>
        <w:rPr>
          <w:rFonts w:eastAsia="Times New Roman"/>
          <w:sz w:val="20"/>
          <w:szCs w:val="20"/>
        </w:rPr>
        <w:t>;</w:t>
      </w:r>
    </w:p>
    <w:p w14:paraId="72FB15EE" w14:textId="77777777" w:rsidR="00000000" w:rsidRDefault="00832D71">
      <w:pPr>
        <w:jc w:val="both"/>
        <w:divId w:val="215548422"/>
        <w:rPr>
          <w:rFonts w:eastAsia="Times New Roman"/>
        </w:rPr>
      </w:pPr>
      <w:r>
        <w:rPr>
          <w:rFonts w:eastAsia="Times New Roman"/>
          <w:sz w:val="20"/>
          <w:szCs w:val="20"/>
        </w:rPr>
        <w:t>•</w:t>
      </w:r>
    </w:p>
    <w:p w14:paraId="25853530" w14:textId="77777777" w:rsidR="00000000" w:rsidRDefault="00832D71">
      <w:pPr>
        <w:jc w:val="both"/>
        <w:divId w:val="1334795864"/>
        <w:rPr>
          <w:rFonts w:eastAsia="Times New Roman"/>
        </w:rPr>
      </w:pPr>
      <w:r>
        <w:rPr>
          <w:rFonts w:eastAsia="Times New Roman"/>
          <w:sz w:val="20"/>
          <w:szCs w:val="20"/>
        </w:rPr>
        <w:t>the costs of compliance with local laws and regulations and the implementation of compliance processes, as well as the assumption of unexpected liabilities, litigation, pen</w:t>
      </w:r>
      <w:r>
        <w:rPr>
          <w:rFonts w:eastAsia="Times New Roman"/>
          <w:sz w:val="20"/>
          <w:szCs w:val="20"/>
        </w:rPr>
        <w:t>alties or other enforcement actions; an</w:t>
      </w:r>
      <w:r>
        <w:rPr>
          <w:rFonts w:eastAsia="Times New Roman"/>
          <w:sz w:val="20"/>
          <w:szCs w:val="20"/>
        </w:rPr>
        <w:t>d</w:t>
      </w:r>
    </w:p>
    <w:p w14:paraId="0256314E" w14:textId="77777777" w:rsidR="00000000" w:rsidRDefault="00832D71">
      <w:pPr>
        <w:jc w:val="both"/>
        <w:divId w:val="1833062768"/>
        <w:rPr>
          <w:rFonts w:eastAsia="Times New Roman"/>
        </w:rPr>
      </w:pPr>
      <w:r>
        <w:rPr>
          <w:rFonts w:eastAsia="Times New Roman"/>
          <w:sz w:val="20"/>
          <w:szCs w:val="20"/>
        </w:rPr>
        <w:t>•</w:t>
      </w:r>
    </w:p>
    <w:p w14:paraId="3FAE4006" w14:textId="77777777" w:rsidR="00000000" w:rsidRDefault="00832D71">
      <w:pPr>
        <w:jc w:val="both"/>
        <w:divId w:val="814109374"/>
        <w:rPr>
          <w:rFonts w:eastAsia="Times New Roman"/>
        </w:rPr>
      </w:pPr>
      <w:r>
        <w:rPr>
          <w:rFonts w:eastAsia="Times New Roman"/>
          <w:sz w:val="20"/>
          <w:szCs w:val="20"/>
        </w:rPr>
        <w:t>higher than expected costs arising due to unforeseen changes in tax, trade, environmental, labor, safety, payroll or pension policies</w:t>
      </w:r>
      <w:r>
        <w:rPr>
          <w:rFonts w:eastAsia="Times New Roman"/>
          <w:sz w:val="20"/>
          <w:szCs w:val="20"/>
        </w:rPr>
        <w:t>.</w:t>
      </w:r>
    </w:p>
    <w:p w14:paraId="1ADAF2FC" w14:textId="77777777" w:rsidR="00000000" w:rsidRDefault="00832D71">
      <w:pPr>
        <w:pStyle w:val="a3"/>
        <w:spacing w:before="240" w:beforeAutospacing="0" w:after="0" w:afterAutospacing="0"/>
        <w:ind w:firstLine="555"/>
        <w:jc w:val="both"/>
        <w:rPr>
          <w:sz w:val="20"/>
          <w:szCs w:val="20"/>
        </w:rPr>
      </w:pPr>
      <w:r>
        <w:rPr>
          <w:sz w:val="20"/>
          <w:szCs w:val="20"/>
        </w:rPr>
        <w:t xml:space="preserve">Any one of these factors could result in delays, increased costs or decreases </w:t>
      </w:r>
      <w:r>
        <w:rPr>
          <w:sz w:val="20"/>
          <w:szCs w:val="20"/>
        </w:rPr>
        <w:t>in the amount of expected revenues related to combining the businesses or derived from a strategic transaction and could adversely impact our financial condition or results of operations</w:t>
      </w:r>
      <w:r>
        <w:rPr>
          <w:sz w:val="20"/>
          <w:szCs w:val="20"/>
        </w:rPr>
        <w:t>.</w:t>
      </w:r>
    </w:p>
    <w:p w14:paraId="5CA87EFE" w14:textId="77777777" w:rsidR="00000000" w:rsidRDefault="00832D71">
      <w:pPr>
        <w:pStyle w:val="a3"/>
        <w:spacing w:before="360" w:beforeAutospacing="0" w:after="0" w:afterAutospacing="0"/>
        <w:jc w:val="both"/>
        <w:rPr>
          <w:sz w:val="20"/>
          <w:szCs w:val="20"/>
        </w:rPr>
      </w:pPr>
      <w:r>
        <w:rPr>
          <w:b/>
          <w:bCs/>
          <w:i/>
          <w:iCs/>
          <w:sz w:val="20"/>
          <w:szCs w:val="20"/>
        </w:rPr>
        <w:t>The adoption of climate change legislation could negatively impact o</w:t>
      </w:r>
      <w:r>
        <w:rPr>
          <w:b/>
          <w:bCs/>
          <w:i/>
          <w:iCs/>
          <w:sz w:val="20"/>
          <w:szCs w:val="20"/>
        </w:rPr>
        <w:t>ur operations and result in increased operating costs and reduced demand for the products and services we provide</w:t>
      </w:r>
      <w:r>
        <w:rPr>
          <w:b/>
          <w:bCs/>
          <w:i/>
          <w:iCs/>
          <w:sz w:val="20"/>
          <w:szCs w:val="20"/>
        </w:rPr>
        <w:t>.</w:t>
      </w:r>
    </w:p>
    <w:p w14:paraId="471CC11F" w14:textId="77777777" w:rsidR="00000000" w:rsidRDefault="00832D71">
      <w:pPr>
        <w:pStyle w:val="a3"/>
        <w:spacing w:before="120" w:beforeAutospacing="0" w:after="0" w:afterAutospacing="0"/>
        <w:ind w:firstLine="555"/>
        <w:jc w:val="both"/>
        <w:rPr>
          <w:sz w:val="20"/>
          <w:szCs w:val="20"/>
        </w:rPr>
      </w:pPr>
      <w:r>
        <w:rPr>
          <w:sz w:val="20"/>
          <w:szCs w:val="20"/>
        </w:rPr>
        <w:t>The EPA issued an Endangerment Finding under the federal Clean Air Act, which determined that emissions of GHGs, such as carbon dioxide, pres</w:t>
      </w:r>
      <w:r>
        <w:rPr>
          <w:sz w:val="20"/>
          <w:szCs w:val="20"/>
        </w:rPr>
        <w:t>ent an endangerment to public health and the environment because emissions of such gases may be contributing to the warming of the earth’s atmosphere, volatility in seasonal temperatures, increased frequency and severity of storms, floods and other climati</w:t>
      </w:r>
      <w:r>
        <w:rPr>
          <w:sz w:val="20"/>
          <w:szCs w:val="20"/>
        </w:rPr>
        <w:t>c changes. Based on these findings, the EPA has begun adopting and implementing regulations to restrict emissions of GHGs from certain industries and require reporting by certain regulated facilities. The EPA’s authority to regulate GHGs has been upheld by</w:t>
      </w:r>
      <w:r>
        <w:rPr>
          <w:sz w:val="20"/>
          <w:szCs w:val="20"/>
        </w:rPr>
        <w:t xml:space="preserve"> the U.S. Supreme Court</w:t>
      </w:r>
      <w:r>
        <w:rPr>
          <w:sz w:val="20"/>
          <w:szCs w:val="20"/>
        </w:rPr>
        <w:t>.</w:t>
      </w:r>
      <w:r>
        <w:rPr>
          <w:sz w:val="20"/>
          <w:szCs w:val="20"/>
        </w:rPr>
        <w:t xml:space="preserve"> </w:t>
      </w:r>
    </w:p>
    <w:p w14:paraId="35299CDA" w14:textId="77777777" w:rsidR="00000000" w:rsidRDefault="00832D71">
      <w:pPr>
        <w:pStyle w:val="a3"/>
        <w:spacing w:before="240" w:beforeAutospacing="0" w:after="0" w:afterAutospacing="0"/>
        <w:ind w:firstLine="555"/>
        <w:jc w:val="both"/>
        <w:rPr>
          <w:sz w:val="20"/>
          <w:szCs w:val="20"/>
        </w:rPr>
      </w:pPr>
      <w:r>
        <w:rPr>
          <w:sz w:val="20"/>
          <w:szCs w:val="20"/>
        </w:rPr>
        <w:t>In June 2022, the U.S. Supreme Court issued a decision in West Virginia v. EPA, which did not preclude, but instead limited the EPA’s ability to regulate GHGs absent clear Congressional authorization. The Court determined that the</w:t>
      </w:r>
      <w:r>
        <w:rPr>
          <w:sz w:val="20"/>
          <w:szCs w:val="20"/>
        </w:rPr>
        <w:t xml:space="preserve"> EPA’s emission reduction measures requiring an industry-wide shift in electricity production from coal- and natural gas-fired power plants to renewable power sources require specific congressional authorization, which had not been given under the Clean Ai</w:t>
      </w:r>
      <w:r>
        <w:rPr>
          <w:sz w:val="20"/>
          <w:szCs w:val="20"/>
        </w:rPr>
        <w:t>r Act. We cannot predict the impact of the Supreme Court’s decision on future GHG regulation, or the impact of any future GHG legislation on our business, financial conditions or operations in the future</w:t>
      </w:r>
      <w:r>
        <w:rPr>
          <w:sz w:val="20"/>
          <w:szCs w:val="20"/>
        </w:rPr>
        <w:t>.</w:t>
      </w:r>
      <w:r>
        <w:rPr>
          <w:sz w:val="20"/>
          <w:szCs w:val="20"/>
        </w:rPr>
        <w:t xml:space="preserve"> </w:t>
      </w:r>
    </w:p>
    <w:p w14:paraId="187321D4" w14:textId="77777777" w:rsidR="00000000" w:rsidRDefault="00832D71">
      <w:pPr>
        <w:pStyle w:val="a3"/>
        <w:spacing w:before="240" w:beforeAutospacing="0" w:after="0" w:afterAutospacing="0"/>
        <w:ind w:firstLine="555"/>
        <w:jc w:val="both"/>
        <w:rPr>
          <w:sz w:val="20"/>
          <w:szCs w:val="20"/>
        </w:rPr>
      </w:pPr>
      <w:r>
        <w:rPr>
          <w:sz w:val="20"/>
          <w:szCs w:val="20"/>
        </w:rPr>
        <w:t>Current EPA leadership has prioritized climate cha</w:t>
      </w:r>
      <w:r>
        <w:rPr>
          <w:sz w:val="20"/>
          <w:szCs w:val="20"/>
        </w:rPr>
        <w:t>nge mitigation measures and has implemented regulations requiring significant reductions in GHG emissions. Changes in the EPA administration may result in changes to the EPA’s prioritization of climate change mitigation measures. We cannot predict the impa</w:t>
      </w:r>
      <w:r>
        <w:rPr>
          <w:sz w:val="20"/>
          <w:szCs w:val="20"/>
        </w:rPr>
        <w:t>ct of future changes to EPA’s prioritization of climate change mitigation or the impact of future GHG legislation or regulations on our business, financial condition or operations in the future</w:t>
      </w:r>
      <w:r>
        <w:rPr>
          <w:sz w:val="20"/>
          <w:szCs w:val="20"/>
        </w:rPr>
        <w:t>.</w:t>
      </w:r>
    </w:p>
    <w:p w14:paraId="13E57233" w14:textId="77777777" w:rsidR="00000000" w:rsidRDefault="00832D71">
      <w:pPr>
        <w:pStyle w:val="a3"/>
        <w:spacing w:before="240" w:beforeAutospacing="0" w:after="0" w:afterAutospacing="0"/>
        <w:ind w:firstLine="555"/>
        <w:jc w:val="both"/>
        <w:rPr>
          <w:sz w:val="20"/>
          <w:szCs w:val="20"/>
        </w:rPr>
      </w:pPr>
      <w:r>
        <w:rPr>
          <w:sz w:val="20"/>
          <w:szCs w:val="20"/>
        </w:rPr>
        <w:t>Numerous states and municipalities have also adopted laws and</w:t>
      </w:r>
      <w:r>
        <w:rPr>
          <w:sz w:val="20"/>
          <w:szCs w:val="20"/>
        </w:rPr>
        <w:t xml:space="preserve"> policies on climate change and GHG emission reduction targets. For example, in July 2019, the Climate Leadership and Community Protection Act was signed into law in New York, establishing a statewide climate action framework which includes a target to red</w:t>
      </w:r>
      <w:r>
        <w:rPr>
          <w:sz w:val="20"/>
          <w:szCs w:val="20"/>
        </w:rPr>
        <w:t>uce net GHG emissions to zero by 2050. The SEC has also proposed sweeping climate-change related disclosure rules that, if adopted, would require significant disclosure regarding GHG emissions and would require significant time and expense to collect and p</w:t>
      </w:r>
      <w:r>
        <w:rPr>
          <w:sz w:val="20"/>
          <w:szCs w:val="20"/>
        </w:rPr>
        <w:t>repare the information which may need to be gathered due to new disclosure requirements and any regulatory requirements for independent attestation as to such disclosures</w:t>
      </w:r>
      <w:r>
        <w:rPr>
          <w:sz w:val="20"/>
          <w:szCs w:val="20"/>
        </w:rPr>
        <w:t>.</w:t>
      </w:r>
    </w:p>
    <w:p w14:paraId="645ABA22" w14:textId="77777777" w:rsidR="00000000" w:rsidRDefault="00832D71">
      <w:pPr>
        <w:pStyle w:val="a3"/>
        <w:spacing w:before="240" w:beforeAutospacing="0" w:after="0" w:afterAutospacing="0"/>
        <w:ind w:firstLine="555"/>
        <w:jc w:val="both"/>
        <w:rPr>
          <w:sz w:val="20"/>
          <w:szCs w:val="20"/>
        </w:rPr>
      </w:pPr>
      <w:r>
        <w:rPr>
          <w:sz w:val="20"/>
          <w:szCs w:val="20"/>
        </w:rPr>
        <w:t>The adoption of federal, state or local climate change legislation or regulatory pro</w:t>
      </w:r>
      <w:r>
        <w:rPr>
          <w:sz w:val="20"/>
          <w:szCs w:val="20"/>
        </w:rPr>
        <w:t>grams to reduce emissions of GHGs could require us to incur increased capital and operating costs, with resulting impact on product price and demand. We cannot predict when or in what form climate change legislation provisions and renewable energy standard</w:t>
      </w:r>
      <w:r>
        <w:rPr>
          <w:sz w:val="20"/>
          <w:szCs w:val="20"/>
        </w:rPr>
        <w:t>s may be enacted and what the impact of any such legislation or standards may have on our business, financial conditions or operations in the future. In addition, a possible consequence of climate change is increased volatility in seasonal temperatures. It</w:t>
      </w:r>
      <w:r>
        <w:rPr>
          <w:sz w:val="20"/>
          <w:szCs w:val="20"/>
        </w:rPr>
        <w:t xml:space="preserve"> is difficult to predict how the market for our fuels would be affected by changes in regulations or increased temperature volatility, although if there is an overall trend of warmer winter temperatures, it could adversely affect our business</w:t>
      </w:r>
      <w:r>
        <w:rPr>
          <w:sz w:val="20"/>
          <w:szCs w:val="20"/>
        </w:rPr>
        <w:t>.</w:t>
      </w:r>
    </w:p>
    <w:p w14:paraId="07A39F9E" w14:textId="77777777" w:rsidR="00000000" w:rsidRDefault="00832D71">
      <w:pPr>
        <w:pStyle w:val="a3"/>
        <w:spacing w:before="240" w:beforeAutospacing="0" w:after="0" w:afterAutospacing="0"/>
        <w:ind w:firstLine="555"/>
        <w:jc w:val="both"/>
        <w:rPr>
          <w:sz w:val="20"/>
          <w:szCs w:val="20"/>
        </w:rPr>
      </w:pPr>
      <w:r>
        <w:rPr>
          <w:sz w:val="20"/>
          <w:szCs w:val="20"/>
        </w:rPr>
        <w:t>The generati</w:t>
      </w:r>
      <w:r>
        <w:rPr>
          <w:sz w:val="20"/>
          <w:szCs w:val="20"/>
        </w:rPr>
        <w:t>on and monetization of environmental attributes resulting from our investments in Oberon and IH, our agreement with Adirondack Farms to build an anaerobic digester, and our sale of renewable propane are contingent on several state and federal programs; inc</w:t>
      </w:r>
      <w:r>
        <w:rPr>
          <w:sz w:val="20"/>
          <w:szCs w:val="20"/>
        </w:rPr>
        <w:t>luding the RFS, the Inflation Reduction Act, CA LCFS, OR CFP, and WA CFS. Changes to the enabling legislation and/or changes in the regulations implementing those programs could change, or eliminate, the availability and value of RINs and LCFS Credits. Add</w:t>
      </w:r>
      <w:r>
        <w:rPr>
          <w:sz w:val="20"/>
          <w:szCs w:val="20"/>
        </w:rPr>
        <w:t>itionally, the open markets where RINs and LCFS Credits are traded have experienced volatility over the past year and may experience continued volatility in the future. There is increasing interest at the federal, state, and local level to further regulate</w:t>
      </w:r>
      <w:r>
        <w:rPr>
          <w:sz w:val="20"/>
          <w:szCs w:val="20"/>
        </w:rPr>
        <w:t xml:space="preserve"> GHG emissions by incentivizing the production of renewable energy and disincentivizing the use of fossil fuels. While our emerging renewabl</w:t>
      </w:r>
      <w:r>
        <w:rPr>
          <w:sz w:val="20"/>
          <w:szCs w:val="20"/>
        </w:rPr>
        <w:t>e</w:t>
      </w:r>
      <w:r>
        <w:rPr>
          <w:sz w:val="20"/>
          <w:szCs w:val="20"/>
        </w:rPr>
        <w:t xml:space="preserve"> </w:t>
      </w:r>
    </w:p>
    <w:p w14:paraId="2B2F2E24" w14:textId="77777777" w:rsidR="00000000" w:rsidRDefault="00832D71">
      <w:pPr>
        <w:pStyle w:val="a3"/>
        <w:spacing w:before="0" w:beforeAutospacing="0" w:after="0" w:afterAutospacing="0"/>
        <w:jc w:val="center"/>
        <w:rPr>
          <w:sz w:val="20"/>
          <w:szCs w:val="20"/>
        </w:rPr>
      </w:pPr>
      <w:r>
        <w:rPr>
          <w:sz w:val="20"/>
          <w:szCs w:val="20"/>
        </w:rPr>
        <w:t> </w:t>
      </w:r>
    </w:p>
    <w:p w14:paraId="4C09E854" w14:textId="77777777" w:rsidR="00000000" w:rsidRDefault="00832D71">
      <w:pPr>
        <w:pStyle w:val="a3"/>
        <w:spacing w:before="0" w:beforeAutospacing="0" w:after="0" w:afterAutospacing="0"/>
        <w:jc w:val="center"/>
        <w:rPr>
          <w:sz w:val="20"/>
          <w:szCs w:val="20"/>
        </w:rPr>
      </w:pPr>
      <w:r>
        <w:rPr>
          <w:sz w:val="20"/>
          <w:szCs w:val="20"/>
        </w:rPr>
        <w:t>2</w:t>
      </w:r>
      <w:r>
        <w:rPr>
          <w:sz w:val="20"/>
          <w:szCs w:val="20"/>
        </w:rPr>
        <w:t>0</w:t>
      </w:r>
    </w:p>
    <w:p w14:paraId="3322C2C5" w14:textId="77777777" w:rsidR="00000000" w:rsidRDefault="00832D71">
      <w:pPr>
        <w:rPr>
          <w:rFonts w:eastAsia="Times New Roman"/>
        </w:rPr>
      </w:pPr>
      <w:r>
        <w:rPr>
          <w:rFonts w:eastAsia="Times New Roman"/>
        </w:rPr>
        <w:pict w14:anchorId="66138A81">
          <v:rect id="_x0000_i1047" style="width:0;height:1.5pt" o:hralign="center" o:hrstd="t" o:hr="t" fillcolor="#a0a0a0" stroked="f"/>
        </w:pict>
      </w:r>
    </w:p>
    <w:p w14:paraId="5796DAC1"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5152FA20" w14:textId="77777777" w:rsidR="00000000" w:rsidRDefault="00832D71">
      <w:pPr>
        <w:pStyle w:val="a3"/>
        <w:spacing w:before="240" w:beforeAutospacing="0" w:after="0" w:afterAutospacing="0"/>
        <w:jc w:val="both"/>
        <w:rPr>
          <w:sz w:val="20"/>
          <w:szCs w:val="20"/>
        </w:rPr>
      </w:pPr>
      <w:r>
        <w:rPr>
          <w:sz w:val="20"/>
          <w:szCs w:val="20"/>
        </w:rPr>
        <w:t xml:space="preserve">energy platform may benefit from additional incentives for the growth of renewable energy, our sale of propane, fuel oil and refined fuels, and natural gas may experience significant negative impact from the restrictions placed on the use of fossil fuels. </w:t>
      </w:r>
      <w:r>
        <w:rPr>
          <w:sz w:val="20"/>
          <w:szCs w:val="20"/>
        </w:rPr>
        <w:t>We cannot predict what impact changes to existing federal, state, or local programs designed to reduce GHG emissions and address climate change may have on our business. Nor can we predict what impact the creation of future federal, state, and local progra</w:t>
      </w:r>
      <w:r>
        <w:rPr>
          <w:sz w:val="20"/>
          <w:szCs w:val="20"/>
        </w:rPr>
        <w:t>ms designed to reduce GHG emissions and address climate change will have on our business</w:t>
      </w:r>
      <w:r>
        <w:rPr>
          <w:sz w:val="20"/>
          <w:szCs w:val="20"/>
        </w:rPr>
        <w:t>.</w:t>
      </w:r>
    </w:p>
    <w:p w14:paraId="7752798F" w14:textId="77777777" w:rsidR="00000000" w:rsidRDefault="00832D71">
      <w:pPr>
        <w:pStyle w:val="a3"/>
        <w:spacing w:before="240" w:beforeAutospacing="0" w:after="0" w:afterAutospacing="0"/>
        <w:ind w:firstLine="555"/>
        <w:jc w:val="both"/>
        <w:rPr>
          <w:sz w:val="20"/>
          <w:szCs w:val="20"/>
        </w:rPr>
      </w:pPr>
      <w:r>
        <w:rPr>
          <w:sz w:val="20"/>
          <w:szCs w:val="20"/>
        </w:rPr>
        <w:t>The federal, state and local climate change regulatory landscape is highly complex and rapidly and continuously evolving. Failure to comply with these federal and sta</w:t>
      </w:r>
      <w:r>
        <w:rPr>
          <w:sz w:val="20"/>
          <w:szCs w:val="20"/>
        </w:rPr>
        <w:t>te regulations and future laws and regulations designed to reduce GHG emissions and address climate change, could result in the imposition of higher costs, penalties, fines, or restrictions on our operations. We cannot predict the impact these and future r</w:t>
      </w:r>
      <w:r>
        <w:rPr>
          <w:sz w:val="20"/>
          <w:szCs w:val="20"/>
        </w:rPr>
        <w:t>egulations, and the unattainability, reduction or elimination of government and economic incentives could have on our business, financial conditions or results of operation</w:t>
      </w:r>
      <w:r>
        <w:rPr>
          <w:sz w:val="20"/>
          <w:szCs w:val="20"/>
        </w:rPr>
        <w:t>.</w:t>
      </w:r>
    </w:p>
    <w:p w14:paraId="320E5E48" w14:textId="77777777" w:rsidR="00000000" w:rsidRDefault="00832D71">
      <w:pPr>
        <w:pStyle w:val="a3"/>
        <w:spacing w:before="360" w:beforeAutospacing="0" w:after="0" w:afterAutospacing="0"/>
        <w:jc w:val="both"/>
        <w:rPr>
          <w:sz w:val="20"/>
          <w:szCs w:val="20"/>
        </w:rPr>
      </w:pPr>
      <w:r>
        <w:rPr>
          <w:b/>
          <w:bCs/>
          <w:i/>
          <w:iCs/>
          <w:sz w:val="20"/>
          <w:szCs w:val="20"/>
        </w:rPr>
        <w:t>Our use of derivative contracts involves credit and regulatory risk and may expose</w:t>
      </w:r>
      <w:r>
        <w:rPr>
          <w:b/>
          <w:bCs/>
          <w:i/>
          <w:iCs/>
          <w:sz w:val="20"/>
          <w:szCs w:val="20"/>
        </w:rPr>
        <w:t xml:space="preserve"> us to financial loss</w:t>
      </w:r>
      <w:r>
        <w:rPr>
          <w:b/>
          <w:bCs/>
          <w:i/>
          <w:iCs/>
          <w:sz w:val="20"/>
          <w:szCs w:val="20"/>
        </w:rPr>
        <w:t>.</w:t>
      </w:r>
    </w:p>
    <w:p w14:paraId="6C43C965" w14:textId="77777777" w:rsidR="00000000" w:rsidRDefault="00832D71">
      <w:pPr>
        <w:pStyle w:val="a3"/>
        <w:spacing w:before="120" w:beforeAutospacing="0" w:after="0" w:afterAutospacing="0"/>
        <w:ind w:firstLine="555"/>
        <w:jc w:val="both"/>
        <w:rPr>
          <w:sz w:val="20"/>
          <w:szCs w:val="20"/>
        </w:rPr>
      </w:pPr>
      <w:r>
        <w:rPr>
          <w:sz w:val="20"/>
          <w:szCs w:val="20"/>
        </w:rPr>
        <w:t>From time to time, we enter into hedging transactions to reduce our business risks arising from fluctuations in commodity prices and interest rates. Hedging transactions expose us to risk of financial loss in some circumstances, incl</w:t>
      </w:r>
      <w:r>
        <w:rPr>
          <w:sz w:val="20"/>
          <w:szCs w:val="20"/>
        </w:rPr>
        <w:t>uding if the other party to the contract defaults on its obligations to us or if there is a change in the expected differential between the price of the underlying commodity or financial metric provided in the hedging agreement and the actual amount receiv</w:t>
      </w:r>
      <w:r>
        <w:rPr>
          <w:sz w:val="20"/>
          <w:szCs w:val="20"/>
        </w:rPr>
        <w:t>ed. Transactional, margin, capital, recordkeeping, reporting, clearing and other requirements imposed on parties to derivatives transactions as a result of legislation and related rulemaking may increase our operational and transactional cost of entering i</w:t>
      </w:r>
      <w:r>
        <w:rPr>
          <w:sz w:val="20"/>
          <w:szCs w:val="20"/>
        </w:rPr>
        <w:t xml:space="preserve">nto and maintaining derivatives contracts and may adversely affect the number and/or creditworthiness of derivatives counterparties available to us. If we were to reduce our use of derivatives as a result of regulatory burdens or otherwise, our results of </w:t>
      </w:r>
      <w:r>
        <w:rPr>
          <w:sz w:val="20"/>
          <w:szCs w:val="20"/>
        </w:rPr>
        <w:t>operations could become more volatile and our cash flow could be less predictable</w:t>
      </w:r>
      <w:r>
        <w:rPr>
          <w:sz w:val="20"/>
          <w:szCs w:val="20"/>
        </w:rPr>
        <w:t>.</w:t>
      </w:r>
    </w:p>
    <w:p w14:paraId="7F920E57" w14:textId="77777777" w:rsidR="00000000" w:rsidRDefault="00832D71">
      <w:pPr>
        <w:pStyle w:val="a3"/>
        <w:spacing w:before="360" w:beforeAutospacing="0" w:after="0" w:afterAutospacing="0"/>
        <w:jc w:val="both"/>
        <w:rPr>
          <w:sz w:val="20"/>
          <w:szCs w:val="20"/>
        </w:rPr>
      </w:pPr>
      <w:r>
        <w:rPr>
          <w:b/>
          <w:bCs/>
          <w:i/>
          <w:iCs/>
          <w:sz w:val="20"/>
          <w:szCs w:val="20"/>
        </w:rPr>
        <w:t>Our renewable fuel investment projects are subject to a number of risks, including the willingness of customers to adopt these fuels, the financing, construction and develop</w:t>
      </w:r>
      <w:r>
        <w:rPr>
          <w:b/>
          <w:bCs/>
          <w:i/>
          <w:iCs/>
          <w:sz w:val="20"/>
          <w:szCs w:val="20"/>
        </w:rPr>
        <w:t>ment of facilities, our ability to generate a sufficient return on our investments, our dependence on third-party partners, and increased regulation and dependence on government funding for commercial viability</w:t>
      </w:r>
      <w:r>
        <w:rPr>
          <w:b/>
          <w:bCs/>
          <w:i/>
          <w:iCs/>
          <w:sz w:val="20"/>
          <w:szCs w:val="20"/>
        </w:rPr>
        <w:t>.</w:t>
      </w:r>
      <w:r>
        <w:rPr>
          <w:b/>
          <w:bCs/>
          <w:i/>
          <w:iCs/>
          <w:sz w:val="20"/>
          <w:szCs w:val="20"/>
        </w:rPr>
        <w:t xml:space="preserve"> </w:t>
      </w:r>
    </w:p>
    <w:p w14:paraId="213D1A1E" w14:textId="77777777" w:rsidR="00000000" w:rsidRDefault="00832D71">
      <w:pPr>
        <w:pStyle w:val="a3"/>
        <w:spacing w:before="120" w:beforeAutospacing="0" w:after="0" w:afterAutospacing="0"/>
        <w:ind w:firstLine="555"/>
        <w:jc w:val="both"/>
        <w:rPr>
          <w:sz w:val="20"/>
          <w:szCs w:val="20"/>
        </w:rPr>
      </w:pPr>
      <w:r>
        <w:rPr>
          <w:sz w:val="20"/>
          <w:szCs w:val="20"/>
        </w:rPr>
        <w:t>We have expanded our</w:t>
      </w:r>
      <w:r>
        <w:rPr>
          <w:sz w:val="20"/>
          <w:szCs w:val="20"/>
        </w:rPr>
        <w:t xml:space="preserve"> </w:t>
      </w:r>
      <w:r>
        <w:rPr>
          <w:i/>
          <w:iCs/>
          <w:sz w:val="20"/>
          <w:szCs w:val="20"/>
        </w:rPr>
        <w:t>Go Green with Suburban</w:t>
      </w:r>
      <w:r>
        <w:rPr>
          <w:i/>
          <w:iCs/>
          <w:sz w:val="20"/>
          <w:szCs w:val="20"/>
        </w:rPr>
        <w:t xml:space="preserve"> Propane</w:t>
      </w:r>
      <w:r>
        <w:rPr>
          <w:i/>
          <w:iCs/>
          <w:sz w:val="20"/>
          <w:szCs w:val="20"/>
        </w:rPr>
        <w:t xml:space="preserve"> </w:t>
      </w:r>
      <w:r>
        <w:rPr>
          <w:sz w:val="20"/>
          <w:szCs w:val="20"/>
        </w:rPr>
        <w:t>corporate pillar with our investments in renewable and low-carbon energy sources offered through our investments in Oberon and IH and our agreement to build an anaerobic digester at Adirondack Farms. The success of these businesses is subject to a</w:t>
      </w:r>
      <w:r>
        <w:rPr>
          <w:sz w:val="20"/>
          <w:szCs w:val="20"/>
        </w:rPr>
        <w:t xml:space="preserve"> number of factors and risks, including unpredictability and uncertainty as to the willingness of customers in their intended markets to adopt the use of these fuels, and will be dependent upon perceptions about the benefits of these fuels relative to othe</w:t>
      </w:r>
      <w:r>
        <w:rPr>
          <w:sz w:val="20"/>
          <w:szCs w:val="20"/>
        </w:rPr>
        <w:t>r alternative fuels; increases, decreases or volatility in demand; use and prices of crude oil, gasoline and other fuels and energy sources; and the adoption or expansion of government policies, programs, funding or incentives in favor of these or alternat</w:t>
      </w:r>
      <w:r>
        <w:rPr>
          <w:sz w:val="20"/>
          <w:szCs w:val="20"/>
        </w:rPr>
        <w:t>ive fuels</w:t>
      </w:r>
      <w:r>
        <w:rPr>
          <w:sz w:val="20"/>
          <w:szCs w:val="20"/>
        </w:rPr>
        <w:t>.</w:t>
      </w:r>
      <w:r>
        <w:rPr>
          <w:sz w:val="20"/>
          <w:szCs w:val="20"/>
        </w:rPr>
        <w:t xml:space="preserve"> </w:t>
      </w:r>
    </w:p>
    <w:p w14:paraId="401FA3C6" w14:textId="77777777" w:rsidR="00000000" w:rsidRDefault="00832D71">
      <w:pPr>
        <w:pStyle w:val="a3"/>
        <w:spacing w:before="240" w:beforeAutospacing="0" w:after="0" w:afterAutospacing="0"/>
        <w:ind w:firstLine="555"/>
        <w:jc w:val="both"/>
        <w:rPr>
          <w:sz w:val="20"/>
          <w:szCs w:val="20"/>
        </w:rPr>
      </w:pPr>
      <w:r>
        <w:rPr>
          <w:sz w:val="20"/>
          <w:szCs w:val="20"/>
        </w:rPr>
        <w:t>The success of our existing and future investments in our renewable energy platform will depend on our ability to successfully develop, market and distribute the specific renewable energy products. In addition, the acquisition, financing, const</w:t>
      </w:r>
      <w:r>
        <w:rPr>
          <w:sz w:val="20"/>
          <w:szCs w:val="20"/>
        </w:rPr>
        <w:t>ruction and development of these projects involves numerous risks; including the ability to obtain financing for a project on acceptable terms or at all; difficulties in identifying, obtaining, and permitting suitable sites for new projects; failure to obt</w:t>
      </w:r>
      <w:r>
        <w:rPr>
          <w:sz w:val="20"/>
          <w:szCs w:val="20"/>
        </w:rPr>
        <w:t>ain all necessary rights to land access and use; inaccuracy of assumptions with respect to the cost and schedule for completing construction; delays in deliveries or increases in the price of equipment; permitting and other regulatory issues, license revoc</w:t>
      </w:r>
      <w:r>
        <w:rPr>
          <w:sz w:val="20"/>
          <w:szCs w:val="20"/>
        </w:rPr>
        <w:t>ation and changes in legal requirements. Our development of lower carbon intensity fuels through our investments exposes us to risks related to the supply of and demand for those lower carbon intensity fuels, the cost of capital expenditures, government re</w:t>
      </w:r>
      <w:r>
        <w:rPr>
          <w:sz w:val="20"/>
          <w:szCs w:val="20"/>
        </w:rPr>
        <w:t>gulation, and economic conditions, among other factors. The development of these products may also be negatively affected by production risks resulting from mechanical breakdowns, faulty technology, competitive markets, or changes to the laws and regulatio</w:t>
      </w:r>
      <w:r>
        <w:rPr>
          <w:sz w:val="20"/>
          <w:szCs w:val="20"/>
        </w:rPr>
        <w:t xml:space="preserve">ns that mandate the use of renewable energy sources, and the other regulatory risks discussed above under the caption, </w:t>
      </w:r>
      <w:r>
        <w:rPr>
          <w:sz w:val="20"/>
          <w:szCs w:val="20"/>
        </w:rPr>
        <w:t>“</w:t>
      </w:r>
      <w:r>
        <w:rPr>
          <w:i/>
          <w:iCs/>
          <w:sz w:val="20"/>
          <w:szCs w:val="20"/>
        </w:rPr>
        <w:t>The adoption of climate change legislation could negatively impact our operations and result in increased operating costs and reduced de</w:t>
      </w:r>
      <w:r>
        <w:rPr>
          <w:i/>
          <w:iCs/>
          <w:sz w:val="20"/>
          <w:szCs w:val="20"/>
        </w:rPr>
        <w:t>mand for the products and services we provid</w:t>
      </w:r>
      <w:r>
        <w:rPr>
          <w:i/>
          <w:iCs/>
          <w:sz w:val="20"/>
          <w:szCs w:val="20"/>
        </w:rPr>
        <w:t>e</w:t>
      </w:r>
      <w:r>
        <w:rPr>
          <w:sz w:val="20"/>
          <w:szCs w:val="20"/>
        </w:rPr>
        <w:t>.</w:t>
      </w:r>
      <w:r>
        <w:rPr>
          <w:sz w:val="20"/>
          <w:szCs w:val="20"/>
        </w:rPr>
        <w:t>”</w:t>
      </w:r>
    </w:p>
    <w:p w14:paraId="18DAC996" w14:textId="77777777" w:rsidR="00000000" w:rsidRDefault="00832D71">
      <w:pPr>
        <w:pStyle w:val="a3"/>
        <w:spacing w:before="0" w:beforeAutospacing="0" w:after="0" w:afterAutospacing="0"/>
        <w:jc w:val="center"/>
        <w:rPr>
          <w:sz w:val="20"/>
          <w:szCs w:val="20"/>
        </w:rPr>
      </w:pPr>
      <w:r>
        <w:rPr>
          <w:sz w:val="20"/>
          <w:szCs w:val="20"/>
        </w:rPr>
        <w:t> </w:t>
      </w:r>
    </w:p>
    <w:p w14:paraId="1C742D20" w14:textId="77777777" w:rsidR="00000000" w:rsidRDefault="00832D71">
      <w:pPr>
        <w:pStyle w:val="a3"/>
        <w:spacing w:before="0" w:beforeAutospacing="0" w:after="0" w:afterAutospacing="0"/>
        <w:jc w:val="center"/>
        <w:rPr>
          <w:sz w:val="20"/>
          <w:szCs w:val="20"/>
        </w:rPr>
      </w:pPr>
      <w:r>
        <w:rPr>
          <w:sz w:val="20"/>
          <w:szCs w:val="20"/>
        </w:rPr>
        <w:t>2</w:t>
      </w:r>
      <w:r>
        <w:rPr>
          <w:sz w:val="20"/>
          <w:szCs w:val="20"/>
        </w:rPr>
        <w:t>1</w:t>
      </w:r>
    </w:p>
    <w:p w14:paraId="2FF3EFDB" w14:textId="77777777" w:rsidR="00000000" w:rsidRDefault="00832D71">
      <w:pPr>
        <w:rPr>
          <w:rFonts w:eastAsia="Times New Roman"/>
        </w:rPr>
      </w:pPr>
      <w:r>
        <w:rPr>
          <w:rFonts w:eastAsia="Times New Roman"/>
        </w:rPr>
        <w:pict w14:anchorId="16B56619">
          <v:rect id="_x0000_i1048" style="width:0;height:1.5pt" o:hralign="center" o:hrstd="t" o:hr="t" fillcolor="#a0a0a0" stroked="f"/>
        </w:pict>
      </w:r>
    </w:p>
    <w:p w14:paraId="3C45661F"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4D6B8AA1" w14:textId="77777777" w:rsidR="00000000" w:rsidRDefault="00832D71">
      <w:pPr>
        <w:pStyle w:val="a3"/>
        <w:spacing w:before="360" w:beforeAutospacing="0" w:after="0" w:afterAutospacing="0"/>
        <w:jc w:val="both"/>
        <w:rPr>
          <w:sz w:val="20"/>
          <w:szCs w:val="20"/>
        </w:rPr>
      </w:pPr>
      <w:r>
        <w:rPr>
          <w:b/>
          <w:bCs/>
          <w:i/>
          <w:iCs/>
          <w:sz w:val="20"/>
          <w:szCs w:val="20"/>
        </w:rPr>
        <w:t>We face risks related to our reliance on particular management information systems and communication network</w:t>
      </w:r>
      <w:r>
        <w:rPr>
          <w:b/>
          <w:bCs/>
          <w:i/>
          <w:iCs/>
          <w:sz w:val="20"/>
          <w:szCs w:val="20"/>
        </w:rPr>
        <w:t>s to effectively manage all aspects of our delivery of propane</w:t>
      </w:r>
      <w:r>
        <w:rPr>
          <w:b/>
          <w:bCs/>
          <w:i/>
          <w:iCs/>
          <w:sz w:val="20"/>
          <w:szCs w:val="20"/>
        </w:rPr>
        <w:t>.</w:t>
      </w:r>
    </w:p>
    <w:p w14:paraId="31B21463" w14:textId="77777777" w:rsidR="00000000" w:rsidRDefault="00832D71">
      <w:pPr>
        <w:pStyle w:val="a3"/>
        <w:spacing w:before="120" w:beforeAutospacing="0" w:after="0" w:afterAutospacing="0"/>
        <w:ind w:firstLine="555"/>
        <w:jc w:val="both"/>
        <w:rPr>
          <w:sz w:val="20"/>
          <w:szCs w:val="20"/>
        </w:rPr>
      </w:pPr>
      <w:r>
        <w:rPr>
          <w:sz w:val="20"/>
          <w:szCs w:val="20"/>
        </w:rPr>
        <w:t>We depend heavily on the performance and availability of our management information systems and those of our third-party vendors, websites and network infrastructure to attract and retain cust</w:t>
      </w:r>
      <w:r>
        <w:rPr>
          <w:sz w:val="20"/>
          <w:szCs w:val="20"/>
        </w:rPr>
        <w:t xml:space="preserve">omers, process orders, manage inventory and accounts receivable collections, maintain distributor and customer information, maintain cost-efficient operations, assist in delivering our products on a timely basis and otherwise conduct our business. We have </w:t>
      </w:r>
      <w:r>
        <w:rPr>
          <w:sz w:val="20"/>
          <w:szCs w:val="20"/>
        </w:rPr>
        <w:t>centralized our information systems and we rely on third-party communications service and system providers to provide technology services and link our systems with the business locations these systems were designed to serve. Any failure or disruption in th</w:t>
      </w:r>
      <w:r>
        <w:rPr>
          <w:sz w:val="20"/>
          <w:szCs w:val="20"/>
        </w:rPr>
        <w:t>e availability or operation of those management information systems, loss of employees knowledgeable about such systems, termination of our relationship with one or more of these key third-party providers or failure to continue to modify such systems effec</w:t>
      </w:r>
      <w:r>
        <w:rPr>
          <w:sz w:val="20"/>
          <w:szCs w:val="20"/>
        </w:rPr>
        <w:t>tively as our business expands could create negative publicity that damages our reputation or otherwise adversely impact our ability to manage our business effectively. We may experience system interruptions or disruptions for a variety of reasons, includi</w:t>
      </w:r>
      <w:r>
        <w:rPr>
          <w:sz w:val="20"/>
          <w:szCs w:val="20"/>
        </w:rPr>
        <w:t>ng as the result of network failures, power outages, cyber-attacks, employee errors, software errors, an unusually high volume of visitors attempting to access our systems, or localized conditions such as fire, explosions or power outages or broader geogra</w:t>
      </w:r>
      <w:r>
        <w:rPr>
          <w:sz w:val="20"/>
          <w:szCs w:val="20"/>
        </w:rPr>
        <w:t>phic events such as earthquakes, storms, floods, epidemics, strikes, acts of war, civil unrest or terrorist acts. Because we are dependent in part on independent third parties for the implementation and maintenance of certain aspects of our systems and bec</w:t>
      </w:r>
      <w:r>
        <w:rPr>
          <w:sz w:val="20"/>
          <w:szCs w:val="20"/>
        </w:rPr>
        <w:t>ause some of the causes of system interruptions may be outside of our control, we may not be able to remedy such interruptions in a timely manner, or at all. Our systems’ business continuity plans and insurance programs seek to mitigate such risks, but the</w:t>
      </w:r>
      <w:r>
        <w:rPr>
          <w:sz w:val="20"/>
          <w:szCs w:val="20"/>
        </w:rPr>
        <w:t>y cannot fully eliminate the risks as a failure or disruption could be experienced in any of our information systems</w:t>
      </w:r>
      <w:r>
        <w:rPr>
          <w:sz w:val="20"/>
          <w:szCs w:val="20"/>
        </w:rPr>
        <w:t>.</w:t>
      </w:r>
    </w:p>
    <w:p w14:paraId="17C4E1E6" w14:textId="77777777" w:rsidR="00000000" w:rsidRDefault="00832D71">
      <w:pPr>
        <w:pStyle w:val="a3"/>
        <w:spacing w:before="360" w:beforeAutospacing="0" w:after="0" w:afterAutospacing="0"/>
        <w:jc w:val="both"/>
        <w:rPr>
          <w:sz w:val="20"/>
          <w:szCs w:val="20"/>
        </w:rPr>
      </w:pPr>
      <w:r>
        <w:rPr>
          <w:b/>
          <w:bCs/>
          <w:i/>
          <w:iCs/>
          <w:sz w:val="20"/>
          <w:szCs w:val="20"/>
        </w:rPr>
        <w:t>We face risks related to cybersecurity breaches of our systems and information technology and those of our third-party vendors</w:t>
      </w:r>
      <w:r>
        <w:rPr>
          <w:b/>
          <w:bCs/>
          <w:i/>
          <w:iCs/>
          <w:sz w:val="20"/>
          <w:szCs w:val="20"/>
        </w:rPr>
        <w:t>.</w:t>
      </w:r>
    </w:p>
    <w:p w14:paraId="771AF66A" w14:textId="77777777" w:rsidR="00000000" w:rsidRDefault="00832D71">
      <w:pPr>
        <w:pStyle w:val="a3"/>
        <w:spacing w:before="120" w:beforeAutospacing="0" w:after="0" w:afterAutospacing="0"/>
        <w:ind w:firstLine="816"/>
        <w:jc w:val="both"/>
        <w:rPr>
          <w:sz w:val="20"/>
          <w:szCs w:val="20"/>
        </w:rPr>
      </w:pPr>
      <w:r>
        <w:rPr>
          <w:sz w:val="20"/>
          <w:szCs w:val="20"/>
        </w:rPr>
        <w:t>Cybersecur</w:t>
      </w:r>
      <w:r>
        <w:rPr>
          <w:sz w:val="20"/>
          <w:szCs w:val="20"/>
        </w:rPr>
        <w:t>ity threats to network and data security are becoming increasingly diverse and sophisticated. As threats become more frequent, intense and sophisticated, the costs of proactive defensive measures may increase as we seek to continue to protect our managemen</w:t>
      </w:r>
      <w:r>
        <w:rPr>
          <w:sz w:val="20"/>
          <w:szCs w:val="20"/>
        </w:rPr>
        <w:t>t information systems, websites and network. Third parties may have the technology or expertise to breach the security that we use to protect our customer transaction data and our security measures may not prevent physical security or cybersecurity breache</w:t>
      </w:r>
      <w:r>
        <w:rPr>
          <w:sz w:val="20"/>
          <w:szCs w:val="20"/>
        </w:rPr>
        <w:t xml:space="preserve">s, which could result in significant harm to our business, our reputation or our results of operations. We rely on encryption and/or authentication technology licensed from and, at times, administered by independent third parties to secure transmission of </w:t>
      </w:r>
      <w:r>
        <w:rPr>
          <w:sz w:val="20"/>
          <w:szCs w:val="20"/>
        </w:rPr>
        <w:t>confidential information, including personally identifiable information. Our outsourcing agreements with these third-party service providers generally require that they utilize adequate security systems to protect our confidential information. However, adv</w:t>
      </w:r>
      <w:r>
        <w:rPr>
          <w:sz w:val="20"/>
          <w:szCs w:val="20"/>
        </w:rPr>
        <w:t>ances in computer capabilities, new discoveries in the field of cryptography or other cybersecurity developments could render our security systems and information technology, or those used by our third-party service providers, vulnerable to a breach. In ad</w:t>
      </w:r>
      <w:r>
        <w:rPr>
          <w:sz w:val="20"/>
          <w:szCs w:val="20"/>
        </w:rPr>
        <w:t>dition, anyone who is able to circumvent our security measures could misappropriate proprietary information or cause interruptions in our operations. Risks of cybersecurity incidents caused by malicious third parties using sophisticated, targeted methods t</w:t>
      </w:r>
      <w:r>
        <w:rPr>
          <w:sz w:val="20"/>
          <w:szCs w:val="20"/>
        </w:rPr>
        <w:t>o circumvent firewalls, encryption, and other security defenses, could include hacking, viruses, malicious software, ransomware, phishing attacks, denial of service attacks and other attempts to capture, disrupt or gain unauthorized access to data are rapi</w:t>
      </w:r>
      <w:r>
        <w:rPr>
          <w:sz w:val="20"/>
          <w:szCs w:val="20"/>
        </w:rPr>
        <w:t>dly evolving and could lead to disruptions in our management information systems, websites or other data processing systems, unauthorized release of confidential or otherwise protected information or corruption of data. The techniques used by third parties</w:t>
      </w:r>
      <w:r>
        <w:rPr>
          <w:sz w:val="20"/>
          <w:szCs w:val="20"/>
        </w:rPr>
        <w:t xml:space="preserve"> change frequently and may be difficult to detect for long periods of time. In addition, dependence upon automated systems may further increase the risk that operational system flaws, employee tampering or manipulation of those systems will result in losse</w:t>
      </w:r>
      <w:r>
        <w:rPr>
          <w:sz w:val="20"/>
          <w:szCs w:val="20"/>
        </w:rPr>
        <w:t>s that are difficult to detect or recoup. To the extent customer data is hacked or misappropriated, we could be subject to liability to affected persons. Any successful efforts by individuals to infiltrate, break into, disrupt, damage or otherwise steal fr</w:t>
      </w:r>
      <w:r>
        <w:rPr>
          <w:sz w:val="20"/>
          <w:szCs w:val="20"/>
        </w:rPr>
        <w:t>om us or our third-party service providers’ security or information systems could damage our reputation and expose us to increased costs, litigation or other liability that could adversely impact our financial condition or results of operations</w:t>
      </w:r>
      <w:r>
        <w:rPr>
          <w:sz w:val="20"/>
          <w:szCs w:val="20"/>
        </w:rPr>
        <w:t>.</w:t>
      </w:r>
    </w:p>
    <w:p w14:paraId="606C33BF" w14:textId="77777777" w:rsidR="00000000" w:rsidRDefault="00832D71">
      <w:pPr>
        <w:pStyle w:val="a3"/>
        <w:spacing w:before="360" w:beforeAutospacing="0" w:after="0" w:afterAutospacing="0"/>
        <w:jc w:val="both"/>
        <w:rPr>
          <w:sz w:val="20"/>
          <w:szCs w:val="20"/>
        </w:rPr>
      </w:pPr>
      <w:r>
        <w:rPr>
          <w:b/>
          <w:bCs/>
          <w:i/>
          <w:iCs/>
          <w:sz w:val="20"/>
          <w:szCs w:val="20"/>
        </w:rPr>
        <w:t>The COVID-</w:t>
      </w:r>
      <w:r>
        <w:rPr>
          <w:b/>
          <w:bCs/>
          <w:i/>
          <w:iCs/>
          <w:sz w:val="20"/>
          <w:szCs w:val="20"/>
        </w:rPr>
        <w:t>19 pandemic has adversely impacted our business, as well as the operations of our customers and suppliers and may continue to impact us in the future</w:t>
      </w:r>
      <w:r>
        <w:rPr>
          <w:b/>
          <w:bCs/>
          <w:i/>
          <w:iCs/>
          <w:sz w:val="20"/>
          <w:szCs w:val="20"/>
        </w:rPr>
        <w:t>.</w:t>
      </w:r>
    </w:p>
    <w:p w14:paraId="320A0E50" w14:textId="77777777" w:rsidR="00000000" w:rsidRDefault="00832D71">
      <w:pPr>
        <w:pStyle w:val="a3"/>
        <w:spacing w:before="120" w:beforeAutospacing="0" w:after="0" w:afterAutospacing="0"/>
        <w:ind w:firstLine="555"/>
        <w:jc w:val="both"/>
        <w:rPr>
          <w:sz w:val="20"/>
          <w:szCs w:val="20"/>
        </w:rPr>
      </w:pPr>
      <w:r>
        <w:rPr>
          <w:sz w:val="20"/>
          <w:szCs w:val="20"/>
        </w:rPr>
        <w:t>The ongoing global spread of COVID-19, and variants thereof, and the fear that has been created and continues has resulted in significant economic uncertainty, significant declines in business and consumer confidence, negative impacts and disruptions to ou</w:t>
      </w:r>
      <w:r>
        <w:rPr>
          <w:sz w:val="20"/>
          <w:szCs w:val="20"/>
        </w:rPr>
        <w:t>r operations and those of our customers and suppliers. The degree of disruption associated with the COVID-19 pandemic has been and remains difficult to predict due to many factors, including</w:t>
      </w:r>
      <w:r>
        <w:rPr>
          <w:sz w:val="20"/>
          <w:szCs w:val="20"/>
        </w:rPr>
        <w:t>:</w:t>
      </w:r>
    </w:p>
    <w:p w14:paraId="46D3EA6E" w14:textId="77777777" w:rsidR="00000000" w:rsidRDefault="00832D71">
      <w:pPr>
        <w:jc w:val="both"/>
        <w:divId w:val="151063091"/>
        <w:rPr>
          <w:rFonts w:eastAsia="Times New Roman"/>
        </w:rPr>
      </w:pPr>
      <w:r>
        <w:rPr>
          <w:rFonts w:eastAsia="Times New Roman"/>
          <w:sz w:val="20"/>
          <w:szCs w:val="20"/>
        </w:rPr>
        <w:t>•</w:t>
      </w:r>
    </w:p>
    <w:p w14:paraId="4AD54FDB" w14:textId="77777777" w:rsidR="00000000" w:rsidRDefault="00832D71">
      <w:pPr>
        <w:jc w:val="both"/>
        <w:divId w:val="1731659797"/>
        <w:rPr>
          <w:rFonts w:eastAsia="Times New Roman"/>
        </w:rPr>
      </w:pPr>
      <w:r>
        <w:rPr>
          <w:rFonts w:eastAsia="Times New Roman"/>
          <w:sz w:val="20"/>
          <w:szCs w:val="20"/>
        </w:rPr>
        <w:t>the scope and uncertainty surrounding the magnitude and durati</w:t>
      </w:r>
      <w:r>
        <w:rPr>
          <w:rFonts w:eastAsia="Times New Roman"/>
          <w:sz w:val="20"/>
          <w:szCs w:val="20"/>
        </w:rPr>
        <w:t>on of the pandemic</w:t>
      </w:r>
      <w:r>
        <w:rPr>
          <w:rFonts w:eastAsia="Times New Roman"/>
          <w:sz w:val="20"/>
          <w:szCs w:val="20"/>
        </w:rPr>
        <w:t>;</w:t>
      </w:r>
    </w:p>
    <w:p w14:paraId="746572DA" w14:textId="77777777" w:rsidR="00000000" w:rsidRDefault="00832D71">
      <w:pPr>
        <w:jc w:val="both"/>
        <w:divId w:val="1115714403"/>
        <w:rPr>
          <w:rFonts w:eastAsia="Times New Roman"/>
        </w:rPr>
      </w:pPr>
      <w:r>
        <w:rPr>
          <w:rFonts w:eastAsia="Times New Roman"/>
          <w:sz w:val="20"/>
          <w:szCs w:val="20"/>
        </w:rPr>
        <w:t>•</w:t>
      </w:r>
    </w:p>
    <w:p w14:paraId="72F3FD6B" w14:textId="77777777" w:rsidR="00000000" w:rsidRDefault="00832D71">
      <w:pPr>
        <w:jc w:val="both"/>
        <w:divId w:val="1179270090"/>
        <w:rPr>
          <w:rFonts w:eastAsia="Times New Roman"/>
        </w:rPr>
      </w:pPr>
      <w:r>
        <w:rPr>
          <w:rFonts w:eastAsia="Times New Roman"/>
          <w:sz w:val="20"/>
          <w:szCs w:val="20"/>
        </w:rPr>
        <w:t>the spread and severity of the pandemic</w:t>
      </w:r>
      <w:r>
        <w:rPr>
          <w:rFonts w:eastAsia="Times New Roman"/>
          <w:sz w:val="20"/>
          <w:szCs w:val="20"/>
        </w:rPr>
        <w:t>;</w:t>
      </w:r>
    </w:p>
    <w:p w14:paraId="154DE530" w14:textId="77777777" w:rsidR="00000000" w:rsidRDefault="00832D71">
      <w:pPr>
        <w:jc w:val="both"/>
        <w:divId w:val="265118421"/>
        <w:rPr>
          <w:rFonts w:eastAsia="Times New Roman"/>
        </w:rPr>
      </w:pPr>
      <w:r>
        <w:rPr>
          <w:rFonts w:eastAsia="Times New Roman"/>
          <w:sz w:val="20"/>
          <w:szCs w:val="20"/>
        </w:rPr>
        <w:t>•</w:t>
      </w:r>
    </w:p>
    <w:p w14:paraId="685E2AE4" w14:textId="77777777" w:rsidR="00000000" w:rsidRDefault="00832D71">
      <w:pPr>
        <w:jc w:val="both"/>
        <w:divId w:val="1249387409"/>
        <w:rPr>
          <w:rFonts w:eastAsia="Times New Roman"/>
        </w:rPr>
      </w:pPr>
      <w:r>
        <w:rPr>
          <w:rFonts w:eastAsia="Times New Roman"/>
          <w:sz w:val="20"/>
          <w:szCs w:val="20"/>
        </w:rPr>
        <w:t>the availability, adoption and protection provided by vaccines</w:t>
      </w:r>
      <w:r>
        <w:rPr>
          <w:rFonts w:eastAsia="Times New Roman"/>
          <w:sz w:val="20"/>
          <w:szCs w:val="20"/>
        </w:rPr>
        <w:t>;</w:t>
      </w:r>
    </w:p>
    <w:p w14:paraId="7FA05F77" w14:textId="77777777" w:rsidR="00000000" w:rsidRDefault="00832D71">
      <w:pPr>
        <w:jc w:val="both"/>
        <w:divId w:val="1941906592"/>
        <w:rPr>
          <w:rFonts w:eastAsia="Times New Roman"/>
        </w:rPr>
      </w:pPr>
      <w:r>
        <w:rPr>
          <w:rFonts w:eastAsia="Times New Roman"/>
          <w:sz w:val="20"/>
          <w:szCs w:val="20"/>
        </w:rPr>
        <w:t>•</w:t>
      </w:r>
    </w:p>
    <w:p w14:paraId="467B54FC" w14:textId="77777777" w:rsidR="00000000" w:rsidRDefault="00832D71">
      <w:pPr>
        <w:jc w:val="both"/>
        <w:divId w:val="612245469"/>
        <w:rPr>
          <w:rFonts w:eastAsia="Times New Roman"/>
        </w:rPr>
      </w:pPr>
      <w:r>
        <w:rPr>
          <w:rFonts w:eastAsia="Times New Roman"/>
          <w:sz w:val="20"/>
          <w:szCs w:val="20"/>
        </w:rPr>
        <w:t>the emergence and severity of any new COVID-19 variants</w:t>
      </w:r>
      <w:r>
        <w:rPr>
          <w:rFonts w:eastAsia="Times New Roman"/>
          <w:sz w:val="20"/>
          <w:szCs w:val="20"/>
        </w:rPr>
        <w:t>;</w:t>
      </w:r>
    </w:p>
    <w:p w14:paraId="04783206" w14:textId="77777777" w:rsidR="00000000" w:rsidRDefault="00832D71">
      <w:pPr>
        <w:jc w:val="both"/>
        <w:divId w:val="1618485731"/>
        <w:rPr>
          <w:rFonts w:eastAsia="Times New Roman"/>
        </w:rPr>
      </w:pPr>
      <w:r>
        <w:rPr>
          <w:rFonts w:eastAsia="Times New Roman"/>
          <w:sz w:val="20"/>
          <w:szCs w:val="20"/>
        </w:rPr>
        <w:t>•</w:t>
      </w:r>
    </w:p>
    <w:p w14:paraId="1223C7EE" w14:textId="77777777" w:rsidR="00000000" w:rsidRDefault="00832D71">
      <w:pPr>
        <w:jc w:val="both"/>
        <w:divId w:val="767038968"/>
        <w:rPr>
          <w:rFonts w:eastAsia="Times New Roman"/>
        </w:rPr>
      </w:pPr>
      <w:r>
        <w:rPr>
          <w:rFonts w:eastAsia="Times New Roman"/>
          <w:sz w:val="20"/>
          <w:szCs w:val="20"/>
        </w:rPr>
        <w:t>governmental actions that have been and may continue to be imposed</w:t>
      </w:r>
      <w:r>
        <w:rPr>
          <w:rFonts w:eastAsia="Times New Roman"/>
          <w:sz w:val="20"/>
          <w:szCs w:val="20"/>
        </w:rPr>
        <w:t xml:space="preserve"> on businesses such as ours; an</w:t>
      </w:r>
      <w:r>
        <w:rPr>
          <w:rFonts w:eastAsia="Times New Roman"/>
          <w:sz w:val="20"/>
          <w:szCs w:val="20"/>
        </w:rPr>
        <w:t>d</w:t>
      </w:r>
    </w:p>
    <w:p w14:paraId="01B9AE56" w14:textId="77777777" w:rsidR="00000000" w:rsidRDefault="00832D71">
      <w:pPr>
        <w:jc w:val="both"/>
        <w:divId w:val="598373079"/>
        <w:rPr>
          <w:rFonts w:eastAsia="Times New Roman"/>
        </w:rPr>
      </w:pPr>
      <w:r>
        <w:rPr>
          <w:rFonts w:eastAsia="Times New Roman"/>
          <w:sz w:val="20"/>
          <w:szCs w:val="20"/>
        </w:rPr>
        <w:t>•</w:t>
      </w:r>
    </w:p>
    <w:p w14:paraId="4B61C78C" w14:textId="77777777" w:rsidR="00000000" w:rsidRDefault="00832D71">
      <w:pPr>
        <w:jc w:val="both"/>
        <w:divId w:val="181475631"/>
        <w:rPr>
          <w:rFonts w:eastAsia="Times New Roman"/>
        </w:rPr>
      </w:pPr>
      <w:r>
        <w:rPr>
          <w:rFonts w:eastAsia="Times New Roman"/>
          <w:sz w:val="20"/>
          <w:szCs w:val="20"/>
        </w:rPr>
        <w:t>the rate and sustainability of economic recovery after the pandemic subsides.</w:t>
      </w:r>
      <w:r>
        <w:rPr>
          <w:rFonts w:eastAsia="Times New Roman"/>
          <w:sz w:val="20"/>
          <w:szCs w:val="20"/>
        </w:rPr>
        <w:t xml:space="preserve"> </w:t>
      </w:r>
    </w:p>
    <w:p w14:paraId="01312972" w14:textId="77777777" w:rsidR="00000000" w:rsidRDefault="00832D71">
      <w:pPr>
        <w:pStyle w:val="a3"/>
        <w:spacing w:before="0" w:beforeAutospacing="0" w:after="0" w:afterAutospacing="0"/>
        <w:jc w:val="center"/>
        <w:rPr>
          <w:sz w:val="20"/>
          <w:szCs w:val="20"/>
        </w:rPr>
      </w:pPr>
      <w:r>
        <w:rPr>
          <w:sz w:val="20"/>
          <w:szCs w:val="20"/>
        </w:rPr>
        <w:t> </w:t>
      </w:r>
    </w:p>
    <w:p w14:paraId="560FADE4" w14:textId="77777777" w:rsidR="00000000" w:rsidRDefault="00832D71">
      <w:pPr>
        <w:pStyle w:val="a3"/>
        <w:spacing w:before="0" w:beforeAutospacing="0" w:after="0" w:afterAutospacing="0"/>
        <w:jc w:val="center"/>
        <w:rPr>
          <w:sz w:val="20"/>
          <w:szCs w:val="20"/>
        </w:rPr>
      </w:pPr>
      <w:r>
        <w:rPr>
          <w:sz w:val="20"/>
          <w:szCs w:val="20"/>
        </w:rPr>
        <w:t>2</w:t>
      </w:r>
      <w:r>
        <w:rPr>
          <w:sz w:val="20"/>
          <w:szCs w:val="20"/>
        </w:rPr>
        <w:t>2</w:t>
      </w:r>
    </w:p>
    <w:p w14:paraId="328ED581" w14:textId="77777777" w:rsidR="00000000" w:rsidRDefault="00832D71">
      <w:pPr>
        <w:rPr>
          <w:rFonts w:eastAsia="Times New Roman"/>
        </w:rPr>
      </w:pPr>
      <w:r>
        <w:rPr>
          <w:rFonts w:eastAsia="Times New Roman"/>
        </w:rPr>
        <w:pict w14:anchorId="481A862D">
          <v:rect id="_x0000_i1049" style="width:0;height:1.5pt" o:hralign="center" o:hrstd="t" o:hr="t" fillcolor="#a0a0a0" stroked="f"/>
        </w:pict>
      </w:r>
    </w:p>
    <w:p w14:paraId="2CA1745B"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48F98D44" w14:textId="77777777" w:rsidR="00000000" w:rsidRDefault="00832D71">
      <w:pPr>
        <w:pStyle w:val="a3"/>
        <w:spacing w:before="240" w:beforeAutospacing="0" w:after="0" w:afterAutospacing="0"/>
        <w:ind w:firstLine="555"/>
        <w:jc w:val="both"/>
        <w:rPr>
          <w:sz w:val="20"/>
          <w:szCs w:val="20"/>
        </w:rPr>
      </w:pPr>
      <w:r>
        <w:rPr>
          <w:sz w:val="20"/>
          <w:szCs w:val="20"/>
        </w:rPr>
        <w:t>Our operations could be negatively affecte</w:t>
      </w:r>
      <w:r>
        <w:rPr>
          <w:sz w:val="20"/>
          <w:szCs w:val="20"/>
        </w:rPr>
        <w:t>d in the future if, among others, a significant number of our employees, or employees who perform critical functions, become ill and/or are quarantined as the result of exposure to COVID-19 or any related variants, or if government policies restrict the ab</w:t>
      </w:r>
      <w:r>
        <w:rPr>
          <w:sz w:val="20"/>
          <w:szCs w:val="20"/>
        </w:rPr>
        <w:t>ility of our employees to perform their critical functions or require employers to impose vaccine mandates on their employees, who in turn resign or otherwise leave their positions for other businesses that are not required to impose employee vaccinations.</w:t>
      </w:r>
      <w:r>
        <w:rPr>
          <w:sz w:val="20"/>
          <w:szCs w:val="20"/>
        </w:rPr>
        <w:t xml:space="preserve"> We are also unable to predict the extent to which the pandemic may continue to impact our operations, as well as our customers and suppliers and their financial conditions. The unpredictable nature and uncertainty of the current COVID-19 pandemic could al</w:t>
      </w:r>
      <w:r>
        <w:rPr>
          <w:sz w:val="20"/>
          <w:szCs w:val="20"/>
        </w:rPr>
        <w:t>so magnify and exacerbate the other risks discussed elsewhere in this “Risk Factors” section</w:t>
      </w:r>
      <w:r>
        <w:rPr>
          <w:sz w:val="20"/>
          <w:szCs w:val="20"/>
        </w:rPr>
        <w:t>.</w:t>
      </w:r>
    </w:p>
    <w:p w14:paraId="28AD4B1D" w14:textId="77777777" w:rsidR="00000000" w:rsidRDefault="00832D71">
      <w:pPr>
        <w:pStyle w:val="a3"/>
        <w:spacing w:before="360" w:beforeAutospacing="0" w:after="0" w:afterAutospacing="0"/>
        <w:jc w:val="center"/>
        <w:rPr>
          <w:sz w:val="20"/>
          <w:szCs w:val="20"/>
        </w:rPr>
      </w:pPr>
      <w:r>
        <w:rPr>
          <w:b/>
          <w:bCs/>
          <w:sz w:val="20"/>
          <w:szCs w:val="20"/>
          <w:u w:val="single"/>
        </w:rPr>
        <w:t>RISKS RELATED TO OUR INDEBTEDNESS AND ACCESS TO CAPITA</w:t>
      </w:r>
      <w:r>
        <w:rPr>
          <w:b/>
          <w:bCs/>
          <w:sz w:val="20"/>
          <w:szCs w:val="20"/>
          <w:u w:val="single"/>
        </w:rPr>
        <w:t>L</w:t>
      </w:r>
    </w:p>
    <w:p w14:paraId="1B27501C" w14:textId="77777777" w:rsidR="00000000" w:rsidRDefault="00832D71">
      <w:pPr>
        <w:pStyle w:val="a3"/>
        <w:spacing w:before="240" w:beforeAutospacing="0" w:after="0" w:afterAutospacing="0"/>
        <w:jc w:val="both"/>
        <w:rPr>
          <w:sz w:val="20"/>
          <w:szCs w:val="20"/>
        </w:rPr>
      </w:pPr>
      <w:r>
        <w:rPr>
          <w:b/>
          <w:bCs/>
          <w:i/>
          <w:iCs/>
          <w:sz w:val="20"/>
          <w:szCs w:val="20"/>
        </w:rPr>
        <w:t>We face risks related to our current and future debt obligations that may limit our ability to make distributions to Unitholders, as well as our financial flexibility</w:t>
      </w:r>
      <w:r>
        <w:rPr>
          <w:b/>
          <w:bCs/>
          <w:i/>
          <w:iCs/>
          <w:sz w:val="20"/>
          <w:szCs w:val="20"/>
        </w:rPr>
        <w:t>.</w:t>
      </w:r>
    </w:p>
    <w:p w14:paraId="4E38FAF8" w14:textId="77777777" w:rsidR="00000000" w:rsidRDefault="00832D71">
      <w:pPr>
        <w:pStyle w:val="a3"/>
        <w:spacing w:before="120" w:beforeAutospacing="0" w:after="0" w:afterAutospacing="0"/>
        <w:ind w:firstLine="555"/>
        <w:jc w:val="both"/>
        <w:rPr>
          <w:sz w:val="20"/>
          <w:szCs w:val="20"/>
        </w:rPr>
      </w:pPr>
      <w:r>
        <w:rPr>
          <w:sz w:val="20"/>
          <w:szCs w:val="20"/>
        </w:rPr>
        <w:t>As of September 24, 2022, our long-term debt consisted of $350.0 million in aggregate pr</w:t>
      </w:r>
      <w:r>
        <w:rPr>
          <w:sz w:val="20"/>
          <w:szCs w:val="20"/>
        </w:rPr>
        <w:t>incipal amount of 5.875% senior notes due March 1, 2027, $650.0 million in aggregate principal amount of 5.0% senior notes due June 1, 2031 and $89.6 million outstanding under our $500.0 million senior secured revolving credit facility. The payment of prin</w:t>
      </w:r>
      <w:r>
        <w:rPr>
          <w:sz w:val="20"/>
          <w:szCs w:val="20"/>
        </w:rPr>
        <w:t>cipal and interest on our debt will reduce the cash available to make distributions on our Common Units. In addition, we will not be able to make any distributions to holders of our Common Units if there is, or after giving effect to such distribution, the</w:t>
      </w:r>
      <w:r>
        <w:rPr>
          <w:sz w:val="20"/>
          <w:szCs w:val="20"/>
        </w:rPr>
        <w:t xml:space="preserve">re would be, an event of default under the indentures governing the senior notes or the senior secured revolving credit facility. The amount of distributions that we may make to holders of our Common Units is limited by the senior notes, and the amount of </w:t>
      </w:r>
      <w:r>
        <w:rPr>
          <w:sz w:val="20"/>
          <w:szCs w:val="20"/>
        </w:rPr>
        <w:t>distributions that the Operating Partnership may make to us is limited by our revolving credit facility</w:t>
      </w:r>
      <w:r>
        <w:rPr>
          <w:sz w:val="20"/>
          <w:szCs w:val="20"/>
        </w:rPr>
        <w:t>.</w:t>
      </w:r>
    </w:p>
    <w:p w14:paraId="7B00C9CB" w14:textId="77777777" w:rsidR="00000000" w:rsidRDefault="00832D71">
      <w:pPr>
        <w:pStyle w:val="a3"/>
        <w:spacing w:before="240" w:beforeAutospacing="0" w:after="0" w:afterAutospacing="0"/>
        <w:ind w:firstLine="555"/>
        <w:jc w:val="both"/>
        <w:rPr>
          <w:sz w:val="20"/>
          <w:szCs w:val="20"/>
        </w:rPr>
      </w:pPr>
      <w:r>
        <w:rPr>
          <w:sz w:val="20"/>
          <w:szCs w:val="20"/>
        </w:rPr>
        <w:t>The revolving credit facility and the senior notes both contain various restrictive and affirmative covenants applicable to us, the Operating Partnersh</w:t>
      </w:r>
      <w:r>
        <w:rPr>
          <w:sz w:val="20"/>
          <w:szCs w:val="20"/>
        </w:rPr>
        <w:t>ip and its subsidiaries, respectively, including (i) restrictions on the incurrence of additional indebtedness, and (ii) restrictions on certain liens, investments, guarantees, loans, advances, payments, mergers, consolidations, distributions, sales of ass</w:t>
      </w:r>
      <w:r>
        <w:rPr>
          <w:sz w:val="20"/>
          <w:szCs w:val="20"/>
        </w:rPr>
        <w:t>ets and other transactions. The revolving credit facility contains certain financial covenants</w:t>
      </w:r>
      <w:r>
        <w:rPr>
          <w:sz w:val="20"/>
          <w:szCs w:val="20"/>
        </w:rPr>
        <w:t>:</w:t>
      </w:r>
      <w:r>
        <w:rPr>
          <w:sz w:val="20"/>
          <w:szCs w:val="20"/>
        </w:rPr>
        <w:t xml:space="preserve"> </w:t>
      </w:r>
    </w:p>
    <w:p w14:paraId="684A5872" w14:textId="77777777" w:rsidR="00000000" w:rsidRDefault="00832D71">
      <w:pPr>
        <w:jc w:val="both"/>
        <w:divId w:val="39742496"/>
        <w:rPr>
          <w:rFonts w:eastAsia="Times New Roman"/>
        </w:rPr>
      </w:pPr>
      <w:r>
        <w:rPr>
          <w:rFonts w:eastAsia="Times New Roman"/>
          <w:sz w:val="20"/>
          <w:szCs w:val="20"/>
        </w:rPr>
        <w:t>•</w:t>
      </w:r>
    </w:p>
    <w:p w14:paraId="072FF63E" w14:textId="77777777" w:rsidR="00000000" w:rsidRDefault="00832D71">
      <w:pPr>
        <w:jc w:val="both"/>
        <w:divId w:val="1466584753"/>
        <w:rPr>
          <w:rFonts w:eastAsia="Times New Roman"/>
        </w:rPr>
      </w:pPr>
      <w:r>
        <w:rPr>
          <w:rFonts w:eastAsia="Times New Roman"/>
          <w:sz w:val="20"/>
          <w:szCs w:val="20"/>
        </w:rPr>
        <w:t>requiring our consolidated interest coverage ratio, as defined, to be not less than 2.5 to 1.0 as of the end of any fiscal quarter</w:t>
      </w:r>
      <w:r>
        <w:rPr>
          <w:rFonts w:eastAsia="Times New Roman"/>
          <w:sz w:val="20"/>
          <w:szCs w:val="20"/>
        </w:rPr>
        <w:t>;</w:t>
      </w:r>
    </w:p>
    <w:p w14:paraId="5606606B" w14:textId="77777777" w:rsidR="00000000" w:rsidRDefault="00832D71">
      <w:pPr>
        <w:jc w:val="both"/>
        <w:divId w:val="2010399473"/>
        <w:rPr>
          <w:rFonts w:eastAsia="Times New Roman"/>
        </w:rPr>
      </w:pPr>
      <w:r>
        <w:rPr>
          <w:rFonts w:eastAsia="Times New Roman"/>
          <w:sz w:val="20"/>
          <w:szCs w:val="20"/>
        </w:rPr>
        <w:t>•</w:t>
      </w:r>
    </w:p>
    <w:p w14:paraId="4DADD60B" w14:textId="77777777" w:rsidR="00000000" w:rsidRDefault="00832D71">
      <w:pPr>
        <w:jc w:val="both"/>
        <w:divId w:val="993219319"/>
        <w:rPr>
          <w:rFonts w:eastAsia="Times New Roman"/>
        </w:rPr>
      </w:pPr>
      <w:r>
        <w:rPr>
          <w:rFonts w:eastAsia="Times New Roman"/>
          <w:sz w:val="20"/>
          <w:szCs w:val="20"/>
        </w:rPr>
        <w:t>prohibiting our total c</w:t>
      </w:r>
      <w:r>
        <w:rPr>
          <w:rFonts w:eastAsia="Times New Roman"/>
          <w:sz w:val="20"/>
          <w:szCs w:val="20"/>
        </w:rPr>
        <w:t>onsolidated leverage ratio, as defined, from being greater than 5.75 to 1.0 as of the end of any fiscal quarter</w:t>
      </w:r>
      <w:r>
        <w:rPr>
          <w:rFonts w:eastAsia="Times New Roman"/>
          <w:sz w:val="20"/>
          <w:szCs w:val="20"/>
        </w:rPr>
        <w:t>;</w:t>
      </w:r>
    </w:p>
    <w:p w14:paraId="20F9306D" w14:textId="77777777" w:rsidR="00000000" w:rsidRDefault="00832D71">
      <w:pPr>
        <w:jc w:val="both"/>
        <w:divId w:val="285433056"/>
        <w:rPr>
          <w:rFonts w:eastAsia="Times New Roman"/>
        </w:rPr>
      </w:pPr>
      <w:r>
        <w:rPr>
          <w:rFonts w:eastAsia="Times New Roman"/>
          <w:sz w:val="20"/>
          <w:szCs w:val="20"/>
        </w:rPr>
        <w:t>•</w:t>
      </w:r>
    </w:p>
    <w:p w14:paraId="12C38391" w14:textId="77777777" w:rsidR="00000000" w:rsidRDefault="00832D71">
      <w:pPr>
        <w:jc w:val="both"/>
        <w:divId w:val="630091781"/>
        <w:rPr>
          <w:rFonts w:eastAsia="Times New Roman"/>
        </w:rPr>
      </w:pPr>
      <w:r>
        <w:rPr>
          <w:rFonts w:eastAsia="Times New Roman"/>
          <w:sz w:val="20"/>
          <w:szCs w:val="20"/>
        </w:rPr>
        <w:t>prohibiting the senior secured consolidated leverage ratio, as defined, of the Operating Partnership from being greater than 3.25 to 1.0 as of the end of any fiscal quarter.</w:t>
      </w:r>
      <w:r>
        <w:rPr>
          <w:rFonts w:eastAsia="Times New Roman"/>
          <w:sz w:val="20"/>
          <w:szCs w:val="20"/>
        </w:rPr>
        <w:t xml:space="preserve"> </w:t>
      </w:r>
    </w:p>
    <w:p w14:paraId="719B0D77" w14:textId="77777777" w:rsidR="00000000" w:rsidRDefault="00832D71">
      <w:pPr>
        <w:pStyle w:val="a3"/>
        <w:spacing w:before="240" w:beforeAutospacing="0" w:after="0" w:afterAutospacing="0"/>
        <w:ind w:firstLine="555"/>
        <w:jc w:val="both"/>
        <w:rPr>
          <w:sz w:val="20"/>
          <w:szCs w:val="20"/>
        </w:rPr>
      </w:pPr>
      <w:r>
        <w:rPr>
          <w:sz w:val="20"/>
          <w:szCs w:val="20"/>
        </w:rPr>
        <w:t>Under the indentures governing the senior notes, we are generally permitted to ma</w:t>
      </w:r>
      <w:r>
        <w:rPr>
          <w:sz w:val="20"/>
          <w:szCs w:val="20"/>
        </w:rPr>
        <w:t>ke cash distributions equal to available cash, as defined, as of the end of the immediately preceding quarter, if no event of default exists or would exist upon making such distributions, and our consolidated fixed charge coverage ratio, as defined, is gre</w:t>
      </w:r>
      <w:r>
        <w:rPr>
          <w:sz w:val="20"/>
          <w:szCs w:val="20"/>
        </w:rPr>
        <w:t>ater than 1.75 to 1. We and the Operating Partnership were in compliance with all covenants and terms of the senior notes and the revolving credit facility as of September 24, 2022</w:t>
      </w:r>
      <w:r>
        <w:rPr>
          <w:sz w:val="20"/>
          <w:szCs w:val="20"/>
        </w:rPr>
        <w:t>.</w:t>
      </w:r>
      <w:r>
        <w:rPr>
          <w:sz w:val="20"/>
          <w:szCs w:val="20"/>
        </w:rPr>
        <w:t xml:space="preserve"> </w:t>
      </w:r>
    </w:p>
    <w:p w14:paraId="64608C7C" w14:textId="77777777" w:rsidR="00000000" w:rsidRDefault="00832D71">
      <w:pPr>
        <w:pStyle w:val="a3"/>
        <w:spacing w:before="240" w:beforeAutospacing="0" w:after="0" w:afterAutospacing="0"/>
        <w:ind w:firstLine="555"/>
        <w:jc w:val="both"/>
        <w:rPr>
          <w:sz w:val="20"/>
          <w:szCs w:val="20"/>
        </w:rPr>
      </w:pPr>
      <w:r>
        <w:rPr>
          <w:sz w:val="20"/>
          <w:szCs w:val="20"/>
        </w:rPr>
        <w:t>The amount and terms of our debt may also adversely affect our ability to</w:t>
      </w:r>
      <w:r>
        <w:rPr>
          <w:sz w:val="20"/>
          <w:szCs w:val="20"/>
        </w:rPr>
        <w:t xml:space="preserve"> finance future operations and capital needs, limit our ability to pursue acquisitions and other business opportunities and make our results of operations more susceptible to adverse economic and industry conditions. In addition to our outstanding indebted</w:t>
      </w:r>
      <w:r>
        <w:rPr>
          <w:sz w:val="20"/>
          <w:szCs w:val="20"/>
        </w:rPr>
        <w:t>ness, we may in the future require additional debt to finance acquisitions or for general business purposes; however, credit market conditions may impact our ability to access such financing. If we are unable to access needed financing or to generate suffi</w:t>
      </w:r>
      <w:r>
        <w:rPr>
          <w:sz w:val="20"/>
          <w:szCs w:val="20"/>
        </w:rPr>
        <w:t xml:space="preserve">cient cash from operations, we may be required to abandon certain projects or curtail capital expenditures. Additional debt, where it is available, could result in an increase in our leverage. Our ability to make principal and interest payments depends on </w:t>
      </w:r>
      <w:r>
        <w:rPr>
          <w:sz w:val="20"/>
          <w:szCs w:val="20"/>
        </w:rPr>
        <w:t>our future performance, which is subject to many factors, some of which are beyond our control. As interest expense increases (whether due to an increase in interest rates and/or the size of aggregate outstanding debt), our ability to fund distributions on</w:t>
      </w:r>
      <w:r>
        <w:rPr>
          <w:sz w:val="20"/>
          <w:szCs w:val="20"/>
        </w:rPr>
        <w:t xml:space="preserve"> our Common Units may be impacted, depending on the level of revenue generation, which is not assured</w:t>
      </w:r>
      <w:r>
        <w:rPr>
          <w:sz w:val="20"/>
          <w:szCs w:val="20"/>
        </w:rPr>
        <w:t>.</w:t>
      </w:r>
    </w:p>
    <w:p w14:paraId="66FA4D6E" w14:textId="77777777" w:rsidR="00000000" w:rsidRDefault="00832D71">
      <w:pPr>
        <w:pStyle w:val="a3"/>
        <w:spacing w:before="360" w:beforeAutospacing="0" w:after="0" w:afterAutospacing="0"/>
        <w:jc w:val="both"/>
        <w:rPr>
          <w:sz w:val="20"/>
          <w:szCs w:val="20"/>
        </w:rPr>
      </w:pPr>
      <w:r>
        <w:rPr>
          <w:b/>
          <w:bCs/>
          <w:i/>
          <w:iCs/>
          <w:sz w:val="20"/>
          <w:szCs w:val="20"/>
        </w:rPr>
        <w:t>Our operating results and ability to generate sufficient cash flow to pay principal and interest on our indebtedness, and to pay distributions to Unithol</w:t>
      </w:r>
      <w:r>
        <w:rPr>
          <w:b/>
          <w:bCs/>
          <w:i/>
          <w:iCs/>
          <w:sz w:val="20"/>
          <w:szCs w:val="20"/>
        </w:rPr>
        <w:t>ders, may be affected by our ability to continue to control expenses</w:t>
      </w:r>
      <w:r>
        <w:rPr>
          <w:b/>
          <w:bCs/>
          <w:i/>
          <w:iCs/>
          <w:sz w:val="20"/>
          <w:szCs w:val="20"/>
        </w:rPr>
        <w:t>.</w:t>
      </w:r>
    </w:p>
    <w:p w14:paraId="2B7973BE" w14:textId="77777777" w:rsidR="00000000" w:rsidRDefault="00832D71">
      <w:pPr>
        <w:pStyle w:val="a3"/>
        <w:spacing w:before="120" w:beforeAutospacing="0" w:after="0" w:afterAutospacing="0"/>
        <w:ind w:firstLine="555"/>
        <w:jc w:val="both"/>
        <w:rPr>
          <w:sz w:val="20"/>
          <w:szCs w:val="20"/>
        </w:rPr>
      </w:pPr>
      <w:r>
        <w:rPr>
          <w:sz w:val="20"/>
          <w:szCs w:val="20"/>
        </w:rPr>
        <w:t>The propane and fuel oil industries are mature and highly fragmented with competition from other multi-state marketers and thousands of smaller local independent marketers. Demand for pr</w:t>
      </w:r>
      <w:r>
        <w:rPr>
          <w:sz w:val="20"/>
          <w:szCs w:val="20"/>
        </w:rPr>
        <w:t>opane and fuel oil is expected to be affected by many factors beyond our control, including, but not limited to, the severity and length of weather conditions during the peak heating season, customer energy conservation driven by high energy costs and othe</w:t>
      </w:r>
      <w:r>
        <w:rPr>
          <w:sz w:val="20"/>
          <w:szCs w:val="20"/>
        </w:rPr>
        <w:t>r economic factors, as well as technological advances impacting energy efficiency. Accordingly, our propane and fuel oil sales volumes and related gross margins may be negatively affected by these factors beyond our control. Our operating profits and abili</w:t>
      </w:r>
      <w:r>
        <w:rPr>
          <w:sz w:val="20"/>
          <w:szCs w:val="20"/>
        </w:rPr>
        <w:t>ty to generate sufficient cash flow may depend on our ability to continue to control expenses in line with sales volumes. We can give no assurance that we will be able to continue to control expenses to the extent necessary to reduce any negative impact on</w:t>
      </w:r>
      <w:r>
        <w:rPr>
          <w:sz w:val="20"/>
          <w:szCs w:val="20"/>
        </w:rPr>
        <w:t xml:space="preserve"> our profitability and cash flow from these factors</w:t>
      </w:r>
      <w:r>
        <w:rPr>
          <w:sz w:val="20"/>
          <w:szCs w:val="20"/>
        </w:rPr>
        <w:t>.</w:t>
      </w:r>
    </w:p>
    <w:p w14:paraId="6D5A0062" w14:textId="77777777" w:rsidR="00000000" w:rsidRDefault="00832D71">
      <w:pPr>
        <w:pStyle w:val="a3"/>
        <w:spacing w:before="0" w:beforeAutospacing="0" w:after="0" w:afterAutospacing="0"/>
        <w:jc w:val="center"/>
        <w:rPr>
          <w:sz w:val="20"/>
          <w:szCs w:val="20"/>
        </w:rPr>
      </w:pPr>
      <w:r>
        <w:rPr>
          <w:sz w:val="20"/>
          <w:szCs w:val="20"/>
        </w:rPr>
        <w:t> </w:t>
      </w:r>
    </w:p>
    <w:p w14:paraId="30CDB0EE" w14:textId="77777777" w:rsidR="00000000" w:rsidRDefault="00832D71">
      <w:pPr>
        <w:pStyle w:val="a3"/>
        <w:spacing w:before="0" w:beforeAutospacing="0" w:after="0" w:afterAutospacing="0"/>
        <w:jc w:val="center"/>
        <w:rPr>
          <w:sz w:val="20"/>
          <w:szCs w:val="20"/>
        </w:rPr>
      </w:pPr>
      <w:r>
        <w:rPr>
          <w:sz w:val="20"/>
          <w:szCs w:val="20"/>
        </w:rPr>
        <w:t>2</w:t>
      </w:r>
      <w:r>
        <w:rPr>
          <w:sz w:val="20"/>
          <w:szCs w:val="20"/>
        </w:rPr>
        <w:t>3</w:t>
      </w:r>
    </w:p>
    <w:p w14:paraId="5E0961B7" w14:textId="77777777" w:rsidR="00000000" w:rsidRDefault="00832D71">
      <w:pPr>
        <w:rPr>
          <w:rFonts w:eastAsia="Times New Roman"/>
        </w:rPr>
      </w:pPr>
      <w:r>
        <w:rPr>
          <w:rFonts w:eastAsia="Times New Roman"/>
        </w:rPr>
        <w:pict w14:anchorId="3C9A55EC">
          <v:rect id="_x0000_i1050" style="width:0;height:1.5pt" o:hralign="center" o:hrstd="t" o:hr="t" fillcolor="#a0a0a0" stroked="f"/>
        </w:pict>
      </w:r>
    </w:p>
    <w:p w14:paraId="28F69FB8"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185A2173" w14:textId="77777777" w:rsidR="00000000" w:rsidRDefault="00832D71">
      <w:pPr>
        <w:pStyle w:val="a3"/>
        <w:spacing w:before="360" w:beforeAutospacing="0" w:after="0" w:afterAutospacing="0"/>
        <w:jc w:val="both"/>
        <w:rPr>
          <w:sz w:val="20"/>
          <w:szCs w:val="20"/>
        </w:rPr>
      </w:pPr>
      <w:r>
        <w:rPr>
          <w:b/>
          <w:bCs/>
          <w:i/>
          <w:iCs/>
          <w:sz w:val="20"/>
          <w:szCs w:val="20"/>
        </w:rPr>
        <w:t>Disruptions in the capital and credit markets, including the availability and cost of debt and equity is</w:t>
      </w:r>
      <w:r>
        <w:rPr>
          <w:b/>
          <w:bCs/>
          <w:i/>
          <w:iCs/>
          <w:sz w:val="20"/>
          <w:szCs w:val="20"/>
        </w:rPr>
        <w:t>suances for liquidity requirements, may adversely affect our ability to meet long-term commitments and our ability to hedge effectively, any of which could adversely affect our results of operations, cash flows and financial condition</w:t>
      </w:r>
      <w:r>
        <w:rPr>
          <w:b/>
          <w:bCs/>
          <w:i/>
          <w:iCs/>
          <w:sz w:val="20"/>
          <w:szCs w:val="20"/>
        </w:rPr>
        <w:t>.</w:t>
      </w:r>
    </w:p>
    <w:p w14:paraId="54C1F6D1" w14:textId="77777777" w:rsidR="00000000" w:rsidRDefault="00832D71">
      <w:pPr>
        <w:pStyle w:val="a3"/>
        <w:spacing w:before="120" w:beforeAutospacing="0" w:after="0" w:afterAutospacing="0"/>
        <w:ind w:firstLine="555"/>
        <w:jc w:val="both"/>
        <w:rPr>
          <w:sz w:val="20"/>
          <w:szCs w:val="20"/>
        </w:rPr>
      </w:pPr>
      <w:r>
        <w:rPr>
          <w:sz w:val="20"/>
          <w:szCs w:val="20"/>
        </w:rPr>
        <w:t>We rely on our ability to access the capital and credit markets at rates and terms reasonable to us. A disruption in the capital and credit markets or increased volatility could impair our ability to access capital and credit markets at rates and terms acc</w:t>
      </w:r>
      <w:r>
        <w:rPr>
          <w:sz w:val="20"/>
          <w:szCs w:val="20"/>
        </w:rPr>
        <w:t>eptable to us or not at all. This could limit our ability to refinance long-term debt at or in advance of maturities or could force us to access capital and credit markets at rates or terms normally considered to be unreasonable</w:t>
      </w:r>
      <w:r>
        <w:rPr>
          <w:sz w:val="20"/>
          <w:szCs w:val="20"/>
        </w:rPr>
        <w:t>.</w:t>
      </w:r>
    </w:p>
    <w:p w14:paraId="3026990D" w14:textId="77777777" w:rsidR="00000000" w:rsidRDefault="00832D71">
      <w:pPr>
        <w:pStyle w:val="a3"/>
        <w:spacing w:before="360" w:beforeAutospacing="0" w:after="0" w:afterAutospacing="0"/>
        <w:jc w:val="center"/>
        <w:rPr>
          <w:sz w:val="20"/>
          <w:szCs w:val="20"/>
        </w:rPr>
      </w:pPr>
      <w:r>
        <w:rPr>
          <w:b/>
          <w:bCs/>
          <w:sz w:val="20"/>
          <w:szCs w:val="20"/>
          <w:u w:val="single"/>
        </w:rPr>
        <w:t>RISKS RELATED TO OUR COMMO</w:t>
      </w:r>
      <w:r>
        <w:rPr>
          <w:b/>
          <w:bCs/>
          <w:sz w:val="20"/>
          <w:szCs w:val="20"/>
          <w:u w:val="single"/>
        </w:rPr>
        <w:t>N UNIT</w:t>
      </w:r>
      <w:r>
        <w:rPr>
          <w:b/>
          <w:bCs/>
          <w:sz w:val="20"/>
          <w:szCs w:val="20"/>
          <w:u w:val="single"/>
        </w:rPr>
        <w:t>S</w:t>
      </w:r>
    </w:p>
    <w:p w14:paraId="53CA5B7E" w14:textId="77777777" w:rsidR="00000000" w:rsidRDefault="00832D71">
      <w:pPr>
        <w:pStyle w:val="a3"/>
        <w:spacing w:before="240" w:beforeAutospacing="0" w:after="0" w:afterAutospacing="0"/>
        <w:jc w:val="both"/>
        <w:rPr>
          <w:sz w:val="20"/>
          <w:szCs w:val="20"/>
        </w:rPr>
      </w:pPr>
      <w:r>
        <w:rPr>
          <w:b/>
          <w:bCs/>
          <w:i/>
          <w:iCs/>
          <w:sz w:val="20"/>
          <w:szCs w:val="20"/>
        </w:rPr>
        <w:t>Cash distributions are not guaranteed and may fluctuate with our performance and other external factors</w:t>
      </w:r>
      <w:r>
        <w:rPr>
          <w:b/>
          <w:bCs/>
          <w:i/>
          <w:iCs/>
          <w:sz w:val="20"/>
          <w:szCs w:val="20"/>
        </w:rPr>
        <w:t>.</w:t>
      </w:r>
    </w:p>
    <w:p w14:paraId="1524CD76" w14:textId="77777777" w:rsidR="00000000" w:rsidRDefault="00832D71">
      <w:pPr>
        <w:pStyle w:val="a3"/>
        <w:spacing w:before="120" w:beforeAutospacing="0" w:after="0" w:afterAutospacing="0"/>
        <w:ind w:firstLine="555"/>
        <w:jc w:val="both"/>
        <w:rPr>
          <w:sz w:val="20"/>
          <w:szCs w:val="20"/>
        </w:rPr>
      </w:pPr>
      <w:r>
        <w:rPr>
          <w:sz w:val="20"/>
          <w:szCs w:val="20"/>
        </w:rPr>
        <w:t>Cash distributions on our Common Units are not guaranteed, and depend primarily on our cash flow and our cash on hand. Because they are not dir</w:t>
      </w:r>
      <w:r>
        <w:rPr>
          <w:sz w:val="20"/>
          <w:szCs w:val="20"/>
        </w:rPr>
        <w:t>ectly dependent on profitability, which is affected by non-cash items, our cash distributions might be made during periods when we record losses and might not be made during periods when we record profits</w:t>
      </w:r>
      <w:r>
        <w:rPr>
          <w:sz w:val="20"/>
          <w:szCs w:val="20"/>
        </w:rPr>
        <w:t>.</w:t>
      </w:r>
    </w:p>
    <w:p w14:paraId="3FEAF5CB" w14:textId="77777777" w:rsidR="00000000" w:rsidRDefault="00832D71">
      <w:pPr>
        <w:pStyle w:val="a3"/>
        <w:spacing w:before="240" w:beforeAutospacing="0" w:after="0" w:afterAutospacing="0"/>
        <w:ind w:firstLine="555"/>
        <w:jc w:val="both"/>
        <w:rPr>
          <w:sz w:val="20"/>
          <w:szCs w:val="20"/>
        </w:rPr>
      </w:pPr>
      <w:r>
        <w:rPr>
          <w:sz w:val="20"/>
          <w:szCs w:val="20"/>
        </w:rPr>
        <w:t>The amount of cash we generate may fluctuate based</w:t>
      </w:r>
      <w:r>
        <w:rPr>
          <w:sz w:val="20"/>
          <w:szCs w:val="20"/>
        </w:rPr>
        <w:t xml:space="preserve"> on our performance and other factors, including</w:t>
      </w:r>
      <w:r>
        <w:rPr>
          <w:sz w:val="20"/>
          <w:szCs w:val="20"/>
        </w:rPr>
        <w:t>:</w:t>
      </w:r>
    </w:p>
    <w:p w14:paraId="33E442FD" w14:textId="77777777" w:rsidR="00000000" w:rsidRDefault="00832D71">
      <w:pPr>
        <w:jc w:val="both"/>
        <w:divId w:val="1577128016"/>
        <w:rPr>
          <w:rFonts w:eastAsia="Times New Roman"/>
        </w:rPr>
      </w:pPr>
      <w:r>
        <w:rPr>
          <w:rFonts w:eastAsia="Times New Roman"/>
          <w:sz w:val="20"/>
          <w:szCs w:val="20"/>
        </w:rPr>
        <w:t>•</w:t>
      </w:r>
    </w:p>
    <w:p w14:paraId="56EAC05F" w14:textId="77777777" w:rsidR="00000000" w:rsidRDefault="00832D71">
      <w:pPr>
        <w:jc w:val="both"/>
        <w:divId w:val="316343972"/>
        <w:rPr>
          <w:rFonts w:eastAsia="Times New Roman"/>
        </w:rPr>
      </w:pPr>
      <w:r>
        <w:rPr>
          <w:rFonts w:eastAsia="Times New Roman"/>
          <w:sz w:val="20"/>
          <w:szCs w:val="20"/>
        </w:rPr>
        <w:t>the impact of the risks inherent in our business operations, as described above</w:t>
      </w:r>
      <w:r>
        <w:rPr>
          <w:rFonts w:eastAsia="Times New Roman"/>
          <w:sz w:val="20"/>
          <w:szCs w:val="20"/>
        </w:rPr>
        <w:t>;</w:t>
      </w:r>
    </w:p>
    <w:p w14:paraId="06E2DBE6" w14:textId="77777777" w:rsidR="00000000" w:rsidRDefault="00832D71">
      <w:pPr>
        <w:jc w:val="both"/>
        <w:divId w:val="1281691084"/>
        <w:rPr>
          <w:rFonts w:eastAsia="Times New Roman"/>
        </w:rPr>
      </w:pPr>
      <w:r>
        <w:rPr>
          <w:rFonts w:eastAsia="Times New Roman"/>
          <w:sz w:val="20"/>
          <w:szCs w:val="20"/>
        </w:rPr>
        <w:t>•</w:t>
      </w:r>
    </w:p>
    <w:p w14:paraId="481AC2CC" w14:textId="77777777" w:rsidR="00000000" w:rsidRDefault="00832D71">
      <w:pPr>
        <w:jc w:val="both"/>
        <w:divId w:val="1648513242"/>
        <w:rPr>
          <w:rFonts w:eastAsia="Times New Roman"/>
        </w:rPr>
      </w:pPr>
      <w:r>
        <w:rPr>
          <w:rFonts w:eastAsia="Times New Roman"/>
          <w:sz w:val="20"/>
          <w:szCs w:val="20"/>
        </w:rPr>
        <w:t>required principal and interest payments on our debt and restrictions contained in our debt instruments</w:t>
      </w:r>
      <w:r>
        <w:rPr>
          <w:rFonts w:eastAsia="Times New Roman"/>
          <w:sz w:val="20"/>
          <w:szCs w:val="20"/>
        </w:rPr>
        <w:t>;</w:t>
      </w:r>
    </w:p>
    <w:p w14:paraId="45AFE772" w14:textId="77777777" w:rsidR="00000000" w:rsidRDefault="00832D71">
      <w:pPr>
        <w:jc w:val="both"/>
        <w:divId w:val="1463841832"/>
        <w:rPr>
          <w:rFonts w:eastAsia="Times New Roman"/>
        </w:rPr>
      </w:pPr>
      <w:r>
        <w:rPr>
          <w:rFonts w:eastAsia="Times New Roman"/>
          <w:sz w:val="20"/>
          <w:szCs w:val="20"/>
        </w:rPr>
        <w:t>•</w:t>
      </w:r>
    </w:p>
    <w:p w14:paraId="084EEA5E" w14:textId="77777777" w:rsidR="00000000" w:rsidRDefault="00832D71">
      <w:pPr>
        <w:jc w:val="both"/>
        <w:divId w:val="1299534015"/>
        <w:rPr>
          <w:rFonts w:eastAsia="Times New Roman"/>
        </w:rPr>
      </w:pPr>
      <w:r>
        <w:rPr>
          <w:rFonts w:eastAsia="Times New Roman"/>
          <w:sz w:val="20"/>
          <w:szCs w:val="20"/>
        </w:rPr>
        <w:t>issuances of d</w:t>
      </w:r>
      <w:r>
        <w:rPr>
          <w:rFonts w:eastAsia="Times New Roman"/>
          <w:sz w:val="20"/>
          <w:szCs w:val="20"/>
        </w:rPr>
        <w:t>ebt and equity securities</w:t>
      </w:r>
      <w:r>
        <w:rPr>
          <w:rFonts w:eastAsia="Times New Roman"/>
          <w:sz w:val="20"/>
          <w:szCs w:val="20"/>
        </w:rPr>
        <w:t>;</w:t>
      </w:r>
    </w:p>
    <w:p w14:paraId="5681C57B" w14:textId="77777777" w:rsidR="00000000" w:rsidRDefault="00832D71">
      <w:pPr>
        <w:jc w:val="both"/>
        <w:divId w:val="2130737710"/>
        <w:rPr>
          <w:rFonts w:eastAsia="Times New Roman"/>
        </w:rPr>
      </w:pPr>
      <w:r>
        <w:rPr>
          <w:rFonts w:eastAsia="Times New Roman"/>
          <w:sz w:val="20"/>
          <w:szCs w:val="20"/>
        </w:rPr>
        <w:t>•</w:t>
      </w:r>
    </w:p>
    <w:p w14:paraId="4B81D567" w14:textId="77777777" w:rsidR="00000000" w:rsidRDefault="00832D71">
      <w:pPr>
        <w:jc w:val="both"/>
        <w:divId w:val="1177967148"/>
        <w:rPr>
          <w:rFonts w:eastAsia="Times New Roman"/>
        </w:rPr>
      </w:pPr>
      <w:r>
        <w:rPr>
          <w:rFonts w:eastAsia="Times New Roman"/>
          <w:sz w:val="20"/>
          <w:szCs w:val="20"/>
        </w:rPr>
        <w:t>our ability to control expenses</w:t>
      </w:r>
      <w:r>
        <w:rPr>
          <w:rFonts w:eastAsia="Times New Roman"/>
          <w:sz w:val="20"/>
          <w:szCs w:val="20"/>
        </w:rPr>
        <w:t>;</w:t>
      </w:r>
    </w:p>
    <w:p w14:paraId="4EE4A277" w14:textId="77777777" w:rsidR="00000000" w:rsidRDefault="00832D71">
      <w:pPr>
        <w:jc w:val="both"/>
        <w:divId w:val="1848322893"/>
        <w:rPr>
          <w:rFonts w:eastAsia="Times New Roman"/>
        </w:rPr>
      </w:pPr>
      <w:r>
        <w:rPr>
          <w:rFonts w:eastAsia="Times New Roman"/>
          <w:sz w:val="20"/>
          <w:szCs w:val="20"/>
        </w:rPr>
        <w:t>•</w:t>
      </w:r>
    </w:p>
    <w:p w14:paraId="34398519" w14:textId="77777777" w:rsidR="00000000" w:rsidRDefault="00832D71">
      <w:pPr>
        <w:jc w:val="both"/>
        <w:divId w:val="1591618846"/>
        <w:rPr>
          <w:rFonts w:eastAsia="Times New Roman"/>
        </w:rPr>
      </w:pPr>
      <w:r>
        <w:rPr>
          <w:rFonts w:eastAsia="Times New Roman"/>
          <w:sz w:val="20"/>
          <w:szCs w:val="20"/>
        </w:rPr>
        <w:t>fluctuations in working capital</w:t>
      </w:r>
      <w:r>
        <w:rPr>
          <w:rFonts w:eastAsia="Times New Roman"/>
          <w:sz w:val="20"/>
          <w:szCs w:val="20"/>
        </w:rPr>
        <w:t>;</w:t>
      </w:r>
    </w:p>
    <w:p w14:paraId="1DB3F011" w14:textId="77777777" w:rsidR="00000000" w:rsidRDefault="00832D71">
      <w:pPr>
        <w:jc w:val="both"/>
        <w:divId w:val="539630807"/>
        <w:rPr>
          <w:rFonts w:eastAsia="Times New Roman"/>
        </w:rPr>
      </w:pPr>
      <w:r>
        <w:rPr>
          <w:rFonts w:eastAsia="Times New Roman"/>
          <w:sz w:val="20"/>
          <w:szCs w:val="20"/>
        </w:rPr>
        <w:t>•</w:t>
      </w:r>
    </w:p>
    <w:p w14:paraId="1B0D89CE" w14:textId="77777777" w:rsidR="00000000" w:rsidRDefault="00832D71">
      <w:pPr>
        <w:jc w:val="both"/>
        <w:divId w:val="1320230875"/>
        <w:rPr>
          <w:rFonts w:eastAsia="Times New Roman"/>
        </w:rPr>
      </w:pPr>
      <w:r>
        <w:rPr>
          <w:rFonts w:eastAsia="Times New Roman"/>
          <w:sz w:val="20"/>
          <w:szCs w:val="20"/>
        </w:rPr>
        <w:t>capital expenditures; an</w:t>
      </w:r>
      <w:r>
        <w:rPr>
          <w:rFonts w:eastAsia="Times New Roman"/>
          <w:sz w:val="20"/>
          <w:szCs w:val="20"/>
        </w:rPr>
        <w:t>d</w:t>
      </w:r>
    </w:p>
    <w:p w14:paraId="716C5E34" w14:textId="77777777" w:rsidR="00000000" w:rsidRDefault="00832D71">
      <w:pPr>
        <w:jc w:val="both"/>
        <w:divId w:val="1838763530"/>
        <w:rPr>
          <w:rFonts w:eastAsia="Times New Roman"/>
        </w:rPr>
      </w:pPr>
      <w:r>
        <w:rPr>
          <w:rFonts w:eastAsia="Times New Roman"/>
          <w:sz w:val="20"/>
          <w:szCs w:val="20"/>
        </w:rPr>
        <w:t>•</w:t>
      </w:r>
    </w:p>
    <w:p w14:paraId="6566DDD6" w14:textId="77777777" w:rsidR="00000000" w:rsidRDefault="00832D71">
      <w:pPr>
        <w:jc w:val="both"/>
        <w:divId w:val="1769496329"/>
        <w:rPr>
          <w:rFonts w:eastAsia="Times New Roman"/>
        </w:rPr>
      </w:pPr>
      <w:r>
        <w:rPr>
          <w:rFonts w:eastAsia="Times New Roman"/>
          <w:sz w:val="20"/>
          <w:szCs w:val="20"/>
        </w:rPr>
        <w:t>financial, business and other factors, a number of which may be beyond our control</w:t>
      </w:r>
      <w:r>
        <w:rPr>
          <w:rFonts w:eastAsia="Times New Roman"/>
          <w:sz w:val="20"/>
          <w:szCs w:val="20"/>
        </w:rPr>
        <w:t>.</w:t>
      </w:r>
    </w:p>
    <w:p w14:paraId="365938C7" w14:textId="77777777" w:rsidR="00000000" w:rsidRDefault="00832D71">
      <w:pPr>
        <w:pStyle w:val="a3"/>
        <w:spacing w:before="240" w:beforeAutospacing="0" w:after="0" w:afterAutospacing="0"/>
        <w:ind w:firstLine="555"/>
        <w:jc w:val="both"/>
        <w:rPr>
          <w:sz w:val="20"/>
          <w:szCs w:val="20"/>
        </w:rPr>
      </w:pPr>
      <w:r>
        <w:rPr>
          <w:sz w:val="20"/>
          <w:szCs w:val="20"/>
        </w:rPr>
        <w:t xml:space="preserve">Our Partnership Agreement gives our Board of </w:t>
      </w:r>
      <w:r>
        <w:rPr>
          <w:sz w:val="20"/>
          <w:szCs w:val="20"/>
        </w:rPr>
        <w:t>Supervisors broad discretion in establishing cash reserves for, among other things, the proper conduct of our business. These cash reserves will affect the amount of cash available for distributions</w:t>
      </w:r>
      <w:r>
        <w:rPr>
          <w:sz w:val="20"/>
          <w:szCs w:val="20"/>
        </w:rPr>
        <w:t>.</w:t>
      </w:r>
    </w:p>
    <w:p w14:paraId="17E40290" w14:textId="77777777" w:rsidR="00000000" w:rsidRDefault="00832D71">
      <w:pPr>
        <w:pStyle w:val="a3"/>
        <w:spacing w:before="360" w:beforeAutospacing="0" w:after="0" w:afterAutospacing="0"/>
        <w:jc w:val="both"/>
        <w:rPr>
          <w:sz w:val="20"/>
          <w:szCs w:val="20"/>
        </w:rPr>
      </w:pPr>
      <w:r>
        <w:rPr>
          <w:b/>
          <w:bCs/>
          <w:i/>
          <w:iCs/>
          <w:sz w:val="20"/>
          <w:szCs w:val="20"/>
        </w:rPr>
        <w:t>Unitholders have limited voting rights</w:t>
      </w:r>
      <w:r>
        <w:rPr>
          <w:b/>
          <w:bCs/>
          <w:i/>
          <w:iCs/>
          <w:sz w:val="20"/>
          <w:szCs w:val="20"/>
        </w:rPr>
        <w:t>.</w:t>
      </w:r>
    </w:p>
    <w:p w14:paraId="214300BE" w14:textId="77777777" w:rsidR="00000000" w:rsidRDefault="00832D71">
      <w:pPr>
        <w:pStyle w:val="a3"/>
        <w:spacing w:before="120" w:beforeAutospacing="0" w:after="0" w:afterAutospacing="0"/>
        <w:ind w:firstLine="555"/>
        <w:jc w:val="both"/>
        <w:rPr>
          <w:sz w:val="20"/>
          <w:szCs w:val="20"/>
        </w:rPr>
      </w:pPr>
      <w:r>
        <w:rPr>
          <w:sz w:val="20"/>
          <w:szCs w:val="20"/>
        </w:rPr>
        <w:t>A Board of Supervisors governs our operations. Unitholders have only limited voting rights on matters affecting our business, including the right to elect the members of our Board of Supervisors every three years and the right to vote on the removal of the</w:t>
      </w:r>
      <w:r>
        <w:rPr>
          <w:sz w:val="20"/>
          <w:szCs w:val="20"/>
        </w:rPr>
        <w:t xml:space="preserve"> general partner</w:t>
      </w:r>
      <w:r>
        <w:rPr>
          <w:sz w:val="20"/>
          <w:szCs w:val="20"/>
        </w:rPr>
        <w:t>.</w:t>
      </w:r>
    </w:p>
    <w:p w14:paraId="228035DE" w14:textId="77777777" w:rsidR="00000000" w:rsidRDefault="00832D71">
      <w:pPr>
        <w:pStyle w:val="a3"/>
        <w:spacing w:before="360" w:beforeAutospacing="0" w:after="0" w:afterAutospacing="0"/>
        <w:jc w:val="both"/>
        <w:rPr>
          <w:sz w:val="20"/>
          <w:szCs w:val="20"/>
        </w:rPr>
      </w:pPr>
      <w:r>
        <w:rPr>
          <w:b/>
          <w:bCs/>
          <w:i/>
          <w:iCs/>
          <w:sz w:val="20"/>
          <w:szCs w:val="20"/>
        </w:rPr>
        <w:t>It may be difficult for a third party to acquire us, even if doing so would be beneficial to our Unitholders</w:t>
      </w:r>
      <w:r>
        <w:rPr>
          <w:b/>
          <w:bCs/>
          <w:i/>
          <w:iCs/>
          <w:sz w:val="20"/>
          <w:szCs w:val="20"/>
        </w:rPr>
        <w:t>.</w:t>
      </w:r>
    </w:p>
    <w:p w14:paraId="2B9F4C02" w14:textId="77777777" w:rsidR="00000000" w:rsidRDefault="00832D71">
      <w:pPr>
        <w:pStyle w:val="a3"/>
        <w:spacing w:before="120" w:beforeAutospacing="0" w:after="0" w:afterAutospacing="0"/>
        <w:ind w:firstLine="555"/>
        <w:jc w:val="both"/>
        <w:rPr>
          <w:sz w:val="20"/>
          <w:szCs w:val="20"/>
        </w:rPr>
      </w:pPr>
      <w:r>
        <w:rPr>
          <w:sz w:val="20"/>
          <w:szCs w:val="20"/>
        </w:rPr>
        <w:t xml:space="preserve">Some provisions of our Partnership Agreement may discourage, delay or prevent third parties from acquiring us, even if doing so </w:t>
      </w:r>
      <w:r>
        <w:rPr>
          <w:sz w:val="20"/>
          <w:szCs w:val="20"/>
        </w:rPr>
        <w:t>would be beneficial to our Unitholders. For example, our Partnership Agreement contains a provision, based on Section 203 of the Delaware General Corporation Law, that generally prohibits us from engaging in a business combination with a 15% or greater Uni</w:t>
      </w:r>
      <w:r>
        <w:rPr>
          <w:sz w:val="20"/>
          <w:szCs w:val="20"/>
        </w:rPr>
        <w:t>tholder for a period of three years following the date that person or entity acquired at least 15% of our outstanding Common Units, unless certain exceptions apply. Additionally, our Partnership Agreement sets forth advance notice procedures for a Unithold</w:t>
      </w:r>
      <w:r>
        <w:rPr>
          <w:sz w:val="20"/>
          <w:szCs w:val="20"/>
        </w:rPr>
        <w:t>er to nominate a Supervisor to stand for election, which procedures may discourage or deter a potential acquirer from conducting a solicitation of proxies to elect the acquirer’s own slate of Supervisors or otherwise attempting to obtain control of the Par</w:t>
      </w:r>
      <w:r>
        <w:rPr>
          <w:sz w:val="20"/>
          <w:szCs w:val="20"/>
        </w:rPr>
        <w:t>tnership. These nomination procedures may not be revised or repealed, and inconsistent provisions may not be adopted, without the approval of the holders of at least 66-2/3% of the outstanding Common Units. These provisions may have an anti-takeover effect</w:t>
      </w:r>
      <w:r>
        <w:rPr>
          <w:sz w:val="20"/>
          <w:szCs w:val="20"/>
        </w:rPr>
        <w:t xml:space="preserve"> with respect to transactions not approved in advance by our Board of Supervisors, including discouraging attempts that might result in a premium over the market price of the Common Units held by our Unitholders</w:t>
      </w:r>
      <w:r>
        <w:rPr>
          <w:sz w:val="20"/>
          <w:szCs w:val="20"/>
        </w:rPr>
        <w:t>.</w:t>
      </w:r>
    </w:p>
    <w:p w14:paraId="1933B1B6" w14:textId="77777777" w:rsidR="00000000" w:rsidRDefault="00832D71">
      <w:pPr>
        <w:pStyle w:val="a3"/>
        <w:spacing w:before="360" w:beforeAutospacing="0" w:after="0" w:afterAutospacing="0"/>
        <w:jc w:val="both"/>
        <w:rPr>
          <w:sz w:val="20"/>
          <w:szCs w:val="20"/>
        </w:rPr>
      </w:pPr>
      <w:r>
        <w:rPr>
          <w:b/>
          <w:bCs/>
          <w:i/>
          <w:iCs/>
          <w:sz w:val="20"/>
          <w:szCs w:val="20"/>
        </w:rPr>
        <w:t xml:space="preserve">Unitholders may not have limited liability </w:t>
      </w:r>
      <w:r>
        <w:rPr>
          <w:b/>
          <w:bCs/>
          <w:i/>
          <w:iCs/>
          <w:sz w:val="20"/>
          <w:szCs w:val="20"/>
        </w:rPr>
        <w:t>in some circumstances</w:t>
      </w:r>
      <w:r>
        <w:rPr>
          <w:b/>
          <w:bCs/>
          <w:i/>
          <w:iCs/>
          <w:sz w:val="20"/>
          <w:szCs w:val="20"/>
        </w:rPr>
        <w:t>.</w:t>
      </w:r>
    </w:p>
    <w:p w14:paraId="6F354372" w14:textId="77777777" w:rsidR="00000000" w:rsidRDefault="00832D71">
      <w:pPr>
        <w:pStyle w:val="a3"/>
        <w:spacing w:before="120" w:beforeAutospacing="0" w:after="0" w:afterAutospacing="0"/>
        <w:ind w:firstLine="555"/>
        <w:jc w:val="both"/>
        <w:rPr>
          <w:sz w:val="20"/>
          <w:szCs w:val="20"/>
        </w:rPr>
      </w:pPr>
      <w:r>
        <w:rPr>
          <w:sz w:val="20"/>
          <w:szCs w:val="20"/>
        </w:rPr>
        <w:t>A number of states have not clearly established limitations on the liabilities of limited partners for the obligations of a limited partnership. Our Unitholders might be held liable for our obligations as if they were general partner</w:t>
      </w:r>
      <w:r>
        <w:rPr>
          <w:sz w:val="20"/>
          <w:szCs w:val="20"/>
        </w:rPr>
        <w:t>s if</w:t>
      </w:r>
      <w:r>
        <w:rPr>
          <w:sz w:val="20"/>
          <w:szCs w:val="20"/>
        </w:rPr>
        <w:t>:</w:t>
      </w:r>
    </w:p>
    <w:p w14:paraId="69694C52" w14:textId="77777777" w:rsidR="00000000" w:rsidRDefault="00832D71">
      <w:pPr>
        <w:jc w:val="both"/>
        <w:divId w:val="418135264"/>
        <w:rPr>
          <w:rFonts w:eastAsia="Times New Roman"/>
        </w:rPr>
      </w:pPr>
      <w:r>
        <w:rPr>
          <w:rFonts w:eastAsia="Times New Roman"/>
          <w:sz w:val="20"/>
          <w:szCs w:val="20"/>
        </w:rPr>
        <w:t>•</w:t>
      </w:r>
    </w:p>
    <w:p w14:paraId="07A1D2D0" w14:textId="77777777" w:rsidR="00000000" w:rsidRDefault="00832D71">
      <w:pPr>
        <w:jc w:val="both"/>
        <w:divId w:val="2126845480"/>
        <w:rPr>
          <w:rFonts w:eastAsia="Times New Roman"/>
        </w:rPr>
      </w:pPr>
      <w:r>
        <w:rPr>
          <w:rFonts w:eastAsia="Times New Roman"/>
          <w:sz w:val="20"/>
          <w:szCs w:val="20"/>
        </w:rPr>
        <w:t>a court or government agency determined that we were conducting business in the state but had not complied with the state’s limited partnership statute; o</w:t>
      </w:r>
      <w:r>
        <w:rPr>
          <w:rFonts w:eastAsia="Times New Roman"/>
          <w:sz w:val="20"/>
          <w:szCs w:val="20"/>
        </w:rPr>
        <w:t>r</w:t>
      </w:r>
    </w:p>
    <w:p w14:paraId="6621340D" w14:textId="77777777" w:rsidR="00000000" w:rsidRDefault="00832D71">
      <w:pPr>
        <w:jc w:val="both"/>
        <w:divId w:val="71204282"/>
        <w:rPr>
          <w:rFonts w:eastAsia="Times New Roman"/>
        </w:rPr>
      </w:pPr>
      <w:r>
        <w:rPr>
          <w:rFonts w:eastAsia="Times New Roman"/>
          <w:sz w:val="20"/>
          <w:szCs w:val="20"/>
        </w:rPr>
        <w:t>•</w:t>
      </w:r>
    </w:p>
    <w:p w14:paraId="22D6C34C" w14:textId="77777777" w:rsidR="00000000" w:rsidRDefault="00832D71">
      <w:pPr>
        <w:jc w:val="both"/>
        <w:divId w:val="2054185844"/>
        <w:rPr>
          <w:rFonts w:eastAsia="Times New Roman"/>
        </w:rPr>
      </w:pPr>
      <w:r>
        <w:rPr>
          <w:rFonts w:eastAsia="Times New Roman"/>
          <w:sz w:val="20"/>
          <w:szCs w:val="20"/>
        </w:rPr>
        <w:t>Unitholders’ rights to act together to remove or replace the General Partner or take other</w:t>
      </w:r>
      <w:r>
        <w:rPr>
          <w:rFonts w:eastAsia="Times New Roman"/>
          <w:sz w:val="20"/>
          <w:szCs w:val="20"/>
        </w:rPr>
        <w:t xml:space="preserve"> actions under our Partnership Agreement are deemed to constitute “participation in the control” of our business for purposes of the state’s limited partnership statute</w:t>
      </w:r>
      <w:r>
        <w:rPr>
          <w:rFonts w:eastAsia="Times New Roman"/>
          <w:sz w:val="20"/>
          <w:szCs w:val="20"/>
        </w:rPr>
        <w:t>.</w:t>
      </w:r>
    </w:p>
    <w:p w14:paraId="240EF5A8" w14:textId="77777777" w:rsidR="00000000" w:rsidRDefault="00832D71">
      <w:pPr>
        <w:pStyle w:val="a3"/>
        <w:spacing w:before="0" w:beforeAutospacing="0" w:after="0" w:afterAutospacing="0"/>
        <w:jc w:val="center"/>
        <w:rPr>
          <w:sz w:val="20"/>
          <w:szCs w:val="20"/>
        </w:rPr>
      </w:pPr>
      <w:r>
        <w:rPr>
          <w:sz w:val="20"/>
          <w:szCs w:val="20"/>
        </w:rPr>
        <w:t> </w:t>
      </w:r>
    </w:p>
    <w:p w14:paraId="6CF2E69A" w14:textId="77777777" w:rsidR="00000000" w:rsidRDefault="00832D71">
      <w:pPr>
        <w:pStyle w:val="a3"/>
        <w:spacing w:before="0" w:beforeAutospacing="0" w:after="0" w:afterAutospacing="0"/>
        <w:jc w:val="center"/>
        <w:rPr>
          <w:sz w:val="20"/>
          <w:szCs w:val="20"/>
        </w:rPr>
      </w:pPr>
      <w:r>
        <w:rPr>
          <w:sz w:val="20"/>
          <w:szCs w:val="20"/>
        </w:rPr>
        <w:t>2</w:t>
      </w:r>
      <w:r>
        <w:rPr>
          <w:sz w:val="20"/>
          <w:szCs w:val="20"/>
        </w:rPr>
        <w:t>4</w:t>
      </w:r>
    </w:p>
    <w:p w14:paraId="3D85811B" w14:textId="77777777" w:rsidR="00000000" w:rsidRDefault="00832D71">
      <w:pPr>
        <w:rPr>
          <w:rFonts w:eastAsia="Times New Roman"/>
        </w:rPr>
      </w:pPr>
      <w:r>
        <w:rPr>
          <w:rFonts w:eastAsia="Times New Roman"/>
        </w:rPr>
        <w:pict w14:anchorId="07DF15F4">
          <v:rect id="_x0000_i1051" style="width:0;height:1.5pt" o:hralign="center" o:hrstd="t" o:hr="t" fillcolor="#a0a0a0" stroked="f"/>
        </w:pict>
      </w:r>
    </w:p>
    <w:p w14:paraId="45B6B6A9"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w:t>
        </w:r>
        <w:r>
          <w:rPr>
            <w:rStyle w:val="a4"/>
            <w:sz w:val="18"/>
            <w:szCs w:val="18"/>
          </w:rPr>
          <w:t>e of Content</w:t>
        </w:r>
        <w:r>
          <w:rPr>
            <w:rStyle w:val="a4"/>
            <w:sz w:val="18"/>
            <w:szCs w:val="18"/>
          </w:rPr>
          <w:t>s</w:t>
        </w:r>
      </w:hyperlink>
    </w:p>
    <w:p w14:paraId="0D8A40AC" w14:textId="77777777" w:rsidR="00000000" w:rsidRDefault="00832D71">
      <w:pPr>
        <w:pStyle w:val="a3"/>
        <w:spacing w:before="360" w:beforeAutospacing="0" w:after="0" w:afterAutospacing="0"/>
        <w:jc w:val="both"/>
        <w:rPr>
          <w:sz w:val="20"/>
          <w:szCs w:val="20"/>
        </w:rPr>
      </w:pPr>
      <w:r>
        <w:rPr>
          <w:b/>
          <w:bCs/>
          <w:i/>
          <w:iCs/>
          <w:sz w:val="20"/>
          <w:szCs w:val="20"/>
        </w:rPr>
        <w:t>Unitholders may have liability to repay distributions</w:t>
      </w:r>
      <w:r>
        <w:rPr>
          <w:b/>
          <w:bCs/>
          <w:i/>
          <w:iCs/>
          <w:sz w:val="20"/>
          <w:szCs w:val="20"/>
        </w:rPr>
        <w:t>.</w:t>
      </w:r>
    </w:p>
    <w:p w14:paraId="0BDFC0B5" w14:textId="77777777" w:rsidR="00000000" w:rsidRDefault="00832D71">
      <w:pPr>
        <w:pStyle w:val="a3"/>
        <w:spacing w:before="120" w:beforeAutospacing="0" w:after="0" w:afterAutospacing="0"/>
        <w:ind w:firstLine="555"/>
        <w:jc w:val="both"/>
        <w:rPr>
          <w:sz w:val="20"/>
          <w:szCs w:val="20"/>
        </w:rPr>
      </w:pPr>
      <w:r>
        <w:rPr>
          <w:sz w:val="20"/>
          <w:szCs w:val="20"/>
        </w:rPr>
        <w:t>Unitholders will not be liable for assessments in addition to their initial capital investment in the Common Units. Under specific circumstances, however, Unitholders may have to repay to</w:t>
      </w:r>
      <w:r>
        <w:rPr>
          <w:sz w:val="20"/>
          <w:szCs w:val="20"/>
        </w:rPr>
        <w:t xml:space="preserve"> us amounts wrongfully returned or distributed to them. Under Delaware law, we may not make a distribution to Unitholders if the distribution causes our liabilities to exceed the fair value of our assets. Liabilities to partners on account of their partner</w:t>
      </w:r>
      <w:r>
        <w:rPr>
          <w:sz w:val="20"/>
          <w:szCs w:val="20"/>
        </w:rPr>
        <w:t xml:space="preserve">ship interests and nonrecourse liabilities are not counted for purposes of determining whether a distribution is permitted. Delaware law provides that a limited partner who receives a distribution of this kind and knew at the time of the distribution that </w:t>
      </w:r>
      <w:r>
        <w:rPr>
          <w:sz w:val="20"/>
          <w:szCs w:val="20"/>
        </w:rPr>
        <w:t>the distribution violated Delaware law will be liable to the limited partnership for the distribution amount for three years from the distribution date. Under Delaware law, an assignee who becomes a substituted limited partner of a limited partnership is l</w:t>
      </w:r>
      <w:r>
        <w:rPr>
          <w:sz w:val="20"/>
          <w:szCs w:val="20"/>
        </w:rPr>
        <w:t>iable for the obligations of the assignor to make contributions to the partnership. However, such an assignee is not obligated for liabilities unknown to him at the time he or she became a limited partner if the liabilities could not be determined from the</w:t>
      </w:r>
      <w:r>
        <w:rPr>
          <w:sz w:val="20"/>
          <w:szCs w:val="20"/>
        </w:rPr>
        <w:t xml:space="preserve"> partnership agreement</w:t>
      </w:r>
      <w:r>
        <w:rPr>
          <w:sz w:val="20"/>
          <w:szCs w:val="20"/>
        </w:rPr>
        <w:t>.</w:t>
      </w:r>
    </w:p>
    <w:p w14:paraId="21F09867" w14:textId="77777777" w:rsidR="00000000" w:rsidRDefault="00832D71">
      <w:pPr>
        <w:pStyle w:val="a3"/>
        <w:spacing w:before="360" w:beforeAutospacing="0" w:after="0" w:afterAutospacing="0"/>
        <w:jc w:val="both"/>
        <w:rPr>
          <w:sz w:val="20"/>
          <w:szCs w:val="20"/>
        </w:rPr>
      </w:pPr>
      <w:r>
        <w:rPr>
          <w:b/>
          <w:bCs/>
          <w:i/>
          <w:iCs/>
          <w:sz w:val="20"/>
          <w:szCs w:val="20"/>
        </w:rPr>
        <w:t>Our limited partner interest and Unitholders’ percentage of ownership may be diluted in the future and additional taxable income may be allocated to each Unitholder</w:t>
      </w:r>
      <w:r>
        <w:rPr>
          <w:b/>
          <w:bCs/>
          <w:i/>
          <w:iCs/>
          <w:sz w:val="20"/>
          <w:szCs w:val="20"/>
        </w:rPr>
        <w:t>.</w:t>
      </w:r>
    </w:p>
    <w:p w14:paraId="2613672F" w14:textId="77777777" w:rsidR="00000000" w:rsidRDefault="00832D71">
      <w:pPr>
        <w:pStyle w:val="a3"/>
        <w:spacing w:before="120" w:beforeAutospacing="0" w:after="0" w:afterAutospacing="0"/>
        <w:ind w:firstLine="555"/>
        <w:jc w:val="both"/>
        <w:rPr>
          <w:sz w:val="20"/>
          <w:szCs w:val="20"/>
        </w:rPr>
      </w:pPr>
      <w:r>
        <w:rPr>
          <w:sz w:val="20"/>
          <w:szCs w:val="20"/>
        </w:rPr>
        <w:t>Our Partnership Agreement generally allows us to issue additional limited partner interests and other equity securities without the approval of our Unitholders. Therefore, when we issue additional Common Units or securities ranking above or on a parity wit</w:t>
      </w:r>
      <w:r>
        <w:rPr>
          <w:sz w:val="20"/>
          <w:szCs w:val="20"/>
        </w:rPr>
        <w:t xml:space="preserve">h the Common Units, each Unitholder’s partnership interest will be diluted proportionately, and the amount of cash distributed on each Common Unit and the market price of Common Units could decrease. Similarly, our Unitholders’ percentage of ownership may </w:t>
      </w:r>
      <w:r>
        <w:rPr>
          <w:sz w:val="20"/>
          <w:szCs w:val="20"/>
        </w:rPr>
        <w:t>be diluted in the future due to equity issuances or equity awards that we have granted or will grant to our supervisors, officers and employees. In addition, we have engaged in and may continue to undertake acquisitions financed in part through public or p</w:t>
      </w:r>
      <w:r>
        <w:rPr>
          <w:sz w:val="20"/>
          <w:szCs w:val="20"/>
        </w:rPr>
        <w:t>rivate offerings of securities, or other arrangements. The issuance of additional Common Units will also diminish the relative voting strength of each previously outstanding Common Unit. In addition, the issuance of additional Common Units, or other equity</w:t>
      </w:r>
      <w:r>
        <w:rPr>
          <w:sz w:val="20"/>
          <w:szCs w:val="20"/>
        </w:rPr>
        <w:t xml:space="preserve"> securities, will, over time, result in the allocation of additional taxable income, representing built-in gains at the time of the new issuance, to those Unitholders that existed prior to the new issuance</w:t>
      </w:r>
      <w:r>
        <w:rPr>
          <w:sz w:val="20"/>
          <w:szCs w:val="20"/>
        </w:rPr>
        <w:t>.</w:t>
      </w:r>
    </w:p>
    <w:p w14:paraId="516A3FA7" w14:textId="77777777" w:rsidR="00000000" w:rsidRDefault="00832D71">
      <w:pPr>
        <w:pStyle w:val="a3"/>
        <w:spacing w:before="360" w:beforeAutospacing="0" w:after="0" w:afterAutospacing="0"/>
        <w:jc w:val="center"/>
        <w:rPr>
          <w:sz w:val="20"/>
          <w:szCs w:val="20"/>
        </w:rPr>
      </w:pPr>
      <w:r>
        <w:rPr>
          <w:b/>
          <w:bCs/>
          <w:sz w:val="20"/>
          <w:szCs w:val="20"/>
          <w:u w:val="single"/>
        </w:rPr>
        <w:t>TAX RISKS TO OUR UNITHOLDER</w:t>
      </w:r>
      <w:r>
        <w:rPr>
          <w:b/>
          <w:bCs/>
          <w:sz w:val="20"/>
          <w:szCs w:val="20"/>
          <w:u w:val="single"/>
        </w:rPr>
        <w:t>S</w:t>
      </w:r>
    </w:p>
    <w:p w14:paraId="7418D1BE" w14:textId="77777777" w:rsidR="00000000" w:rsidRDefault="00832D71">
      <w:pPr>
        <w:pStyle w:val="a3"/>
        <w:spacing w:before="240" w:beforeAutospacing="0" w:after="0" w:afterAutospacing="0"/>
        <w:jc w:val="both"/>
        <w:rPr>
          <w:sz w:val="20"/>
          <w:szCs w:val="20"/>
        </w:rPr>
      </w:pPr>
      <w:r>
        <w:rPr>
          <w:b/>
          <w:bCs/>
          <w:i/>
          <w:iCs/>
          <w:sz w:val="20"/>
          <w:szCs w:val="20"/>
        </w:rPr>
        <w:t>Our tax treatment de</w:t>
      </w:r>
      <w:r>
        <w:rPr>
          <w:b/>
          <w:bCs/>
          <w:i/>
          <w:iCs/>
          <w:sz w:val="20"/>
          <w:szCs w:val="20"/>
        </w:rPr>
        <w:t>pends on our status as a partnership for U.S. federal income tax purposes. The Internal Revenue Service (“IRS”) could treat us as a corporation, which would substantially reduce the cash available for distribution to Unitholders</w:t>
      </w:r>
      <w:r>
        <w:rPr>
          <w:b/>
          <w:bCs/>
          <w:i/>
          <w:iCs/>
          <w:sz w:val="20"/>
          <w:szCs w:val="20"/>
        </w:rPr>
        <w:t>.</w:t>
      </w:r>
    </w:p>
    <w:p w14:paraId="77334B53" w14:textId="77777777" w:rsidR="00000000" w:rsidRDefault="00832D71">
      <w:pPr>
        <w:pStyle w:val="a3"/>
        <w:spacing w:before="120" w:beforeAutospacing="0" w:after="0" w:afterAutospacing="0"/>
        <w:ind w:firstLine="555"/>
        <w:jc w:val="both"/>
        <w:rPr>
          <w:sz w:val="20"/>
          <w:szCs w:val="20"/>
        </w:rPr>
      </w:pPr>
      <w:r>
        <w:rPr>
          <w:sz w:val="20"/>
          <w:szCs w:val="20"/>
        </w:rPr>
        <w:t xml:space="preserve">The anticipated after-tax </w:t>
      </w:r>
      <w:r>
        <w:rPr>
          <w:sz w:val="20"/>
          <w:szCs w:val="20"/>
        </w:rPr>
        <w:t>economic benefit of an investment in our Common Units depends largely on our being treated as a partnership for U.S. federal income tax purposes. If less than 90% of the gross income of a publicly traded partnership, such as Suburban Propane Partners, L.P.</w:t>
      </w:r>
      <w:r>
        <w:rPr>
          <w:sz w:val="20"/>
          <w:szCs w:val="20"/>
        </w:rPr>
        <w:t>, for any taxable year is “qualifying income” within the meaning of Section 7704 of the Internal Revenue Code, that partnership will be taxable as a corporation for U.S. federal income tax purposes for that taxable year and all subsequent years</w:t>
      </w:r>
      <w:r>
        <w:rPr>
          <w:sz w:val="20"/>
          <w:szCs w:val="20"/>
        </w:rPr>
        <w:t>.</w:t>
      </w:r>
    </w:p>
    <w:p w14:paraId="05DD9F2D" w14:textId="77777777" w:rsidR="00000000" w:rsidRDefault="00832D71">
      <w:pPr>
        <w:pStyle w:val="a3"/>
        <w:spacing w:before="240" w:beforeAutospacing="0" w:after="0" w:afterAutospacing="0"/>
        <w:ind w:firstLine="555"/>
        <w:jc w:val="both"/>
        <w:rPr>
          <w:sz w:val="20"/>
          <w:szCs w:val="20"/>
        </w:rPr>
      </w:pPr>
      <w:r>
        <w:rPr>
          <w:sz w:val="20"/>
          <w:szCs w:val="20"/>
        </w:rPr>
        <w:t>If we were treated as a corporation for U.S. federal income tax purposes, then we would pay U.S. federal income tax on our net income at the corporate tax rate, which is currently a maximum of 21%, and would likely pay additional state and local income and</w:t>
      </w:r>
      <w:r>
        <w:rPr>
          <w:sz w:val="20"/>
          <w:szCs w:val="20"/>
        </w:rPr>
        <w:t xml:space="preserve"> franchise tax at varying rates. Because a tax would be imposed upon us as a corporation, our cash available for distribution to Unitholders would be substantially reduced. Treatment of us as a corporation would result in a material reduction in the antici</w:t>
      </w:r>
      <w:r>
        <w:rPr>
          <w:sz w:val="20"/>
          <w:szCs w:val="20"/>
        </w:rPr>
        <w:t>pated cash flow and after-tax return to Unitholders and thus would likely result in a substantial reduction in the value of our Common Units</w:t>
      </w:r>
      <w:r>
        <w:rPr>
          <w:sz w:val="20"/>
          <w:szCs w:val="20"/>
        </w:rPr>
        <w:t>.</w:t>
      </w:r>
    </w:p>
    <w:p w14:paraId="223023BE" w14:textId="77777777" w:rsidR="00000000" w:rsidRDefault="00832D71">
      <w:pPr>
        <w:pStyle w:val="a3"/>
        <w:spacing w:before="360" w:beforeAutospacing="0" w:after="0" w:afterAutospacing="0"/>
        <w:jc w:val="both"/>
        <w:rPr>
          <w:sz w:val="20"/>
          <w:szCs w:val="20"/>
        </w:rPr>
      </w:pPr>
      <w:r>
        <w:rPr>
          <w:b/>
          <w:bCs/>
          <w:i/>
          <w:iCs/>
          <w:sz w:val="20"/>
          <w:szCs w:val="20"/>
        </w:rPr>
        <w:t>The tax treatment of publicly traded partnerships or an investment in our Common Units could be subject to potenti</w:t>
      </w:r>
      <w:r>
        <w:rPr>
          <w:b/>
          <w:bCs/>
          <w:i/>
          <w:iCs/>
          <w:sz w:val="20"/>
          <w:szCs w:val="20"/>
        </w:rPr>
        <w:t>al legislative, judicial or administrative changes and differing interpretations thereof, possibly on a retroactive basis</w:t>
      </w:r>
      <w:r>
        <w:rPr>
          <w:b/>
          <w:bCs/>
          <w:i/>
          <w:iCs/>
          <w:sz w:val="20"/>
          <w:szCs w:val="20"/>
        </w:rPr>
        <w:t>.</w:t>
      </w:r>
    </w:p>
    <w:p w14:paraId="2BD7F1D0" w14:textId="77777777" w:rsidR="00000000" w:rsidRDefault="00832D71">
      <w:pPr>
        <w:pStyle w:val="a3"/>
        <w:spacing w:before="120" w:beforeAutospacing="0" w:after="0" w:afterAutospacing="0"/>
        <w:ind w:firstLine="555"/>
        <w:jc w:val="both"/>
        <w:rPr>
          <w:sz w:val="20"/>
          <w:szCs w:val="20"/>
        </w:rPr>
      </w:pPr>
      <w:r>
        <w:rPr>
          <w:sz w:val="20"/>
          <w:szCs w:val="20"/>
        </w:rPr>
        <w:t>The present U.S. federal income tax treatment of publicly traded partnerships, including Suburban Propane Partners, L.P., or an inves</w:t>
      </w:r>
      <w:r>
        <w:rPr>
          <w:sz w:val="20"/>
          <w:szCs w:val="20"/>
        </w:rPr>
        <w:t>tment in our Common Units may be modified by legislative, judicial or administrative changes and differing interpretations thereof at any time. Any modification to the U.S. federal income tax laws or interpretations thereof may or may not be applied retroa</w:t>
      </w:r>
      <w:r>
        <w:rPr>
          <w:sz w:val="20"/>
          <w:szCs w:val="20"/>
        </w:rPr>
        <w:t>ctively. Moreover, any such modification could make it more difficult or impossible for us to meet the exception that allows publicly traded partnerships that generate qualifying income to be treated as partnerships (rather than as corporations) for U.S. f</w:t>
      </w:r>
      <w:r>
        <w:rPr>
          <w:sz w:val="20"/>
          <w:szCs w:val="20"/>
        </w:rPr>
        <w:t>ederal income tax purposes, affect or cause us to change our business activities, or affect the tax consequences of an investment in our Common Units</w:t>
      </w:r>
      <w:r>
        <w:rPr>
          <w:sz w:val="20"/>
          <w:szCs w:val="20"/>
        </w:rPr>
        <w:t>.</w:t>
      </w:r>
    </w:p>
    <w:p w14:paraId="16647E79" w14:textId="77777777" w:rsidR="00000000" w:rsidRDefault="00832D71">
      <w:pPr>
        <w:pStyle w:val="a3"/>
        <w:spacing w:before="240" w:beforeAutospacing="0" w:after="0" w:afterAutospacing="0"/>
        <w:ind w:firstLine="555"/>
        <w:jc w:val="both"/>
        <w:rPr>
          <w:sz w:val="20"/>
          <w:szCs w:val="20"/>
        </w:rPr>
      </w:pPr>
      <w:r>
        <w:rPr>
          <w:sz w:val="20"/>
          <w:szCs w:val="20"/>
        </w:rPr>
        <w:t>In addition, because of widespread state budget deficits and other reasons, several states are evaluating</w:t>
      </w:r>
      <w:r>
        <w:rPr>
          <w:sz w:val="20"/>
          <w:szCs w:val="20"/>
        </w:rPr>
        <w:t xml:space="preserve"> ways to subject partnerships to entity-level taxation through the imposition of state income, franchise and other forms of taxation</w:t>
      </w:r>
      <w:r>
        <w:rPr>
          <w:sz w:val="20"/>
          <w:szCs w:val="20"/>
        </w:rPr>
        <w:t>.</w:t>
      </w:r>
    </w:p>
    <w:p w14:paraId="2854AD7E" w14:textId="77777777" w:rsidR="00000000" w:rsidRDefault="00832D71">
      <w:pPr>
        <w:pStyle w:val="a3"/>
        <w:spacing w:before="0" w:beforeAutospacing="0" w:after="0" w:afterAutospacing="0"/>
        <w:jc w:val="center"/>
        <w:rPr>
          <w:sz w:val="20"/>
          <w:szCs w:val="20"/>
        </w:rPr>
      </w:pPr>
      <w:r>
        <w:rPr>
          <w:sz w:val="20"/>
          <w:szCs w:val="20"/>
        </w:rPr>
        <w:t> </w:t>
      </w:r>
    </w:p>
    <w:p w14:paraId="539083D4" w14:textId="77777777" w:rsidR="00000000" w:rsidRDefault="00832D71">
      <w:pPr>
        <w:pStyle w:val="a3"/>
        <w:spacing w:before="0" w:beforeAutospacing="0" w:after="0" w:afterAutospacing="0"/>
        <w:jc w:val="center"/>
        <w:rPr>
          <w:sz w:val="20"/>
          <w:szCs w:val="20"/>
        </w:rPr>
      </w:pPr>
      <w:r>
        <w:rPr>
          <w:sz w:val="20"/>
          <w:szCs w:val="20"/>
        </w:rPr>
        <w:t>2</w:t>
      </w:r>
      <w:r>
        <w:rPr>
          <w:sz w:val="20"/>
          <w:szCs w:val="20"/>
        </w:rPr>
        <w:t>5</w:t>
      </w:r>
    </w:p>
    <w:p w14:paraId="6A1E39AC" w14:textId="77777777" w:rsidR="00000000" w:rsidRDefault="00832D71">
      <w:pPr>
        <w:rPr>
          <w:rFonts w:eastAsia="Times New Roman"/>
        </w:rPr>
      </w:pPr>
      <w:r>
        <w:rPr>
          <w:rFonts w:eastAsia="Times New Roman"/>
        </w:rPr>
        <w:pict w14:anchorId="1459F59B">
          <v:rect id="_x0000_i1052" style="width:0;height:1.5pt" o:hralign="center" o:hrstd="t" o:hr="t" fillcolor="#a0a0a0" stroked="f"/>
        </w:pict>
      </w:r>
    </w:p>
    <w:p w14:paraId="24977DA3"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62BB9D3F" w14:textId="77777777" w:rsidR="00000000" w:rsidRDefault="00832D71">
      <w:pPr>
        <w:pStyle w:val="a3"/>
        <w:spacing w:before="360" w:beforeAutospacing="0" w:after="0" w:afterAutospacing="0"/>
        <w:jc w:val="both"/>
        <w:rPr>
          <w:sz w:val="20"/>
          <w:szCs w:val="20"/>
        </w:rPr>
      </w:pPr>
      <w:r>
        <w:rPr>
          <w:b/>
          <w:bCs/>
          <w:i/>
          <w:iCs/>
          <w:sz w:val="20"/>
          <w:szCs w:val="20"/>
        </w:rPr>
        <w:t>If the IRS makes audit</w:t>
      </w:r>
      <w:r>
        <w:rPr>
          <w:b/>
          <w:bCs/>
          <w:i/>
          <w:iCs/>
          <w:sz w:val="20"/>
          <w:szCs w:val="20"/>
        </w:rPr>
        <w:t xml:space="preserve"> adjustments to our income tax returns for tax years beginning after 2017, it (and some states) may collect any resulting taxes (including any applicable penalties and interest) directly from the Partnership, in which case cash available to service debt or</w:t>
      </w:r>
      <w:r>
        <w:rPr>
          <w:b/>
          <w:bCs/>
          <w:i/>
          <w:iCs/>
          <w:sz w:val="20"/>
          <w:szCs w:val="20"/>
        </w:rPr>
        <w:t xml:space="preserve"> to pay distributions to our Unitholders, could be substantially reduced</w:t>
      </w:r>
      <w:r>
        <w:rPr>
          <w:b/>
          <w:bCs/>
          <w:i/>
          <w:iCs/>
          <w:sz w:val="20"/>
          <w:szCs w:val="20"/>
        </w:rPr>
        <w:t>.</w:t>
      </w:r>
    </w:p>
    <w:p w14:paraId="528C5B38" w14:textId="77777777" w:rsidR="00000000" w:rsidRDefault="00832D71">
      <w:pPr>
        <w:pStyle w:val="a3"/>
        <w:spacing w:before="120" w:beforeAutospacing="0" w:after="0" w:afterAutospacing="0"/>
        <w:ind w:firstLine="555"/>
        <w:jc w:val="both"/>
        <w:rPr>
          <w:sz w:val="20"/>
          <w:szCs w:val="20"/>
        </w:rPr>
      </w:pPr>
      <w:r>
        <w:rPr>
          <w:sz w:val="20"/>
          <w:szCs w:val="20"/>
        </w:rPr>
        <w:t xml:space="preserve">If the IRS makes audit adjustments to our income tax returns for tax years beginning after 2017, it may collect any resulting taxes (including any applicable penalties and interest) </w:t>
      </w:r>
      <w:r>
        <w:rPr>
          <w:sz w:val="20"/>
          <w:szCs w:val="20"/>
        </w:rPr>
        <w:t>directly from us. We will generally have the ability to allocate any such tax liability to our current and former Unitholders in accordance with their interests in us during the year under audit. However, we may not be able to (or may not choose to) so all</w:t>
      </w:r>
      <w:r>
        <w:rPr>
          <w:sz w:val="20"/>
          <w:szCs w:val="20"/>
        </w:rPr>
        <w:t>ocate that tax liability, and may not be able to (or may choose not to) similarly allocate state income or similar tax liability resulting from adjustments in states in which we do business in the year under audit or in the adjustment year; instead, we may</w:t>
      </w:r>
      <w:r>
        <w:rPr>
          <w:sz w:val="20"/>
          <w:szCs w:val="20"/>
        </w:rPr>
        <w:t xml:space="preserve"> pay the tax. Accordingly, our current Unitholders may bear some or all of the audit adjustment, even if such Unitholders did not own units during the tax year under audit. If we make payments of taxes, penalties and interest resulting from audit adjustmen</w:t>
      </w:r>
      <w:r>
        <w:rPr>
          <w:sz w:val="20"/>
          <w:szCs w:val="20"/>
        </w:rPr>
        <w:t>ts, cash available to service debt or to make distributions to our Unitholders could be substantially reduced</w:t>
      </w:r>
      <w:r>
        <w:rPr>
          <w:sz w:val="20"/>
          <w:szCs w:val="20"/>
        </w:rPr>
        <w:t>.</w:t>
      </w:r>
    </w:p>
    <w:p w14:paraId="6D944B4F" w14:textId="77777777" w:rsidR="00000000" w:rsidRDefault="00832D71">
      <w:pPr>
        <w:pStyle w:val="a3"/>
        <w:spacing w:before="360" w:beforeAutospacing="0" w:after="0" w:afterAutospacing="0"/>
        <w:jc w:val="both"/>
        <w:rPr>
          <w:sz w:val="20"/>
          <w:szCs w:val="20"/>
        </w:rPr>
      </w:pPr>
      <w:r>
        <w:rPr>
          <w:b/>
          <w:bCs/>
          <w:i/>
          <w:iCs/>
          <w:sz w:val="20"/>
          <w:szCs w:val="20"/>
        </w:rPr>
        <w:t>A successful IRS contest of the U.S. federal income tax positions we take may adversely affect the market for our Common Units, and the cost of a</w:t>
      </w:r>
      <w:r>
        <w:rPr>
          <w:b/>
          <w:bCs/>
          <w:i/>
          <w:iCs/>
          <w:sz w:val="20"/>
          <w:szCs w:val="20"/>
        </w:rPr>
        <w:t>ny IRS contest will reduce our cash available for distribution to our Unitholders</w:t>
      </w:r>
      <w:r>
        <w:rPr>
          <w:b/>
          <w:bCs/>
          <w:i/>
          <w:iCs/>
          <w:sz w:val="20"/>
          <w:szCs w:val="20"/>
        </w:rPr>
        <w:t>.</w:t>
      </w:r>
    </w:p>
    <w:p w14:paraId="6D19F8FA" w14:textId="77777777" w:rsidR="00000000" w:rsidRDefault="00832D71">
      <w:pPr>
        <w:pStyle w:val="a3"/>
        <w:spacing w:before="120" w:beforeAutospacing="0" w:after="0" w:afterAutospacing="0"/>
        <w:ind w:firstLine="555"/>
        <w:jc w:val="both"/>
        <w:rPr>
          <w:sz w:val="20"/>
          <w:szCs w:val="20"/>
        </w:rPr>
      </w:pPr>
      <w:r>
        <w:rPr>
          <w:sz w:val="20"/>
          <w:szCs w:val="20"/>
        </w:rPr>
        <w:t>We have not requested a ruling from the IRS with respect to our treatment as a partnership for U.S. federal income tax purposes or any other matter affecting us. The IRS may</w:t>
      </w:r>
      <w:r>
        <w:rPr>
          <w:sz w:val="20"/>
          <w:szCs w:val="20"/>
        </w:rPr>
        <w:t xml:space="preserve"> adopt positions that differ from the positions we take. It may be necessary to resort to administrative or court proceedings to sustain some or all of the positions we take. A court may not agree with the positions we take. Any contest with the IRS may ma</w:t>
      </w:r>
      <w:r>
        <w:rPr>
          <w:sz w:val="20"/>
          <w:szCs w:val="20"/>
        </w:rPr>
        <w:t>terially and adversely impact the market for our Common Units and the price at which they trade. In addition, our costs of any contest with the IRS will be borne indirectly by our Unitholders because the costs will reduce our cash available for distributio</w:t>
      </w:r>
      <w:r>
        <w:rPr>
          <w:sz w:val="20"/>
          <w:szCs w:val="20"/>
        </w:rPr>
        <w:t>n</w:t>
      </w:r>
      <w:r>
        <w:rPr>
          <w:sz w:val="20"/>
          <w:szCs w:val="20"/>
        </w:rPr>
        <w:t>.</w:t>
      </w:r>
    </w:p>
    <w:p w14:paraId="18718296" w14:textId="77777777" w:rsidR="00000000" w:rsidRDefault="00832D71">
      <w:pPr>
        <w:pStyle w:val="a3"/>
        <w:spacing w:before="360" w:beforeAutospacing="0" w:after="0" w:afterAutospacing="0"/>
        <w:jc w:val="both"/>
        <w:rPr>
          <w:sz w:val="20"/>
          <w:szCs w:val="20"/>
        </w:rPr>
      </w:pPr>
      <w:r>
        <w:rPr>
          <w:b/>
          <w:bCs/>
          <w:i/>
          <w:iCs/>
          <w:sz w:val="20"/>
          <w:szCs w:val="20"/>
        </w:rPr>
        <w:t>A Unitholder’s tax liability could exceed cash distributions on its Common Units</w:t>
      </w:r>
      <w:r>
        <w:rPr>
          <w:b/>
          <w:bCs/>
          <w:i/>
          <w:iCs/>
          <w:sz w:val="20"/>
          <w:szCs w:val="20"/>
        </w:rPr>
        <w:t>.</w:t>
      </w:r>
    </w:p>
    <w:p w14:paraId="55AB8065" w14:textId="77777777" w:rsidR="00000000" w:rsidRDefault="00832D71">
      <w:pPr>
        <w:pStyle w:val="a3"/>
        <w:spacing w:before="120" w:beforeAutospacing="0" w:after="0" w:afterAutospacing="0"/>
        <w:ind w:firstLine="555"/>
        <w:jc w:val="both"/>
        <w:rPr>
          <w:sz w:val="20"/>
          <w:szCs w:val="20"/>
        </w:rPr>
      </w:pPr>
      <w:r>
        <w:rPr>
          <w:sz w:val="20"/>
          <w:szCs w:val="20"/>
        </w:rPr>
        <w:t>Because our Unitholders are treated as partners, a Unitholder is required to pay U.S. federal income taxes and state and local income taxes on its allocable share of our i</w:t>
      </w:r>
      <w:r>
        <w:rPr>
          <w:sz w:val="20"/>
          <w:szCs w:val="20"/>
        </w:rPr>
        <w:t>ncome, without regard to whether we make cash distributions to the Unitholder. We cannot guarantee that a Unitholder will receive cash distributions equal to its allocable share of our taxable income or even the tax liability to it resulting from that inco</w:t>
      </w:r>
      <w:r>
        <w:rPr>
          <w:sz w:val="20"/>
          <w:szCs w:val="20"/>
        </w:rPr>
        <w:t>me</w:t>
      </w:r>
      <w:r>
        <w:rPr>
          <w:sz w:val="20"/>
          <w:szCs w:val="20"/>
        </w:rPr>
        <w:t>.</w:t>
      </w:r>
    </w:p>
    <w:p w14:paraId="2F697C9B" w14:textId="77777777" w:rsidR="00000000" w:rsidRDefault="00832D71">
      <w:pPr>
        <w:pStyle w:val="a3"/>
        <w:spacing w:before="360" w:beforeAutospacing="0" w:after="0" w:afterAutospacing="0"/>
        <w:jc w:val="both"/>
        <w:rPr>
          <w:sz w:val="20"/>
          <w:szCs w:val="20"/>
        </w:rPr>
      </w:pPr>
      <w:r>
        <w:rPr>
          <w:b/>
          <w:bCs/>
          <w:i/>
          <w:iCs/>
          <w:sz w:val="20"/>
          <w:szCs w:val="20"/>
        </w:rPr>
        <w:t>Ownership of Common Units may have adverse tax consequences for tax-exempt organizations and foreign investors</w:t>
      </w:r>
      <w:r>
        <w:rPr>
          <w:b/>
          <w:bCs/>
          <w:i/>
          <w:iCs/>
          <w:sz w:val="20"/>
          <w:szCs w:val="20"/>
        </w:rPr>
        <w:t>.</w:t>
      </w:r>
    </w:p>
    <w:p w14:paraId="7CDE1EF2" w14:textId="77777777" w:rsidR="00000000" w:rsidRDefault="00832D71">
      <w:pPr>
        <w:pStyle w:val="a3"/>
        <w:spacing w:before="120" w:beforeAutospacing="0" w:after="0" w:afterAutospacing="0"/>
        <w:ind w:firstLine="555"/>
        <w:jc w:val="both"/>
        <w:rPr>
          <w:sz w:val="20"/>
          <w:szCs w:val="20"/>
        </w:rPr>
      </w:pPr>
      <w:r>
        <w:rPr>
          <w:sz w:val="20"/>
          <w:szCs w:val="20"/>
        </w:rPr>
        <w:t xml:space="preserve">Investment in Common Units by certain tax-exempt entities and foreign persons raises issues specific to them. For example, virtually all of </w:t>
      </w:r>
      <w:r>
        <w:rPr>
          <w:sz w:val="20"/>
          <w:szCs w:val="20"/>
        </w:rPr>
        <w:t>our taxable income allocated to organizations exempt from U.S. federal income tax, including individual retirement accounts and other retirement plans, will be unrelated business taxable income and thus will be taxable to them. Further, a tax-exempt entity</w:t>
      </w:r>
      <w:r>
        <w:rPr>
          <w:sz w:val="20"/>
          <w:szCs w:val="20"/>
        </w:rPr>
        <w:t xml:space="preserve"> with more than one unrelated trade or business (including by attribution from an investment in a partnership such as ours that is engaged in one or more unrelated trades or businesses) is required to compute the unrelated business taxable income of such t</w:t>
      </w:r>
      <w:r>
        <w:rPr>
          <w:sz w:val="20"/>
          <w:szCs w:val="20"/>
        </w:rPr>
        <w:t>ax-exempt entity separately with respect to each such trade or business (including for purposes of determining any net operating loss deduction). As a result, it may not be possible for tax-exempt entities to utilize losses from an investment in our partne</w:t>
      </w:r>
      <w:r>
        <w:rPr>
          <w:sz w:val="20"/>
          <w:szCs w:val="20"/>
        </w:rPr>
        <w:t>rship to offset unrelated business taxable income from another unrelated trade or business and vice versa</w:t>
      </w:r>
      <w:r>
        <w:rPr>
          <w:sz w:val="20"/>
          <w:szCs w:val="20"/>
        </w:rPr>
        <w:t>.</w:t>
      </w:r>
    </w:p>
    <w:p w14:paraId="7056258B" w14:textId="77777777" w:rsidR="00000000" w:rsidRDefault="00832D71">
      <w:pPr>
        <w:pStyle w:val="a3"/>
        <w:spacing w:before="240" w:beforeAutospacing="0" w:after="0" w:afterAutospacing="0"/>
        <w:ind w:firstLine="555"/>
        <w:jc w:val="both"/>
        <w:rPr>
          <w:sz w:val="20"/>
          <w:szCs w:val="20"/>
        </w:rPr>
      </w:pPr>
      <w:r>
        <w:rPr>
          <w:sz w:val="20"/>
          <w:szCs w:val="20"/>
        </w:rPr>
        <w:t>Distributions to foreign persons will be reduced by withholding taxes at the highest applicable effective tax rate, and foreign persons will be requi</w:t>
      </w:r>
      <w:r>
        <w:rPr>
          <w:sz w:val="20"/>
          <w:szCs w:val="20"/>
        </w:rPr>
        <w:t>red to file U.S. federal income tax returns and pay tax on their share of our taxable income. A foreign person who sells or otherwise disposes of a Common Unit will also be subject to U.S. federal income tax on the gain realized from the sale or dispositio</w:t>
      </w:r>
      <w:r>
        <w:rPr>
          <w:sz w:val="20"/>
          <w:szCs w:val="20"/>
        </w:rPr>
        <w:t>n of that Common Unit. In general, a 10% withholding tax is imposed on the amount realized on the disposition of a partnership interest by a foreign person if any gain on the transfer of such interest would be treated as giving rise to effectively connecte</w:t>
      </w:r>
      <w:r>
        <w:rPr>
          <w:sz w:val="20"/>
          <w:szCs w:val="20"/>
        </w:rPr>
        <w:t>d income. However, such withholding tax obligation is currently suspended in the case of a disposition of certain publicly traded partnership interests until further guidance is provided. If guidance is provided, the withholding tax may apply</w:t>
      </w:r>
      <w:r>
        <w:rPr>
          <w:sz w:val="20"/>
          <w:szCs w:val="20"/>
        </w:rPr>
        <w:t>.</w:t>
      </w:r>
    </w:p>
    <w:p w14:paraId="33EB3A9C" w14:textId="77777777" w:rsidR="00000000" w:rsidRDefault="00832D71">
      <w:pPr>
        <w:pStyle w:val="a3"/>
        <w:spacing w:before="360" w:beforeAutospacing="0" w:after="0" w:afterAutospacing="0"/>
        <w:jc w:val="both"/>
        <w:rPr>
          <w:sz w:val="20"/>
          <w:szCs w:val="20"/>
        </w:rPr>
      </w:pPr>
      <w:r>
        <w:rPr>
          <w:b/>
          <w:bCs/>
          <w:i/>
          <w:iCs/>
          <w:sz w:val="20"/>
          <w:szCs w:val="20"/>
        </w:rPr>
        <w:t xml:space="preserve">The ability </w:t>
      </w:r>
      <w:r>
        <w:rPr>
          <w:b/>
          <w:bCs/>
          <w:i/>
          <w:iCs/>
          <w:sz w:val="20"/>
          <w:szCs w:val="20"/>
        </w:rPr>
        <w:t>of a Unitholder to deduct its share of our losses may be limited</w:t>
      </w:r>
      <w:r>
        <w:rPr>
          <w:b/>
          <w:bCs/>
          <w:i/>
          <w:iCs/>
          <w:sz w:val="20"/>
          <w:szCs w:val="20"/>
        </w:rPr>
        <w:t>.</w:t>
      </w:r>
    </w:p>
    <w:p w14:paraId="623448EA" w14:textId="77777777" w:rsidR="00000000" w:rsidRDefault="00832D71">
      <w:pPr>
        <w:pStyle w:val="a3"/>
        <w:spacing w:before="120" w:beforeAutospacing="0" w:after="0" w:afterAutospacing="0"/>
        <w:ind w:firstLine="555"/>
        <w:jc w:val="both"/>
        <w:rPr>
          <w:sz w:val="20"/>
          <w:szCs w:val="20"/>
        </w:rPr>
      </w:pPr>
      <w:r>
        <w:rPr>
          <w:sz w:val="20"/>
          <w:szCs w:val="20"/>
        </w:rPr>
        <w:t>Various limitations may apply to the ability of a Unitholder to deduct its share of our losses. For example, in the case of taxpayers subject to the passive activity loss rules (generally, i</w:t>
      </w:r>
      <w:r>
        <w:rPr>
          <w:sz w:val="20"/>
          <w:szCs w:val="20"/>
        </w:rPr>
        <w:t>ndividuals and closely held corporations), any losses generated by us will only be available to offset our future income and cannot be used to offset income from other activities, including other passive activities or investments. Such unused losses may be</w:t>
      </w:r>
      <w:r>
        <w:rPr>
          <w:sz w:val="20"/>
          <w:szCs w:val="20"/>
        </w:rPr>
        <w:t xml:space="preserve"> deducted when the Unitholder disposes of its entire investment in us in a fully taxable transaction with an unrelated party, such as a sale by a Unitholder of all of its Common Units in the open market. A Unitholder’s share of any net passive income may b</w:t>
      </w:r>
      <w:r>
        <w:rPr>
          <w:sz w:val="20"/>
          <w:szCs w:val="20"/>
        </w:rPr>
        <w:t>e offset by unused losses from us carried over from prior years, but not by losses from other passive activities, including losses from other publicly-traded partnerships</w:t>
      </w:r>
      <w:r>
        <w:rPr>
          <w:sz w:val="20"/>
          <w:szCs w:val="20"/>
        </w:rPr>
        <w:t>.</w:t>
      </w:r>
    </w:p>
    <w:p w14:paraId="0ADE1579" w14:textId="77777777" w:rsidR="00000000" w:rsidRDefault="00832D71">
      <w:pPr>
        <w:pStyle w:val="a3"/>
        <w:spacing w:before="0" w:beforeAutospacing="0" w:after="0" w:afterAutospacing="0"/>
        <w:jc w:val="center"/>
        <w:rPr>
          <w:sz w:val="20"/>
          <w:szCs w:val="20"/>
        </w:rPr>
      </w:pPr>
      <w:r>
        <w:rPr>
          <w:sz w:val="20"/>
          <w:szCs w:val="20"/>
        </w:rPr>
        <w:t> </w:t>
      </w:r>
    </w:p>
    <w:p w14:paraId="04EA7BFB" w14:textId="77777777" w:rsidR="00000000" w:rsidRDefault="00832D71">
      <w:pPr>
        <w:pStyle w:val="a3"/>
        <w:spacing w:before="0" w:beforeAutospacing="0" w:after="0" w:afterAutospacing="0"/>
        <w:jc w:val="center"/>
        <w:rPr>
          <w:sz w:val="20"/>
          <w:szCs w:val="20"/>
        </w:rPr>
      </w:pPr>
      <w:r>
        <w:rPr>
          <w:sz w:val="20"/>
          <w:szCs w:val="20"/>
        </w:rPr>
        <w:t>2</w:t>
      </w:r>
      <w:r>
        <w:rPr>
          <w:sz w:val="20"/>
          <w:szCs w:val="20"/>
        </w:rPr>
        <w:t>6</w:t>
      </w:r>
    </w:p>
    <w:p w14:paraId="32A3086D" w14:textId="77777777" w:rsidR="00000000" w:rsidRDefault="00832D71">
      <w:pPr>
        <w:rPr>
          <w:rFonts w:eastAsia="Times New Roman"/>
        </w:rPr>
      </w:pPr>
      <w:r>
        <w:rPr>
          <w:rFonts w:eastAsia="Times New Roman"/>
        </w:rPr>
        <w:pict w14:anchorId="5A2FE51E">
          <v:rect id="_x0000_i1053" style="width:0;height:1.5pt" o:hralign="center" o:hrstd="t" o:hr="t" fillcolor="#a0a0a0" stroked="f"/>
        </w:pict>
      </w:r>
    </w:p>
    <w:p w14:paraId="338718F0"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60D472C5" w14:textId="77777777" w:rsidR="00000000" w:rsidRDefault="00832D71">
      <w:pPr>
        <w:pStyle w:val="a3"/>
        <w:spacing w:before="360" w:beforeAutospacing="0" w:after="0" w:afterAutospacing="0"/>
        <w:jc w:val="both"/>
        <w:rPr>
          <w:sz w:val="20"/>
          <w:szCs w:val="20"/>
        </w:rPr>
      </w:pPr>
      <w:r>
        <w:rPr>
          <w:b/>
          <w:bCs/>
          <w:i/>
          <w:iCs/>
          <w:sz w:val="20"/>
          <w:szCs w:val="20"/>
        </w:rPr>
        <w:t>The tax gain or loss on the disposition of Common Units could be different than expected</w:t>
      </w:r>
      <w:r>
        <w:rPr>
          <w:b/>
          <w:bCs/>
          <w:i/>
          <w:iCs/>
          <w:sz w:val="20"/>
          <w:szCs w:val="20"/>
        </w:rPr>
        <w:t>.</w:t>
      </w:r>
    </w:p>
    <w:p w14:paraId="5143E9A0" w14:textId="77777777" w:rsidR="00000000" w:rsidRDefault="00832D71">
      <w:pPr>
        <w:pStyle w:val="a3"/>
        <w:spacing w:before="120" w:beforeAutospacing="0" w:after="0" w:afterAutospacing="0"/>
        <w:ind w:firstLine="555"/>
        <w:jc w:val="both"/>
        <w:rPr>
          <w:sz w:val="20"/>
          <w:szCs w:val="20"/>
        </w:rPr>
      </w:pPr>
      <w:r>
        <w:rPr>
          <w:sz w:val="20"/>
          <w:szCs w:val="20"/>
        </w:rPr>
        <w:t xml:space="preserve">A Unitholder who sells Common Units will recognize a gain or loss equal </w:t>
      </w:r>
      <w:r>
        <w:rPr>
          <w:sz w:val="20"/>
          <w:szCs w:val="20"/>
        </w:rPr>
        <w:t>to the difference between the amount realized and its adjusted tax basis in the Common Units. Prior distributions in excess of cumulative net taxable income allocated to a Common Unit which decreased a Unitholder’s tax basis in that Common Unit will, in ef</w:t>
      </w:r>
      <w:r>
        <w:rPr>
          <w:sz w:val="20"/>
          <w:szCs w:val="20"/>
        </w:rPr>
        <w:t>fect, become taxable income if the Common Unit is sold at a price greater than the Unitholder’s tax basis in that Common Unit, even if the price is less than the original cost of the Common Unit. A portion of the amount realized, if the amount realized exc</w:t>
      </w:r>
      <w:r>
        <w:rPr>
          <w:sz w:val="20"/>
          <w:szCs w:val="20"/>
        </w:rPr>
        <w:t>eeds the Unitholder’s adjusted basis in that Common Unit, will likely be characterized as ordinary income. Furthermore, should the IRS successfully contest some conventions used by us, a Unitholder could recognize more gain on the sale of Common Units than</w:t>
      </w:r>
      <w:r>
        <w:rPr>
          <w:sz w:val="20"/>
          <w:szCs w:val="20"/>
        </w:rPr>
        <w:t xml:space="preserve"> would be the case under those conventions, without the benefit of decreased income in prior years. In addition, because the amount realized will include a holder’s share of our nonrecourse liabilities, if a Unitholder sells its Common Units, such Unithold</w:t>
      </w:r>
      <w:r>
        <w:rPr>
          <w:sz w:val="20"/>
          <w:szCs w:val="20"/>
        </w:rPr>
        <w:t>er may incur a tax liability in excess of the amount of cash it receives from the sale</w:t>
      </w:r>
      <w:r>
        <w:rPr>
          <w:sz w:val="20"/>
          <w:szCs w:val="20"/>
        </w:rPr>
        <w:t>.</w:t>
      </w:r>
    </w:p>
    <w:p w14:paraId="356674D8" w14:textId="77777777" w:rsidR="00000000" w:rsidRDefault="00832D71">
      <w:pPr>
        <w:pStyle w:val="a3"/>
        <w:spacing w:before="360" w:beforeAutospacing="0" w:after="0" w:afterAutospacing="0"/>
        <w:jc w:val="both"/>
        <w:rPr>
          <w:sz w:val="20"/>
          <w:szCs w:val="20"/>
        </w:rPr>
      </w:pPr>
      <w:r>
        <w:rPr>
          <w:b/>
          <w:bCs/>
          <w:i/>
          <w:iCs/>
          <w:sz w:val="20"/>
          <w:szCs w:val="20"/>
        </w:rPr>
        <w:t>Reporting of partnership tax information is complicated and subject to audits</w:t>
      </w:r>
      <w:r>
        <w:rPr>
          <w:b/>
          <w:bCs/>
          <w:i/>
          <w:iCs/>
          <w:sz w:val="20"/>
          <w:szCs w:val="20"/>
        </w:rPr>
        <w:t>.</w:t>
      </w:r>
    </w:p>
    <w:p w14:paraId="369D5484" w14:textId="77777777" w:rsidR="00000000" w:rsidRDefault="00832D71">
      <w:pPr>
        <w:pStyle w:val="a3"/>
        <w:spacing w:before="120" w:beforeAutospacing="0" w:after="0" w:afterAutospacing="0"/>
        <w:ind w:firstLine="555"/>
        <w:jc w:val="both"/>
        <w:rPr>
          <w:sz w:val="20"/>
          <w:szCs w:val="20"/>
        </w:rPr>
      </w:pPr>
      <w:r>
        <w:rPr>
          <w:sz w:val="20"/>
          <w:szCs w:val="20"/>
        </w:rPr>
        <w:t xml:space="preserve">We intend to furnish to each Unitholder, within 90 days after the close of each calendar </w:t>
      </w:r>
      <w:r>
        <w:rPr>
          <w:sz w:val="20"/>
          <w:szCs w:val="20"/>
        </w:rPr>
        <w:t>year, specific tax information, including a Schedule K-1 that sets forth its allocable share of income, gains, losses and deductions for our preceding taxable year. In preparing these schedules, we use various accounting and reporting conventions and adopt</w:t>
      </w:r>
      <w:r>
        <w:rPr>
          <w:sz w:val="20"/>
          <w:szCs w:val="20"/>
        </w:rPr>
        <w:t xml:space="preserve"> various depreciation and amortization methods. We cannot guarantee that these conventions will yield a result that conforms to statutory or regulatory requirements or to administrative pronouncements of the IRS. Further, our income tax return may be audit</w:t>
      </w:r>
      <w:r>
        <w:rPr>
          <w:sz w:val="20"/>
          <w:szCs w:val="20"/>
        </w:rPr>
        <w:t>ed, which could result in an audit of a Unitholder’s income tax return and increased liabilities for taxes because of adjustments resulting from the audit</w:t>
      </w:r>
      <w:r>
        <w:rPr>
          <w:sz w:val="20"/>
          <w:szCs w:val="20"/>
        </w:rPr>
        <w:t>.</w:t>
      </w:r>
    </w:p>
    <w:p w14:paraId="4CC021D2" w14:textId="77777777" w:rsidR="00000000" w:rsidRDefault="00832D71">
      <w:pPr>
        <w:pStyle w:val="a3"/>
        <w:spacing w:before="360" w:beforeAutospacing="0" w:after="0" w:afterAutospacing="0"/>
        <w:jc w:val="both"/>
        <w:rPr>
          <w:sz w:val="20"/>
          <w:szCs w:val="20"/>
        </w:rPr>
      </w:pPr>
      <w:r>
        <w:rPr>
          <w:b/>
          <w:bCs/>
          <w:i/>
          <w:iCs/>
          <w:sz w:val="20"/>
          <w:szCs w:val="20"/>
        </w:rPr>
        <w:t>We treat each purchaser of our Common Units as having the same tax benefits without regard to the ac</w:t>
      </w:r>
      <w:r>
        <w:rPr>
          <w:b/>
          <w:bCs/>
          <w:i/>
          <w:iCs/>
          <w:sz w:val="20"/>
          <w:szCs w:val="20"/>
        </w:rPr>
        <w:t>tual Common Units purchased. The IRS may challenge this treatment, which could adversely affect the value of the Common Units</w:t>
      </w:r>
      <w:r>
        <w:rPr>
          <w:b/>
          <w:bCs/>
          <w:i/>
          <w:iCs/>
          <w:sz w:val="20"/>
          <w:szCs w:val="20"/>
        </w:rPr>
        <w:t>.</w:t>
      </w:r>
    </w:p>
    <w:p w14:paraId="01DE5547" w14:textId="77777777" w:rsidR="00000000" w:rsidRDefault="00832D71">
      <w:pPr>
        <w:pStyle w:val="a3"/>
        <w:spacing w:before="120" w:beforeAutospacing="0" w:after="0" w:afterAutospacing="0"/>
        <w:ind w:firstLine="555"/>
        <w:jc w:val="both"/>
        <w:rPr>
          <w:sz w:val="20"/>
          <w:szCs w:val="20"/>
        </w:rPr>
      </w:pPr>
      <w:r>
        <w:rPr>
          <w:sz w:val="20"/>
          <w:szCs w:val="20"/>
        </w:rPr>
        <w:t xml:space="preserve">Because we cannot match transferors and transferees of Common Units and because of other reasons, uniformity of the economic and </w:t>
      </w:r>
      <w:r>
        <w:rPr>
          <w:sz w:val="20"/>
          <w:szCs w:val="20"/>
        </w:rPr>
        <w:t>tax characteristics of the Common Units to a purchaser of Common Units of the same class must be maintained. To maintain uniformity and for other reasons, we have adopted certain depreciation and amortization conventions that may be inconsistent with Treas</w:t>
      </w:r>
      <w:r>
        <w:rPr>
          <w:sz w:val="20"/>
          <w:szCs w:val="20"/>
        </w:rPr>
        <w:t xml:space="preserve">ury Regulations. A successful IRS challenge to those positions could adversely affect the amount of tax benefits available to a Unitholder or result in a tax imposed upon us and borne by current Unitholders even if such Unitholder did not own units during </w:t>
      </w:r>
      <w:r>
        <w:rPr>
          <w:sz w:val="20"/>
          <w:szCs w:val="20"/>
        </w:rPr>
        <w:t>the tax year under audit. A successful IRS challenge also could affect the timing of tax benefits or the amount of gain from the sale of Common Units, and could have a negative impact on the value of our Common Units or result in audit adjustments to a Uni</w:t>
      </w:r>
      <w:r>
        <w:rPr>
          <w:sz w:val="20"/>
          <w:szCs w:val="20"/>
        </w:rPr>
        <w:t>tholder’s income tax return</w:t>
      </w:r>
      <w:r>
        <w:rPr>
          <w:sz w:val="20"/>
          <w:szCs w:val="20"/>
        </w:rPr>
        <w:t>.</w:t>
      </w:r>
    </w:p>
    <w:p w14:paraId="497A2C0E" w14:textId="77777777" w:rsidR="00000000" w:rsidRDefault="00832D71">
      <w:pPr>
        <w:pStyle w:val="a3"/>
        <w:spacing w:before="360" w:beforeAutospacing="0" w:after="0" w:afterAutospacing="0"/>
        <w:jc w:val="both"/>
        <w:rPr>
          <w:sz w:val="20"/>
          <w:szCs w:val="20"/>
        </w:rPr>
      </w:pPr>
      <w:r>
        <w:rPr>
          <w:b/>
          <w:bCs/>
          <w:i/>
          <w:iCs/>
          <w:sz w:val="20"/>
          <w:szCs w:val="20"/>
        </w:rPr>
        <w:t>We prorate our items of income, gain, loss and deduction between transferors and transferees of our Common Units each month based upon the ownership of our Common Units on the first day of each month, instead of on the basis of</w:t>
      </w:r>
      <w:r>
        <w:rPr>
          <w:b/>
          <w:bCs/>
          <w:i/>
          <w:iCs/>
          <w:sz w:val="20"/>
          <w:szCs w:val="20"/>
        </w:rPr>
        <w:t xml:space="preserve"> the date a particular Common Unit is transferred. The IRS may challenge this treatment, which could change the allocation of items of income, gain, loss and deduction among our Unitholders</w:t>
      </w:r>
      <w:r>
        <w:rPr>
          <w:b/>
          <w:bCs/>
          <w:i/>
          <w:iCs/>
          <w:sz w:val="20"/>
          <w:szCs w:val="20"/>
        </w:rPr>
        <w:t>.</w:t>
      </w:r>
    </w:p>
    <w:p w14:paraId="6EF8F5D1" w14:textId="77777777" w:rsidR="00000000" w:rsidRDefault="00832D71">
      <w:pPr>
        <w:pStyle w:val="a3"/>
        <w:spacing w:before="120" w:beforeAutospacing="0" w:after="0" w:afterAutospacing="0"/>
        <w:ind w:firstLine="555"/>
        <w:jc w:val="both"/>
        <w:rPr>
          <w:sz w:val="20"/>
          <w:szCs w:val="20"/>
        </w:rPr>
      </w:pPr>
      <w:r>
        <w:rPr>
          <w:sz w:val="20"/>
          <w:szCs w:val="20"/>
        </w:rPr>
        <w:t xml:space="preserve">We prorate our items of income, gain, loss and deduction between </w:t>
      </w:r>
      <w:r>
        <w:rPr>
          <w:sz w:val="20"/>
          <w:szCs w:val="20"/>
        </w:rPr>
        <w:t xml:space="preserve">transferors and transferees of our Common Units each month based upon the ownership of our Common Units on the first day of each month, instead of on the basis of the date a particular Common Unit is transferred. Treasury Regulations provide a safe harbor </w:t>
      </w:r>
      <w:r>
        <w:rPr>
          <w:sz w:val="20"/>
          <w:szCs w:val="20"/>
        </w:rPr>
        <w:t>pursuant to which publicly traded partnerships may use a similar monthly simplifying convention to allocate tax items among transferors and transferees of our Common Units. However, if the IRS were to challenge our proration method, we may be required to c</w:t>
      </w:r>
      <w:r>
        <w:rPr>
          <w:sz w:val="20"/>
          <w:szCs w:val="20"/>
        </w:rPr>
        <w:t>hange the allocation of items of income, gain, loss and deduction among our Unitholders</w:t>
      </w:r>
      <w:r>
        <w:rPr>
          <w:sz w:val="20"/>
          <w:szCs w:val="20"/>
        </w:rPr>
        <w:t>.</w:t>
      </w:r>
    </w:p>
    <w:p w14:paraId="5FFB56DF" w14:textId="77777777" w:rsidR="00000000" w:rsidRDefault="00832D71">
      <w:pPr>
        <w:pStyle w:val="a3"/>
        <w:spacing w:before="360" w:beforeAutospacing="0" w:after="0" w:afterAutospacing="0"/>
        <w:jc w:val="both"/>
        <w:rPr>
          <w:sz w:val="20"/>
          <w:szCs w:val="20"/>
        </w:rPr>
      </w:pPr>
      <w:r>
        <w:rPr>
          <w:b/>
          <w:bCs/>
          <w:i/>
          <w:iCs/>
          <w:sz w:val="20"/>
          <w:szCs w:val="20"/>
        </w:rPr>
        <w:t>Unitholders may have negative tax consequences if we default on our debt or sell assets</w:t>
      </w:r>
      <w:r>
        <w:rPr>
          <w:b/>
          <w:bCs/>
          <w:i/>
          <w:iCs/>
          <w:sz w:val="20"/>
          <w:szCs w:val="20"/>
        </w:rPr>
        <w:t>.</w:t>
      </w:r>
    </w:p>
    <w:p w14:paraId="4840A445" w14:textId="77777777" w:rsidR="00000000" w:rsidRDefault="00832D71">
      <w:pPr>
        <w:pStyle w:val="a3"/>
        <w:spacing w:before="120" w:beforeAutospacing="0" w:after="0" w:afterAutospacing="0"/>
        <w:ind w:firstLine="555"/>
        <w:jc w:val="both"/>
        <w:rPr>
          <w:sz w:val="20"/>
          <w:szCs w:val="20"/>
        </w:rPr>
      </w:pPr>
      <w:r>
        <w:rPr>
          <w:sz w:val="20"/>
          <w:szCs w:val="20"/>
        </w:rPr>
        <w:t xml:space="preserve">If we default on any of our debt obligations, our lenders will have the right </w:t>
      </w:r>
      <w:r>
        <w:rPr>
          <w:sz w:val="20"/>
          <w:szCs w:val="20"/>
        </w:rPr>
        <w:t>to sue us for non-payment. This could cause an investment loss and negative tax consequences for Unitholders through the realization of taxable income by Unitholders without a corresponding cash distribution. Likewise, if we were to dispose of assets and r</w:t>
      </w:r>
      <w:r>
        <w:rPr>
          <w:sz w:val="20"/>
          <w:szCs w:val="20"/>
        </w:rPr>
        <w:t>ealize a taxable gain while there is substantial debt outstanding and proceeds of the sale were applied to the debt, Unitholders could have increased taxable income without a corresponding cash distribution</w:t>
      </w:r>
      <w:r>
        <w:rPr>
          <w:sz w:val="20"/>
          <w:szCs w:val="20"/>
        </w:rPr>
        <w:t>.</w:t>
      </w:r>
    </w:p>
    <w:p w14:paraId="72EABD2F" w14:textId="77777777" w:rsidR="00000000" w:rsidRDefault="00832D71">
      <w:pPr>
        <w:pStyle w:val="a3"/>
        <w:spacing w:before="360" w:beforeAutospacing="0" w:after="0" w:afterAutospacing="0"/>
        <w:jc w:val="both"/>
        <w:rPr>
          <w:sz w:val="20"/>
          <w:szCs w:val="20"/>
        </w:rPr>
      </w:pPr>
      <w:r>
        <w:rPr>
          <w:b/>
          <w:bCs/>
          <w:i/>
          <w:iCs/>
          <w:sz w:val="20"/>
          <w:szCs w:val="20"/>
        </w:rPr>
        <w:t>There are state, local and other tax considerati</w:t>
      </w:r>
      <w:r>
        <w:rPr>
          <w:b/>
          <w:bCs/>
          <w:i/>
          <w:iCs/>
          <w:sz w:val="20"/>
          <w:szCs w:val="20"/>
        </w:rPr>
        <w:t>ons for our Unitholders</w:t>
      </w:r>
      <w:r>
        <w:rPr>
          <w:b/>
          <w:bCs/>
          <w:i/>
          <w:iCs/>
          <w:sz w:val="20"/>
          <w:szCs w:val="20"/>
        </w:rPr>
        <w:t>.</w:t>
      </w:r>
    </w:p>
    <w:p w14:paraId="3268B746" w14:textId="77777777" w:rsidR="00000000" w:rsidRDefault="00832D71">
      <w:pPr>
        <w:pStyle w:val="a3"/>
        <w:spacing w:before="120" w:beforeAutospacing="0" w:after="0" w:afterAutospacing="0"/>
        <w:ind w:firstLine="555"/>
        <w:jc w:val="both"/>
        <w:rPr>
          <w:sz w:val="20"/>
          <w:szCs w:val="20"/>
        </w:rPr>
      </w:pPr>
      <w:r>
        <w:rPr>
          <w:sz w:val="20"/>
          <w:szCs w:val="20"/>
        </w:rPr>
        <w:t>In addition to U.S. federal income taxes, Unitholders will likely be subject to other taxes, such as state and local taxes, unincorporated business taxes and estate, inheritance or intangible taxes that are imposed by the various j</w:t>
      </w:r>
      <w:r>
        <w:rPr>
          <w:sz w:val="20"/>
          <w:szCs w:val="20"/>
        </w:rPr>
        <w:t xml:space="preserve">urisdictions in which we do business or own property, even if the Unitholder does not reside in any of those jurisdictions. A Unitholder will likely be required to file state and local income tax returns and pay state and local income taxes in some or all </w:t>
      </w:r>
      <w:r>
        <w:rPr>
          <w:sz w:val="20"/>
          <w:szCs w:val="20"/>
        </w:rPr>
        <w:t>of the various jurisdictions in which we do business or own property and may be subject to penalties for failure to comply with those requirements. It is the responsibility of each Unitholder to file all U.S. federal, state and local income tax returns tha</w:t>
      </w:r>
      <w:r>
        <w:rPr>
          <w:sz w:val="20"/>
          <w:szCs w:val="20"/>
        </w:rPr>
        <w:t>t may be required of each Unitholder</w:t>
      </w:r>
      <w:r>
        <w:rPr>
          <w:sz w:val="20"/>
          <w:szCs w:val="20"/>
        </w:rPr>
        <w:t>.</w:t>
      </w:r>
    </w:p>
    <w:p w14:paraId="764BD45D" w14:textId="77777777" w:rsidR="00000000" w:rsidRDefault="00832D71">
      <w:pPr>
        <w:pStyle w:val="a3"/>
        <w:spacing w:before="0" w:beforeAutospacing="0" w:after="0" w:afterAutospacing="0"/>
        <w:jc w:val="center"/>
        <w:rPr>
          <w:sz w:val="20"/>
          <w:szCs w:val="20"/>
        </w:rPr>
      </w:pPr>
      <w:r>
        <w:rPr>
          <w:sz w:val="20"/>
          <w:szCs w:val="20"/>
        </w:rPr>
        <w:t> </w:t>
      </w:r>
    </w:p>
    <w:p w14:paraId="561EEF1E" w14:textId="77777777" w:rsidR="00000000" w:rsidRDefault="00832D71">
      <w:pPr>
        <w:pStyle w:val="a3"/>
        <w:spacing w:before="0" w:beforeAutospacing="0" w:after="0" w:afterAutospacing="0"/>
        <w:jc w:val="center"/>
        <w:rPr>
          <w:sz w:val="20"/>
          <w:szCs w:val="20"/>
        </w:rPr>
      </w:pPr>
      <w:r>
        <w:rPr>
          <w:sz w:val="20"/>
          <w:szCs w:val="20"/>
        </w:rPr>
        <w:t>2</w:t>
      </w:r>
      <w:r>
        <w:rPr>
          <w:sz w:val="20"/>
          <w:szCs w:val="20"/>
        </w:rPr>
        <w:t>7</w:t>
      </w:r>
    </w:p>
    <w:p w14:paraId="7BC82B22" w14:textId="77777777" w:rsidR="00000000" w:rsidRDefault="00832D71">
      <w:pPr>
        <w:rPr>
          <w:rFonts w:eastAsia="Times New Roman"/>
        </w:rPr>
      </w:pPr>
      <w:r>
        <w:rPr>
          <w:rFonts w:eastAsia="Times New Roman"/>
        </w:rPr>
        <w:pict w14:anchorId="7A75975F">
          <v:rect id="_x0000_i1054" style="width:0;height:1.5pt" o:hralign="center" o:hrstd="t" o:hr="t" fillcolor="#a0a0a0" stroked="f"/>
        </w:pict>
      </w:r>
    </w:p>
    <w:p w14:paraId="492BC45E"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2F191E4B" w14:textId="77777777" w:rsidR="00000000" w:rsidRDefault="00832D71">
      <w:pPr>
        <w:pStyle w:val="a3"/>
        <w:spacing w:before="360" w:beforeAutospacing="0" w:after="0" w:afterAutospacing="0"/>
        <w:jc w:val="both"/>
        <w:rPr>
          <w:sz w:val="20"/>
          <w:szCs w:val="20"/>
        </w:rPr>
      </w:pPr>
      <w:r>
        <w:rPr>
          <w:b/>
          <w:bCs/>
          <w:i/>
          <w:iCs/>
          <w:sz w:val="20"/>
          <w:szCs w:val="20"/>
        </w:rPr>
        <w:t>A Unitholder whose Common Units are loaned to a “short seller” to cover a short sale of Common Units may be considered</w:t>
      </w:r>
      <w:r>
        <w:rPr>
          <w:b/>
          <w:bCs/>
          <w:i/>
          <w:iCs/>
          <w:sz w:val="20"/>
          <w:szCs w:val="20"/>
        </w:rPr>
        <w:t xml:space="preserve"> as having disposed of those Common Units. If so, that Unitholder would no longer be treated for tax purposes as a partner with respect to those Common Units during the period of the loan and may recognize gain or loss from the disposition</w:t>
      </w:r>
      <w:r>
        <w:rPr>
          <w:b/>
          <w:bCs/>
          <w:i/>
          <w:iCs/>
          <w:sz w:val="20"/>
          <w:szCs w:val="20"/>
        </w:rPr>
        <w:t>.</w:t>
      </w:r>
    </w:p>
    <w:p w14:paraId="71ABFC68" w14:textId="77777777" w:rsidR="00000000" w:rsidRDefault="00832D71">
      <w:pPr>
        <w:pStyle w:val="a3"/>
        <w:spacing w:before="120" w:beforeAutospacing="0" w:after="0" w:afterAutospacing="0"/>
        <w:ind w:firstLine="555"/>
        <w:jc w:val="both"/>
        <w:rPr>
          <w:sz w:val="20"/>
          <w:szCs w:val="20"/>
        </w:rPr>
      </w:pPr>
      <w:r>
        <w:rPr>
          <w:sz w:val="20"/>
          <w:szCs w:val="20"/>
        </w:rPr>
        <w:t>Because lending</w:t>
      </w:r>
      <w:r>
        <w:rPr>
          <w:sz w:val="20"/>
          <w:szCs w:val="20"/>
        </w:rPr>
        <w:t xml:space="preserve"> a partnership interest is not tax free, a Unitholder whose Common Units are loaned to a “short seller” to cover a short sale of Common Units may be considered as having disposed of the loaned Common Units. In that case, a Unitholder may no longer be treat</w:t>
      </w:r>
      <w:r>
        <w:rPr>
          <w:sz w:val="20"/>
          <w:szCs w:val="20"/>
        </w:rPr>
        <w:t>ed for tax purposes as a partner with respect to those Common Units during the period of the loan to the short seller and may recognize gain or loss from such disposition. Moreover, during the period of the loan to the short seller, any of our income, gain</w:t>
      </w:r>
      <w:r>
        <w:rPr>
          <w:sz w:val="20"/>
          <w:szCs w:val="20"/>
        </w:rPr>
        <w:t>, loss or deduction with respect to those Common Units may not be reportable by the Unitholder and any cash distribution received by the Unitholder as to those Common Units could be fully taxable as ordinary income. Unitholders desiring to ensure their sta</w:t>
      </w:r>
      <w:r>
        <w:rPr>
          <w:sz w:val="20"/>
          <w:szCs w:val="20"/>
        </w:rPr>
        <w:t>tus as partners and avoid the risk of gain recognition from a loan to a short seller should consult their own tax advisors to discuss whether it is advisable to modify any applicable brokerage account agreements to prohibit their brokers from borrowing the</w:t>
      </w:r>
      <w:r>
        <w:rPr>
          <w:sz w:val="20"/>
          <w:szCs w:val="20"/>
        </w:rPr>
        <w:t>ir Common Units</w:t>
      </w:r>
      <w:r>
        <w:rPr>
          <w:sz w:val="20"/>
          <w:szCs w:val="20"/>
        </w:rPr>
        <w:t>.</w:t>
      </w:r>
    </w:p>
    <w:p w14:paraId="6DFF27D3" w14:textId="77777777" w:rsidR="00000000" w:rsidRDefault="00832D71">
      <w:pPr>
        <w:pStyle w:val="a3"/>
        <w:spacing w:before="360" w:beforeAutospacing="0" w:after="0" w:afterAutospacing="0"/>
        <w:ind w:hanging="1400"/>
        <w:jc w:val="both"/>
        <w:rPr>
          <w:sz w:val="20"/>
          <w:szCs w:val="20"/>
        </w:rPr>
      </w:pPr>
      <w:r>
        <w:rPr>
          <w:b/>
          <w:bCs/>
          <w:sz w:val="20"/>
          <w:szCs w:val="20"/>
        </w:rPr>
        <w:t>ITEM 1B. UNRESOLVE</w:t>
      </w:r>
      <w:r>
        <w:rPr>
          <w:b/>
          <w:bCs/>
          <w:sz w:val="20"/>
          <w:szCs w:val="20"/>
        </w:rPr>
        <w:t>D</w:t>
      </w:r>
      <w:r>
        <w:rPr>
          <w:b/>
          <w:bCs/>
          <w:sz w:val="20"/>
          <w:szCs w:val="20"/>
        </w:rPr>
        <w:t xml:space="preserve"> STAFF COMMENT</w:t>
      </w:r>
      <w:r>
        <w:rPr>
          <w:b/>
          <w:bCs/>
          <w:sz w:val="20"/>
          <w:szCs w:val="20"/>
        </w:rPr>
        <w:t>S</w:t>
      </w:r>
    </w:p>
    <w:p w14:paraId="70A7C834" w14:textId="77777777" w:rsidR="00000000" w:rsidRDefault="00832D71">
      <w:pPr>
        <w:pStyle w:val="a3"/>
        <w:spacing w:before="120" w:beforeAutospacing="0" w:after="0" w:afterAutospacing="0"/>
        <w:ind w:firstLine="555"/>
        <w:jc w:val="both"/>
        <w:rPr>
          <w:sz w:val="20"/>
          <w:szCs w:val="20"/>
        </w:rPr>
      </w:pPr>
      <w:r>
        <w:rPr>
          <w:sz w:val="20"/>
          <w:szCs w:val="20"/>
        </w:rPr>
        <w:t>None</w:t>
      </w:r>
      <w:r>
        <w:rPr>
          <w:sz w:val="20"/>
          <w:szCs w:val="20"/>
        </w:rPr>
        <w:t>.</w:t>
      </w:r>
    </w:p>
    <w:p w14:paraId="6FB86B26" w14:textId="77777777" w:rsidR="00000000" w:rsidRDefault="00832D71">
      <w:pPr>
        <w:pStyle w:val="a3"/>
        <w:spacing w:before="360" w:beforeAutospacing="0" w:after="0" w:afterAutospacing="0"/>
        <w:ind w:hanging="1400"/>
        <w:jc w:val="both"/>
        <w:rPr>
          <w:sz w:val="20"/>
          <w:szCs w:val="20"/>
        </w:rPr>
      </w:pPr>
      <w:r>
        <w:rPr>
          <w:b/>
          <w:bCs/>
          <w:sz w:val="20"/>
          <w:szCs w:val="20"/>
        </w:rPr>
        <w:t xml:space="preserve">ITEM 2. </w:t>
      </w:r>
      <w:r>
        <w:rPr>
          <w:b/>
          <w:bCs/>
          <w:sz w:val="20"/>
          <w:szCs w:val="20"/>
        </w:rPr>
        <w:t>P</w:t>
      </w:r>
      <w:r>
        <w:rPr>
          <w:b/>
          <w:bCs/>
          <w:sz w:val="20"/>
          <w:szCs w:val="20"/>
        </w:rPr>
        <w:t>ROPERTIE</w:t>
      </w:r>
      <w:r>
        <w:rPr>
          <w:b/>
          <w:bCs/>
          <w:sz w:val="20"/>
          <w:szCs w:val="20"/>
        </w:rPr>
        <w:t>S</w:t>
      </w:r>
    </w:p>
    <w:p w14:paraId="10F37F2D" w14:textId="77777777" w:rsidR="00000000" w:rsidRDefault="00832D71">
      <w:pPr>
        <w:pStyle w:val="a3"/>
        <w:spacing w:before="120" w:beforeAutospacing="0" w:after="0" w:afterAutospacing="0"/>
        <w:ind w:firstLine="555"/>
        <w:jc w:val="both"/>
        <w:rPr>
          <w:sz w:val="20"/>
          <w:szCs w:val="20"/>
        </w:rPr>
      </w:pPr>
      <w:r>
        <w:rPr>
          <w:sz w:val="20"/>
          <w:szCs w:val="20"/>
        </w:rPr>
        <w:t xml:space="preserve">As of September 24, 2022, we owned approximately 73% of our customer service center and satellite locations and leased the balance of our retail locations from third parties. We own and operate a 22 million gallon refrigerated, aboveground propane storage </w:t>
      </w:r>
      <w:r>
        <w:rPr>
          <w:sz w:val="20"/>
          <w:szCs w:val="20"/>
        </w:rPr>
        <w:t>facility in Elk Grove, California. Additionally, we own our principal executive offices located in Whippany, New Jersey</w:t>
      </w:r>
      <w:r>
        <w:rPr>
          <w:sz w:val="20"/>
          <w:szCs w:val="20"/>
        </w:rPr>
        <w:t>.</w:t>
      </w:r>
    </w:p>
    <w:p w14:paraId="6862AA40" w14:textId="77777777" w:rsidR="00000000" w:rsidRDefault="00832D71">
      <w:pPr>
        <w:pStyle w:val="a3"/>
        <w:spacing w:before="240" w:beforeAutospacing="0" w:after="0" w:afterAutospacing="0"/>
        <w:ind w:firstLine="555"/>
        <w:jc w:val="both"/>
        <w:rPr>
          <w:sz w:val="20"/>
          <w:szCs w:val="20"/>
        </w:rPr>
      </w:pPr>
      <w:r>
        <w:rPr>
          <w:sz w:val="20"/>
          <w:szCs w:val="20"/>
        </w:rPr>
        <w:t>The transportation of propane requires specialized equipment. The trucks and railroad tank cars utilized for this purpose carry special</w:t>
      </w:r>
      <w:r>
        <w:rPr>
          <w:sz w:val="20"/>
          <w:szCs w:val="20"/>
        </w:rPr>
        <w:t>ized steel tanks that maintain the propane in a liquefied state. As of September 24, 2022, we had a fleet of 11 transport truck tractors, of which we owned 6, and 33 railroad tank cars, of which we owned none. In addition, as of September 24, 2022 we had 1</w:t>
      </w:r>
      <w:r>
        <w:rPr>
          <w:sz w:val="20"/>
          <w:szCs w:val="20"/>
        </w:rPr>
        <w:t>,113 bobtail and rack trucks, of which we owned 8%, 108 fuel oil tankwagons, of which we owned 23%, and 1,318 other delivery and service vehicles, of which we owned 22%. We lease the vehicles we do not own. As of September 24, 2022, we also owned approxima</w:t>
      </w:r>
      <w:r>
        <w:rPr>
          <w:sz w:val="20"/>
          <w:szCs w:val="20"/>
        </w:rPr>
        <w:t>tely 836,000 customer propane storage tanks with typical capacities of 100 to 500 gallons, 56,000 customer propane storage tanks with typical capacities of over 500 gallons and 261,000 portable propane cylinders with typical capacities of five to ten gallo</w:t>
      </w:r>
      <w:r>
        <w:rPr>
          <w:sz w:val="20"/>
          <w:szCs w:val="20"/>
        </w:rPr>
        <w:t>ns</w:t>
      </w:r>
      <w:r>
        <w:rPr>
          <w:sz w:val="20"/>
          <w:szCs w:val="20"/>
        </w:rPr>
        <w:t>.</w:t>
      </w:r>
    </w:p>
    <w:p w14:paraId="2C2A4F57" w14:textId="77777777" w:rsidR="00000000" w:rsidRDefault="00832D71">
      <w:pPr>
        <w:pStyle w:val="a3"/>
        <w:spacing w:before="360" w:beforeAutospacing="0" w:after="0" w:afterAutospacing="0"/>
        <w:ind w:hanging="1400"/>
        <w:jc w:val="both"/>
        <w:rPr>
          <w:sz w:val="20"/>
          <w:szCs w:val="20"/>
        </w:rPr>
      </w:pPr>
      <w:r>
        <w:rPr>
          <w:b/>
          <w:bCs/>
          <w:sz w:val="20"/>
          <w:szCs w:val="20"/>
        </w:rPr>
        <w:t>ITEM 3. LEGA</w:t>
      </w:r>
      <w:r>
        <w:rPr>
          <w:b/>
          <w:bCs/>
          <w:sz w:val="20"/>
          <w:szCs w:val="20"/>
        </w:rPr>
        <w:t>L</w:t>
      </w:r>
      <w:r>
        <w:rPr>
          <w:b/>
          <w:bCs/>
          <w:sz w:val="20"/>
          <w:szCs w:val="20"/>
        </w:rPr>
        <w:t xml:space="preserve"> PROCEEDING</w:t>
      </w:r>
      <w:r>
        <w:rPr>
          <w:b/>
          <w:bCs/>
          <w:sz w:val="20"/>
          <w:szCs w:val="20"/>
        </w:rPr>
        <w:t>S</w:t>
      </w:r>
    </w:p>
    <w:p w14:paraId="6E327A45" w14:textId="77777777" w:rsidR="00000000" w:rsidRDefault="00832D71">
      <w:pPr>
        <w:pStyle w:val="a3"/>
        <w:spacing w:before="240" w:beforeAutospacing="0" w:after="0" w:afterAutospacing="0"/>
        <w:ind w:firstLine="555"/>
        <w:jc w:val="both"/>
        <w:rPr>
          <w:sz w:val="20"/>
          <w:szCs w:val="20"/>
        </w:rPr>
      </w:pPr>
      <w:r>
        <w:rPr>
          <w:sz w:val="20"/>
          <w:szCs w:val="20"/>
        </w:rPr>
        <w:t>Our operations are subject to operating hazards and risks normally incidental to handling, storing and delivering combustible liquids such as propane. We have been, and will continue to be, a defendant in various legal proceed</w:t>
      </w:r>
      <w:r>
        <w:rPr>
          <w:sz w:val="20"/>
          <w:szCs w:val="20"/>
        </w:rPr>
        <w:t xml:space="preserve">ings and litigation as a result of these operating hazards and risks, and as a result of other aspects of our business. In this regard, our natural gas and electricity business was sued in a putative class action suit in the Northern District of New York. </w:t>
      </w:r>
      <w:r>
        <w:rPr>
          <w:sz w:val="20"/>
          <w:szCs w:val="20"/>
        </w:rPr>
        <w:t>The complaint alleged a number of claims under various consumer statutes and common law in New York and Pennsylvania regarding pricing offered to electricity customers in those states. The case was dismissed in part by the district court, but causes of act</w:t>
      </w:r>
      <w:r>
        <w:rPr>
          <w:sz w:val="20"/>
          <w:szCs w:val="20"/>
        </w:rPr>
        <w:t xml:space="preserve">ion based on the New York consumer statute and breach of contract were allowed to proceed. On April 12, 2022, the court granted summary judgment in favor of the Partnership on the remaining counts and the complaint was dismissed in full. The plaintiff has </w:t>
      </w:r>
      <w:r>
        <w:rPr>
          <w:sz w:val="20"/>
          <w:szCs w:val="20"/>
        </w:rPr>
        <w:t>filed an appeal to the Second Circuit Court of Appeals. We believe that the appeal is without merit. Although any litigation is inherently uncertain, based on past experience, the information currently available to us, and the amount of our accrued insuran</w:t>
      </w:r>
      <w:r>
        <w:rPr>
          <w:sz w:val="20"/>
          <w:szCs w:val="20"/>
        </w:rPr>
        <w:t>ce liabilities, we do not believe that currently pending or threatened litigation matters, or known claims or known contingent claims, will have a material adverse effect on our results of operations, financial condition or cash flow</w:t>
      </w:r>
      <w:r>
        <w:rPr>
          <w:sz w:val="20"/>
          <w:szCs w:val="20"/>
        </w:rPr>
        <w:t>.</w:t>
      </w:r>
    </w:p>
    <w:p w14:paraId="218995B7" w14:textId="77777777" w:rsidR="00000000" w:rsidRDefault="00832D71">
      <w:pPr>
        <w:pStyle w:val="a3"/>
        <w:spacing w:before="360" w:beforeAutospacing="0" w:after="0" w:afterAutospacing="0"/>
        <w:ind w:hanging="1400"/>
        <w:jc w:val="both"/>
        <w:rPr>
          <w:sz w:val="20"/>
          <w:szCs w:val="20"/>
        </w:rPr>
      </w:pPr>
      <w:r>
        <w:rPr>
          <w:b/>
          <w:bCs/>
          <w:sz w:val="20"/>
          <w:szCs w:val="20"/>
        </w:rPr>
        <w:t xml:space="preserve">ITEM 4. MINE SAFETY </w:t>
      </w:r>
      <w:r>
        <w:rPr>
          <w:b/>
          <w:bCs/>
          <w:sz w:val="20"/>
          <w:szCs w:val="20"/>
        </w:rPr>
        <w:t>D</w:t>
      </w:r>
      <w:r>
        <w:rPr>
          <w:b/>
          <w:bCs/>
          <w:sz w:val="20"/>
          <w:szCs w:val="20"/>
        </w:rPr>
        <w:t>ISCLOSURE</w:t>
      </w:r>
      <w:r>
        <w:rPr>
          <w:b/>
          <w:bCs/>
          <w:sz w:val="20"/>
          <w:szCs w:val="20"/>
        </w:rPr>
        <w:t>S</w:t>
      </w:r>
    </w:p>
    <w:p w14:paraId="36414FA5" w14:textId="77777777" w:rsidR="00000000" w:rsidRDefault="00832D71">
      <w:pPr>
        <w:pStyle w:val="a3"/>
        <w:spacing w:before="120" w:beforeAutospacing="0" w:after="0" w:afterAutospacing="0"/>
        <w:ind w:firstLine="555"/>
        <w:jc w:val="both"/>
        <w:rPr>
          <w:sz w:val="20"/>
          <w:szCs w:val="20"/>
        </w:rPr>
      </w:pPr>
      <w:r>
        <w:rPr>
          <w:sz w:val="20"/>
          <w:szCs w:val="20"/>
        </w:rPr>
        <w:t>None</w:t>
      </w:r>
      <w:r>
        <w:rPr>
          <w:sz w:val="20"/>
          <w:szCs w:val="20"/>
        </w:rPr>
        <w:t>.</w:t>
      </w:r>
    </w:p>
    <w:p w14:paraId="02992F55" w14:textId="77777777" w:rsidR="00000000" w:rsidRDefault="00832D71">
      <w:pPr>
        <w:pStyle w:val="a3"/>
        <w:spacing w:before="0" w:beforeAutospacing="0" w:after="0" w:afterAutospacing="0"/>
        <w:jc w:val="both"/>
        <w:rPr>
          <w:sz w:val="20"/>
          <w:szCs w:val="20"/>
        </w:rPr>
      </w:pPr>
      <w:r>
        <w:rPr>
          <w:sz w:val="20"/>
          <w:szCs w:val="20"/>
        </w:rPr>
        <w:t> </w:t>
      </w:r>
    </w:p>
    <w:p w14:paraId="49B980CF" w14:textId="77777777" w:rsidR="00000000" w:rsidRDefault="00832D71">
      <w:pPr>
        <w:pStyle w:val="a3"/>
        <w:spacing w:before="0" w:beforeAutospacing="0" w:after="0" w:afterAutospacing="0"/>
        <w:jc w:val="center"/>
        <w:rPr>
          <w:sz w:val="20"/>
          <w:szCs w:val="20"/>
        </w:rPr>
      </w:pPr>
      <w:r>
        <w:rPr>
          <w:sz w:val="20"/>
          <w:szCs w:val="20"/>
        </w:rPr>
        <w:t> </w:t>
      </w:r>
    </w:p>
    <w:p w14:paraId="6C8F5021" w14:textId="77777777" w:rsidR="00000000" w:rsidRDefault="00832D71">
      <w:pPr>
        <w:pStyle w:val="a3"/>
        <w:spacing w:before="0" w:beforeAutospacing="0" w:after="0" w:afterAutospacing="0"/>
        <w:jc w:val="center"/>
        <w:rPr>
          <w:sz w:val="20"/>
          <w:szCs w:val="20"/>
        </w:rPr>
      </w:pPr>
      <w:r>
        <w:rPr>
          <w:sz w:val="20"/>
          <w:szCs w:val="20"/>
        </w:rPr>
        <w:t>2</w:t>
      </w:r>
      <w:r>
        <w:rPr>
          <w:sz w:val="20"/>
          <w:szCs w:val="20"/>
        </w:rPr>
        <w:t>8</w:t>
      </w:r>
    </w:p>
    <w:p w14:paraId="5101E50B" w14:textId="77777777" w:rsidR="00000000" w:rsidRDefault="00832D71">
      <w:pPr>
        <w:rPr>
          <w:rFonts w:eastAsia="Times New Roman"/>
        </w:rPr>
      </w:pPr>
      <w:r>
        <w:rPr>
          <w:rFonts w:eastAsia="Times New Roman"/>
        </w:rPr>
        <w:pict w14:anchorId="0C3D11CC">
          <v:rect id="_x0000_i1055" style="width:0;height:1.5pt" o:hralign="center" o:hrstd="t" o:hr="t" fillcolor="#a0a0a0" stroked="f"/>
        </w:pict>
      </w:r>
    </w:p>
    <w:p w14:paraId="50BCB5EE"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729C4A9E" w14:textId="77777777" w:rsidR="00000000" w:rsidRDefault="00832D71">
      <w:pPr>
        <w:pStyle w:val="a3"/>
        <w:spacing w:before="0" w:beforeAutospacing="0" w:after="0" w:afterAutospacing="0"/>
        <w:jc w:val="center"/>
        <w:rPr>
          <w:sz w:val="20"/>
          <w:szCs w:val="20"/>
        </w:rPr>
      </w:pPr>
      <w:r>
        <w:rPr>
          <w:b/>
          <w:bCs/>
          <w:sz w:val="20"/>
          <w:szCs w:val="20"/>
        </w:rPr>
        <w:t>PAR</w:t>
      </w:r>
      <w:r>
        <w:rPr>
          <w:b/>
          <w:bCs/>
          <w:sz w:val="20"/>
          <w:szCs w:val="20"/>
        </w:rPr>
        <w:t>T</w:t>
      </w:r>
      <w:r>
        <w:rPr>
          <w:b/>
          <w:bCs/>
          <w:sz w:val="20"/>
          <w:szCs w:val="20"/>
        </w:rPr>
        <w:t xml:space="preserve"> I</w:t>
      </w:r>
      <w:r>
        <w:rPr>
          <w:b/>
          <w:bCs/>
          <w:sz w:val="20"/>
          <w:szCs w:val="20"/>
        </w:rPr>
        <w:t>I</w:t>
      </w:r>
    </w:p>
    <w:p w14:paraId="70E78376" w14:textId="77777777" w:rsidR="00000000" w:rsidRDefault="00832D71">
      <w:pPr>
        <w:pStyle w:val="a3"/>
        <w:spacing w:before="240" w:beforeAutospacing="0" w:after="0" w:afterAutospacing="0"/>
        <w:ind w:hanging="1400"/>
        <w:jc w:val="both"/>
        <w:rPr>
          <w:sz w:val="20"/>
          <w:szCs w:val="20"/>
        </w:rPr>
      </w:pPr>
      <w:r>
        <w:rPr>
          <w:b/>
          <w:bCs/>
          <w:sz w:val="20"/>
          <w:szCs w:val="20"/>
        </w:rPr>
        <w:t>ITEM 5. MARKET FOR THE REGISTRANT’S COMMON UNITS, REL</w:t>
      </w:r>
      <w:r>
        <w:rPr>
          <w:b/>
          <w:bCs/>
          <w:sz w:val="20"/>
          <w:szCs w:val="20"/>
        </w:rPr>
        <w:t>A</w:t>
      </w:r>
      <w:r>
        <w:rPr>
          <w:b/>
          <w:bCs/>
          <w:sz w:val="20"/>
          <w:szCs w:val="20"/>
        </w:rPr>
        <w:t>TED UNITHOLDER MATTERS AND ISSUER PURCHASES OF UNIT</w:t>
      </w:r>
      <w:r>
        <w:rPr>
          <w:b/>
          <w:bCs/>
          <w:sz w:val="20"/>
          <w:szCs w:val="20"/>
        </w:rPr>
        <w:t>S</w:t>
      </w:r>
    </w:p>
    <w:p w14:paraId="7CAB2DA4" w14:textId="77777777" w:rsidR="00000000" w:rsidRDefault="00832D71">
      <w:pPr>
        <w:jc w:val="both"/>
        <w:divId w:val="1230112435"/>
        <w:rPr>
          <w:rFonts w:eastAsia="Times New Roman"/>
        </w:rPr>
      </w:pPr>
      <w:r>
        <w:rPr>
          <w:rFonts w:eastAsia="Times New Roman"/>
          <w:sz w:val="20"/>
          <w:szCs w:val="20"/>
        </w:rPr>
        <w:t>(a</w:t>
      </w:r>
      <w:r>
        <w:rPr>
          <w:rFonts w:eastAsia="Times New Roman"/>
          <w:sz w:val="20"/>
          <w:szCs w:val="20"/>
        </w:rPr>
        <w:t>)</w:t>
      </w:r>
    </w:p>
    <w:p w14:paraId="4E02DC72" w14:textId="77777777" w:rsidR="00000000" w:rsidRDefault="00832D71">
      <w:pPr>
        <w:jc w:val="both"/>
        <w:divId w:val="1910454735"/>
        <w:rPr>
          <w:rFonts w:eastAsia="Times New Roman"/>
        </w:rPr>
      </w:pPr>
      <w:r>
        <w:rPr>
          <w:rFonts w:eastAsia="Times New Roman"/>
          <w:sz w:val="20"/>
          <w:szCs w:val="20"/>
        </w:rPr>
        <w:t>Our Common Units, representing limited partner interests in the Partnership, are listed and traded on the New York Stock Exchange (“NYSE”) under the symbol SPH. As of November 21, 2022, there were 49</w:t>
      </w:r>
      <w:r>
        <w:rPr>
          <w:rFonts w:eastAsia="Times New Roman"/>
          <w:sz w:val="20"/>
          <w:szCs w:val="20"/>
        </w:rPr>
        <w:t>7 Unitholders of record (based on the number of record holders and nominees for those Common Units held in street name)</w:t>
      </w:r>
      <w:r>
        <w:rPr>
          <w:rFonts w:eastAsia="Times New Roman"/>
          <w:sz w:val="20"/>
          <w:szCs w:val="20"/>
        </w:rPr>
        <w:t>.</w:t>
      </w:r>
    </w:p>
    <w:p w14:paraId="5ECFE298" w14:textId="77777777" w:rsidR="00000000" w:rsidRDefault="00832D71">
      <w:pPr>
        <w:pStyle w:val="a3"/>
        <w:spacing w:before="120" w:beforeAutospacing="0" w:after="0" w:afterAutospacing="0"/>
        <w:ind w:left="1071"/>
        <w:jc w:val="both"/>
        <w:rPr>
          <w:sz w:val="20"/>
          <w:szCs w:val="20"/>
        </w:rPr>
      </w:pPr>
      <w:r>
        <w:rPr>
          <w:sz w:val="20"/>
          <w:szCs w:val="20"/>
        </w:rPr>
        <w:t>On October 20, 2022, we announced that our Board of Supervisors declared a quarterly distribution of $0.325 per Common Unit for the three months ended September 24, 2022. This quarterly distribution rate equates to an annualized rate of $1.30 per Common Un</w:t>
      </w:r>
      <w:r>
        <w:rPr>
          <w:sz w:val="20"/>
          <w:szCs w:val="20"/>
        </w:rPr>
        <w:t>it</w:t>
      </w:r>
      <w:r>
        <w:rPr>
          <w:sz w:val="20"/>
          <w:szCs w:val="20"/>
        </w:rPr>
        <w:t>.</w:t>
      </w:r>
    </w:p>
    <w:p w14:paraId="6834D19C" w14:textId="77777777" w:rsidR="00000000" w:rsidRDefault="00832D71">
      <w:pPr>
        <w:jc w:val="both"/>
        <w:divId w:val="1298992848"/>
        <w:rPr>
          <w:rFonts w:eastAsia="Times New Roman"/>
        </w:rPr>
      </w:pPr>
      <w:r>
        <w:rPr>
          <w:rFonts w:eastAsia="Times New Roman"/>
          <w:sz w:val="20"/>
          <w:szCs w:val="20"/>
        </w:rPr>
        <w:t>(b</w:t>
      </w:r>
      <w:r>
        <w:rPr>
          <w:rFonts w:eastAsia="Times New Roman"/>
          <w:sz w:val="20"/>
          <w:szCs w:val="20"/>
        </w:rPr>
        <w:t>)</w:t>
      </w:r>
    </w:p>
    <w:p w14:paraId="4D5A3932" w14:textId="77777777" w:rsidR="00000000" w:rsidRDefault="00832D71">
      <w:pPr>
        <w:jc w:val="both"/>
        <w:divId w:val="312872776"/>
        <w:rPr>
          <w:rFonts w:eastAsia="Times New Roman"/>
        </w:rPr>
      </w:pPr>
      <w:r>
        <w:rPr>
          <w:rFonts w:eastAsia="Times New Roman"/>
          <w:sz w:val="20"/>
          <w:szCs w:val="20"/>
        </w:rPr>
        <w:t>Not applicable</w:t>
      </w:r>
      <w:r>
        <w:rPr>
          <w:rFonts w:eastAsia="Times New Roman"/>
          <w:sz w:val="20"/>
          <w:szCs w:val="20"/>
        </w:rPr>
        <w:t>.</w:t>
      </w:r>
    </w:p>
    <w:p w14:paraId="1950FFBE" w14:textId="77777777" w:rsidR="00000000" w:rsidRDefault="00832D71">
      <w:pPr>
        <w:jc w:val="both"/>
        <w:divId w:val="811556662"/>
        <w:rPr>
          <w:rFonts w:eastAsia="Times New Roman"/>
        </w:rPr>
      </w:pPr>
      <w:r>
        <w:rPr>
          <w:rFonts w:eastAsia="Times New Roman"/>
          <w:sz w:val="20"/>
          <w:szCs w:val="20"/>
        </w:rPr>
        <w:t>(c</w:t>
      </w:r>
      <w:r>
        <w:rPr>
          <w:rFonts w:eastAsia="Times New Roman"/>
          <w:sz w:val="20"/>
          <w:szCs w:val="20"/>
        </w:rPr>
        <w:t>)</w:t>
      </w:r>
    </w:p>
    <w:p w14:paraId="536FE7ED" w14:textId="77777777" w:rsidR="00000000" w:rsidRDefault="00832D71">
      <w:pPr>
        <w:jc w:val="both"/>
        <w:divId w:val="1192065264"/>
        <w:rPr>
          <w:rFonts w:eastAsia="Times New Roman"/>
        </w:rPr>
      </w:pPr>
      <w:r>
        <w:rPr>
          <w:rFonts w:eastAsia="Times New Roman"/>
          <w:sz w:val="20"/>
          <w:szCs w:val="20"/>
        </w:rPr>
        <w:t>None</w:t>
      </w:r>
      <w:r>
        <w:rPr>
          <w:rFonts w:eastAsia="Times New Roman"/>
          <w:sz w:val="20"/>
          <w:szCs w:val="20"/>
        </w:rPr>
        <w:t>.</w:t>
      </w:r>
    </w:p>
    <w:p w14:paraId="07214904" w14:textId="77777777" w:rsidR="00000000" w:rsidRDefault="00832D71">
      <w:pPr>
        <w:pStyle w:val="a3"/>
        <w:spacing w:before="360" w:beforeAutospacing="0" w:after="0" w:afterAutospacing="0"/>
        <w:ind w:hanging="1400"/>
        <w:jc w:val="both"/>
        <w:rPr>
          <w:sz w:val="20"/>
          <w:szCs w:val="20"/>
        </w:rPr>
      </w:pPr>
      <w:r>
        <w:rPr>
          <w:b/>
          <w:bCs/>
          <w:sz w:val="20"/>
          <w:szCs w:val="20"/>
        </w:rPr>
        <w:t>ITEM 6. [RESE</w:t>
      </w:r>
      <w:r>
        <w:rPr>
          <w:b/>
          <w:bCs/>
          <w:sz w:val="20"/>
          <w:szCs w:val="20"/>
        </w:rPr>
        <w:t>R</w:t>
      </w:r>
      <w:r>
        <w:rPr>
          <w:b/>
          <w:bCs/>
          <w:sz w:val="20"/>
          <w:szCs w:val="20"/>
        </w:rPr>
        <w:t>VED</w:t>
      </w:r>
      <w:r>
        <w:rPr>
          <w:b/>
          <w:bCs/>
          <w:sz w:val="20"/>
          <w:szCs w:val="20"/>
        </w:rPr>
        <w:t>]</w:t>
      </w:r>
    </w:p>
    <w:p w14:paraId="22FAD0BB" w14:textId="77777777" w:rsidR="00000000" w:rsidRDefault="00832D71">
      <w:pPr>
        <w:pStyle w:val="a3"/>
        <w:spacing w:before="360" w:beforeAutospacing="0" w:after="0" w:afterAutospacing="0"/>
        <w:ind w:hanging="1400"/>
        <w:jc w:val="both"/>
        <w:rPr>
          <w:sz w:val="20"/>
          <w:szCs w:val="20"/>
        </w:rPr>
      </w:pPr>
      <w:r>
        <w:rPr>
          <w:b/>
          <w:bCs/>
          <w:sz w:val="20"/>
          <w:szCs w:val="20"/>
        </w:rPr>
        <w:t>ITEM 7. MANAGEMENT’S DISCUSSION AND</w:t>
      </w:r>
      <w:r>
        <w:rPr>
          <w:b/>
          <w:bCs/>
          <w:sz w:val="20"/>
          <w:szCs w:val="20"/>
        </w:rPr>
        <w:t xml:space="preserve"> </w:t>
      </w:r>
      <w:r>
        <w:rPr>
          <w:b/>
          <w:bCs/>
          <w:sz w:val="20"/>
          <w:szCs w:val="20"/>
        </w:rPr>
        <w:t>ANALYSIS OF FINANCIAL CONDITION AND RESULTS OF OPERATION</w:t>
      </w:r>
      <w:r>
        <w:rPr>
          <w:b/>
          <w:bCs/>
          <w:sz w:val="20"/>
          <w:szCs w:val="20"/>
        </w:rPr>
        <w:t>S</w:t>
      </w:r>
    </w:p>
    <w:p w14:paraId="0B266B35" w14:textId="77777777" w:rsidR="00000000" w:rsidRDefault="00832D71">
      <w:pPr>
        <w:pStyle w:val="a3"/>
        <w:spacing w:before="120" w:beforeAutospacing="0" w:after="0" w:afterAutospacing="0"/>
        <w:ind w:firstLine="555"/>
        <w:rPr>
          <w:sz w:val="20"/>
          <w:szCs w:val="20"/>
        </w:rPr>
      </w:pPr>
      <w:r>
        <w:rPr>
          <w:sz w:val="20"/>
          <w:szCs w:val="20"/>
        </w:rPr>
        <w:t>The following is a discussion and analysis of our financial condition and results of operations, seen from ou</w:t>
      </w:r>
      <w:r>
        <w:rPr>
          <w:sz w:val="20"/>
          <w:szCs w:val="20"/>
        </w:rPr>
        <w:t>r perspective, which should be read in conjunction with our consolidated financial statements and notes thereto included elsewhere in this Annual Report</w:t>
      </w:r>
      <w:r>
        <w:rPr>
          <w:sz w:val="20"/>
          <w:szCs w:val="20"/>
        </w:rPr>
        <w:t>.</w:t>
      </w:r>
    </w:p>
    <w:p w14:paraId="5BEB787D" w14:textId="77777777" w:rsidR="00000000" w:rsidRDefault="00832D71">
      <w:pPr>
        <w:pStyle w:val="a3"/>
        <w:spacing w:before="360" w:beforeAutospacing="0" w:after="0" w:afterAutospacing="0"/>
        <w:jc w:val="both"/>
        <w:rPr>
          <w:sz w:val="20"/>
          <w:szCs w:val="20"/>
        </w:rPr>
      </w:pPr>
      <w:r>
        <w:rPr>
          <w:b/>
          <w:bCs/>
          <w:sz w:val="20"/>
          <w:szCs w:val="20"/>
        </w:rPr>
        <w:t>Executive Overvie</w:t>
      </w:r>
      <w:r>
        <w:rPr>
          <w:b/>
          <w:bCs/>
          <w:sz w:val="20"/>
          <w:szCs w:val="20"/>
        </w:rPr>
        <w:t>w</w:t>
      </w:r>
    </w:p>
    <w:p w14:paraId="737A4200" w14:textId="77777777" w:rsidR="00000000" w:rsidRDefault="00832D71">
      <w:pPr>
        <w:pStyle w:val="a3"/>
        <w:spacing w:before="120" w:beforeAutospacing="0" w:after="0" w:afterAutospacing="0"/>
        <w:ind w:firstLine="555"/>
        <w:jc w:val="both"/>
        <w:rPr>
          <w:sz w:val="20"/>
          <w:szCs w:val="20"/>
        </w:rPr>
      </w:pPr>
      <w:r>
        <w:rPr>
          <w:sz w:val="20"/>
          <w:szCs w:val="20"/>
        </w:rPr>
        <w:t>The following are factors that regularly affect our operating results and financial</w:t>
      </w:r>
      <w:r>
        <w:rPr>
          <w:sz w:val="20"/>
          <w:szCs w:val="20"/>
        </w:rPr>
        <w:t xml:space="preserve"> condition. In addition, our business is subject to the risks and uncertainties described in Item 1A of this Annual Report. Management currently considers the following events, trends, and uncertainties to be most important to understanding our financial c</w:t>
      </w:r>
      <w:r>
        <w:rPr>
          <w:sz w:val="20"/>
          <w:szCs w:val="20"/>
        </w:rPr>
        <w:t>ondition and operating performance</w:t>
      </w:r>
      <w:r>
        <w:rPr>
          <w:sz w:val="20"/>
          <w:szCs w:val="20"/>
        </w:rPr>
        <w:t>:</w:t>
      </w:r>
    </w:p>
    <w:p w14:paraId="3442FE1A" w14:textId="77777777" w:rsidR="00000000" w:rsidRDefault="00832D71">
      <w:pPr>
        <w:pStyle w:val="a3"/>
        <w:spacing w:before="360" w:beforeAutospacing="0" w:after="0" w:afterAutospacing="0"/>
        <w:jc w:val="both"/>
        <w:rPr>
          <w:sz w:val="20"/>
          <w:szCs w:val="20"/>
        </w:rPr>
      </w:pPr>
      <w:r>
        <w:rPr>
          <w:b/>
          <w:bCs/>
          <w:i/>
          <w:iCs/>
          <w:sz w:val="20"/>
          <w:szCs w:val="20"/>
        </w:rPr>
        <w:t>Product Costs and Suppl</w:t>
      </w:r>
      <w:r>
        <w:rPr>
          <w:b/>
          <w:bCs/>
          <w:i/>
          <w:iCs/>
          <w:sz w:val="20"/>
          <w:szCs w:val="20"/>
        </w:rPr>
        <w:t>y</w:t>
      </w:r>
    </w:p>
    <w:p w14:paraId="091AE7EB" w14:textId="77777777" w:rsidR="00000000" w:rsidRDefault="00832D71">
      <w:pPr>
        <w:pStyle w:val="a3"/>
        <w:spacing w:before="120" w:beforeAutospacing="0" w:after="0" w:afterAutospacing="0"/>
        <w:ind w:firstLine="555"/>
        <w:jc w:val="both"/>
        <w:rPr>
          <w:sz w:val="20"/>
          <w:szCs w:val="20"/>
        </w:rPr>
      </w:pPr>
      <w:r>
        <w:rPr>
          <w:sz w:val="20"/>
          <w:szCs w:val="20"/>
        </w:rPr>
        <w:t>The level of profitability in the retail propane, fuel oil, natural gas and electricity businesses is largely dependent on the difference between retail sales price and our costs to acquire and t</w:t>
      </w:r>
      <w:r>
        <w:rPr>
          <w:sz w:val="20"/>
          <w:szCs w:val="20"/>
        </w:rPr>
        <w:t>ransport products. The unit cost of our products, particularly propane, fuel oil and natural gas, is subject to volatility as a result of supply and demand dynamics or other market conditions, including, but not limited to, economic and political factors i</w:t>
      </w:r>
      <w:r>
        <w:rPr>
          <w:sz w:val="20"/>
          <w:szCs w:val="20"/>
        </w:rPr>
        <w:t xml:space="preserve">mpacting crude oil and natural gas supply or pricing. We enter into product supply contracts that are generally one-year agreements subject to annual renewal, and also purchase product on the open market. We attempt to reduce price risk by pricing product </w:t>
      </w:r>
      <w:r>
        <w:rPr>
          <w:sz w:val="20"/>
          <w:szCs w:val="20"/>
        </w:rPr>
        <w:t>on a short-term basis. Our propane supply contracts typically provide for pricing based upon index formulas using the posted prices established at major supply points such as Mont Belvieu, Texas, or Conway, Kansas (plus transportation costs) at the time of</w:t>
      </w:r>
      <w:r>
        <w:rPr>
          <w:sz w:val="20"/>
          <w:szCs w:val="20"/>
        </w:rPr>
        <w:t xml:space="preserve"> delivery</w:t>
      </w:r>
      <w:r>
        <w:rPr>
          <w:sz w:val="20"/>
          <w:szCs w:val="20"/>
        </w:rPr>
        <w:t>.</w:t>
      </w:r>
    </w:p>
    <w:p w14:paraId="683FC5E3" w14:textId="77777777" w:rsidR="00000000" w:rsidRDefault="00832D71">
      <w:pPr>
        <w:pStyle w:val="a3"/>
        <w:spacing w:before="240" w:beforeAutospacing="0" w:after="0" w:afterAutospacing="0"/>
        <w:ind w:firstLine="555"/>
        <w:jc w:val="both"/>
        <w:rPr>
          <w:sz w:val="20"/>
          <w:szCs w:val="20"/>
        </w:rPr>
      </w:pPr>
      <w:r>
        <w:rPr>
          <w:sz w:val="20"/>
          <w:szCs w:val="20"/>
        </w:rPr>
        <w:t>To supplement our annual purchase requirements, we may utilize forward fixed price purchase contracts to acquire a portion of the propane that we resell to our customers, which allows us to manage our exposure to unfavorable changes in commodity</w:t>
      </w:r>
      <w:r>
        <w:rPr>
          <w:sz w:val="20"/>
          <w:szCs w:val="20"/>
        </w:rPr>
        <w:t xml:space="preserve"> prices and to assure adequate physical supply. The percentage of contract purchases, and the amount of supply contracted for under forward contracts at fixed prices, will vary from year to year based on market conditions</w:t>
      </w:r>
      <w:r>
        <w:rPr>
          <w:sz w:val="20"/>
          <w:szCs w:val="20"/>
        </w:rPr>
        <w:t>.</w:t>
      </w:r>
    </w:p>
    <w:p w14:paraId="7197730C" w14:textId="77777777" w:rsidR="00000000" w:rsidRDefault="00832D71">
      <w:pPr>
        <w:pStyle w:val="a3"/>
        <w:spacing w:before="240" w:beforeAutospacing="0" w:after="0" w:afterAutospacing="0"/>
        <w:ind w:firstLine="555"/>
        <w:jc w:val="both"/>
        <w:rPr>
          <w:sz w:val="20"/>
          <w:szCs w:val="20"/>
        </w:rPr>
      </w:pPr>
      <w:r>
        <w:rPr>
          <w:sz w:val="20"/>
          <w:szCs w:val="20"/>
        </w:rPr>
        <w:t>Changes in our costs to acquire a</w:t>
      </w:r>
      <w:r>
        <w:rPr>
          <w:sz w:val="20"/>
          <w:szCs w:val="20"/>
        </w:rPr>
        <w:t>nd transport products can occur rapidly over a short period of time and can impact profitability. There is no assurance that we will be able to pass on product acquisition and transportation cost increases fully or immediately, particularly when such costs</w:t>
      </w:r>
      <w:r>
        <w:rPr>
          <w:sz w:val="20"/>
          <w:szCs w:val="20"/>
        </w:rPr>
        <w:t xml:space="preserve"> increase rapidly. Therefore, average retail sales prices can vary significantly from year to year as our costs fluctuate with the propane, fuel oil, crude oil and natural gas commodity markets and infrastructure conditions. In addition, periods of sustain</w:t>
      </w:r>
      <w:r>
        <w:rPr>
          <w:sz w:val="20"/>
          <w:szCs w:val="20"/>
        </w:rPr>
        <w:t>ed higher commodity and/or transportation prices can lead to customer conservation, resulting in reduced demand for our product</w:t>
      </w:r>
      <w:r>
        <w:rPr>
          <w:sz w:val="20"/>
          <w:szCs w:val="20"/>
        </w:rPr>
        <w:t>.</w:t>
      </w:r>
    </w:p>
    <w:p w14:paraId="5A258E8A" w14:textId="77777777" w:rsidR="00000000" w:rsidRDefault="00832D71">
      <w:pPr>
        <w:pStyle w:val="a3"/>
        <w:spacing w:before="240" w:beforeAutospacing="0" w:after="0" w:afterAutospacing="0"/>
        <w:ind w:firstLine="555"/>
        <w:jc w:val="both"/>
        <w:rPr>
          <w:sz w:val="20"/>
          <w:szCs w:val="20"/>
        </w:rPr>
      </w:pPr>
      <w:r>
        <w:rPr>
          <w:sz w:val="20"/>
          <w:szCs w:val="20"/>
        </w:rPr>
        <w:t>The wholesale cost of propane was elevated compared to recent historical averages coming into fiscal 2022, and continued to ris</w:t>
      </w:r>
      <w:r>
        <w:rPr>
          <w:sz w:val="20"/>
          <w:szCs w:val="20"/>
        </w:rPr>
        <w:t>e during much of the first half of fiscal 2022 as U.S. propane inventory levels were well below historical averages. This was due to an imbalance between supply and demand, as well as from macroeconomic and geopolitical factors, such as Russia’s invasion o</w:t>
      </w:r>
      <w:r>
        <w:rPr>
          <w:sz w:val="20"/>
          <w:szCs w:val="20"/>
        </w:rPr>
        <w:t xml:space="preserve">f Ukraine, which impacted commodity prices both globally and in the United States. However, as we progressed through the second half of the fiscal year, the nation’s propane inventory levels improved as higher propane production outpaced demand, which led </w:t>
      </w:r>
      <w:r>
        <w:rPr>
          <w:sz w:val="20"/>
          <w:szCs w:val="20"/>
        </w:rPr>
        <w:t>to a decline in wholesale propane prices. According to the Energy Information Administration, U.S. propane inventory levels at the end of September 2022 were 84.4 million barrels, which was 16.7% higher than September 2021 levels and 2.2% lower than the fi</w:t>
      </w:r>
      <w:r>
        <w:rPr>
          <w:sz w:val="20"/>
          <w:szCs w:val="20"/>
        </w:rPr>
        <w:t>ve-year average fo</w:t>
      </w:r>
      <w:r>
        <w:rPr>
          <w:sz w:val="20"/>
          <w:szCs w:val="20"/>
        </w:rPr>
        <w:t>r</w:t>
      </w:r>
      <w:r>
        <w:rPr>
          <w:sz w:val="20"/>
          <w:szCs w:val="20"/>
        </w:rPr>
        <w:t xml:space="preserve"> </w:t>
      </w:r>
    </w:p>
    <w:p w14:paraId="6DDA35A6" w14:textId="77777777" w:rsidR="00000000" w:rsidRDefault="00832D71">
      <w:pPr>
        <w:pStyle w:val="a3"/>
        <w:spacing w:before="0" w:beforeAutospacing="0" w:after="0" w:afterAutospacing="0"/>
        <w:jc w:val="center"/>
        <w:rPr>
          <w:sz w:val="20"/>
          <w:szCs w:val="20"/>
        </w:rPr>
      </w:pPr>
      <w:r>
        <w:rPr>
          <w:sz w:val="20"/>
          <w:szCs w:val="20"/>
        </w:rPr>
        <w:t> </w:t>
      </w:r>
    </w:p>
    <w:p w14:paraId="67490243" w14:textId="77777777" w:rsidR="00000000" w:rsidRDefault="00832D71">
      <w:pPr>
        <w:pStyle w:val="a3"/>
        <w:spacing w:before="0" w:beforeAutospacing="0" w:after="0" w:afterAutospacing="0"/>
        <w:jc w:val="center"/>
        <w:rPr>
          <w:sz w:val="20"/>
          <w:szCs w:val="20"/>
        </w:rPr>
      </w:pPr>
      <w:r>
        <w:rPr>
          <w:sz w:val="20"/>
          <w:szCs w:val="20"/>
        </w:rPr>
        <w:t>2</w:t>
      </w:r>
      <w:r>
        <w:rPr>
          <w:sz w:val="20"/>
          <w:szCs w:val="20"/>
        </w:rPr>
        <w:t>9</w:t>
      </w:r>
    </w:p>
    <w:p w14:paraId="76E89FF9" w14:textId="77777777" w:rsidR="00000000" w:rsidRDefault="00832D71">
      <w:pPr>
        <w:rPr>
          <w:rFonts w:eastAsia="Times New Roman"/>
        </w:rPr>
      </w:pPr>
      <w:r>
        <w:rPr>
          <w:rFonts w:eastAsia="Times New Roman"/>
        </w:rPr>
        <w:pict w14:anchorId="1DE0835F">
          <v:rect id="_x0000_i1056" style="width:0;height:1.5pt" o:hralign="center" o:hrstd="t" o:hr="t" fillcolor="#a0a0a0" stroked="f"/>
        </w:pict>
      </w:r>
    </w:p>
    <w:p w14:paraId="554E1947"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302CA285" w14:textId="77777777" w:rsidR="00000000" w:rsidRDefault="00832D71">
      <w:pPr>
        <w:pStyle w:val="a3"/>
        <w:spacing w:before="240" w:beforeAutospacing="0" w:after="0" w:afterAutospacing="0"/>
        <w:jc w:val="both"/>
        <w:rPr>
          <w:sz w:val="20"/>
          <w:szCs w:val="20"/>
        </w:rPr>
      </w:pPr>
      <w:r>
        <w:rPr>
          <w:sz w:val="20"/>
          <w:szCs w:val="20"/>
        </w:rPr>
        <w:t>September. Despite the improvement in propane inventory levels and the resulting decline in wholesale propane prices during the second half of the fiscal year, av</w:t>
      </w:r>
      <w:r>
        <w:rPr>
          <w:sz w:val="20"/>
          <w:szCs w:val="20"/>
        </w:rPr>
        <w:t>erage posted propane prices (basis Mont Belvieu, Texas) for fiscal 2022 were 39.1% higher than the prior year. Consistent with our established practice, we adjusted customer pricing as market conditions allowed</w:t>
      </w:r>
      <w:r>
        <w:rPr>
          <w:sz w:val="20"/>
          <w:szCs w:val="20"/>
        </w:rPr>
        <w:t>.</w:t>
      </w:r>
    </w:p>
    <w:p w14:paraId="3B63871B" w14:textId="77777777" w:rsidR="00000000" w:rsidRDefault="00832D71">
      <w:pPr>
        <w:pStyle w:val="a3"/>
        <w:spacing w:before="360" w:beforeAutospacing="0" w:after="0" w:afterAutospacing="0"/>
        <w:jc w:val="both"/>
        <w:rPr>
          <w:sz w:val="20"/>
          <w:szCs w:val="20"/>
        </w:rPr>
      </w:pPr>
      <w:r>
        <w:rPr>
          <w:b/>
          <w:bCs/>
          <w:i/>
          <w:iCs/>
          <w:sz w:val="20"/>
          <w:szCs w:val="20"/>
        </w:rPr>
        <w:t>Seasonalit</w:t>
      </w:r>
      <w:r>
        <w:rPr>
          <w:b/>
          <w:bCs/>
          <w:i/>
          <w:iCs/>
          <w:sz w:val="20"/>
          <w:szCs w:val="20"/>
        </w:rPr>
        <w:t>y</w:t>
      </w:r>
    </w:p>
    <w:p w14:paraId="7442F8E3" w14:textId="77777777" w:rsidR="00000000" w:rsidRDefault="00832D71">
      <w:pPr>
        <w:pStyle w:val="a3"/>
        <w:spacing w:before="120" w:beforeAutospacing="0" w:after="0" w:afterAutospacing="0"/>
        <w:ind w:firstLine="555"/>
        <w:jc w:val="both"/>
        <w:rPr>
          <w:sz w:val="20"/>
          <w:szCs w:val="20"/>
        </w:rPr>
      </w:pPr>
      <w:r>
        <w:rPr>
          <w:sz w:val="20"/>
          <w:szCs w:val="20"/>
        </w:rPr>
        <w:t xml:space="preserve">The retail propane and fuel oil </w:t>
      </w:r>
      <w:r>
        <w:rPr>
          <w:sz w:val="20"/>
          <w:szCs w:val="20"/>
        </w:rPr>
        <w:t>distribution businesses, as well as the natural gas marketing business, are seasonal because these fuels are primarily used for heating in residential and commercial buildings. Historically, approximately two</w:t>
      </w:r>
      <w:r>
        <w:rPr>
          <w:sz w:val="20"/>
          <w:szCs w:val="20"/>
        </w:rPr>
        <w:noBreakHyphen/>
        <w:t>thirds of our retail propane volume is sold dur</w:t>
      </w:r>
      <w:r>
        <w:rPr>
          <w:sz w:val="20"/>
          <w:szCs w:val="20"/>
        </w:rPr>
        <w:t>ing the six-month peak heating season from October through March. The fuel oil business tends to experience greater seasonality given its more limited use for space heating and approximately three-fourths of our fuel oil volumes are sold between October an</w:t>
      </w:r>
      <w:r>
        <w:rPr>
          <w:sz w:val="20"/>
          <w:szCs w:val="20"/>
        </w:rPr>
        <w:t>d March. Consequently, sales and operating profits are concentrated in our first and second fiscal quarters. Cash flows from operations, therefore, are greatest during the second and third fiscal quarters when customers pay for product purchased during the</w:t>
      </w:r>
      <w:r>
        <w:rPr>
          <w:sz w:val="20"/>
          <w:szCs w:val="20"/>
        </w:rPr>
        <w:t xml:space="preserve"> winter heating season. We expect lower operating profits and either net losses or lower net income during the period from April through September (our third and fourth fiscal quarters). To the extent necessary, we will reserve cash from the second and thi</w:t>
      </w:r>
      <w:r>
        <w:rPr>
          <w:sz w:val="20"/>
          <w:szCs w:val="20"/>
        </w:rPr>
        <w:t>rd quarters for distribution to holders of our Common Units in the fourth quarter and the following fiscal year first quarter</w:t>
      </w:r>
      <w:r>
        <w:rPr>
          <w:sz w:val="20"/>
          <w:szCs w:val="20"/>
        </w:rPr>
        <w:t>.</w:t>
      </w:r>
    </w:p>
    <w:p w14:paraId="485313C0" w14:textId="77777777" w:rsidR="00000000" w:rsidRDefault="00832D71">
      <w:pPr>
        <w:pStyle w:val="a3"/>
        <w:spacing w:before="360" w:beforeAutospacing="0" w:after="0" w:afterAutospacing="0"/>
        <w:jc w:val="both"/>
        <w:rPr>
          <w:sz w:val="20"/>
          <w:szCs w:val="20"/>
        </w:rPr>
      </w:pPr>
      <w:r>
        <w:rPr>
          <w:b/>
          <w:bCs/>
          <w:i/>
          <w:iCs/>
          <w:sz w:val="20"/>
          <w:szCs w:val="20"/>
        </w:rPr>
        <w:t>Weathe</w:t>
      </w:r>
      <w:r>
        <w:rPr>
          <w:b/>
          <w:bCs/>
          <w:i/>
          <w:iCs/>
          <w:sz w:val="20"/>
          <w:szCs w:val="20"/>
        </w:rPr>
        <w:t>r</w:t>
      </w:r>
    </w:p>
    <w:p w14:paraId="36298D2F" w14:textId="77777777" w:rsidR="00000000" w:rsidRDefault="00832D71">
      <w:pPr>
        <w:pStyle w:val="a3"/>
        <w:spacing w:before="120" w:beforeAutospacing="0" w:after="0" w:afterAutospacing="0"/>
        <w:ind w:firstLine="555"/>
        <w:jc w:val="both"/>
        <w:rPr>
          <w:sz w:val="20"/>
          <w:szCs w:val="20"/>
        </w:rPr>
      </w:pPr>
      <w:r>
        <w:rPr>
          <w:sz w:val="20"/>
          <w:szCs w:val="20"/>
        </w:rPr>
        <w:t xml:space="preserve">Weather conditions have a significant impact on the demand for our products, in particular propane, fuel oil and natural </w:t>
      </w:r>
      <w:r>
        <w:rPr>
          <w:sz w:val="20"/>
          <w:szCs w:val="20"/>
        </w:rPr>
        <w:t>gas, for both heating and agricultural purposes. Many of our customers rely heavily on propane, fuel oil or natural gas as a heating source. Accordingly, the volume sold is directly affected by the severity of the winter weather in our service areas, which</w:t>
      </w:r>
      <w:r>
        <w:rPr>
          <w:sz w:val="20"/>
          <w:szCs w:val="20"/>
        </w:rPr>
        <w:t xml:space="preserve"> can vary substantially from year to year. In any given area, sustained warmer than normal temperatures will tend to result in reduced propane, fuel oil and natural gas consumption, while sustained colder than normal temperatures will tend to result in gre</w:t>
      </w:r>
      <w:r>
        <w:rPr>
          <w:sz w:val="20"/>
          <w:szCs w:val="20"/>
        </w:rPr>
        <w:t>ater consumption</w:t>
      </w:r>
      <w:r>
        <w:rPr>
          <w:sz w:val="20"/>
          <w:szCs w:val="20"/>
        </w:rPr>
        <w:t>.</w:t>
      </w:r>
    </w:p>
    <w:p w14:paraId="731A1525" w14:textId="77777777" w:rsidR="00000000" w:rsidRDefault="00832D71">
      <w:pPr>
        <w:pStyle w:val="a3"/>
        <w:spacing w:before="360" w:beforeAutospacing="0" w:after="0" w:afterAutospacing="0"/>
        <w:jc w:val="both"/>
        <w:rPr>
          <w:sz w:val="20"/>
          <w:szCs w:val="20"/>
        </w:rPr>
      </w:pPr>
      <w:r>
        <w:rPr>
          <w:b/>
          <w:bCs/>
          <w:i/>
          <w:iCs/>
          <w:sz w:val="20"/>
          <w:szCs w:val="20"/>
        </w:rPr>
        <w:t>Hedging and Risk Management Activitie</w:t>
      </w:r>
      <w:r>
        <w:rPr>
          <w:b/>
          <w:bCs/>
          <w:i/>
          <w:iCs/>
          <w:sz w:val="20"/>
          <w:szCs w:val="20"/>
        </w:rPr>
        <w:t>s</w:t>
      </w:r>
    </w:p>
    <w:p w14:paraId="4AAA1ACF" w14:textId="77777777" w:rsidR="00000000" w:rsidRDefault="00832D71">
      <w:pPr>
        <w:pStyle w:val="a3"/>
        <w:spacing w:before="120" w:beforeAutospacing="0" w:after="0" w:afterAutospacing="0"/>
        <w:ind w:firstLine="555"/>
        <w:jc w:val="both"/>
        <w:rPr>
          <w:sz w:val="20"/>
          <w:szCs w:val="20"/>
        </w:rPr>
      </w:pPr>
      <w:r>
        <w:rPr>
          <w:sz w:val="20"/>
          <w:szCs w:val="20"/>
        </w:rPr>
        <w:t>We engage in hedging and risk management activities to reduce the effect of price volatility on our product costs and to ensure the availability of product during periods of short supply. We enter in</w:t>
      </w:r>
      <w:r>
        <w:rPr>
          <w:sz w:val="20"/>
          <w:szCs w:val="20"/>
        </w:rPr>
        <w:t xml:space="preserve">to propane forward, options and swap agreements with third parties, and use futures and options contracts traded on the New York Mercantile Exchange (“NYMEX”) to purchase and sell propane, fuel oil, crude oil and natural gas at fixed prices in the future. </w:t>
      </w:r>
      <w:r>
        <w:rPr>
          <w:sz w:val="20"/>
          <w:szCs w:val="20"/>
        </w:rPr>
        <w:t>The majority of the futures, forward and options agreements are used to hedge price risk associated with propane and fuel oil physical inventory, as well as, in certain instances, forecasted purchases of propane or fuel oil. In addition, we sell propane an</w:t>
      </w:r>
      <w:r>
        <w:rPr>
          <w:sz w:val="20"/>
          <w:szCs w:val="20"/>
        </w:rPr>
        <w:t>d fuel oil to customers at fixed prices, and enter into derivative instruments to hedge a portion of our exposure to fluctuations in commodity prices as a result of selling the fixed price contracts. Forward contracts are generally settled physically at th</w:t>
      </w:r>
      <w:r>
        <w:rPr>
          <w:sz w:val="20"/>
          <w:szCs w:val="20"/>
        </w:rPr>
        <w:t xml:space="preserve">e expiration of the contract whereas futures, options and swap contracts are generally settled at the expiration of the contract through a net settlement mechanism. Although we use derivative instruments to reduce the effect of price volatility associated </w:t>
      </w:r>
      <w:r>
        <w:rPr>
          <w:sz w:val="20"/>
          <w:szCs w:val="20"/>
        </w:rPr>
        <w:t>with priced physical inventory and forecasted transactions, we do not use derivative instruments for speculative trading purposes. Risk management activities are monitored by an internal Commodity Risk Management Committee, made up of six members of manage</w:t>
      </w:r>
      <w:r>
        <w:rPr>
          <w:sz w:val="20"/>
          <w:szCs w:val="20"/>
        </w:rPr>
        <w:t>ment and reporting to our Audit Committee, through enforcement of our Hedging and Risk Management Policy</w:t>
      </w:r>
      <w:r>
        <w:rPr>
          <w:sz w:val="20"/>
          <w:szCs w:val="20"/>
        </w:rPr>
        <w:t>.</w:t>
      </w:r>
    </w:p>
    <w:p w14:paraId="7AD36677" w14:textId="77777777" w:rsidR="00000000" w:rsidRDefault="00832D71">
      <w:pPr>
        <w:pStyle w:val="a3"/>
        <w:spacing w:before="360" w:beforeAutospacing="0" w:after="0" w:afterAutospacing="0"/>
        <w:jc w:val="both"/>
        <w:rPr>
          <w:sz w:val="20"/>
          <w:szCs w:val="20"/>
        </w:rPr>
      </w:pPr>
      <w:r>
        <w:rPr>
          <w:b/>
          <w:bCs/>
          <w:i/>
          <w:iCs/>
          <w:sz w:val="20"/>
          <w:szCs w:val="20"/>
        </w:rPr>
        <w:t>Impact of COVID-19 Pandemic on Customer Demand Pattern</w:t>
      </w:r>
      <w:r>
        <w:rPr>
          <w:b/>
          <w:bCs/>
          <w:i/>
          <w:iCs/>
          <w:sz w:val="20"/>
          <w:szCs w:val="20"/>
        </w:rPr>
        <w:t>s</w:t>
      </w:r>
      <w:r>
        <w:rPr>
          <w:b/>
          <w:bCs/>
          <w:i/>
          <w:iCs/>
          <w:sz w:val="20"/>
          <w:szCs w:val="20"/>
        </w:rPr>
        <w:t xml:space="preserve"> </w:t>
      </w:r>
    </w:p>
    <w:p w14:paraId="1B0ED952" w14:textId="77777777" w:rsidR="00000000" w:rsidRDefault="00832D71">
      <w:pPr>
        <w:pStyle w:val="a3"/>
        <w:spacing w:before="120" w:beforeAutospacing="0" w:after="0" w:afterAutospacing="0"/>
        <w:ind w:firstLine="555"/>
        <w:jc w:val="both"/>
        <w:rPr>
          <w:sz w:val="20"/>
          <w:szCs w:val="20"/>
        </w:rPr>
      </w:pPr>
      <w:r>
        <w:rPr>
          <w:sz w:val="20"/>
          <w:szCs w:val="20"/>
        </w:rPr>
        <w:t>The COVID-19 pandemic has resulted in commodity and stock market volatility, significant gove</w:t>
      </w:r>
      <w:r>
        <w:rPr>
          <w:sz w:val="20"/>
          <w:szCs w:val="20"/>
        </w:rPr>
        <w:t>rnment stimulus and uncertainty about economic conditions. As a result, we experienced a period of lower revenues in certain customer sectors, particularly during the period from March 2020 through December 2020, as well as an increase in usage in our resi</w:t>
      </w:r>
      <w:r>
        <w:rPr>
          <w:sz w:val="20"/>
          <w:szCs w:val="20"/>
        </w:rPr>
        <w:t xml:space="preserve">dential and certain other customer segments that benefited from stay-at-home initiatives and the demand for temporary, portable energy solutions. As economic and business conditions continue to evolve, more people are returning to work and demand in these </w:t>
      </w:r>
      <w:r>
        <w:rPr>
          <w:sz w:val="20"/>
          <w:szCs w:val="20"/>
        </w:rPr>
        <w:t>residential and certain other customer segments have moderated back to more historical levels. Nonetheless, as we navigate through fiscal 2023 and beyond, we continue to refine alternative operational plans, inclusive of manpower levels, to address differe</w:t>
      </w:r>
      <w:r>
        <w:rPr>
          <w:sz w:val="20"/>
          <w:szCs w:val="20"/>
        </w:rPr>
        <w:t>nt customer demand scenarios, and to adapt our operational model to the potential for shifting demand patterns in the future</w:t>
      </w:r>
      <w:r>
        <w:rPr>
          <w:sz w:val="20"/>
          <w:szCs w:val="20"/>
        </w:rPr>
        <w:t>.</w:t>
      </w:r>
    </w:p>
    <w:p w14:paraId="23B3DC75" w14:textId="77777777" w:rsidR="00000000" w:rsidRDefault="00832D71">
      <w:pPr>
        <w:pStyle w:val="a3"/>
        <w:spacing w:before="360" w:beforeAutospacing="0" w:after="0" w:afterAutospacing="0"/>
        <w:jc w:val="both"/>
        <w:rPr>
          <w:sz w:val="20"/>
          <w:szCs w:val="20"/>
        </w:rPr>
      </w:pPr>
      <w:r>
        <w:rPr>
          <w:b/>
          <w:bCs/>
          <w:i/>
          <w:iCs/>
          <w:sz w:val="20"/>
          <w:szCs w:val="20"/>
        </w:rPr>
        <w:t>Inflation and Other Cost Increase</w:t>
      </w:r>
      <w:r>
        <w:rPr>
          <w:b/>
          <w:bCs/>
          <w:i/>
          <w:iCs/>
          <w:sz w:val="20"/>
          <w:szCs w:val="20"/>
        </w:rPr>
        <w:t>s</w:t>
      </w:r>
    </w:p>
    <w:p w14:paraId="461D3AC9" w14:textId="77777777" w:rsidR="00000000" w:rsidRDefault="00832D71">
      <w:pPr>
        <w:pStyle w:val="a3"/>
        <w:spacing w:before="120" w:beforeAutospacing="0" w:after="0" w:afterAutospacing="0"/>
        <w:ind w:firstLine="555"/>
        <w:jc w:val="both"/>
        <w:rPr>
          <w:sz w:val="20"/>
          <w:szCs w:val="20"/>
        </w:rPr>
      </w:pPr>
      <w:r>
        <w:rPr>
          <w:sz w:val="20"/>
          <w:szCs w:val="20"/>
        </w:rPr>
        <w:t>In addition to the evolving impact of the COVID-19 pandemic, we have been impacted by other glo</w:t>
      </w:r>
      <w:r>
        <w:rPr>
          <w:sz w:val="20"/>
          <w:szCs w:val="20"/>
        </w:rPr>
        <w:t>bal and economic events. We are experiencing increased inflation in the costs of various goods and services we use to operate our business, including higher wholesale costs for the products we distribute. Although we have not experienced significant disrup</w:t>
      </w:r>
      <w:r>
        <w:rPr>
          <w:sz w:val="20"/>
          <w:szCs w:val="20"/>
        </w:rPr>
        <w:t>tions with securing the products we sell, inflationary factors and competition for resources across the supply chain has resulted in increased costs in a wide variety of areas, including labor, vehicle and transportation costs, and the cost of tanks and ot</w:t>
      </w:r>
      <w:r>
        <w:rPr>
          <w:sz w:val="20"/>
          <w:szCs w:val="20"/>
        </w:rPr>
        <w:t>her equipment. These and other factors may continue to impact our product costs, expenses, and capital expenditures, and could continue to have an impact on consumer demand as consumers manage the impact of inflation on their resources</w:t>
      </w:r>
      <w:r>
        <w:rPr>
          <w:sz w:val="20"/>
          <w:szCs w:val="20"/>
        </w:rPr>
        <w:t>.</w:t>
      </w:r>
    </w:p>
    <w:p w14:paraId="6A651964" w14:textId="77777777" w:rsidR="00000000" w:rsidRDefault="00832D71">
      <w:pPr>
        <w:pStyle w:val="a3"/>
        <w:spacing w:before="0" w:beforeAutospacing="0" w:after="0" w:afterAutospacing="0"/>
        <w:jc w:val="center"/>
        <w:rPr>
          <w:sz w:val="20"/>
          <w:szCs w:val="20"/>
        </w:rPr>
      </w:pPr>
      <w:r>
        <w:rPr>
          <w:sz w:val="20"/>
          <w:szCs w:val="20"/>
        </w:rPr>
        <w:t> </w:t>
      </w:r>
    </w:p>
    <w:p w14:paraId="438C1281" w14:textId="77777777" w:rsidR="00000000" w:rsidRDefault="00832D71">
      <w:pPr>
        <w:pStyle w:val="a3"/>
        <w:spacing w:before="0" w:beforeAutospacing="0" w:after="0" w:afterAutospacing="0"/>
        <w:jc w:val="center"/>
        <w:rPr>
          <w:sz w:val="20"/>
          <w:szCs w:val="20"/>
        </w:rPr>
      </w:pPr>
      <w:r>
        <w:rPr>
          <w:sz w:val="20"/>
          <w:szCs w:val="20"/>
        </w:rPr>
        <w:t>3</w:t>
      </w:r>
      <w:r>
        <w:rPr>
          <w:sz w:val="20"/>
          <w:szCs w:val="20"/>
        </w:rPr>
        <w:t>0</w:t>
      </w:r>
    </w:p>
    <w:p w14:paraId="6FAEBE65" w14:textId="77777777" w:rsidR="00000000" w:rsidRDefault="00832D71">
      <w:pPr>
        <w:rPr>
          <w:rFonts w:eastAsia="Times New Roman"/>
        </w:rPr>
      </w:pPr>
      <w:r>
        <w:rPr>
          <w:rFonts w:eastAsia="Times New Roman"/>
        </w:rPr>
        <w:pict w14:anchorId="491C9932">
          <v:rect id="_x0000_i1057" style="width:0;height:1.5pt" o:hralign="center" o:hrstd="t" o:hr="t" fillcolor="#a0a0a0" stroked="f"/>
        </w:pict>
      </w:r>
    </w:p>
    <w:p w14:paraId="1DCB193C"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1393E60C" w14:textId="77777777" w:rsidR="00000000" w:rsidRDefault="00832D71">
      <w:pPr>
        <w:pStyle w:val="a3"/>
        <w:spacing w:before="360" w:beforeAutospacing="0" w:after="0" w:afterAutospacing="0"/>
        <w:jc w:val="both"/>
        <w:rPr>
          <w:sz w:val="20"/>
          <w:szCs w:val="20"/>
        </w:rPr>
      </w:pPr>
      <w:r>
        <w:rPr>
          <w:b/>
          <w:bCs/>
          <w:i/>
          <w:iCs/>
          <w:sz w:val="20"/>
          <w:szCs w:val="20"/>
        </w:rPr>
        <w:t>Critical Accounting Policies and Estimate</w:t>
      </w:r>
      <w:r>
        <w:rPr>
          <w:b/>
          <w:bCs/>
          <w:i/>
          <w:iCs/>
          <w:sz w:val="20"/>
          <w:szCs w:val="20"/>
        </w:rPr>
        <w:t>s</w:t>
      </w:r>
    </w:p>
    <w:p w14:paraId="2BED0645" w14:textId="77777777" w:rsidR="00000000" w:rsidRDefault="00832D71">
      <w:pPr>
        <w:pStyle w:val="a3"/>
        <w:spacing w:before="120" w:beforeAutospacing="0" w:after="0" w:afterAutospacing="0"/>
        <w:ind w:firstLine="555"/>
        <w:jc w:val="both"/>
        <w:rPr>
          <w:sz w:val="20"/>
          <w:szCs w:val="20"/>
        </w:rPr>
      </w:pPr>
      <w:r>
        <w:rPr>
          <w:sz w:val="20"/>
          <w:szCs w:val="20"/>
        </w:rPr>
        <w:t xml:space="preserve">Our significant accounting policies are summarized in Note 2—Summary of Significant Accounting Policies included within the Notes to </w:t>
      </w:r>
      <w:r>
        <w:rPr>
          <w:sz w:val="20"/>
          <w:szCs w:val="20"/>
        </w:rPr>
        <w:t>Consolidated Financial Statements section elsewhere in this Annual Report</w:t>
      </w:r>
      <w:r>
        <w:rPr>
          <w:sz w:val="20"/>
          <w:szCs w:val="20"/>
        </w:rPr>
        <w:t>.</w:t>
      </w:r>
    </w:p>
    <w:p w14:paraId="3F16497A" w14:textId="77777777" w:rsidR="00000000" w:rsidRDefault="00832D71">
      <w:pPr>
        <w:pStyle w:val="a3"/>
        <w:spacing w:before="240" w:beforeAutospacing="0" w:after="0" w:afterAutospacing="0"/>
        <w:ind w:firstLine="555"/>
        <w:jc w:val="both"/>
        <w:rPr>
          <w:sz w:val="20"/>
          <w:szCs w:val="20"/>
        </w:rPr>
      </w:pPr>
      <w:r>
        <w:rPr>
          <w:sz w:val="20"/>
          <w:szCs w:val="20"/>
        </w:rPr>
        <w:t>Certain amounts included in or affecting our consolidated financial statements and related disclosures must be estimated, requiring management to make certain assumptions with respe</w:t>
      </w:r>
      <w:r>
        <w:rPr>
          <w:sz w:val="20"/>
          <w:szCs w:val="20"/>
        </w:rPr>
        <w:t>ct to values or conditions that cannot be known with certainty at the time the financial statements are prepared. The preparation of financial statements in conformity with accounting principles generally accepted in the United States of America (“US GAAP”</w:t>
      </w:r>
      <w:r>
        <w:rPr>
          <w:sz w:val="20"/>
          <w:szCs w:val="20"/>
        </w:rPr>
        <w:t>) requires management to make estimates and assumptions that affect the reported amounts of assets and liabilities and disclosure of contingent assets and liabilities at the date of the financial statements and the reported amounts of revenues and expenses</w:t>
      </w:r>
      <w:r>
        <w:rPr>
          <w:sz w:val="20"/>
          <w:szCs w:val="20"/>
        </w:rPr>
        <w:t xml:space="preserve"> during the reporting period. We are also subject to risks and uncertainties that may cause actual results to differ from estimated results. Estimates are used when accounting for depreciation and amortization of long-lived assets, employee benefit plans, </w:t>
      </w:r>
      <w:r>
        <w:rPr>
          <w:sz w:val="20"/>
          <w:szCs w:val="20"/>
        </w:rPr>
        <w:t xml:space="preserve">self-insurance and litigation reserves, environmental reserves, allowances for doubtful accounts, asset valuation assessments and valuation of derivative instruments. We base our estimates on historical experience and on various other assumptions that are </w:t>
      </w:r>
      <w:r>
        <w:rPr>
          <w:sz w:val="20"/>
          <w:szCs w:val="20"/>
        </w:rPr>
        <w:t>believed to be reasonable under the circumstances, the results of which form the basis for making judgments about the carrying values of assets and liabilities that are not readily apparent from other sources. Any effects on our business, financial positio</w:t>
      </w:r>
      <w:r>
        <w:rPr>
          <w:sz w:val="20"/>
          <w:szCs w:val="20"/>
        </w:rPr>
        <w:t>n or results of operations resulting from revisions to these estimates are recorded in the period in which the facts that give rise to the revision become known to us. Management has reviewed these critical accounting estimates and related disclosures with</w:t>
      </w:r>
      <w:r>
        <w:rPr>
          <w:sz w:val="20"/>
          <w:szCs w:val="20"/>
        </w:rPr>
        <w:t xml:space="preserve"> the Audit Committee of our Board of Supervisors. We believe that the following are our critical accounting estimates</w:t>
      </w:r>
      <w:r>
        <w:rPr>
          <w:sz w:val="20"/>
          <w:szCs w:val="20"/>
        </w:rPr>
        <w:t>:</w:t>
      </w:r>
    </w:p>
    <w:p w14:paraId="550DA0F0" w14:textId="77777777" w:rsidR="00000000" w:rsidRDefault="00832D71">
      <w:pPr>
        <w:pStyle w:val="a3"/>
        <w:spacing w:before="240" w:beforeAutospacing="0" w:after="0" w:afterAutospacing="0"/>
        <w:ind w:firstLine="555"/>
        <w:jc w:val="both"/>
        <w:rPr>
          <w:sz w:val="20"/>
          <w:szCs w:val="20"/>
        </w:rPr>
      </w:pPr>
      <w:r>
        <w:rPr>
          <w:b/>
          <w:bCs/>
          <w:i/>
          <w:iCs/>
          <w:sz w:val="20"/>
          <w:szCs w:val="20"/>
          <w:u w:val="single"/>
        </w:rPr>
        <w:t>Allowances for Doubtful Accounts</w:t>
      </w:r>
      <w:r>
        <w:rPr>
          <w:b/>
          <w:bCs/>
          <w:i/>
          <w:iCs/>
          <w:sz w:val="20"/>
          <w:szCs w:val="20"/>
          <w:u w:val="single"/>
        </w:rPr>
        <w:t>.</w:t>
      </w:r>
      <w:r>
        <w:rPr>
          <w:sz w:val="20"/>
          <w:szCs w:val="20"/>
        </w:rPr>
        <w:t xml:space="preserve"> </w:t>
      </w:r>
      <w:r>
        <w:rPr>
          <w:sz w:val="20"/>
          <w:szCs w:val="20"/>
        </w:rPr>
        <w:t>We maintain allowances for doubtful accounts for estimated losses resulting from the inability of our customers to make required payments. We estimate our allowances for doubtful accounts using a specific reserve for known or anticipated uncollectible acco</w:t>
      </w:r>
      <w:r>
        <w:rPr>
          <w:sz w:val="20"/>
          <w:szCs w:val="20"/>
        </w:rPr>
        <w:t>unts, as well as an estimated reserve for potential future uncollectible accounts taking into consideration our historical write-offs. If the financial condition of one or more of our customers were to deteriorate resulting in an impairment in their abilit</w:t>
      </w:r>
      <w:r>
        <w:rPr>
          <w:sz w:val="20"/>
          <w:szCs w:val="20"/>
        </w:rPr>
        <w:t>y to make payments, additional allowances could be required. As a result of our large customer base, which is comprised of approximately 1.0 million customers, no individual customer account is material. Therefore, while some variation to actual results oc</w:t>
      </w:r>
      <w:r>
        <w:rPr>
          <w:sz w:val="20"/>
          <w:szCs w:val="20"/>
        </w:rPr>
        <w:t>curs, historically such variability has not been material. Schedule II, Valuation and Qualifying Accounts, provides a summary of the changes in our allowances for doubtful accounts during the period</w:t>
      </w:r>
      <w:r>
        <w:rPr>
          <w:sz w:val="20"/>
          <w:szCs w:val="20"/>
        </w:rPr>
        <w:t>.</w:t>
      </w:r>
    </w:p>
    <w:p w14:paraId="06E40C4E" w14:textId="77777777" w:rsidR="00000000" w:rsidRDefault="00832D71">
      <w:pPr>
        <w:pStyle w:val="a3"/>
        <w:spacing w:before="240" w:beforeAutospacing="0" w:after="0" w:afterAutospacing="0"/>
        <w:ind w:firstLine="555"/>
        <w:jc w:val="both"/>
        <w:rPr>
          <w:sz w:val="20"/>
          <w:szCs w:val="20"/>
        </w:rPr>
      </w:pPr>
      <w:r>
        <w:rPr>
          <w:b/>
          <w:bCs/>
          <w:i/>
          <w:iCs/>
          <w:sz w:val="20"/>
          <w:szCs w:val="20"/>
          <w:u w:val="single"/>
        </w:rPr>
        <w:t>Pension and Other Postretirement Benefits</w:t>
      </w:r>
      <w:r>
        <w:rPr>
          <w:b/>
          <w:bCs/>
          <w:i/>
          <w:iCs/>
          <w:sz w:val="20"/>
          <w:szCs w:val="20"/>
          <w:u w:val="single"/>
        </w:rPr>
        <w:t>.</w:t>
      </w:r>
      <w:r>
        <w:rPr>
          <w:sz w:val="20"/>
          <w:szCs w:val="20"/>
        </w:rPr>
        <w:t xml:space="preserve"> We estimate t</w:t>
      </w:r>
      <w:r>
        <w:rPr>
          <w:sz w:val="20"/>
          <w:szCs w:val="20"/>
        </w:rPr>
        <w:t>he rate of return on plan assets, the discount rate used to estimate the present value of future benefit obligations and the expected cost of future health care benefits in determining our annual pension and other postretirement benefit costs. We use the S</w:t>
      </w:r>
      <w:r>
        <w:rPr>
          <w:sz w:val="20"/>
          <w:szCs w:val="20"/>
        </w:rPr>
        <w:t>ociety of Actuaries’ mortality scale (MP-2021) and other actuarial life expectancy information when developing the annual mortality assumptions for our pension and postretirement benefit plans, which are used to measure net periodic benefit costs and the o</w:t>
      </w:r>
      <w:r>
        <w:rPr>
          <w:sz w:val="20"/>
          <w:szCs w:val="20"/>
        </w:rPr>
        <w:t xml:space="preserve">bligation under these plans. While we believe that our assumptions are appropriate, significant differences in our actual experience or significant changes in market conditions may materially affect our pension and other postretirement benefit obligations </w:t>
      </w:r>
      <w:r>
        <w:rPr>
          <w:sz w:val="20"/>
          <w:szCs w:val="20"/>
        </w:rPr>
        <w:t>and our future expense</w:t>
      </w:r>
      <w:r>
        <w:rPr>
          <w:sz w:val="20"/>
          <w:szCs w:val="20"/>
        </w:rPr>
        <w:t>.</w:t>
      </w:r>
      <w:r>
        <w:rPr>
          <w:sz w:val="20"/>
          <w:szCs w:val="20"/>
        </w:rPr>
        <w:t xml:space="preserve"> </w:t>
      </w:r>
    </w:p>
    <w:p w14:paraId="75B8BC23" w14:textId="77777777" w:rsidR="00000000" w:rsidRDefault="00832D71">
      <w:pPr>
        <w:pStyle w:val="a3"/>
        <w:spacing w:before="240" w:beforeAutospacing="0" w:after="0" w:afterAutospacing="0"/>
        <w:ind w:firstLine="555"/>
        <w:jc w:val="both"/>
        <w:rPr>
          <w:sz w:val="20"/>
          <w:szCs w:val="20"/>
        </w:rPr>
      </w:pPr>
      <w:r>
        <w:rPr>
          <w:sz w:val="20"/>
          <w:szCs w:val="20"/>
        </w:rPr>
        <w:t>We contribute to multi-employer pension plans (“MEPPs”) in accordance with various collective bargaining agreements covering union employees. As one of the many participating employers in these MEPPs, we are responsible with the ot</w:t>
      </w:r>
      <w:r>
        <w:rPr>
          <w:sz w:val="20"/>
          <w:szCs w:val="20"/>
        </w:rPr>
        <w:t>her participating employers for any plan underfunding. Due to the uncertainty regarding future factors that could impact the withdrawal liability, we are unable to determine the timing of the payment of the future withdrawal liability, or additional future</w:t>
      </w:r>
      <w:r>
        <w:rPr>
          <w:sz w:val="20"/>
          <w:szCs w:val="20"/>
        </w:rPr>
        <w:t xml:space="preserve"> withdrawal liability, if any</w:t>
      </w:r>
      <w:r>
        <w:rPr>
          <w:sz w:val="20"/>
          <w:szCs w:val="20"/>
        </w:rPr>
        <w:t>.</w:t>
      </w:r>
    </w:p>
    <w:p w14:paraId="4B168692" w14:textId="77777777" w:rsidR="00000000" w:rsidRDefault="00832D71">
      <w:pPr>
        <w:pStyle w:val="a3"/>
        <w:spacing w:before="240" w:beforeAutospacing="0" w:after="0" w:afterAutospacing="0"/>
        <w:ind w:firstLine="555"/>
        <w:jc w:val="both"/>
        <w:rPr>
          <w:sz w:val="20"/>
          <w:szCs w:val="20"/>
        </w:rPr>
      </w:pPr>
      <w:r>
        <w:rPr>
          <w:b/>
          <w:bCs/>
          <w:i/>
          <w:iCs/>
          <w:sz w:val="20"/>
          <w:szCs w:val="20"/>
          <w:u w:val="single"/>
        </w:rPr>
        <w:t>Accrued Insurance</w:t>
      </w:r>
      <w:r>
        <w:rPr>
          <w:b/>
          <w:bCs/>
          <w:i/>
          <w:iCs/>
          <w:sz w:val="20"/>
          <w:szCs w:val="20"/>
          <w:u w:val="single"/>
        </w:rPr>
        <w:t>.</w:t>
      </w:r>
      <w:r>
        <w:rPr>
          <w:sz w:val="20"/>
          <w:szCs w:val="20"/>
        </w:rPr>
        <w:t xml:space="preserve"> Our accrued insurance represents the estimated costs of known and anticipated or unasserted claims for incidents related to general and product, workers’ compensation and automobile liabilities. For each cl</w:t>
      </w:r>
      <w:r>
        <w:rPr>
          <w:sz w:val="20"/>
          <w:szCs w:val="20"/>
        </w:rPr>
        <w:t>aim, we record a provision up to the estimated amount of the probable claim utilizing actuarially determined loss development factors applied to actual claims data. Our insurance provisions are susceptible to change to the extent that actual claims develop</w:t>
      </w:r>
      <w:r>
        <w:rPr>
          <w:sz w:val="20"/>
          <w:szCs w:val="20"/>
        </w:rPr>
        <w:t>ment differs from historical claims development. We maintain insurance coverage wherein our net exposure for insured claims is limited to the insurance deductible, claims above which are paid by our insurance carriers. For the portion of our estimated insu</w:t>
      </w:r>
      <w:r>
        <w:rPr>
          <w:sz w:val="20"/>
          <w:szCs w:val="20"/>
        </w:rPr>
        <w:t>rance liability that exceeds our deductibles, we record an asset related to the amount of the liability expected to be paid by the insurance companies. Historically, we have not experienced significant variability in our actuarial estimates for claims incu</w:t>
      </w:r>
      <w:r>
        <w:rPr>
          <w:sz w:val="20"/>
          <w:szCs w:val="20"/>
        </w:rPr>
        <w:t>rred but not reported. Accrued insurance provisions for reported claims are reviewed at least quarterly, and our assessment of whether a loss is probable and/or reasonably estimable is updated as necessary. Due to the inherently uncertain nature of, in par</w:t>
      </w:r>
      <w:r>
        <w:rPr>
          <w:sz w:val="20"/>
          <w:szCs w:val="20"/>
        </w:rPr>
        <w:t>ticular, product liability claims, the ultimate loss may differ materially from our estimates. However, because of the nature of our insurance arrangements, those material variations historically have not, nor are they expected in the future to have, a mat</w:t>
      </w:r>
      <w:r>
        <w:rPr>
          <w:sz w:val="20"/>
          <w:szCs w:val="20"/>
        </w:rPr>
        <w:t>erial impact on our results of operations or financial position</w:t>
      </w:r>
      <w:r>
        <w:rPr>
          <w:sz w:val="20"/>
          <w:szCs w:val="20"/>
        </w:rPr>
        <w:t>.</w:t>
      </w:r>
    </w:p>
    <w:p w14:paraId="3A35729F" w14:textId="77777777" w:rsidR="00000000" w:rsidRDefault="00832D71">
      <w:pPr>
        <w:pStyle w:val="a3"/>
        <w:spacing w:before="240" w:beforeAutospacing="0" w:after="0" w:afterAutospacing="0"/>
        <w:ind w:firstLine="555"/>
        <w:jc w:val="both"/>
        <w:rPr>
          <w:sz w:val="20"/>
          <w:szCs w:val="20"/>
        </w:rPr>
      </w:pPr>
      <w:r>
        <w:rPr>
          <w:b/>
          <w:bCs/>
          <w:i/>
          <w:iCs/>
          <w:sz w:val="20"/>
          <w:szCs w:val="20"/>
          <w:u w:val="single"/>
        </w:rPr>
        <w:t>Loss Contingencies</w:t>
      </w:r>
      <w:r>
        <w:rPr>
          <w:b/>
          <w:bCs/>
          <w:i/>
          <w:iCs/>
          <w:sz w:val="20"/>
          <w:szCs w:val="20"/>
          <w:u w:val="single"/>
        </w:rPr>
        <w:t>.</w:t>
      </w:r>
      <w:r>
        <w:rPr>
          <w:sz w:val="20"/>
          <w:szCs w:val="20"/>
        </w:rPr>
        <w:t xml:space="preserve"> In the normal course of business, we are involved in various claims and legal proceedings. We record a liability for such matters when it is probable that a loss has been </w:t>
      </w:r>
      <w:r>
        <w:rPr>
          <w:sz w:val="20"/>
          <w:szCs w:val="20"/>
        </w:rPr>
        <w:t>incurred and the amounts can be reasonably estimated. The liability includes probable and estimable legal costs to the point in the legal matter where we believe a conclusion to the matter will be reached. When only a range of possible loss can be establis</w:t>
      </w:r>
      <w:r>
        <w:rPr>
          <w:sz w:val="20"/>
          <w:szCs w:val="20"/>
        </w:rPr>
        <w:t>hed, the most probable amount in the range is accrued. If no amount within this range is a better estimate than any other amount within the range, the minimum amount in the range is accrued</w:t>
      </w:r>
      <w:r>
        <w:rPr>
          <w:sz w:val="20"/>
          <w:szCs w:val="20"/>
        </w:rPr>
        <w:t>.</w:t>
      </w:r>
    </w:p>
    <w:p w14:paraId="2F7B0099" w14:textId="77777777" w:rsidR="00000000" w:rsidRDefault="00832D71">
      <w:pPr>
        <w:pStyle w:val="a3"/>
        <w:spacing w:before="0" w:beforeAutospacing="0" w:after="0" w:afterAutospacing="0"/>
        <w:jc w:val="center"/>
        <w:rPr>
          <w:sz w:val="20"/>
          <w:szCs w:val="20"/>
        </w:rPr>
      </w:pPr>
      <w:r>
        <w:rPr>
          <w:sz w:val="20"/>
          <w:szCs w:val="20"/>
        </w:rPr>
        <w:t> </w:t>
      </w:r>
    </w:p>
    <w:p w14:paraId="1CD2C853" w14:textId="77777777" w:rsidR="00000000" w:rsidRDefault="00832D71">
      <w:pPr>
        <w:pStyle w:val="a3"/>
        <w:spacing w:before="0" w:beforeAutospacing="0" w:after="0" w:afterAutospacing="0"/>
        <w:jc w:val="center"/>
        <w:rPr>
          <w:sz w:val="20"/>
          <w:szCs w:val="20"/>
        </w:rPr>
      </w:pPr>
      <w:r>
        <w:rPr>
          <w:sz w:val="20"/>
          <w:szCs w:val="20"/>
        </w:rPr>
        <w:t>3</w:t>
      </w:r>
      <w:r>
        <w:rPr>
          <w:sz w:val="20"/>
          <w:szCs w:val="20"/>
        </w:rPr>
        <w:t>1</w:t>
      </w:r>
    </w:p>
    <w:p w14:paraId="5D5BCA5A" w14:textId="77777777" w:rsidR="00000000" w:rsidRDefault="00832D71">
      <w:pPr>
        <w:rPr>
          <w:rFonts w:eastAsia="Times New Roman"/>
        </w:rPr>
      </w:pPr>
      <w:r>
        <w:rPr>
          <w:rFonts w:eastAsia="Times New Roman"/>
        </w:rPr>
        <w:pict w14:anchorId="692DEA27">
          <v:rect id="_x0000_i1058" style="width:0;height:1.5pt" o:hralign="center" o:hrstd="t" o:hr="t" fillcolor="#a0a0a0" stroked="f"/>
        </w:pict>
      </w:r>
    </w:p>
    <w:p w14:paraId="256ED35C"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27AF4325" w14:textId="77777777" w:rsidR="00000000" w:rsidRDefault="00832D71">
      <w:pPr>
        <w:pStyle w:val="a3"/>
        <w:spacing w:before="240" w:beforeAutospacing="0" w:after="0" w:afterAutospacing="0"/>
        <w:ind w:firstLine="555"/>
        <w:jc w:val="both"/>
        <w:rPr>
          <w:sz w:val="20"/>
          <w:szCs w:val="20"/>
        </w:rPr>
      </w:pPr>
      <w:r>
        <w:rPr>
          <w:b/>
          <w:bCs/>
          <w:i/>
          <w:iCs/>
          <w:sz w:val="20"/>
          <w:szCs w:val="20"/>
          <w:u w:val="single"/>
        </w:rPr>
        <w:t>Fair Values of Acquired Assets and Liabilities</w:t>
      </w:r>
      <w:r>
        <w:rPr>
          <w:b/>
          <w:bCs/>
          <w:i/>
          <w:iCs/>
          <w:sz w:val="20"/>
          <w:szCs w:val="20"/>
          <w:u w:val="single"/>
        </w:rPr>
        <w:t>.</w:t>
      </w:r>
      <w:r>
        <w:rPr>
          <w:sz w:val="20"/>
          <w:szCs w:val="20"/>
        </w:rPr>
        <w:t xml:space="preserve"> </w:t>
      </w:r>
      <w:r>
        <w:rPr>
          <w:sz w:val="20"/>
          <w:szCs w:val="20"/>
        </w:rPr>
        <w:t>From time to time, we enter into material business combinations. In accordance with accounting guidance associated with business combinations, the assets acquired and liabilities assumed are recorded at their estimated fair value as of the acquisition date</w:t>
      </w:r>
      <w:r>
        <w:rPr>
          <w:sz w:val="20"/>
          <w:szCs w:val="20"/>
        </w:rPr>
        <w:t>. Fair values of assets acquired and liabilities assumed are based upon available information and may involve us engaging an independent third party to perform an appraisal. Estimating fair values can be complex and subject to significant business judgment</w:t>
      </w:r>
      <w:r>
        <w:rPr>
          <w:sz w:val="20"/>
          <w:szCs w:val="20"/>
        </w:rPr>
        <w:t>. Estimates most commonly impact property, plant and equipment and intangible assets, including goodwill. Generally, we have, if necessary, up to one year from the acquisition date to finalize our estimates of acquisition date fair values</w:t>
      </w:r>
      <w:r>
        <w:rPr>
          <w:sz w:val="20"/>
          <w:szCs w:val="20"/>
        </w:rPr>
        <w:t>.</w:t>
      </w:r>
    </w:p>
    <w:p w14:paraId="09AFAA4D" w14:textId="77777777" w:rsidR="00000000" w:rsidRDefault="00832D71">
      <w:pPr>
        <w:pStyle w:val="a3"/>
        <w:spacing w:before="360" w:beforeAutospacing="0" w:after="0" w:afterAutospacing="0"/>
        <w:rPr>
          <w:sz w:val="20"/>
          <w:szCs w:val="20"/>
        </w:rPr>
      </w:pPr>
      <w:r>
        <w:rPr>
          <w:b/>
          <w:bCs/>
          <w:sz w:val="20"/>
          <w:szCs w:val="20"/>
        </w:rPr>
        <w:t>Results of Opera</w:t>
      </w:r>
      <w:r>
        <w:rPr>
          <w:b/>
          <w:bCs/>
          <w:sz w:val="20"/>
          <w:szCs w:val="20"/>
        </w:rPr>
        <w:t>tions and Financial Conditio</w:t>
      </w:r>
      <w:r>
        <w:rPr>
          <w:b/>
          <w:bCs/>
          <w:sz w:val="20"/>
          <w:szCs w:val="20"/>
        </w:rPr>
        <w:t>n</w:t>
      </w:r>
    </w:p>
    <w:p w14:paraId="332506DE" w14:textId="77777777" w:rsidR="00000000" w:rsidRDefault="00832D71">
      <w:pPr>
        <w:pStyle w:val="a3"/>
        <w:spacing w:before="120" w:beforeAutospacing="0" w:after="0" w:afterAutospacing="0"/>
        <w:ind w:firstLine="555"/>
        <w:jc w:val="both"/>
        <w:rPr>
          <w:sz w:val="20"/>
          <w:szCs w:val="20"/>
        </w:rPr>
      </w:pPr>
      <w:r>
        <w:rPr>
          <w:sz w:val="20"/>
          <w:szCs w:val="20"/>
        </w:rPr>
        <w:t>Net income for fiscal 2022 was $139.7 million, or $2.21 per Common Unit, compared to $122.8 million, or $1.96 per Common Unit, in fiscal 2021</w:t>
      </w:r>
      <w:r>
        <w:rPr>
          <w:sz w:val="20"/>
          <w:szCs w:val="20"/>
        </w:rPr>
        <w:t>.</w:t>
      </w:r>
      <w:r>
        <w:rPr>
          <w:sz w:val="20"/>
          <w:szCs w:val="20"/>
        </w:rPr>
        <w:t xml:space="preserve"> </w:t>
      </w:r>
    </w:p>
    <w:p w14:paraId="2E8543A6" w14:textId="77777777" w:rsidR="00000000" w:rsidRDefault="00832D71">
      <w:pPr>
        <w:pStyle w:val="a3"/>
        <w:spacing w:before="240" w:beforeAutospacing="0" w:after="0" w:afterAutospacing="0"/>
        <w:ind w:firstLine="555"/>
        <w:jc w:val="both"/>
        <w:rPr>
          <w:sz w:val="20"/>
          <w:szCs w:val="20"/>
        </w:rPr>
      </w:pPr>
      <w:r>
        <w:rPr>
          <w:sz w:val="20"/>
          <w:szCs w:val="20"/>
        </w:rPr>
        <w:t xml:space="preserve">Adjusted earnings before interest, taxes, depreciation and amortization (Adjusted </w:t>
      </w:r>
      <w:r>
        <w:rPr>
          <w:sz w:val="20"/>
          <w:szCs w:val="20"/>
        </w:rPr>
        <w:t>EBITDA, as defined and reconciled below) increased $15.3 million, or 5.6%, to $291.0 million for fiscal 2022, compared to $275.7 million in the prior year</w:t>
      </w:r>
      <w:r>
        <w:rPr>
          <w:sz w:val="20"/>
          <w:szCs w:val="20"/>
        </w:rPr>
        <w:t>.</w:t>
      </w:r>
    </w:p>
    <w:p w14:paraId="4980F858" w14:textId="77777777" w:rsidR="00000000" w:rsidRDefault="00832D71">
      <w:pPr>
        <w:pStyle w:val="a3"/>
        <w:spacing w:before="240" w:beforeAutospacing="0" w:after="0" w:afterAutospacing="0"/>
        <w:ind w:firstLine="555"/>
        <w:jc w:val="both"/>
        <w:rPr>
          <w:sz w:val="20"/>
          <w:szCs w:val="20"/>
        </w:rPr>
      </w:pPr>
      <w:r>
        <w:rPr>
          <w:sz w:val="20"/>
          <w:szCs w:val="20"/>
        </w:rPr>
        <w:t>Retail propane gallons sold in fiscal 2022 of 401.3 million gallons decreased 4.4% compared to the p</w:t>
      </w:r>
      <w:r>
        <w:rPr>
          <w:sz w:val="20"/>
          <w:szCs w:val="20"/>
        </w:rPr>
        <w:t>rior year, primarily due to unseasonably warm and inconsistent temperatures throughout the heating season, customer conservation stemming from the high commodity price environment, and more normalized volumes in certain customer segments that benefitted fr</w:t>
      </w:r>
      <w:r>
        <w:rPr>
          <w:sz w:val="20"/>
          <w:szCs w:val="20"/>
        </w:rPr>
        <w:t xml:space="preserve">om COVID restrictions in previous years. Average temperatures (as measured by heating degree days) across all of our service territories for fiscal 2022 were 10% warmer than normal and comparable to the prior year. However, average temperatures during the </w:t>
      </w:r>
      <w:r>
        <w:rPr>
          <w:sz w:val="20"/>
          <w:szCs w:val="20"/>
        </w:rPr>
        <w:t>critical heat-related demand months of December 2021 through February 2022 were approximately 2.0% warmer than the same period in the prior year</w:t>
      </w:r>
      <w:r>
        <w:rPr>
          <w:sz w:val="20"/>
          <w:szCs w:val="20"/>
        </w:rPr>
        <w:t>.</w:t>
      </w:r>
      <w:r>
        <w:rPr>
          <w:sz w:val="20"/>
          <w:szCs w:val="20"/>
        </w:rPr>
        <w:t xml:space="preserve"> </w:t>
      </w:r>
    </w:p>
    <w:p w14:paraId="73C414EB" w14:textId="77777777" w:rsidR="00000000" w:rsidRDefault="00832D71">
      <w:pPr>
        <w:pStyle w:val="a3"/>
        <w:spacing w:before="240" w:beforeAutospacing="0" w:after="0" w:afterAutospacing="0"/>
        <w:ind w:firstLine="555"/>
        <w:jc w:val="both"/>
        <w:rPr>
          <w:sz w:val="20"/>
          <w:szCs w:val="20"/>
        </w:rPr>
      </w:pPr>
      <w:r>
        <w:rPr>
          <w:sz w:val="20"/>
          <w:szCs w:val="20"/>
        </w:rPr>
        <w:t>Average propane prices (basis Mont Belvieu, Texas) for fiscal 2022 increased 39.1% compared to the prior year</w:t>
      </w:r>
      <w:r>
        <w:rPr>
          <w:sz w:val="20"/>
          <w:szCs w:val="20"/>
        </w:rPr>
        <w:t>. Total gross margin for fiscal 2022 of $789.3 million decreased $13.9 million, or 1.7%, compared to the prior year. Gross margin for fiscal 2022 included a $27.9 million unrealized loss attributable to the mark-to-market adjustment for derivative instrume</w:t>
      </w:r>
      <w:r>
        <w:rPr>
          <w:sz w:val="20"/>
          <w:szCs w:val="20"/>
        </w:rPr>
        <w:t>nts used in risk management activities, compared to a $43.1 million unrealized gain in the prior year. These non-cash adjustments, which were reported in cost of products sold, were excluded from Adjusted EBITDA for both periods. Excluding the impact of th</w:t>
      </w:r>
      <w:r>
        <w:rPr>
          <w:sz w:val="20"/>
          <w:szCs w:val="20"/>
        </w:rPr>
        <w:t xml:space="preserve">e unrealized mark-to-market adjustments, gross margin for fiscal 2022 increased $57.1 million, or 7.5%, compared to the prior year, primarily due to prudent selling price management during a rising and volatile commodity price environment, as well as from </w:t>
      </w:r>
      <w:r>
        <w:rPr>
          <w:sz w:val="20"/>
          <w:szCs w:val="20"/>
        </w:rPr>
        <w:t>the favorable impact of commodity hedges that matured during the period. Our hedging and risk management activities are intended to reduce the effect of price volatility associated with forecasted purchases of propane and propane sold on a fixed price basi</w:t>
      </w:r>
      <w:r>
        <w:rPr>
          <w:sz w:val="20"/>
          <w:szCs w:val="20"/>
        </w:rPr>
        <w:t>s. The commodity hedges that matured during fiscal 2022 were principally comprised of net long positions that were favorably impacted from the significant rise in commodity prices</w:t>
      </w:r>
      <w:r>
        <w:rPr>
          <w:sz w:val="20"/>
          <w:szCs w:val="20"/>
        </w:rPr>
        <w:t>.</w:t>
      </w:r>
      <w:r>
        <w:rPr>
          <w:sz w:val="20"/>
          <w:szCs w:val="20"/>
        </w:rPr>
        <w:t xml:space="preserve"> </w:t>
      </w:r>
    </w:p>
    <w:p w14:paraId="44636A1D" w14:textId="77777777" w:rsidR="00000000" w:rsidRDefault="00832D71">
      <w:pPr>
        <w:pStyle w:val="a3"/>
        <w:spacing w:before="240" w:beforeAutospacing="0" w:after="0" w:afterAutospacing="0"/>
        <w:ind w:firstLine="555"/>
        <w:jc w:val="both"/>
        <w:rPr>
          <w:sz w:val="20"/>
          <w:szCs w:val="20"/>
        </w:rPr>
      </w:pPr>
      <w:r>
        <w:rPr>
          <w:sz w:val="20"/>
          <w:szCs w:val="20"/>
        </w:rPr>
        <w:t>Combined operating and general and administrative expenses of $524.2 milli</w:t>
      </w:r>
      <w:r>
        <w:rPr>
          <w:sz w:val="20"/>
          <w:szCs w:val="20"/>
        </w:rPr>
        <w:t>on for fiscal 2022 increased 8.0% compared to the prior year, primarily due to higher payroll and benefit-related expenses, higher vehicle lease and operating costs, higher variable compensation, higher provisions for doubtful accounts, as well as other in</w:t>
      </w:r>
      <w:r>
        <w:rPr>
          <w:sz w:val="20"/>
          <w:szCs w:val="20"/>
        </w:rPr>
        <w:t>flationary effects on our operating costs</w:t>
      </w:r>
      <w:r>
        <w:rPr>
          <w:sz w:val="20"/>
          <w:szCs w:val="20"/>
        </w:rPr>
        <w:t>.</w:t>
      </w:r>
      <w:r>
        <w:rPr>
          <w:sz w:val="20"/>
          <w:szCs w:val="20"/>
        </w:rPr>
        <w:t xml:space="preserve"> </w:t>
      </w:r>
    </w:p>
    <w:p w14:paraId="34EAC65C" w14:textId="77777777" w:rsidR="00000000" w:rsidRDefault="00832D71">
      <w:pPr>
        <w:pStyle w:val="a3"/>
        <w:spacing w:before="240" w:beforeAutospacing="0" w:after="0" w:afterAutospacing="0"/>
        <w:ind w:firstLine="555"/>
        <w:jc w:val="both"/>
        <w:rPr>
          <w:sz w:val="20"/>
          <w:szCs w:val="20"/>
        </w:rPr>
      </w:pPr>
      <w:r>
        <w:rPr>
          <w:sz w:val="20"/>
          <w:szCs w:val="20"/>
        </w:rPr>
        <w:t>During fiscal 2022, we utilized cash flows from operating activities to repay $42.4 million of debt. As a result of the combination of higher earnings and lower debt, our consolidated leverage ratio, as defined i</w:t>
      </w:r>
      <w:r>
        <w:rPr>
          <w:sz w:val="20"/>
          <w:szCs w:val="20"/>
        </w:rPr>
        <w:t>n our credit agreement, improved to 3.60x for the fiscal year ended September 24, 2022</w:t>
      </w:r>
      <w:r>
        <w:rPr>
          <w:sz w:val="20"/>
          <w:szCs w:val="20"/>
        </w:rPr>
        <w:t>.</w:t>
      </w:r>
      <w:r>
        <w:rPr>
          <w:sz w:val="20"/>
          <w:szCs w:val="20"/>
        </w:rPr>
        <w:t xml:space="preserve"> </w:t>
      </w:r>
    </w:p>
    <w:p w14:paraId="2DC87983" w14:textId="77777777" w:rsidR="00000000" w:rsidRDefault="00832D71">
      <w:pPr>
        <w:pStyle w:val="a3"/>
        <w:spacing w:before="240" w:beforeAutospacing="0" w:after="0" w:afterAutospacing="0"/>
        <w:ind w:firstLine="555"/>
        <w:jc w:val="both"/>
        <w:rPr>
          <w:sz w:val="20"/>
          <w:szCs w:val="20"/>
        </w:rPr>
      </w:pPr>
      <w:r>
        <w:rPr>
          <w:sz w:val="20"/>
          <w:szCs w:val="20"/>
        </w:rPr>
        <w:t>In addition to the improvement in earnings, we succeeded in accomplishing a number of significant goals in fiscal 2022 that provide further support for our long-term s</w:t>
      </w:r>
      <w:r>
        <w:rPr>
          <w:sz w:val="20"/>
          <w:szCs w:val="20"/>
        </w:rPr>
        <w:t>trategic growth initiatives. The following highlights a few noteworthy accomplishments for fiscal 2022</w:t>
      </w:r>
      <w:r>
        <w:rPr>
          <w:sz w:val="20"/>
          <w:szCs w:val="20"/>
        </w:rPr>
        <w:t>:</w:t>
      </w:r>
    </w:p>
    <w:p w14:paraId="7EEA5201" w14:textId="77777777" w:rsidR="00000000" w:rsidRDefault="00832D71">
      <w:pPr>
        <w:jc w:val="both"/>
        <w:divId w:val="258873882"/>
        <w:rPr>
          <w:rFonts w:eastAsia="Times New Roman"/>
        </w:rPr>
      </w:pPr>
      <w:r>
        <w:rPr>
          <w:rFonts w:eastAsia="Times New Roman"/>
          <w:sz w:val="20"/>
          <w:szCs w:val="20"/>
        </w:rPr>
        <w:t>•</w:t>
      </w:r>
    </w:p>
    <w:p w14:paraId="7E58F223" w14:textId="77777777" w:rsidR="00000000" w:rsidRDefault="00832D71">
      <w:pPr>
        <w:jc w:val="both"/>
        <w:divId w:val="891698250"/>
        <w:rPr>
          <w:rFonts w:eastAsia="Times New Roman"/>
        </w:rPr>
      </w:pPr>
      <w:r>
        <w:rPr>
          <w:rFonts w:eastAsia="Times New Roman"/>
          <w:sz w:val="20"/>
          <w:szCs w:val="20"/>
        </w:rPr>
        <w:t>We acquired a 25% equity stake in Independence Hydrogen, Inc. (“IH”), a veteran-owned and operated start-up company developing a gaseous hydrogen ecos</w:t>
      </w:r>
      <w:r>
        <w:rPr>
          <w:rFonts w:eastAsia="Times New Roman"/>
          <w:sz w:val="20"/>
          <w:szCs w:val="20"/>
        </w:rPr>
        <w:t>ystem, for $30.0 million;</w:t>
      </w:r>
      <w:r>
        <w:rPr>
          <w:rFonts w:eastAsia="Times New Roman"/>
          <w:sz w:val="20"/>
          <w:szCs w:val="20"/>
        </w:rPr>
        <w:t xml:space="preserve"> </w:t>
      </w:r>
    </w:p>
    <w:p w14:paraId="354E19A2" w14:textId="77777777" w:rsidR="00000000" w:rsidRDefault="00832D71">
      <w:pPr>
        <w:jc w:val="both"/>
        <w:divId w:val="1102921634"/>
        <w:rPr>
          <w:rFonts w:eastAsia="Times New Roman"/>
        </w:rPr>
      </w:pPr>
      <w:r>
        <w:rPr>
          <w:rFonts w:eastAsia="Times New Roman"/>
          <w:sz w:val="20"/>
          <w:szCs w:val="20"/>
        </w:rPr>
        <w:t>•</w:t>
      </w:r>
    </w:p>
    <w:p w14:paraId="103A2B81" w14:textId="77777777" w:rsidR="00000000" w:rsidRDefault="00832D71">
      <w:pPr>
        <w:jc w:val="both"/>
        <w:divId w:val="1458177543"/>
        <w:rPr>
          <w:rFonts w:eastAsia="Times New Roman"/>
        </w:rPr>
      </w:pPr>
      <w:r>
        <w:rPr>
          <w:rFonts w:eastAsia="Times New Roman"/>
          <w:sz w:val="20"/>
          <w:szCs w:val="20"/>
        </w:rPr>
        <w:t>We made additional investments in Oberon Fuels, Inc. (“Oberon”), to support the commercialization of renewable dimethyl ether (“rDME”</w:t>
      </w:r>
      <w:r>
        <w:rPr>
          <w:rFonts w:eastAsia="Times New Roman"/>
          <w:sz w:val="20"/>
          <w:szCs w:val="20"/>
        </w:rPr>
        <w:t>) as a blend with propane, including our construction of the world’s first commercial Propane+rDME blending facility in our Placentia, California location;</w:t>
      </w:r>
      <w:r>
        <w:rPr>
          <w:rFonts w:eastAsia="Times New Roman"/>
          <w:sz w:val="20"/>
          <w:szCs w:val="20"/>
        </w:rPr>
        <w:t xml:space="preserve"> </w:t>
      </w:r>
    </w:p>
    <w:p w14:paraId="22A3AA90" w14:textId="77777777" w:rsidR="00000000" w:rsidRDefault="00832D71">
      <w:pPr>
        <w:jc w:val="both"/>
        <w:divId w:val="471218679"/>
        <w:rPr>
          <w:rFonts w:eastAsia="Times New Roman"/>
        </w:rPr>
      </w:pPr>
      <w:r>
        <w:rPr>
          <w:rFonts w:eastAsia="Times New Roman"/>
          <w:sz w:val="20"/>
          <w:szCs w:val="20"/>
        </w:rPr>
        <w:t>•</w:t>
      </w:r>
    </w:p>
    <w:p w14:paraId="7BD320B7" w14:textId="77777777" w:rsidR="00000000" w:rsidRDefault="00832D71">
      <w:pPr>
        <w:jc w:val="both"/>
        <w:divId w:val="1214543334"/>
        <w:rPr>
          <w:rFonts w:eastAsia="Times New Roman"/>
        </w:rPr>
      </w:pPr>
      <w:r>
        <w:rPr>
          <w:rFonts w:eastAsia="Times New Roman"/>
          <w:sz w:val="20"/>
          <w:szCs w:val="20"/>
        </w:rPr>
        <w:t>We entered into an agreement with Adirondack Farms, a family-owned dairy farm in upstate New York</w:t>
      </w:r>
      <w:r>
        <w:rPr>
          <w:rFonts w:eastAsia="Times New Roman"/>
          <w:sz w:val="20"/>
          <w:szCs w:val="20"/>
        </w:rPr>
        <w:t>, to produce renewable natural gas from dairy cow manure</w:t>
      </w:r>
      <w:r>
        <w:rPr>
          <w:rFonts w:eastAsia="Times New Roman"/>
          <w:sz w:val="20"/>
          <w:szCs w:val="20"/>
        </w:rPr>
        <w:t>;</w:t>
      </w:r>
    </w:p>
    <w:p w14:paraId="6D9AF47A" w14:textId="77777777" w:rsidR="00000000" w:rsidRDefault="00832D71">
      <w:pPr>
        <w:jc w:val="both"/>
        <w:divId w:val="595864251"/>
        <w:rPr>
          <w:rFonts w:eastAsia="Times New Roman"/>
        </w:rPr>
      </w:pPr>
      <w:r>
        <w:rPr>
          <w:rFonts w:eastAsia="Times New Roman"/>
          <w:sz w:val="20"/>
          <w:szCs w:val="20"/>
        </w:rPr>
        <w:t>•</w:t>
      </w:r>
    </w:p>
    <w:p w14:paraId="6CA1F104" w14:textId="77777777" w:rsidR="00000000" w:rsidRDefault="00832D71">
      <w:pPr>
        <w:jc w:val="both"/>
        <w:divId w:val="1310015240"/>
        <w:rPr>
          <w:rFonts w:eastAsia="Times New Roman"/>
        </w:rPr>
      </w:pPr>
      <w:r>
        <w:rPr>
          <w:rFonts w:eastAsia="Times New Roman"/>
          <w:sz w:val="20"/>
          <w:szCs w:val="20"/>
        </w:rPr>
        <w:t>We announced a collaboration agreement with Iwatani Corporation of America, a wholly owned subsidiary of Iwatani Corporation, Japan’s largest distributor of propane and only fully integrated suppl</w:t>
      </w:r>
      <w:r>
        <w:rPr>
          <w:rFonts w:eastAsia="Times New Roman"/>
          <w:sz w:val="20"/>
          <w:szCs w:val="20"/>
        </w:rPr>
        <w:t>ier of hydrogen, to help accelerate the adoption of Propane+rDME, and to explore opportunities to further advance investments in the hydrogen infrastructure in the United States</w:t>
      </w:r>
      <w:r>
        <w:rPr>
          <w:rFonts w:eastAsia="Times New Roman"/>
          <w:sz w:val="20"/>
          <w:szCs w:val="20"/>
        </w:rPr>
        <w:t>;</w:t>
      </w:r>
    </w:p>
    <w:p w14:paraId="1BA81AAB" w14:textId="77777777" w:rsidR="00000000" w:rsidRDefault="00832D71">
      <w:pPr>
        <w:jc w:val="both"/>
        <w:divId w:val="1389722640"/>
        <w:rPr>
          <w:rFonts w:eastAsia="Times New Roman"/>
        </w:rPr>
      </w:pPr>
      <w:r>
        <w:rPr>
          <w:rFonts w:eastAsia="Times New Roman"/>
          <w:sz w:val="20"/>
          <w:szCs w:val="20"/>
        </w:rPr>
        <w:t>•</w:t>
      </w:r>
    </w:p>
    <w:p w14:paraId="1B13E179" w14:textId="77777777" w:rsidR="00000000" w:rsidRDefault="00832D71">
      <w:pPr>
        <w:jc w:val="both"/>
        <w:divId w:val="1264999216"/>
        <w:rPr>
          <w:rFonts w:eastAsia="Times New Roman"/>
        </w:rPr>
      </w:pPr>
      <w:r>
        <w:rPr>
          <w:rFonts w:eastAsia="Times New Roman"/>
          <w:sz w:val="20"/>
          <w:szCs w:val="20"/>
        </w:rPr>
        <w:t>We acquired and successfully integrated a well-run propane business in an a</w:t>
      </w:r>
      <w:r>
        <w:rPr>
          <w:rFonts w:eastAsia="Times New Roman"/>
          <w:sz w:val="20"/>
          <w:szCs w:val="20"/>
        </w:rPr>
        <w:t>ttractive market in New Mexico</w:t>
      </w:r>
      <w:r>
        <w:rPr>
          <w:rFonts w:eastAsia="Times New Roman"/>
          <w:sz w:val="20"/>
          <w:szCs w:val="20"/>
        </w:rPr>
        <w:t>;</w:t>
      </w:r>
    </w:p>
    <w:p w14:paraId="64BDA025" w14:textId="77777777" w:rsidR="00000000" w:rsidRDefault="00832D71">
      <w:pPr>
        <w:pStyle w:val="a3"/>
        <w:spacing w:before="0" w:beforeAutospacing="0" w:after="0" w:afterAutospacing="0"/>
        <w:jc w:val="center"/>
        <w:rPr>
          <w:sz w:val="20"/>
          <w:szCs w:val="20"/>
        </w:rPr>
      </w:pPr>
      <w:r>
        <w:rPr>
          <w:sz w:val="20"/>
          <w:szCs w:val="20"/>
        </w:rPr>
        <w:t> </w:t>
      </w:r>
    </w:p>
    <w:p w14:paraId="59B58654" w14:textId="77777777" w:rsidR="00000000" w:rsidRDefault="00832D71">
      <w:pPr>
        <w:pStyle w:val="a3"/>
        <w:spacing w:before="0" w:beforeAutospacing="0" w:after="0" w:afterAutospacing="0"/>
        <w:jc w:val="center"/>
        <w:rPr>
          <w:sz w:val="20"/>
          <w:szCs w:val="20"/>
        </w:rPr>
      </w:pPr>
      <w:r>
        <w:rPr>
          <w:sz w:val="20"/>
          <w:szCs w:val="20"/>
        </w:rPr>
        <w:t>3</w:t>
      </w:r>
      <w:r>
        <w:rPr>
          <w:sz w:val="20"/>
          <w:szCs w:val="20"/>
        </w:rPr>
        <w:t>2</w:t>
      </w:r>
    </w:p>
    <w:p w14:paraId="23EF2B05" w14:textId="77777777" w:rsidR="00000000" w:rsidRDefault="00832D71">
      <w:pPr>
        <w:rPr>
          <w:rFonts w:eastAsia="Times New Roman"/>
        </w:rPr>
      </w:pPr>
      <w:r>
        <w:rPr>
          <w:rFonts w:eastAsia="Times New Roman"/>
        </w:rPr>
        <w:pict w14:anchorId="217CD5F4">
          <v:rect id="_x0000_i1059" style="width:0;height:1.5pt" o:hralign="center" o:hrstd="t" o:hr="t" fillcolor="#a0a0a0" stroked="f"/>
        </w:pict>
      </w:r>
    </w:p>
    <w:p w14:paraId="295224E0"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4F5D78D8" w14:textId="77777777" w:rsidR="00000000" w:rsidRDefault="00832D71">
      <w:pPr>
        <w:jc w:val="both"/>
        <w:divId w:val="1919365451"/>
        <w:rPr>
          <w:rFonts w:eastAsia="Times New Roman"/>
        </w:rPr>
      </w:pPr>
      <w:r>
        <w:rPr>
          <w:rFonts w:eastAsia="Times New Roman"/>
          <w:sz w:val="20"/>
          <w:szCs w:val="20"/>
        </w:rPr>
        <w:t>•</w:t>
      </w:r>
    </w:p>
    <w:p w14:paraId="4FF1DDA5" w14:textId="77777777" w:rsidR="00000000" w:rsidRDefault="00832D71">
      <w:pPr>
        <w:jc w:val="both"/>
        <w:divId w:val="428429751"/>
        <w:rPr>
          <w:rFonts w:eastAsia="Times New Roman"/>
        </w:rPr>
      </w:pPr>
      <w:r>
        <w:rPr>
          <w:rFonts w:eastAsia="Times New Roman"/>
          <w:sz w:val="20"/>
          <w:szCs w:val="20"/>
        </w:rPr>
        <w:t>We extended our reach in certain strategic markets that were not previously served by our existing propane footprint; and</w:t>
      </w:r>
      <w:r>
        <w:rPr>
          <w:rFonts w:eastAsia="Times New Roman"/>
          <w:sz w:val="20"/>
          <w:szCs w:val="20"/>
        </w:rPr>
        <w:t>,</w:t>
      </w:r>
    </w:p>
    <w:p w14:paraId="0CD0E15B" w14:textId="77777777" w:rsidR="00000000" w:rsidRDefault="00832D71">
      <w:pPr>
        <w:jc w:val="both"/>
        <w:divId w:val="1932616291"/>
        <w:rPr>
          <w:rFonts w:eastAsia="Times New Roman"/>
        </w:rPr>
      </w:pPr>
      <w:r>
        <w:rPr>
          <w:rFonts w:eastAsia="Times New Roman"/>
          <w:sz w:val="20"/>
          <w:szCs w:val="20"/>
        </w:rPr>
        <w:t>•</w:t>
      </w:r>
    </w:p>
    <w:p w14:paraId="44620E70" w14:textId="77777777" w:rsidR="00000000" w:rsidRDefault="00832D71">
      <w:pPr>
        <w:jc w:val="both"/>
        <w:divId w:val="412555469"/>
        <w:rPr>
          <w:rFonts w:eastAsia="Times New Roman"/>
        </w:rPr>
      </w:pPr>
      <w:r>
        <w:rPr>
          <w:rFonts w:eastAsia="Times New Roman"/>
          <w:sz w:val="20"/>
          <w:szCs w:val="20"/>
        </w:rPr>
        <w:t>We strengthened our balance sheet by reducing debt by over $42.0 million with cash flows from operating activities</w:t>
      </w:r>
      <w:r>
        <w:rPr>
          <w:rFonts w:eastAsia="Times New Roman"/>
          <w:sz w:val="20"/>
          <w:szCs w:val="20"/>
        </w:rPr>
        <w:t>.</w:t>
      </w:r>
    </w:p>
    <w:p w14:paraId="00D0C93D" w14:textId="77777777" w:rsidR="00000000" w:rsidRDefault="00832D71">
      <w:pPr>
        <w:pStyle w:val="a3"/>
        <w:spacing w:before="240" w:beforeAutospacing="0" w:after="0" w:afterAutospacing="0"/>
        <w:ind w:firstLine="555"/>
        <w:jc w:val="both"/>
        <w:rPr>
          <w:sz w:val="20"/>
          <w:szCs w:val="20"/>
        </w:rPr>
      </w:pPr>
      <w:r>
        <w:rPr>
          <w:sz w:val="20"/>
          <w:szCs w:val="20"/>
        </w:rPr>
        <w:t>On October 20, 2022, we announced that our Board of Supervisors declared a quarterly distribution of $0.325 per Common Unit for the three</w:t>
      </w:r>
      <w:r>
        <w:rPr>
          <w:sz w:val="20"/>
          <w:szCs w:val="20"/>
        </w:rPr>
        <w:t xml:space="preserve"> months ended September 24, 2022. This quarterly distribution rate equates to an annualized rate of $1.30 per Common Unit. The distribution was paid on November 8, 2022 to Common Unitholders of record as of November 1, 2022</w:t>
      </w:r>
      <w:r>
        <w:rPr>
          <w:sz w:val="20"/>
          <w:szCs w:val="20"/>
        </w:rPr>
        <w:t>.</w:t>
      </w:r>
    </w:p>
    <w:p w14:paraId="64C4E7E0" w14:textId="77777777" w:rsidR="00000000" w:rsidRDefault="00832D71">
      <w:pPr>
        <w:pStyle w:val="a3"/>
        <w:spacing w:before="240" w:beforeAutospacing="0" w:after="0" w:afterAutospacing="0"/>
        <w:ind w:firstLine="555"/>
        <w:jc w:val="both"/>
        <w:rPr>
          <w:sz w:val="20"/>
          <w:szCs w:val="20"/>
        </w:rPr>
      </w:pPr>
      <w:r>
        <w:rPr>
          <w:sz w:val="20"/>
          <w:szCs w:val="20"/>
        </w:rPr>
        <w:t>As we look ahead to fiscal 2023</w:t>
      </w:r>
      <w:r>
        <w:rPr>
          <w:sz w:val="20"/>
          <w:szCs w:val="20"/>
        </w:rPr>
        <w:t>, our anticipated cash requirements include: (i) maintenance and growth capital expenditures of approximately $45.0 million; (ii) capital expenditures of approximately $33.0 million to support the buildout of our renewable energy platform; (iii) approximat</w:t>
      </w:r>
      <w:r>
        <w:rPr>
          <w:sz w:val="20"/>
          <w:szCs w:val="20"/>
        </w:rPr>
        <w:t>ely $63.8 million of interest and income tax payments; and (iv) approximately $82.4 million of distributions to Unitholders, based on the current annualized rate of $1.30 per Common Unit. Based on our liquidity position, which includes availability of fund</w:t>
      </w:r>
      <w:r>
        <w:rPr>
          <w:sz w:val="20"/>
          <w:szCs w:val="20"/>
        </w:rPr>
        <w:t>s under the revolving credit facility and expected cash flow from operating activities, we expect to have sufficient funds to meet our current and future obligations</w:t>
      </w:r>
      <w:r>
        <w:rPr>
          <w:sz w:val="20"/>
          <w:szCs w:val="20"/>
        </w:rPr>
        <w:t>.</w:t>
      </w:r>
    </w:p>
    <w:p w14:paraId="7100577C" w14:textId="77777777" w:rsidR="00000000" w:rsidRDefault="00832D71">
      <w:pPr>
        <w:pStyle w:val="a3"/>
        <w:spacing w:before="240" w:beforeAutospacing="0" w:after="0" w:afterAutospacing="0"/>
        <w:ind w:firstLine="555"/>
        <w:jc w:val="both"/>
        <w:rPr>
          <w:sz w:val="20"/>
          <w:szCs w:val="20"/>
        </w:rPr>
      </w:pPr>
      <w:r>
        <w:rPr>
          <w:sz w:val="20"/>
          <w:szCs w:val="20"/>
        </w:rPr>
        <w:t>Although uncertainties exist regarding the long-term impact of the COVID-19 pandemic on t</w:t>
      </w:r>
      <w:r>
        <w:rPr>
          <w:sz w:val="20"/>
          <w:szCs w:val="20"/>
        </w:rPr>
        <w:t xml:space="preserve">he economy and businesses, effects from the conflict in Ukraine and related price volatility and geopolitical instability and continued inflationary impacts on commodity prices and our expense base, we believe our efficient and flexible business model, as </w:t>
      </w:r>
      <w:r>
        <w:rPr>
          <w:sz w:val="20"/>
          <w:szCs w:val="20"/>
        </w:rPr>
        <w:t>well as the recent steps taken to strengthen our balance sheet, leave us well positioned to manage our business through such uncertainties as they continue to unfold. Nonetheless, as we progress through fiscal 2023, we will continue to adapt to these and o</w:t>
      </w:r>
      <w:r>
        <w:rPr>
          <w:sz w:val="20"/>
          <w:szCs w:val="20"/>
        </w:rPr>
        <w:t>ther changing circumstances and make decisions to help ensure the long-term sustainability of our businesses, and to be able to be opportunistic for strategic growth initiatives</w:t>
      </w:r>
      <w:r>
        <w:rPr>
          <w:sz w:val="20"/>
          <w:szCs w:val="20"/>
        </w:rPr>
        <w:t>.</w:t>
      </w:r>
    </w:p>
    <w:p w14:paraId="352936EB" w14:textId="77777777" w:rsidR="00000000" w:rsidRDefault="00832D71">
      <w:pPr>
        <w:pStyle w:val="a3"/>
        <w:spacing w:before="360" w:beforeAutospacing="0" w:after="0" w:afterAutospacing="0"/>
        <w:rPr>
          <w:sz w:val="20"/>
          <w:szCs w:val="20"/>
        </w:rPr>
      </w:pPr>
      <w:r>
        <w:rPr>
          <w:b/>
          <w:bCs/>
          <w:i/>
          <w:iCs/>
          <w:sz w:val="20"/>
          <w:szCs w:val="20"/>
        </w:rPr>
        <w:t>Fiscal Year 2022 Compared to Fiscal Year 202</w:t>
      </w:r>
      <w:r>
        <w:rPr>
          <w:b/>
          <w:bCs/>
          <w:i/>
          <w:iCs/>
          <w:sz w:val="20"/>
          <w:szCs w:val="20"/>
        </w:rPr>
        <w:t>1</w:t>
      </w:r>
    </w:p>
    <w:p w14:paraId="092CAD6A" w14:textId="77777777" w:rsidR="00000000" w:rsidRDefault="00832D71">
      <w:pPr>
        <w:pStyle w:val="a3"/>
        <w:spacing w:before="120" w:beforeAutospacing="0" w:after="0" w:afterAutospacing="0"/>
        <w:jc w:val="both"/>
        <w:rPr>
          <w:sz w:val="20"/>
          <w:szCs w:val="20"/>
        </w:rPr>
      </w:pPr>
      <w:r>
        <w:rPr>
          <w:i/>
          <w:iCs/>
          <w:sz w:val="20"/>
          <w:szCs w:val="20"/>
        </w:rPr>
        <w:t>Revenue</w:t>
      </w:r>
      <w:r>
        <w:rPr>
          <w:i/>
          <w:iCs/>
          <w:sz w:val="20"/>
          <w:szCs w:val="20"/>
        </w:rPr>
        <w:t>s</w:t>
      </w:r>
    </w:p>
    <w:p w14:paraId="12057F65" w14:textId="77777777" w:rsidR="00000000" w:rsidRDefault="00832D71">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655"/>
        <w:gridCol w:w="110"/>
        <w:gridCol w:w="160"/>
        <w:gridCol w:w="860"/>
        <w:gridCol w:w="110"/>
        <w:gridCol w:w="110"/>
        <w:gridCol w:w="160"/>
        <w:gridCol w:w="860"/>
        <w:gridCol w:w="110"/>
        <w:gridCol w:w="110"/>
        <w:gridCol w:w="160"/>
        <w:gridCol w:w="710"/>
        <w:gridCol w:w="127"/>
        <w:gridCol w:w="110"/>
        <w:gridCol w:w="113"/>
        <w:gridCol w:w="701"/>
        <w:gridCol w:w="309"/>
      </w:tblGrid>
      <w:tr w:rsidR="00000000" w14:paraId="1395356E" w14:textId="77777777">
        <w:trPr>
          <w:tblCellSpacing w:w="15" w:type="dxa"/>
        </w:trPr>
        <w:tc>
          <w:tcPr>
            <w:tcW w:w="2400" w:type="pct"/>
            <w:vAlign w:val="center"/>
            <w:hideMark/>
          </w:tcPr>
          <w:p w14:paraId="77F50EE5" w14:textId="77777777" w:rsidR="00000000" w:rsidRDefault="00832D71">
            <w:pPr>
              <w:rPr>
                <w:sz w:val="20"/>
                <w:szCs w:val="20"/>
              </w:rPr>
            </w:pPr>
          </w:p>
        </w:tc>
        <w:tc>
          <w:tcPr>
            <w:tcW w:w="57" w:type="pct"/>
            <w:vAlign w:val="center"/>
            <w:hideMark/>
          </w:tcPr>
          <w:p w14:paraId="0F4952CB" w14:textId="77777777" w:rsidR="00000000" w:rsidRDefault="00832D71">
            <w:pPr>
              <w:rPr>
                <w:rFonts w:eastAsia="Times New Roman"/>
                <w:sz w:val="20"/>
                <w:szCs w:val="20"/>
              </w:rPr>
            </w:pPr>
          </w:p>
        </w:tc>
        <w:tc>
          <w:tcPr>
            <w:tcW w:w="50" w:type="pct"/>
            <w:vAlign w:val="center"/>
            <w:hideMark/>
          </w:tcPr>
          <w:p w14:paraId="0AF9E2EE" w14:textId="77777777" w:rsidR="00000000" w:rsidRDefault="00832D71">
            <w:pPr>
              <w:rPr>
                <w:rFonts w:eastAsia="Times New Roman"/>
                <w:sz w:val="20"/>
                <w:szCs w:val="20"/>
              </w:rPr>
            </w:pPr>
          </w:p>
        </w:tc>
        <w:tc>
          <w:tcPr>
            <w:tcW w:w="433" w:type="pct"/>
            <w:vAlign w:val="center"/>
            <w:hideMark/>
          </w:tcPr>
          <w:p w14:paraId="2F838C3E" w14:textId="77777777" w:rsidR="00000000" w:rsidRDefault="00832D71">
            <w:pPr>
              <w:rPr>
                <w:rFonts w:eastAsia="Times New Roman"/>
                <w:sz w:val="20"/>
                <w:szCs w:val="20"/>
              </w:rPr>
            </w:pPr>
          </w:p>
        </w:tc>
        <w:tc>
          <w:tcPr>
            <w:tcW w:w="50" w:type="pct"/>
            <w:vAlign w:val="center"/>
            <w:hideMark/>
          </w:tcPr>
          <w:p w14:paraId="64A800CF" w14:textId="77777777" w:rsidR="00000000" w:rsidRDefault="00832D71">
            <w:pPr>
              <w:rPr>
                <w:rFonts w:eastAsia="Times New Roman"/>
                <w:sz w:val="20"/>
                <w:szCs w:val="20"/>
              </w:rPr>
            </w:pPr>
          </w:p>
        </w:tc>
        <w:tc>
          <w:tcPr>
            <w:tcW w:w="58" w:type="pct"/>
            <w:vAlign w:val="center"/>
            <w:hideMark/>
          </w:tcPr>
          <w:p w14:paraId="1C3400AF" w14:textId="77777777" w:rsidR="00000000" w:rsidRDefault="00832D71">
            <w:pPr>
              <w:rPr>
                <w:rFonts w:eastAsia="Times New Roman"/>
                <w:sz w:val="20"/>
                <w:szCs w:val="20"/>
              </w:rPr>
            </w:pPr>
          </w:p>
        </w:tc>
        <w:tc>
          <w:tcPr>
            <w:tcW w:w="50" w:type="pct"/>
            <w:vAlign w:val="center"/>
            <w:hideMark/>
          </w:tcPr>
          <w:p w14:paraId="120AFA3E" w14:textId="77777777" w:rsidR="00000000" w:rsidRDefault="00832D71">
            <w:pPr>
              <w:rPr>
                <w:rFonts w:eastAsia="Times New Roman"/>
                <w:sz w:val="20"/>
                <w:szCs w:val="20"/>
              </w:rPr>
            </w:pPr>
          </w:p>
        </w:tc>
        <w:tc>
          <w:tcPr>
            <w:tcW w:w="434" w:type="pct"/>
            <w:vAlign w:val="center"/>
            <w:hideMark/>
          </w:tcPr>
          <w:p w14:paraId="4A2EC6A2" w14:textId="77777777" w:rsidR="00000000" w:rsidRDefault="00832D71">
            <w:pPr>
              <w:rPr>
                <w:rFonts w:eastAsia="Times New Roman"/>
                <w:sz w:val="20"/>
                <w:szCs w:val="20"/>
              </w:rPr>
            </w:pPr>
          </w:p>
        </w:tc>
        <w:tc>
          <w:tcPr>
            <w:tcW w:w="50" w:type="pct"/>
            <w:vAlign w:val="center"/>
            <w:hideMark/>
          </w:tcPr>
          <w:p w14:paraId="7F8711D6" w14:textId="77777777" w:rsidR="00000000" w:rsidRDefault="00832D71">
            <w:pPr>
              <w:rPr>
                <w:rFonts w:eastAsia="Times New Roman"/>
                <w:sz w:val="20"/>
                <w:szCs w:val="20"/>
              </w:rPr>
            </w:pPr>
          </w:p>
        </w:tc>
        <w:tc>
          <w:tcPr>
            <w:tcW w:w="58" w:type="pct"/>
            <w:vAlign w:val="center"/>
            <w:hideMark/>
          </w:tcPr>
          <w:p w14:paraId="7BC4288A" w14:textId="77777777" w:rsidR="00000000" w:rsidRDefault="00832D71">
            <w:pPr>
              <w:rPr>
                <w:rFonts w:eastAsia="Times New Roman"/>
                <w:sz w:val="20"/>
                <w:szCs w:val="20"/>
              </w:rPr>
            </w:pPr>
          </w:p>
        </w:tc>
        <w:tc>
          <w:tcPr>
            <w:tcW w:w="50" w:type="pct"/>
            <w:vAlign w:val="center"/>
            <w:hideMark/>
          </w:tcPr>
          <w:p w14:paraId="2F542241" w14:textId="77777777" w:rsidR="00000000" w:rsidRDefault="00832D71">
            <w:pPr>
              <w:rPr>
                <w:rFonts w:eastAsia="Times New Roman"/>
                <w:sz w:val="20"/>
                <w:szCs w:val="20"/>
              </w:rPr>
            </w:pPr>
          </w:p>
        </w:tc>
        <w:tc>
          <w:tcPr>
            <w:tcW w:w="422" w:type="pct"/>
            <w:vAlign w:val="center"/>
            <w:hideMark/>
          </w:tcPr>
          <w:p w14:paraId="49B2F5A6" w14:textId="77777777" w:rsidR="00000000" w:rsidRDefault="00832D71">
            <w:pPr>
              <w:rPr>
                <w:rFonts w:eastAsia="Times New Roman"/>
                <w:sz w:val="20"/>
                <w:szCs w:val="20"/>
              </w:rPr>
            </w:pPr>
          </w:p>
        </w:tc>
        <w:tc>
          <w:tcPr>
            <w:tcW w:w="50" w:type="pct"/>
            <w:vAlign w:val="center"/>
            <w:hideMark/>
          </w:tcPr>
          <w:p w14:paraId="7186B991" w14:textId="77777777" w:rsidR="00000000" w:rsidRDefault="00832D71">
            <w:pPr>
              <w:rPr>
                <w:rFonts w:eastAsia="Times New Roman"/>
                <w:sz w:val="20"/>
                <w:szCs w:val="20"/>
              </w:rPr>
            </w:pPr>
          </w:p>
        </w:tc>
        <w:tc>
          <w:tcPr>
            <w:tcW w:w="47" w:type="pct"/>
            <w:vAlign w:val="center"/>
            <w:hideMark/>
          </w:tcPr>
          <w:p w14:paraId="5889EED4" w14:textId="77777777" w:rsidR="00000000" w:rsidRDefault="00832D71">
            <w:pPr>
              <w:rPr>
                <w:rFonts w:eastAsia="Times New Roman"/>
                <w:sz w:val="20"/>
                <w:szCs w:val="20"/>
              </w:rPr>
            </w:pPr>
          </w:p>
        </w:tc>
        <w:tc>
          <w:tcPr>
            <w:tcW w:w="50" w:type="pct"/>
            <w:vAlign w:val="center"/>
            <w:hideMark/>
          </w:tcPr>
          <w:p w14:paraId="3E9C1E4C" w14:textId="77777777" w:rsidR="00000000" w:rsidRDefault="00832D71">
            <w:pPr>
              <w:rPr>
                <w:rFonts w:eastAsia="Times New Roman"/>
                <w:sz w:val="20"/>
                <w:szCs w:val="20"/>
              </w:rPr>
            </w:pPr>
          </w:p>
        </w:tc>
        <w:tc>
          <w:tcPr>
            <w:tcW w:w="687" w:type="pct"/>
            <w:vAlign w:val="center"/>
            <w:hideMark/>
          </w:tcPr>
          <w:p w14:paraId="064316F0" w14:textId="77777777" w:rsidR="00000000" w:rsidRDefault="00832D71">
            <w:pPr>
              <w:rPr>
                <w:rFonts w:eastAsia="Times New Roman"/>
                <w:sz w:val="20"/>
                <w:szCs w:val="20"/>
              </w:rPr>
            </w:pPr>
          </w:p>
        </w:tc>
        <w:tc>
          <w:tcPr>
            <w:tcW w:w="50" w:type="pct"/>
            <w:vAlign w:val="center"/>
            <w:hideMark/>
          </w:tcPr>
          <w:p w14:paraId="56D3BA0C" w14:textId="77777777" w:rsidR="00000000" w:rsidRDefault="00832D71">
            <w:pPr>
              <w:rPr>
                <w:rFonts w:eastAsia="Times New Roman"/>
                <w:sz w:val="20"/>
                <w:szCs w:val="20"/>
              </w:rPr>
            </w:pPr>
          </w:p>
        </w:tc>
      </w:tr>
      <w:tr w:rsidR="00000000" w14:paraId="71AB4A64" w14:textId="77777777">
        <w:trPr>
          <w:trHeight w:val="160"/>
          <w:tblCellSpacing w:w="15" w:type="dxa"/>
        </w:trPr>
        <w:tc>
          <w:tcPr>
            <w:tcW w:w="0" w:type="auto"/>
            <w:vAlign w:val="bottom"/>
            <w:hideMark/>
          </w:tcPr>
          <w:p w14:paraId="5E2F72FC" w14:textId="77777777" w:rsidR="00000000" w:rsidRDefault="00832D71">
            <w:pPr>
              <w:pStyle w:val="a3"/>
              <w:spacing w:before="0" w:beforeAutospacing="0" w:after="0" w:afterAutospacing="0"/>
              <w:rPr>
                <w:sz w:val="16"/>
                <w:szCs w:val="16"/>
              </w:rPr>
            </w:pPr>
            <w:r>
              <w:rPr>
                <w:b/>
                <w:bCs/>
                <w:sz w:val="16"/>
                <w:szCs w:val="16"/>
              </w:rPr>
              <w:t>(Dollars and gallons in thousands</w:t>
            </w:r>
            <w:r>
              <w:rPr>
                <w:b/>
                <w:bCs/>
                <w:sz w:val="16"/>
                <w:szCs w:val="16"/>
              </w:rPr>
              <w:t>)</w:t>
            </w:r>
          </w:p>
        </w:tc>
        <w:tc>
          <w:tcPr>
            <w:tcW w:w="0" w:type="auto"/>
            <w:hideMark/>
          </w:tcPr>
          <w:p w14:paraId="5D5B05F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8009519"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96494AF"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2A8C4A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F8E2F8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CC1886F"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79BEDF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405802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211A345"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9B15EC3"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48D50BB" w14:textId="77777777" w:rsidR="00000000" w:rsidRDefault="00832D71">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14:paraId="4C5EF35E"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87946A3" w14:textId="77777777">
        <w:trPr>
          <w:trHeight w:val="160"/>
          <w:tblCellSpacing w:w="15" w:type="dxa"/>
        </w:trPr>
        <w:tc>
          <w:tcPr>
            <w:tcW w:w="0" w:type="auto"/>
            <w:vAlign w:val="bottom"/>
            <w:hideMark/>
          </w:tcPr>
          <w:p w14:paraId="5351D816"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5DBA44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639FAED"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095C4CB6"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4F7AA3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C493654"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3FB5F926"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3240F5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96CF244" w14:textId="77777777" w:rsidR="00000000" w:rsidRDefault="00832D71">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14:paraId="4396F1FF"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0CE8E91"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F401CBA" w14:textId="77777777" w:rsidR="00000000" w:rsidRDefault="00832D71">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14:paraId="399AF36C"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143AE576" w14:textId="77777777">
        <w:trPr>
          <w:trHeight w:val="160"/>
          <w:tblCellSpacing w:w="15" w:type="dxa"/>
        </w:trPr>
        <w:tc>
          <w:tcPr>
            <w:tcW w:w="0" w:type="auto"/>
            <w:vAlign w:val="bottom"/>
            <w:hideMark/>
          </w:tcPr>
          <w:p w14:paraId="2F978ADF"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3B7549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B342A6D"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6B4C52B7"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A0E1C6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A63B6A4"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1E627FA8"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3C80DD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CC8120D" w14:textId="77777777" w:rsidR="00000000" w:rsidRDefault="00832D71">
            <w:pPr>
              <w:pStyle w:val="a3"/>
              <w:spacing w:before="0" w:beforeAutospacing="0" w:after="0" w:afterAutospacing="0"/>
              <w:jc w:val="center"/>
              <w:rPr>
                <w:sz w:val="16"/>
                <w:szCs w:val="16"/>
              </w:rPr>
            </w:pPr>
            <w:r>
              <w:rPr>
                <w:b/>
                <w:bCs/>
                <w:sz w:val="16"/>
                <w:szCs w:val="16"/>
              </w:rPr>
              <w:t>(Decrease</w:t>
            </w:r>
            <w:r>
              <w:rPr>
                <w:b/>
                <w:bCs/>
                <w:sz w:val="16"/>
                <w:szCs w:val="16"/>
              </w:rPr>
              <w:t>)</w:t>
            </w:r>
          </w:p>
        </w:tc>
        <w:tc>
          <w:tcPr>
            <w:tcW w:w="0" w:type="auto"/>
            <w:vAlign w:val="bottom"/>
            <w:hideMark/>
          </w:tcPr>
          <w:p w14:paraId="52695CD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F1C1932"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3FF729F" w14:textId="77777777" w:rsidR="00000000" w:rsidRDefault="00832D71">
            <w:pPr>
              <w:pStyle w:val="a3"/>
              <w:spacing w:before="0" w:beforeAutospacing="0" w:after="0" w:afterAutospacing="0"/>
              <w:jc w:val="center"/>
              <w:rPr>
                <w:sz w:val="16"/>
                <w:szCs w:val="16"/>
              </w:rPr>
            </w:pPr>
            <w:r>
              <w:rPr>
                <w:b/>
                <w:bCs/>
                <w:sz w:val="16"/>
                <w:szCs w:val="16"/>
              </w:rPr>
              <w:t>(Decrease</w:t>
            </w:r>
            <w:r>
              <w:rPr>
                <w:b/>
                <w:bCs/>
                <w:sz w:val="16"/>
                <w:szCs w:val="16"/>
              </w:rPr>
              <w:t>)</w:t>
            </w:r>
          </w:p>
        </w:tc>
        <w:tc>
          <w:tcPr>
            <w:tcW w:w="0" w:type="auto"/>
            <w:vAlign w:val="bottom"/>
            <w:hideMark/>
          </w:tcPr>
          <w:p w14:paraId="59DD2756"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6676EB55" w14:textId="77777777">
        <w:trPr>
          <w:trHeight w:val="200"/>
          <w:tblCellSpacing w:w="15" w:type="dxa"/>
        </w:trPr>
        <w:tc>
          <w:tcPr>
            <w:tcW w:w="0" w:type="auto"/>
            <w:hideMark/>
          </w:tcPr>
          <w:p w14:paraId="3281A3D4" w14:textId="77777777" w:rsidR="00000000" w:rsidRDefault="00832D71">
            <w:pPr>
              <w:pStyle w:val="a3"/>
              <w:spacing w:before="0" w:beforeAutospacing="0" w:after="0" w:afterAutospacing="0"/>
              <w:rPr>
                <w:sz w:val="20"/>
                <w:szCs w:val="20"/>
              </w:rPr>
            </w:pPr>
            <w:r>
              <w:rPr>
                <w:sz w:val="20"/>
                <w:szCs w:val="20"/>
              </w:rPr>
              <w:t>Revenue</w:t>
            </w:r>
            <w:r>
              <w:rPr>
                <w:sz w:val="20"/>
                <w:szCs w:val="20"/>
              </w:rPr>
              <w:t>s</w:t>
            </w:r>
          </w:p>
        </w:tc>
        <w:tc>
          <w:tcPr>
            <w:tcW w:w="0" w:type="auto"/>
            <w:hideMark/>
          </w:tcPr>
          <w:p w14:paraId="3276CC3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28434E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4EEC8ED"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079F16B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D377CF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4C1EDB1"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2EC870C0"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A9A3A3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9B8EA62"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604A29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ADE77C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3A545E3" w14:textId="77777777" w:rsidR="00000000" w:rsidRDefault="00832D71">
            <w:pPr>
              <w:pStyle w:val="a3"/>
              <w:spacing w:before="0" w:beforeAutospacing="0" w:after="0" w:afterAutospacing="0"/>
              <w:jc w:val="right"/>
              <w:rPr>
                <w:sz w:val="20"/>
                <w:szCs w:val="20"/>
              </w:rPr>
            </w:pPr>
            <w:r>
              <w:rPr>
                <w:sz w:val="20"/>
                <w:szCs w:val="20"/>
              </w:rPr>
              <w:t> </w:t>
            </w:r>
          </w:p>
        </w:tc>
      </w:tr>
      <w:tr w:rsidR="00000000" w14:paraId="03FCBC38" w14:textId="77777777">
        <w:trPr>
          <w:trHeight w:val="200"/>
          <w:tblCellSpacing w:w="15" w:type="dxa"/>
        </w:trPr>
        <w:tc>
          <w:tcPr>
            <w:tcW w:w="0" w:type="auto"/>
            <w:hideMark/>
          </w:tcPr>
          <w:p w14:paraId="7B2EFBDC" w14:textId="77777777" w:rsidR="00000000" w:rsidRDefault="00832D71">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14:paraId="54811AE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7F23D6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32978D3" w14:textId="77777777" w:rsidR="00000000" w:rsidRDefault="00832D71">
            <w:pPr>
              <w:pStyle w:val="a3"/>
              <w:spacing w:before="0" w:beforeAutospacing="0" w:after="0" w:afterAutospacing="0"/>
              <w:jc w:val="right"/>
              <w:rPr>
                <w:sz w:val="20"/>
                <w:szCs w:val="20"/>
              </w:rPr>
            </w:pPr>
            <w:r>
              <w:rPr>
                <w:sz w:val="20"/>
                <w:szCs w:val="20"/>
              </w:rPr>
              <w:t>1,313,55</w:t>
            </w:r>
            <w:r>
              <w:rPr>
                <w:sz w:val="20"/>
                <w:szCs w:val="20"/>
              </w:rPr>
              <w:t>6</w:t>
            </w:r>
          </w:p>
        </w:tc>
        <w:tc>
          <w:tcPr>
            <w:tcW w:w="0" w:type="auto"/>
            <w:noWrap/>
            <w:vAlign w:val="bottom"/>
            <w:hideMark/>
          </w:tcPr>
          <w:p w14:paraId="090CEE5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01FBE6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CD8E7A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83C2199" w14:textId="77777777" w:rsidR="00000000" w:rsidRDefault="00832D71">
            <w:pPr>
              <w:pStyle w:val="a3"/>
              <w:spacing w:before="0" w:beforeAutospacing="0" w:after="0" w:afterAutospacing="0"/>
              <w:jc w:val="right"/>
              <w:rPr>
                <w:sz w:val="20"/>
                <w:szCs w:val="20"/>
              </w:rPr>
            </w:pPr>
            <w:r>
              <w:rPr>
                <w:sz w:val="20"/>
                <w:szCs w:val="20"/>
              </w:rPr>
              <w:t>1,140,45</w:t>
            </w:r>
            <w:r>
              <w:rPr>
                <w:sz w:val="20"/>
                <w:szCs w:val="20"/>
              </w:rPr>
              <w:t>7</w:t>
            </w:r>
          </w:p>
        </w:tc>
        <w:tc>
          <w:tcPr>
            <w:tcW w:w="0" w:type="auto"/>
            <w:noWrap/>
            <w:vAlign w:val="bottom"/>
            <w:hideMark/>
          </w:tcPr>
          <w:p w14:paraId="15E1D74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40D945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7FFBE1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92D64CE" w14:textId="77777777" w:rsidR="00000000" w:rsidRDefault="00832D71">
            <w:pPr>
              <w:pStyle w:val="a3"/>
              <w:spacing w:before="0" w:beforeAutospacing="0" w:after="0" w:afterAutospacing="0"/>
              <w:jc w:val="right"/>
              <w:rPr>
                <w:sz w:val="20"/>
                <w:szCs w:val="20"/>
              </w:rPr>
            </w:pPr>
            <w:r>
              <w:rPr>
                <w:sz w:val="20"/>
                <w:szCs w:val="20"/>
              </w:rPr>
              <w:t>173,09</w:t>
            </w:r>
            <w:r>
              <w:rPr>
                <w:sz w:val="20"/>
                <w:szCs w:val="20"/>
              </w:rPr>
              <w:t>9</w:t>
            </w:r>
          </w:p>
        </w:tc>
        <w:tc>
          <w:tcPr>
            <w:tcW w:w="0" w:type="auto"/>
            <w:noWrap/>
            <w:vAlign w:val="bottom"/>
            <w:hideMark/>
          </w:tcPr>
          <w:p w14:paraId="3D811FD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DAFF96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3001DB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680D6E3" w14:textId="77777777" w:rsidR="00000000" w:rsidRDefault="00832D71">
            <w:pPr>
              <w:pStyle w:val="a3"/>
              <w:spacing w:before="0" w:beforeAutospacing="0" w:after="0" w:afterAutospacing="0"/>
              <w:jc w:val="right"/>
              <w:rPr>
                <w:sz w:val="20"/>
                <w:szCs w:val="20"/>
              </w:rPr>
            </w:pPr>
            <w:r>
              <w:rPr>
                <w:sz w:val="20"/>
                <w:szCs w:val="20"/>
              </w:rPr>
              <w:t>15.</w:t>
            </w:r>
            <w:r>
              <w:rPr>
                <w:sz w:val="20"/>
                <w:szCs w:val="20"/>
              </w:rPr>
              <w:t>2</w:t>
            </w:r>
          </w:p>
        </w:tc>
        <w:tc>
          <w:tcPr>
            <w:tcW w:w="0" w:type="auto"/>
            <w:noWrap/>
            <w:vAlign w:val="bottom"/>
            <w:hideMark/>
          </w:tcPr>
          <w:p w14:paraId="07C0A168" w14:textId="77777777" w:rsidR="00000000" w:rsidRDefault="00832D71">
            <w:pPr>
              <w:pStyle w:val="a3"/>
              <w:spacing w:before="0" w:beforeAutospacing="0" w:after="0" w:afterAutospacing="0"/>
              <w:rPr>
                <w:sz w:val="20"/>
                <w:szCs w:val="20"/>
              </w:rPr>
            </w:pPr>
            <w:r>
              <w:rPr>
                <w:sz w:val="20"/>
                <w:szCs w:val="20"/>
              </w:rPr>
              <w:t>%</w:t>
            </w:r>
          </w:p>
        </w:tc>
      </w:tr>
      <w:tr w:rsidR="00000000" w14:paraId="3F3C25DF" w14:textId="77777777">
        <w:trPr>
          <w:trHeight w:val="200"/>
          <w:tblCellSpacing w:w="15" w:type="dxa"/>
        </w:trPr>
        <w:tc>
          <w:tcPr>
            <w:tcW w:w="0" w:type="auto"/>
            <w:hideMark/>
          </w:tcPr>
          <w:p w14:paraId="11CD74FB" w14:textId="77777777" w:rsidR="00000000" w:rsidRDefault="00832D71">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14:paraId="120D835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B74AFB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685FD23" w14:textId="77777777" w:rsidR="00000000" w:rsidRDefault="00832D71">
            <w:pPr>
              <w:pStyle w:val="a3"/>
              <w:spacing w:before="0" w:beforeAutospacing="0" w:after="0" w:afterAutospacing="0"/>
              <w:jc w:val="right"/>
              <w:rPr>
                <w:sz w:val="20"/>
                <w:szCs w:val="20"/>
              </w:rPr>
            </w:pPr>
            <w:r>
              <w:rPr>
                <w:sz w:val="20"/>
                <w:szCs w:val="20"/>
              </w:rPr>
              <w:t>95,15</w:t>
            </w:r>
            <w:r>
              <w:rPr>
                <w:sz w:val="20"/>
                <w:szCs w:val="20"/>
              </w:rPr>
              <w:t>7</w:t>
            </w:r>
          </w:p>
        </w:tc>
        <w:tc>
          <w:tcPr>
            <w:tcW w:w="0" w:type="auto"/>
            <w:noWrap/>
            <w:vAlign w:val="bottom"/>
            <w:hideMark/>
          </w:tcPr>
          <w:p w14:paraId="4D4CF2A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C056FF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7A64B2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19CDB05" w14:textId="77777777" w:rsidR="00000000" w:rsidRDefault="00832D71">
            <w:pPr>
              <w:pStyle w:val="a3"/>
              <w:spacing w:before="0" w:beforeAutospacing="0" w:after="0" w:afterAutospacing="0"/>
              <w:jc w:val="right"/>
              <w:rPr>
                <w:sz w:val="20"/>
                <w:szCs w:val="20"/>
              </w:rPr>
            </w:pPr>
            <w:r>
              <w:rPr>
                <w:sz w:val="20"/>
                <w:szCs w:val="20"/>
              </w:rPr>
              <w:t>67,10</w:t>
            </w:r>
            <w:r>
              <w:rPr>
                <w:sz w:val="20"/>
                <w:szCs w:val="20"/>
              </w:rPr>
              <w:t>4</w:t>
            </w:r>
          </w:p>
        </w:tc>
        <w:tc>
          <w:tcPr>
            <w:tcW w:w="0" w:type="auto"/>
            <w:noWrap/>
            <w:vAlign w:val="bottom"/>
            <w:hideMark/>
          </w:tcPr>
          <w:p w14:paraId="598B4B3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FD0AB1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340306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08CB45C" w14:textId="77777777" w:rsidR="00000000" w:rsidRDefault="00832D71">
            <w:pPr>
              <w:pStyle w:val="a3"/>
              <w:spacing w:before="0" w:beforeAutospacing="0" w:after="0" w:afterAutospacing="0"/>
              <w:jc w:val="right"/>
              <w:rPr>
                <w:sz w:val="20"/>
                <w:szCs w:val="20"/>
              </w:rPr>
            </w:pPr>
            <w:r>
              <w:rPr>
                <w:sz w:val="20"/>
                <w:szCs w:val="20"/>
              </w:rPr>
              <w:t>28,05</w:t>
            </w:r>
            <w:r>
              <w:rPr>
                <w:sz w:val="20"/>
                <w:szCs w:val="20"/>
              </w:rPr>
              <w:t>3</w:t>
            </w:r>
          </w:p>
        </w:tc>
        <w:tc>
          <w:tcPr>
            <w:tcW w:w="0" w:type="auto"/>
            <w:noWrap/>
            <w:vAlign w:val="bottom"/>
            <w:hideMark/>
          </w:tcPr>
          <w:p w14:paraId="50EFECF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F62746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F1887D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B20C0BE" w14:textId="77777777" w:rsidR="00000000" w:rsidRDefault="00832D71">
            <w:pPr>
              <w:pStyle w:val="a3"/>
              <w:spacing w:before="0" w:beforeAutospacing="0" w:after="0" w:afterAutospacing="0"/>
              <w:jc w:val="right"/>
              <w:rPr>
                <w:sz w:val="20"/>
                <w:szCs w:val="20"/>
              </w:rPr>
            </w:pPr>
            <w:r>
              <w:rPr>
                <w:sz w:val="20"/>
                <w:szCs w:val="20"/>
              </w:rPr>
              <w:t>41.</w:t>
            </w:r>
            <w:r>
              <w:rPr>
                <w:sz w:val="20"/>
                <w:szCs w:val="20"/>
              </w:rPr>
              <w:t>8</w:t>
            </w:r>
          </w:p>
        </w:tc>
        <w:tc>
          <w:tcPr>
            <w:tcW w:w="0" w:type="auto"/>
            <w:noWrap/>
            <w:vAlign w:val="bottom"/>
            <w:hideMark/>
          </w:tcPr>
          <w:p w14:paraId="028EE6E2" w14:textId="77777777" w:rsidR="00000000" w:rsidRDefault="00832D71">
            <w:pPr>
              <w:pStyle w:val="a3"/>
              <w:spacing w:before="0" w:beforeAutospacing="0" w:after="0" w:afterAutospacing="0"/>
              <w:rPr>
                <w:sz w:val="20"/>
                <w:szCs w:val="20"/>
              </w:rPr>
            </w:pPr>
            <w:r>
              <w:rPr>
                <w:sz w:val="20"/>
                <w:szCs w:val="20"/>
              </w:rPr>
              <w:t>%</w:t>
            </w:r>
          </w:p>
        </w:tc>
      </w:tr>
      <w:tr w:rsidR="00000000" w14:paraId="2F76EAA7" w14:textId="77777777">
        <w:trPr>
          <w:trHeight w:val="200"/>
          <w:tblCellSpacing w:w="15" w:type="dxa"/>
        </w:trPr>
        <w:tc>
          <w:tcPr>
            <w:tcW w:w="0" w:type="auto"/>
            <w:hideMark/>
          </w:tcPr>
          <w:p w14:paraId="0185B795" w14:textId="77777777" w:rsidR="00000000" w:rsidRDefault="00832D71">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14:paraId="01E071E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A7E42D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8D65573" w14:textId="77777777" w:rsidR="00000000" w:rsidRDefault="00832D71">
            <w:pPr>
              <w:pStyle w:val="a3"/>
              <w:spacing w:before="0" w:beforeAutospacing="0" w:after="0" w:afterAutospacing="0"/>
              <w:jc w:val="right"/>
              <w:rPr>
                <w:sz w:val="20"/>
                <w:szCs w:val="20"/>
              </w:rPr>
            </w:pPr>
            <w:r>
              <w:rPr>
                <w:sz w:val="20"/>
                <w:szCs w:val="20"/>
              </w:rPr>
              <w:t>39,51</w:t>
            </w:r>
            <w:r>
              <w:rPr>
                <w:sz w:val="20"/>
                <w:szCs w:val="20"/>
              </w:rPr>
              <w:t>1</w:t>
            </w:r>
          </w:p>
        </w:tc>
        <w:tc>
          <w:tcPr>
            <w:tcW w:w="0" w:type="auto"/>
            <w:noWrap/>
            <w:vAlign w:val="bottom"/>
            <w:hideMark/>
          </w:tcPr>
          <w:p w14:paraId="5199288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BB5B6E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536F4F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86180ED" w14:textId="77777777" w:rsidR="00000000" w:rsidRDefault="00832D71">
            <w:pPr>
              <w:pStyle w:val="a3"/>
              <w:spacing w:before="0" w:beforeAutospacing="0" w:after="0" w:afterAutospacing="0"/>
              <w:jc w:val="right"/>
              <w:rPr>
                <w:sz w:val="20"/>
                <w:szCs w:val="20"/>
              </w:rPr>
            </w:pPr>
            <w:r>
              <w:rPr>
                <w:sz w:val="20"/>
                <w:szCs w:val="20"/>
              </w:rPr>
              <w:t>30,42</w:t>
            </w:r>
            <w:r>
              <w:rPr>
                <w:sz w:val="20"/>
                <w:szCs w:val="20"/>
              </w:rPr>
              <w:t>5</w:t>
            </w:r>
          </w:p>
        </w:tc>
        <w:tc>
          <w:tcPr>
            <w:tcW w:w="0" w:type="auto"/>
            <w:noWrap/>
            <w:vAlign w:val="bottom"/>
            <w:hideMark/>
          </w:tcPr>
          <w:p w14:paraId="3F9BD6F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892BDE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08B867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3B2EE6E" w14:textId="77777777" w:rsidR="00000000" w:rsidRDefault="00832D71">
            <w:pPr>
              <w:pStyle w:val="a3"/>
              <w:spacing w:before="0" w:beforeAutospacing="0" w:after="0" w:afterAutospacing="0"/>
              <w:jc w:val="right"/>
              <w:rPr>
                <w:sz w:val="20"/>
                <w:szCs w:val="20"/>
              </w:rPr>
            </w:pPr>
            <w:r>
              <w:rPr>
                <w:sz w:val="20"/>
                <w:szCs w:val="20"/>
              </w:rPr>
              <w:t>9,08</w:t>
            </w:r>
            <w:r>
              <w:rPr>
                <w:sz w:val="20"/>
                <w:szCs w:val="20"/>
              </w:rPr>
              <w:t>6</w:t>
            </w:r>
          </w:p>
        </w:tc>
        <w:tc>
          <w:tcPr>
            <w:tcW w:w="0" w:type="auto"/>
            <w:noWrap/>
            <w:vAlign w:val="bottom"/>
            <w:hideMark/>
          </w:tcPr>
          <w:p w14:paraId="1271D25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39E5DE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D84E65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E84A03F" w14:textId="77777777" w:rsidR="00000000" w:rsidRDefault="00832D71">
            <w:pPr>
              <w:pStyle w:val="a3"/>
              <w:spacing w:before="0" w:beforeAutospacing="0" w:after="0" w:afterAutospacing="0"/>
              <w:jc w:val="right"/>
              <w:rPr>
                <w:sz w:val="20"/>
                <w:szCs w:val="20"/>
              </w:rPr>
            </w:pPr>
            <w:r>
              <w:rPr>
                <w:sz w:val="20"/>
                <w:szCs w:val="20"/>
              </w:rPr>
              <w:t>29.</w:t>
            </w:r>
            <w:r>
              <w:rPr>
                <w:sz w:val="20"/>
                <w:szCs w:val="20"/>
              </w:rPr>
              <w:t>9</w:t>
            </w:r>
          </w:p>
        </w:tc>
        <w:tc>
          <w:tcPr>
            <w:tcW w:w="0" w:type="auto"/>
            <w:noWrap/>
            <w:vAlign w:val="bottom"/>
            <w:hideMark/>
          </w:tcPr>
          <w:p w14:paraId="51045D2A" w14:textId="77777777" w:rsidR="00000000" w:rsidRDefault="00832D71">
            <w:pPr>
              <w:pStyle w:val="a3"/>
              <w:spacing w:before="0" w:beforeAutospacing="0" w:after="0" w:afterAutospacing="0"/>
              <w:rPr>
                <w:sz w:val="20"/>
                <w:szCs w:val="20"/>
              </w:rPr>
            </w:pPr>
            <w:r>
              <w:rPr>
                <w:sz w:val="20"/>
                <w:szCs w:val="20"/>
              </w:rPr>
              <w:t>%</w:t>
            </w:r>
          </w:p>
        </w:tc>
      </w:tr>
      <w:tr w:rsidR="00000000" w14:paraId="7D0F885D" w14:textId="77777777">
        <w:trPr>
          <w:trHeight w:val="200"/>
          <w:tblCellSpacing w:w="15" w:type="dxa"/>
        </w:trPr>
        <w:tc>
          <w:tcPr>
            <w:tcW w:w="0" w:type="auto"/>
            <w:hideMark/>
          </w:tcPr>
          <w:p w14:paraId="0014CCB5" w14:textId="77777777" w:rsidR="00000000" w:rsidRDefault="00832D71">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14:paraId="38FDEC8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06800C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0F21AC6" w14:textId="77777777" w:rsidR="00000000" w:rsidRDefault="00832D71">
            <w:pPr>
              <w:pStyle w:val="a3"/>
              <w:spacing w:before="0" w:beforeAutospacing="0" w:after="0" w:afterAutospacing="0"/>
              <w:jc w:val="right"/>
              <w:rPr>
                <w:sz w:val="20"/>
                <w:szCs w:val="20"/>
              </w:rPr>
            </w:pPr>
            <w:r>
              <w:rPr>
                <w:sz w:val="20"/>
                <w:szCs w:val="20"/>
              </w:rPr>
              <w:t>53,24</w:t>
            </w:r>
            <w:r>
              <w:rPr>
                <w:sz w:val="20"/>
                <w:szCs w:val="20"/>
              </w:rPr>
              <w:t>1</w:t>
            </w:r>
          </w:p>
        </w:tc>
        <w:tc>
          <w:tcPr>
            <w:tcW w:w="0" w:type="auto"/>
            <w:noWrap/>
            <w:vAlign w:val="bottom"/>
            <w:hideMark/>
          </w:tcPr>
          <w:p w14:paraId="52F9E0E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736681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D43461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8E3D79C" w14:textId="77777777" w:rsidR="00000000" w:rsidRDefault="00832D71">
            <w:pPr>
              <w:pStyle w:val="a3"/>
              <w:spacing w:before="0" w:beforeAutospacing="0" w:after="0" w:afterAutospacing="0"/>
              <w:jc w:val="right"/>
              <w:rPr>
                <w:sz w:val="20"/>
                <w:szCs w:val="20"/>
              </w:rPr>
            </w:pPr>
            <w:r>
              <w:rPr>
                <w:sz w:val="20"/>
                <w:szCs w:val="20"/>
              </w:rPr>
              <w:t>50,76</w:t>
            </w:r>
            <w:r>
              <w:rPr>
                <w:sz w:val="20"/>
                <w:szCs w:val="20"/>
              </w:rPr>
              <w:t>9</w:t>
            </w:r>
          </w:p>
        </w:tc>
        <w:tc>
          <w:tcPr>
            <w:tcW w:w="0" w:type="auto"/>
            <w:noWrap/>
            <w:vAlign w:val="bottom"/>
            <w:hideMark/>
          </w:tcPr>
          <w:p w14:paraId="57D368E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46CD2E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DE4492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9D73774" w14:textId="77777777" w:rsidR="00000000" w:rsidRDefault="00832D71">
            <w:pPr>
              <w:pStyle w:val="a3"/>
              <w:spacing w:before="0" w:beforeAutospacing="0" w:after="0" w:afterAutospacing="0"/>
              <w:jc w:val="right"/>
              <w:rPr>
                <w:sz w:val="20"/>
                <w:szCs w:val="20"/>
              </w:rPr>
            </w:pPr>
            <w:r>
              <w:rPr>
                <w:sz w:val="20"/>
                <w:szCs w:val="20"/>
              </w:rPr>
              <w:t>2,47</w:t>
            </w:r>
            <w:r>
              <w:rPr>
                <w:sz w:val="20"/>
                <w:szCs w:val="20"/>
              </w:rPr>
              <w:t>2</w:t>
            </w:r>
          </w:p>
        </w:tc>
        <w:tc>
          <w:tcPr>
            <w:tcW w:w="0" w:type="auto"/>
            <w:noWrap/>
            <w:vAlign w:val="bottom"/>
            <w:hideMark/>
          </w:tcPr>
          <w:p w14:paraId="5077589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D8FB2C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CCABFD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92F118B" w14:textId="77777777" w:rsidR="00000000" w:rsidRDefault="00832D71">
            <w:pPr>
              <w:pStyle w:val="a3"/>
              <w:spacing w:before="0" w:beforeAutospacing="0" w:after="0" w:afterAutospacing="0"/>
              <w:jc w:val="right"/>
              <w:rPr>
                <w:sz w:val="20"/>
                <w:szCs w:val="20"/>
              </w:rPr>
            </w:pPr>
            <w:r>
              <w:rPr>
                <w:sz w:val="20"/>
                <w:szCs w:val="20"/>
              </w:rPr>
              <w:t>4.</w:t>
            </w:r>
            <w:r>
              <w:rPr>
                <w:sz w:val="20"/>
                <w:szCs w:val="20"/>
              </w:rPr>
              <w:t>9</w:t>
            </w:r>
          </w:p>
        </w:tc>
        <w:tc>
          <w:tcPr>
            <w:tcW w:w="0" w:type="auto"/>
            <w:noWrap/>
            <w:vAlign w:val="bottom"/>
            <w:hideMark/>
          </w:tcPr>
          <w:p w14:paraId="4DC0EB4B" w14:textId="77777777" w:rsidR="00000000" w:rsidRDefault="00832D71">
            <w:pPr>
              <w:pStyle w:val="a3"/>
              <w:spacing w:before="0" w:beforeAutospacing="0" w:after="0" w:afterAutospacing="0"/>
              <w:rPr>
                <w:sz w:val="20"/>
                <w:szCs w:val="20"/>
              </w:rPr>
            </w:pPr>
            <w:r>
              <w:rPr>
                <w:sz w:val="20"/>
                <w:szCs w:val="20"/>
              </w:rPr>
              <w:t>%</w:t>
            </w:r>
          </w:p>
        </w:tc>
      </w:tr>
      <w:tr w:rsidR="00000000" w14:paraId="5754C1B6" w14:textId="77777777">
        <w:trPr>
          <w:trHeight w:val="200"/>
          <w:tblCellSpacing w:w="15" w:type="dxa"/>
        </w:trPr>
        <w:tc>
          <w:tcPr>
            <w:tcW w:w="0" w:type="auto"/>
            <w:hideMark/>
          </w:tcPr>
          <w:p w14:paraId="57EF5C1B" w14:textId="77777777" w:rsidR="00000000" w:rsidRDefault="00832D71">
            <w:pPr>
              <w:pStyle w:val="a3"/>
              <w:spacing w:before="0" w:beforeAutospacing="0" w:after="0" w:afterAutospacing="0"/>
              <w:ind w:left="400"/>
              <w:rPr>
                <w:sz w:val="20"/>
                <w:szCs w:val="20"/>
              </w:rPr>
            </w:pPr>
            <w:r>
              <w:rPr>
                <w:sz w:val="20"/>
                <w:szCs w:val="20"/>
              </w:rPr>
              <w:t>Total revenue</w:t>
            </w:r>
            <w:r>
              <w:rPr>
                <w:sz w:val="20"/>
                <w:szCs w:val="20"/>
              </w:rPr>
              <w:t>s</w:t>
            </w:r>
          </w:p>
        </w:tc>
        <w:tc>
          <w:tcPr>
            <w:tcW w:w="0" w:type="auto"/>
            <w:hideMark/>
          </w:tcPr>
          <w:p w14:paraId="14AD6F9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C9FEB3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E10AA79" w14:textId="77777777" w:rsidR="00000000" w:rsidRDefault="00832D71">
            <w:pPr>
              <w:pStyle w:val="a3"/>
              <w:spacing w:before="0" w:beforeAutospacing="0" w:after="0" w:afterAutospacing="0"/>
              <w:jc w:val="right"/>
              <w:rPr>
                <w:sz w:val="20"/>
                <w:szCs w:val="20"/>
              </w:rPr>
            </w:pPr>
            <w:r>
              <w:rPr>
                <w:sz w:val="20"/>
                <w:szCs w:val="20"/>
              </w:rPr>
              <w:t>1,501,46</w:t>
            </w:r>
            <w:r>
              <w:rPr>
                <w:sz w:val="20"/>
                <w:szCs w:val="20"/>
              </w:rPr>
              <w:t>5</w:t>
            </w:r>
          </w:p>
        </w:tc>
        <w:tc>
          <w:tcPr>
            <w:tcW w:w="0" w:type="auto"/>
            <w:noWrap/>
            <w:vAlign w:val="bottom"/>
            <w:hideMark/>
          </w:tcPr>
          <w:p w14:paraId="6068D4F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0BE44D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E62FE4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6C11F3E" w14:textId="77777777" w:rsidR="00000000" w:rsidRDefault="00832D71">
            <w:pPr>
              <w:pStyle w:val="a3"/>
              <w:spacing w:before="0" w:beforeAutospacing="0" w:after="0" w:afterAutospacing="0"/>
              <w:jc w:val="right"/>
              <w:rPr>
                <w:sz w:val="20"/>
                <w:szCs w:val="20"/>
              </w:rPr>
            </w:pPr>
            <w:r>
              <w:rPr>
                <w:sz w:val="20"/>
                <w:szCs w:val="20"/>
              </w:rPr>
              <w:t>1,288,75</w:t>
            </w:r>
            <w:r>
              <w:rPr>
                <w:sz w:val="20"/>
                <w:szCs w:val="20"/>
              </w:rPr>
              <w:t>5</w:t>
            </w:r>
          </w:p>
        </w:tc>
        <w:tc>
          <w:tcPr>
            <w:tcW w:w="0" w:type="auto"/>
            <w:noWrap/>
            <w:vAlign w:val="bottom"/>
            <w:hideMark/>
          </w:tcPr>
          <w:p w14:paraId="39D84B4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9CC3CF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B4B40E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1056C61" w14:textId="77777777" w:rsidR="00000000" w:rsidRDefault="00832D71">
            <w:pPr>
              <w:pStyle w:val="a3"/>
              <w:spacing w:before="0" w:beforeAutospacing="0" w:after="0" w:afterAutospacing="0"/>
              <w:jc w:val="right"/>
              <w:rPr>
                <w:sz w:val="20"/>
                <w:szCs w:val="20"/>
              </w:rPr>
            </w:pPr>
            <w:r>
              <w:rPr>
                <w:sz w:val="20"/>
                <w:szCs w:val="20"/>
              </w:rPr>
              <w:t>212,71</w:t>
            </w:r>
            <w:r>
              <w:rPr>
                <w:sz w:val="20"/>
                <w:szCs w:val="20"/>
              </w:rPr>
              <w:t>0</w:t>
            </w:r>
          </w:p>
        </w:tc>
        <w:tc>
          <w:tcPr>
            <w:tcW w:w="0" w:type="auto"/>
            <w:noWrap/>
            <w:vAlign w:val="bottom"/>
            <w:hideMark/>
          </w:tcPr>
          <w:p w14:paraId="081BA15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708D00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822A04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36C5D14" w14:textId="77777777" w:rsidR="00000000" w:rsidRDefault="00832D71">
            <w:pPr>
              <w:pStyle w:val="a3"/>
              <w:spacing w:before="0" w:beforeAutospacing="0" w:after="0" w:afterAutospacing="0"/>
              <w:jc w:val="right"/>
              <w:rPr>
                <w:sz w:val="20"/>
                <w:szCs w:val="20"/>
              </w:rPr>
            </w:pPr>
            <w:r>
              <w:rPr>
                <w:sz w:val="20"/>
                <w:szCs w:val="20"/>
              </w:rPr>
              <w:t>16.</w:t>
            </w:r>
            <w:r>
              <w:rPr>
                <w:sz w:val="20"/>
                <w:szCs w:val="20"/>
              </w:rPr>
              <w:t>5</w:t>
            </w:r>
          </w:p>
        </w:tc>
        <w:tc>
          <w:tcPr>
            <w:tcW w:w="0" w:type="auto"/>
            <w:noWrap/>
            <w:vAlign w:val="bottom"/>
            <w:hideMark/>
          </w:tcPr>
          <w:p w14:paraId="6F3B7718" w14:textId="77777777" w:rsidR="00000000" w:rsidRDefault="00832D71">
            <w:pPr>
              <w:pStyle w:val="a3"/>
              <w:spacing w:before="0" w:beforeAutospacing="0" w:after="0" w:afterAutospacing="0"/>
              <w:rPr>
                <w:sz w:val="20"/>
                <w:szCs w:val="20"/>
              </w:rPr>
            </w:pPr>
            <w:r>
              <w:rPr>
                <w:sz w:val="20"/>
                <w:szCs w:val="20"/>
              </w:rPr>
              <w:t>%</w:t>
            </w:r>
          </w:p>
        </w:tc>
      </w:tr>
      <w:tr w:rsidR="00000000" w14:paraId="0A0F2975" w14:textId="77777777">
        <w:trPr>
          <w:trHeight w:val="200"/>
          <w:tblCellSpacing w:w="15" w:type="dxa"/>
        </w:trPr>
        <w:tc>
          <w:tcPr>
            <w:tcW w:w="0" w:type="auto"/>
            <w:hideMark/>
          </w:tcPr>
          <w:p w14:paraId="699855D5" w14:textId="77777777" w:rsidR="00000000" w:rsidRDefault="00832D71">
            <w:pPr>
              <w:pStyle w:val="a3"/>
              <w:spacing w:before="0" w:beforeAutospacing="0" w:after="0" w:afterAutospacing="0"/>
              <w:rPr>
                <w:sz w:val="20"/>
                <w:szCs w:val="20"/>
              </w:rPr>
            </w:pPr>
            <w:r>
              <w:rPr>
                <w:sz w:val="20"/>
                <w:szCs w:val="20"/>
              </w:rPr>
              <w:t>Retail gallons sol</w:t>
            </w:r>
            <w:r>
              <w:rPr>
                <w:sz w:val="20"/>
                <w:szCs w:val="20"/>
              </w:rPr>
              <w:t>d</w:t>
            </w:r>
          </w:p>
        </w:tc>
        <w:tc>
          <w:tcPr>
            <w:tcW w:w="0" w:type="auto"/>
            <w:hideMark/>
          </w:tcPr>
          <w:p w14:paraId="1421A9B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A799DE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6ACD7B4"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3FDBF43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43514C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36A3F74"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0E110B0D"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EE1B74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4402807"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5C4C989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185CE9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5543202" w14:textId="77777777" w:rsidR="00000000" w:rsidRDefault="00832D71">
            <w:pPr>
              <w:pStyle w:val="a3"/>
              <w:spacing w:before="0" w:beforeAutospacing="0" w:after="0" w:afterAutospacing="0"/>
              <w:jc w:val="right"/>
              <w:rPr>
                <w:sz w:val="20"/>
                <w:szCs w:val="20"/>
              </w:rPr>
            </w:pPr>
            <w:r>
              <w:rPr>
                <w:sz w:val="20"/>
                <w:szCs w:val="20"/>
              </w:rPr>
              <w:t> </w:t>
            </w:r>
          </w:p>
        </w:tc>
      </w:tr>
      <w:tr w:rsidR="00000000" w14:paraId="4C53F3CF" w14:textId="77777777">
        <w:trPr>
          <w:trHeight w:val="200"/>
          <w:tblCellSpacing w:w="15" w:type="dxa"/>
        </w:trPr>
        <w:tc>
          <w:tcPr>
            <w:tcW w:w="0" w:type="auto"/>
            <w:hideMark/>
          </w:tcPr>
          <w:p w14:paraId="02B62B5B" w14:textId="77777777" w:rsidR="00000000" w:rsidRDefault="00832D71">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14:paraId="21A9FEF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1A6D22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7DA152D" w14:textId="77777777" w:rsidR="00000000" w:rsidRDefault="00832D71">
            <w:pPr>
              <w:pStyle w:val="a3"/>
              <w:spacing w:before="0" w:beforeAutospacing="0" w:after="0" w:afterAutospacing="0"/>
              <w:jc w:val="right"/>
              <w:rPr>
                <w:sz w:val="20"/>
                <w:szCs w:val="20"/>
              </w:rPr>
            </w:pPr>
            <w:r>
              <w:rPr>
                <w:sz w:val="20"/>
                <w:szCs w:val="20"/>
              </w:rPr>
              <w:t>401,32</w:t>
            </w:r>
            <w:r>
              <w:rPr>
                <w:sz w:val="20"/>
                <w:szCs w:val="20"/>
              </w:rPr>
              <w:t>2</w:t>
            </w:r>
          </w:p>
        </w:tc>
        <w:tc>
          <w:tcPr>
            <w:tcW w:w="0" w:type="auto"/>
            <w:noWrap/>
            <w:vAlign w:val="bottom"/>
            <w:hideMark/>
          </w:tcPr>
          <w:p w14:paraId="146B351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FE10F3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810C87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6E6FB82" w14:textId="77777777" w:rsidR="00000000" w:rsidRDefault="00832D71">
            <w:pPr>
              <w:pStyle w:val="a3"/>
              <w:spacing w:before="0" w:beforeAutospacing="0" w:after="0" w:afterAutospacing="0"/>
              <w:jc w:val="right"/>
              <w:rPr>
                <w:sz w:val="20"/>
                <w:szCs w:val="20"/>
              </w:rPr>
            </w:pPr>
            <w:r>
              <w:rPr>
                <w:sz w:val="20"/>
                <w:szCs w:val="20"/>
              </w:rPr>
              <w:t>419,75</w:t>
            </w:r>
            <w:r>
              <w:rPr>
                <w:sz w:val="20"/>
                <w:szCs w:val="20"/>
              </w:rPr>
              <w:t>8</w:t>
            </w:r>
          </w:p>
        </w:tc>
        <w:tc>
          <w:tcPr>
            <w:tcW w:w="0" w:type="auto"/>
            <w:noWrap/>
            <w:vAlign w:val="bottom"/>
            <w:hideMark/>
          </w:tcPr>
          <w:p w14:paraId="064B7D4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910BD9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247272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EB6957A" w14:textId="77777777" w:rsidR="00000000" w:rsidRDefault="00832D71">
            <w:pPr>
              <w:pStyle w:val="a3"/>
              <w:spacing w:before="0" w:beforeAutospacing="0" w:after="0" w:afterAutospacing="0"/>
              <w:jc w:val="right"/>
              <w:rPr>
                <w:sz w:val="20"/>
                <w:szCs w:val="20"/>
              </w:rPr>
            </w:pPr>
            <w:r>
              <w:rPr>
                <w:sz w:val="20"/>
                <w:szCs w:val="20"/>
              </w:rPr>
              <w:t>(18,43</w:t>
            </w:r>
            <w:r>
              <w:rPr>
                <w:sz w:val="20"/>
                <w:szCs w:val="20"/>
              </w:rPr>
              <w:t>6</w:t>
            </w:r>
          </w:p>
        </w:tc>
        <w:tc>
          <w:tcPr>
            <w:tcW w:w="0" w:type="auto"/>
            <w:noWrap/>
            <w:vAlign w:val="bottom"/>
            <w:hideMark/>
          </w:tcPr>
          <w:p w14:paraId="6D9168FF"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7E75EC4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CF56FE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ED3A9BE" w14:textId="77777777" w:rsidR="00000000" w:rsidRDefault="00832D71">
            <w:pPr>
              <w:pStyle w:val="a3"/>
              <w:spacing w:before="0" w:beforeAutospacing="0" w:after="0" w:afterAutospacing="0"/>
              <w:jc w:val="right"/>
              <w:rPr>
                <w:sz w:val="20"/>
                <w:szCs w:val="20"/>
              </w:rPr>
            </w:pPr>
            <w:r>
              <w:rPr>
                <w:sz w:val="20"/>
                <w:szCs w:val="20"/>
              </w:rPr>
              <w:t>(4.</w:t>
            </w:r>
            <w:r>
              <w:rPr>
                <w:sz w:val="20"/>
                <w:szCs w:val="20"/>
              </w:rPr>
              <w:t>4</w:t>
            </w:r>
          </w:p>
        </w:tc>
        <w:tc>
          <w:tcPr>
            <w:tcW w:w="0" w:type="auto"/>
            <w:noWrap/>
            <w:vAlign w:val="bottom"/>
            <w:hideMark/>
          </w:tcPr>
          <w:p w14:paraId="5923C546" w14:textId="77777777" w:rsidR="00000000" w:rsidRDefault="00832D71">
            <w:pPr>
              <w:pStyle w:val="a3"/>
              <w:spacing w:before="0" w:beforeAutospacing="0" w:after="0" w:afterAutospacing="0"/>
              <w:rPr>
                <w:sz w:val="20"/>
                <w:szCs w:val="20"/>
              </w:rPr>
            </w:pPr>
            <w:r>
              <w:rPr>
                <w:sz w:val="20"/>
                <w:szCs w:val="20"/>
              </w:rPr>
              <w:t>)</w:t>
            </w:r>
            <w:r>
              <w:rPr>
                <w:sz w:val="20"/>
                <w:szCs w:val="20"/>
              </w:rPr>
              <w:t>%</w:t>
            </w:r>
          </w:p>
        </w:tc>
      </w:tr>
      <w:tr w:rsidR="00000000" w14:paraId="3A3BF92C" w14:textId="77777777">
        <w:trPr>
          <w:trHeight w:val="200"/>
          <w:tblCellSpacing w:w="15" w:type="dxa"/>
        </w:trPr>
        <w:tc>
          <w:tcPr>
            <w:tcW w:w="0" w:type="auto"/>
            <w:hideMark/>
          </w:tcPr>
          <w:p w14:paraId="4BBD1CD2" w14:textId="77777777" w:rsidR="00000000" w:rsidRDefault="00832D71">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14:paraId="31078F3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A0DEC2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32A40DB" w14:textId="77777777" w:rsidR="00000000" w:rsidRDefault="00832D71">
            <w:pPr>
              <w:pStyle w:val="a3"/>
              <w:spacing w:before="0" w:beforeAutospacing="0" w:after="0" w:afterAutospacing="0"/>
              <w:jc w:val="right"/>
              <w:rPr>
                <w:sz w:val="20"/>
                <w:szCs w:val="20"/>
              </w:rPr>
            </w:pPr>
            <w:r>
              <w:rPr>
                <w:sz w:val="20"/>
                <w:szCs w:val="20"/>
              </w:rPr>
              <w:t>22,76</w:t>
            </w:r>
            <w:r>
              <w:rPr>
                <w:sz w:val="20"/>
                <w:szCs w:val="20"/>
              </w:rPr>
              <w:t>7</w:t>
            </w:r>
          </w:p>
        </w:tc>
        <w:tc>
          <w:tcPr>
            <w:tcW w:w="0" w:type="auto"/>
            <w:noWrap/>
            <w:vAlign w:val="bottom"/>
            <w:hideMark/>
          </w:tcPr>
          <w:p w14:paraId="1706E87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F115EC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86D8C3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DA94CD5" w14:textId="77777777" w:rsidR="00000000" w:rsidRDefault="00832D71">
            <w:pPr>
              <w:pStyle w:val="a3"/>
              <w:spacing w:before="0" w:beforeAutospacing="0" w:after="0" w:afterAutospacing="0"/>
              <w:jc w:val="right"/>
              <w:rPr>
                <w:sz w:val="20"/>
                <w:szCs w:val="20"/>
              </w:rPr>
            </w:pPr>
            <w:r>
              <w:rPr>
                <w:sz w:val="20"/>
                <w:szCs w:val="20"/>
              </w:rPr>
              <w:t>24,03</w:t>
            </w:r>
            <w:r>
              <w:rPr>
                <w:sz w:val="20"/>
                <w:szCs w:val="20"/>
              </w:rPr>
              <w:t>9</w:t>
            </w:r>
          </w:p>
        </w:tc>
        <w:tc>
          <w:tcPr>
            <w:tcW w:w="0" w:type="auto"/>
            <w:noWrap/>
            <w:vAlign w:val="bottom"/>
            <w:hideMark/>
          </w:tcPr>
          <w:p w14:paraId="62F5775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DEF6D0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535FF5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3912170" w14:textId="77777777" w:rsidR="00000000" w:rsidRDefault="00832D71">
            <w:pPr>
              <w:pStyle w:val="a3"/>
              <w:spacing w:before="0" w:beforeAutospacing="0" w:after="0" w:afterAutospacing="0"/>
              <w:jc w:val="right"/>
              <w:rPr>
                <w:sz w:val="20"/>
                <w:szCs w:val="20"/>
              </w:rPr>
            </w:pPr>
            <w:r>
              <w:rPr>
                <w:sz w:val="20"/>
                <w:szCs w:val="20"/>
              </w:rPr>
              <w:t>(1,27</w:t>
            </w:r>
            <w:r>
              <w:rPr>
                <w:sz w:val="20"/>
                <w:szCs w:val="20"/>
              </w:rPr>
              <w:t>2</w:t>
            </w:r>
          </w:p>
        </w:tc>
        <w:tc>
          <w:tcPr>
            <w:tcW w:w="0" w:type="auto"/>
            <w:noWrap/>
            <w:vAlign w:val="bottom"/>
            <w:hideMark/>
          </w:tcPr>
          <w:p w14:paraId="51BCC36B"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1A1B1C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32D9A7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78CE25D" w14:textId="77777777" w:rsidR="00000000" w:rsidRDefault="00832D71">
            <w:pPr>
              <w:pStyle w:val="a3"/>
              <w:spacing w:before="0" w:beforeAutospacing="0" w:after="0" w:afterAutospacing="0"/>
              <w:jc w:val="right"/>
              <w:rPr>
                <w:sz w:val="20"/>
                <w:szCs w:val="20"/>
              </w:rPr>
            </w:pPr>
            <w:r>
              <w:rPr>
                <w:sz w:val="20"/>
                <w:szCs w:val="20"/>
              </w:rPr>
              <w:t>(5.</w:t>
            </w:r>
            <w:r>
              <w:rPr>
                <w:sz w:val="20"/>
                <w:szCs w:val="20"/>
              </w:rPr>
              <w:t>3</w:t>
            </w:r>
          </w:p>
        </w:tc>
        <w:tc>
          <w:tcPr>
            <w:tcW w:w="0" w:type="auto"/>
            <w:noWrap/>
            <w:vAlign w:val="bottom"/>
            <w:hideMark/>
          </w:tcPr>
          <w:p w14:paraId="02D4D6AA" w14:textId="77777777" w:rsidR="00000000" w:rsidRDefault="00832D71">
            <w:pPr>
              <w:pStyle w:val="a3"/>
              <w:spacing w:before="0" w:beforeAutospacing="0" w:after="0" w:afterAutospacing="0"/>
              <w:rPr>
                <w:sz w:val="20"/>
                <w:szCs w:val="20"/>
              </w:rPr>
            </w:pPr>
            <w:r>
              <w:rPr>
                <w:sz w:val="20"/>
                <w:szCs w:val="20"/>
              </w:rPr>
              <w:t>)</w:t>
            </w:r>
            <w:r>
              <w:rPr>
                <w:sz w:val="20"/>
                <w:szCs w:val="20"/>
              </w:rPr>
              <w:t>%</w:t>
            </w:r>
          </w:p>
        </w:tc>
      </w:tr>
    </w:tbl>
    <w:p w14:paraId="29D2D66B" w14:textId="77777777" w:rsidR="00000000" w:rsidRDefault="00832D71">
      <w:pPr>
        <w:pStyle w:val="a3"/>
        <w:spacing w:before="240" w:beforeAutospacing="0" w:after="0" w:afterAutospacing="0"/>
        <w:ind w:firstLine="555"/>
        <w:jc w:val="both"/>
        <w:rPr>
          <w:sz w:val="20"/>
          <w:szCs w:val="20"/>
        </w:rPr>
      </w:pPr>
      <w:r>
        <w:rPr>
          <w:sz w:val="20"/>
          <w:szCs w:val="20"/>
        </w:rPr>
        <w:t>As discussed above, average temperatures (as measured in heating degree days) across all of our service territories for fiscal 2022 were 10% warmer than normal and comparable to the prior year period. The weather during fiscal 2022 was characterized by wid</w:t>
      </w:r>
      <w:r>
        <w:rPr>
          <w:sz w:val="20"/>
          <w:szCs w:val="20"/>
        </w:rPr>
        <w:t>espread warm temperatures throughout most of our service territories during the critical heat-related demand month of December which lasted into much of January. While a cooling trend arrived late in January, warmer weather returned in mid-February. Averag</w:t>
      </w:r>
      <w:r>
        <w:rPr>
          <w:sz w:val="20"/>
          <w:szCs w:val="20"/>
        </w:rPr>
        <w:t>e temperatures during the critical heat-related demand months of December 2021 through February 2022 were approximately 2% warmer than the same period in the prior year. The unseasonably warm and erratic weather pattern throughout the majority of fiscal 20</w:t>
      </w:r>
      <w:r>
        <w:rPr>
          <w:sz w:val="20"/>
          <w:szCs w:val="20"/>
        </w:rPr>
        <w:t>22 led to inconsistent heat-related demand, while elevated selling prices due to significantly higher wholesale costs contributed to customer conservation. In addition, volumes in the prior year benefitted from incremental outdoor heating and cooking deman</w:t>
      </w:r>
      <w:r>
        <w:rPr>
          <w:sz w:val="20"/>
          <w:szCs w:val="20"/>
        </w:rPr>
        <w:t>d associated with COVID-19 restrictions and more consumers staying at home at that time</w:t>
      </w:r>
      <w:r>
        <w:rPr>
          <w:sz w:val="20"/>
          <w:szCs w:val="20"/>
        </w:rPr>
        <w:t>.</w:t>
      </w:r>
    </w:p>
    <w:p w14:paraId="187891A7" w14:textId="77777777" w:rsidR="00000000" w:rsidRDefault="00832D71">
      <w:pPr>
        <w:pStyle w:val="a3"/>
        <w:spacing w:before="240" w:beforeAutospacing="0" w:after="0" w:afterAutospacing="0"/>
        <w:ind w:firstLine="555"/>
        <w:jc w:val="both"/>
        <w:rPr>
          <w:sz w:val="20"/>
          <w:szCs w:val="20"/>
        </w:rPr>
      </w:pPr>
      <w:r>
        <w:rPr>
          <w:sz w:val="20"/>
          <w:szCs w:val="20"/>
        </w:rPr>
        <w:t>Revenues from the distribution of propane and related activities of $1,313.6 million for fiscal 2022 increased $173.1 million, or 15.2%, compared to $1,140.5 million f</w:t>
      </w:r>
      <w:r>
        <w:rPr>
          <w:sz w:val="20"/>
          <w:szCs w:val="20"/>
        </w:rPr>
        <w:t>or the prior year, primarily due to higher average retail selling prices associated with higher wholesale costs, offset to an extent by lower volumes sold. Average propane selling prices for fiscal 2022 increased 21.9% compared to the prior year, reflectin</w:t>
      </w:r>
      <w:r>
        <w:rPr>
          <w:sz w:val="20"/>
          <w:szCs w:val="20"/>
        </w:rPr>
        <w:t>g a rise in average wholesale costs, resulting in a $232.3 million increase in revenues. Retail propane gallons sold decreased 18.4 million gallons, or 4.4%, to 401.3 million gallons, resulting in a decrease in revenues of $48.7 million. Included within th</w:t>
      </w:r>
      <w:r>
        <w:rPr>
          <w:sz w:val="20"/>
          <w:szCs w:val="20"/>
        </w:rPr>
        <w:t>e propane segment are revenues from risk management activities of $20.0 million for fiscal 2022, which decreased $10.5 million primarily due to a lower notional amount of hedging contracts used in risk management activities that were settled physically</w:t>
      </w:r>
      <w:r>
        <w:rPr>
          <w:sz w:val="20"/>
          <w:szCs w:val="20"/>
        </w:rPr>
        <w:t>.</w:t>
      </w:r>
    </w:p>
    <w:p w14:paraId="647871C8" w14:textId="77777777" w:rsidR="00000000" w:rsidRDefault="00832D71">
      <w:pPr>
        <w:pStyle w:val="a3"/>
        <w:spacing w:before="0" w:beforeAutospacing="0" w:after="0" w:afterAutospacing="0"/>
        <w:jc w:val="center"/>
        <w:rPr>
          <w:sz w:val="20"/>
          <w:szCs w:val="20"/>
        </w:rPr>
      </w:pPr>
      <w:r>
        <w:rPr>
          <w:sz w:val="20"/>
          <w:szCs w:val="20"/>
        </w:rPr>
        <w:t> </w:t>
      </w:r>
    </w:p>
    <w:p w14:paraId="7BB1F5BF" w14:textId="77777777" w:rsidR="00000000" w:rsidRDefault="00832D71">
      <w:pPr>
        <w:pStyle w:val="a3"/>
        <w:spacing w:before="0" w:beforeAutospacing="0" w:after="0" w:afterAutospacing="0"/>
        <w:jc w:val="center"/>
        <w:rPr>
          <w:sz w:val="20"/>
          <w:szCs w:val="20"/>
        </w:rPr>
      </w:pPr>
      <w:r>
        <w:rPr>
          <w:sz w:val="20"/>
          <w:szCs w:val="20"/>
        </w:rPr>
        <w:t>3</w:t>
      </w:r>
      <w:r>
        <w:rPr>
          <w:sz w:val="20"/>
          <w:szCs w:val="20"/>
        </w:rPr>
        <w:t>3</w:t>
      </w:r>
    </w:p>
    <w:p w14:paraId="752D9665" w14:textId="77777777" w:rsidR="00000000" w:rsidRDefault="00832D71">
      <w:pPr>
        <w:rPr>
          <w:rFonts w:eastAsia="Times New Roman"/>
        </w:rPr>
      </w:pPr>
      <w:r>
        <w:rPr>
          <w:rFonts w:eastAsia="Times New Roman"/>
        </w:rPr>
        <w:pict w14:anchorId="4D28A7D0">
          <v:rect id="_x0000_i1060" style="width:0;height:1.5pt" o:hralign="center" o:hrstd="t" o:hr="t" fillcolor="#a0a0a0" stroked="f"/>
        </w:pict>
      </w:r>
    </w:p>
    <w:p w14:paraId="70EFA430"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347ABD40" w14:textId="77777777" w:rsidR="00000000" w:rsidRDefault="00832D71">
      <w:pPr>
        <w:pStyle w:val="a3"/>
        <w:spacing w:before="240" w:beforeAutospacing="0" w:after="0" w:afterAutospacing="0"/>
        <w:ind w:firstLine="555"/>
        <w:jc w:val="both"/>
        <w:rPr>
          <w:sz w:val="20"/>
          <w:szCs w:val="20"/>
        </w:rPr>
      </w:pPr>
      <w:r>
        <w:rPr>
          <w:sz w:val="20"/>
          <w:szCs w:val="20"/>
        </w:rPr>
        <w:t>Revenues from the distribution of fuel oil and refined fuels of $95.2 million for fiscal 2022 increased $28.1 million, or 41.8%, from $67.1 million for the pr</w:t>
      </w:r>
      <w:r>
        <w:rPr>
          <w:sz w:val="20"/>
          <w:szCs w:val="20"/>
        </w:rPr>
        <w:t>ior year, primarily due to higher average selling prices associated with higher wholesale costs, partially offset by lower volumes sold. Average selling prices for fuel oil and refined fuels increased 49.7%, resulting in a $31.5 million increase in revenue</w:t>
      </w:r>
      <w:r>
        <w:rPr>
          <w:sz w:val="20"/>
          <w:szCs w:val="20"/>
        </w:rPr>
        <w:t>s. Fuel oil and refined fuels gallons sold decreased 1.3 million gallons, or 5.3%, resulting in a $3.4 million decrease in revenues</w:t>
      </w:r>
      <w:r>
        <w:rPr>
          <w:sz w:val="20"/>
          <w:szCs w:val="20"/>
        </w:rPr>
        <w:t>.</w:t>
      </w:r>
      <w:r>
        <w:rPr>
          <w:sz w:val="20"/>
          <w:szCs w:val="20"/>
        </w:rPr>
        <w:t xml:space="preserve"> </w:t>
      </w:r>
    </w:p>
    <w:p w14:paraId="63BB04CF" w14:textId="77777777" w:rsidR="00000000" w:rsidRDefault="00832D71">
      <w:pPr>
        <w:pStyle w:val="a3"/>
        <w:spacing w:before="240" w:beforeAutospacing="0" w:after="0" w:afterAutospacing="0"/>
        <w:ind w:firstLine="555"/>
        <w:jc w:val="both"/>
        <w:rPr>
          <w:sz w:val="20"/>
          <w:szCs w:val="20"/>
        </w:rPr>
      </w:pPr>
      <w:r>
        <w:rPr>
          <w:sz w:val="20"/>
          <w:szCs w:val="20"/>
        </w:rPr>
        <w:t>Revenues in our natural gas and electricity segment increased $9.1 million, or 29.9%, to $39.5 million in fiscal 2022 comp</w:t>
      </w:r>
      <w:r>
        <w:rPr>
          <w:sz w:val="20"/>
          <w:szCs w:val="20"/>
        </w:rPr>
        <w:t>ared to $30.4 million in the prior year, resulting from higher average selling prices, reflecting higher average wholesale costs, offset to an extent by lower volumes sold, primarily due to the impact of warmer temperatures on customer demand and a lower c</w:t>
      </w:r>
      <w:r>
        <w:rPr>
          <w:sz w:val="20"/>
          <w:szCs w:val="20"/>
        </w:rPr>
        <w:t>ustomer base</w:t>
      </w:r>
      <w:r>
        <w:rPr>
          <w:sz w:val="20"/>
          <w:szCs w:val="20"/>
        </w:rPr>
        <w:t>.</w:t>
      </w:r>
    </w:p>
    <w:p w14:paraId="18B45AC2" w14:textId="77777777" w:rsidR="00000000" w:rsidRDefault="00832D71">
      <w:pPr>
        <w:pStyle w:val="a3"/>
        <w:spacing w:before="360" w:beforeAutospacing="0" w:after="0" w:afterAutospacing="0"/>
        <w:jc w:val="both"/>
        <w:rPr>
          <w:sz w:val="20"/>
          <w:szCs w:val="20"/>
        </w:rPr>
      </w:pPr>
      <w:r>
        <w:rPr>
          <w:i/>
          <w:iCs/>
          <w:sz w:val="20"/>
          <w:szCs w:val="20"/>
        </w:rPr>
        <w:t>Cost of Products Sol</w:t>
      </w:r>
      <w:r>
        <w:rPr>
          <w:i/>
          <w:iCs/>
          <w:sz w:val="20"/>
          <w:szCs w:val="20"/>
        </w:rPr>
        <w:t>d</w:t>
      </w:r>
    </w:p>
    <w:p w14:paraId="5A0A8AFC" w14:textId="77777777" w:rsidR="00000000" w:rsidRDefault="00832D71">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40"/>
        <w:gridCol w:w="110"/>
        <w:gridCol w:w="160"/>
        <w:gridCol w:w="710"/>
        <w:gridCol w:w="227"/>
        <w:gridCol w:w="110"/>
        <w:gridCol w:w="160"/>
        <w:gridCol w:w="710"/>
        <w:gridCol w:w="227"/>
        <w:gridCol w:w="110"/>
        <w:gridCol w:w="160"/>
        <w:gridCol w:w="710"/>
        <w:gridCol w:w="110"/>
        <w:gridCol w:w="110"/>
        <w:gridCol w:w="112"/>
        <w:gridCol w:w="567"/>
        <w:gridCol w:w="242"/>
      </w:tblGrid>
      <w:tr w:rsidR="00000000" w14:paraId="41AFCB02" w14:textId="77777777">
        <w:trPr>
          <w:tblCellSpacing w:w="15" w:type="dxa"/>
        </w:trPr>
        <w:tc>
          <w:tcPr>
            <w:tcW w:w="2471" w:type="pct"/>
            <w:vAlign w:val="center"/>
            <w:hideMark/>
          </w:tcPr>
          <w:p w14:paraId="6182BC76" w14:textId="77777777" w:rsidR="00000000" w:rsidRDefault="00832D71">
            <w:pPr>
              <w:rPr>
                <w:sz w:val="20"/>
                <w:szCs w:val="20"/>
              </w:rPr>
            </w:pPr>
          </w:p>
        </w:tc>
        <w:tc>
          <w:tcPr>
            <w:tcW w:w="45" w:type="pct"/>
            <w:vAlign w:val="center"/>
            <w:hideMark/>
          </w:tcPr>
          <w:p w14:paraId="6F84EFAE" w14:textId="77777777" w:rsidR="00000000" w:rsidRDefault="00832D71">
            <w:pPr>
              <w:rPr>
                <w:rFonts w:eastAsia="Times New Roman"/>
                <w:sz w:val="20"/>
                <w:szCs w:val="20"/>
              </w:rPr>
            </w:pPr>
          </w:p>
        </w:tc>
        <w:tc>
          <w:tcPr>
            <w:tcW w:w="50" w:type="pct"/>
            <w:vAlign w:val="center"/>
            <w:hideMark/>
          </w:tcPr>
          <w:p w14:paraId="59EBC6DE" w14:textId="77777777" w:rsidR="00000000" w:rsidRDefault="00832D71">
            <w:pPr>
              <w:rPr>
                <w:rFonts w:eastAsia="Times New Roman"/>
                <w:sz w:val="20"/>
                <w:szCs w:val="20"/>
              </w:rPr>
            </w:pPr>
          </w:p>
        </w:tc>
        <w:tc>
          <w:tcPr>
            <w:tcW w:w="445" w:type="pct"/>
            <w:vAlign w:val="center"/>
            <w:hideMark/>
          </w:tcPr>
          <w:p w14:paraId="453918C7" w14:textId="77777777" w:rsidR="00000000" w:rsidRDefault="00832D71">
            <w:pPr>
              <w:rPr>
                <w:rFonts w:eastAsia="Times New Roman"/>
                <w:sz w:val="20"/>
                <w:szCs w:val="20"/>
              </w:rPr>
            </w:pPr>
          </w:p>
        </w:tc>
        <w:tc>
          <w:tcPr>
            <w:tcW w:w="50" w:type="pct"/>
            <w:vAlign w:val="center"/>
            <w:hideMark/>
          </w:tcPr>
          <w:p w14:paraId="3A7853E0" w14:textId="77777777" w:rsidR="00000000" w:rsidRDefault="00832D71">
            <w:pPr>
              <w:rPr>
                <w:rFonts w:eastAsia="Times New Roman"/>
                <w:sz w:val="20"/>
                <w:szCs w:val="20"/>
              </w:rPr>
            </w:pPr>
          </w:p>
        </w:tc>
        <w:tc>
          <w:tcPr>
            <w:tcW w:w="45" w:type="pct"/>
            <w:vAlign w:val="center"/>
            <w:hideMark/>
          </w:tcPr>
          <w:p w14:paraId="35367A17" w14:textId="77777777" w:rsidR="00000000" w:rsidRDefault="00832D71">
            <w:pPr>
              <w:rPr>
                <w:rFonts w:eastAsia="Times New Roman"/>
                <w:sz w:val="20"/>
                <w:szCs w:val="20"/>
              </w:rPr>
            </w:pPr>
          </w:p>
        </w:tc>
        <w:tc>
          <w:tcPr>
            <w:tcW w:w="50" w:type="pct"/>
            <w:vAlign w:val="center"/>
            <w:hideMark/>
          </w:tcPr>
          <w:p w14:paraId="05F6834D" w14:textId="77777777" w:rsidR="00000000" w:rsidRDefault="00832D71">
            <w:pPr>
              <w:rPr>
                <w:rFonts w:eastAsia="Times New Roman"/>
                <w:sz w:val="20"/>
                <w:szCs w:val="20"/>
              </w:rPr>
            </w:pPr>
          </w:p>
        </w:tc>
        <w:tc>
          <w:tcPr>
            <w:tcW w:w="446" w:type="pct"/>
            <w:vAlign w:val="center"/>
            <w:hideMark/>
          </w:tcPr>
          <w:p w14:paraId="5D17C443" w14:textId="77777777" w:rsidR="00000000" w:rsidRDefault="00832D71">
            <w:pPr>
              <w:rPr>
                <w:rFonts w:eastAsia="Times New Roman"/>
                <w:sz w:val="20"/>
                <w:szCs w:val="20"/>
              </w:rPr>
            </w:pPr>
          </w:p>
        </w:tc>
        <w:tc>
          <w:tcPr>
            <w:tcW w:w="50" w:type="pct"/>
            <w:vAlign w:val="center"/>
            <w:hideMark/>
          </w:tcPr>
          <w:p w14:paraId="73D12D61" w14:textId="77777777" w:rsidR="00000000" w:rsidRDefault="00832D71">
            <w:pPr>
              <w:rPr>
                <w:rFonts w:eastAsia="Times New Roman"/>
                <w:sz w:val="20"/>
                <w:szCs w:val="20"/>
              </w:rPr>
            </w:pPr>
          </w:p>
        </w:tc>
        <w:tc>
          <w:tcPr>
            <w:tcW w:w="46" w:type="pct"/>
            <w:vAlign w:val="center"/>
            <w:hideMark/>
          </w:tcPr>
          <w:p w14:paraId="3AC6E9C9" w14:textId="77777777" w:rsidR="00000000" w:rsidRDefault="00832D71">
            <w:pPr>
              <w:rPr>
                <w:rFonts w:eastAsia="Times New Roman"/>
                <w:sz w:val="20"/>
                <w:szCs w:val="20"/>
              </w:rPr>
            </w:pPr>
          </w:p>
        </w:tc>
        <w:tc>
          <w:tcPr>
            <w:tcW w:w="50" w:type="pct"/>
            <w:vAlign w:val="center"/>
            <w:hideMark/>
          </w:tcPr>
          <w:p w14:paraId="7C038E1F" w14:textId="77777777" w:rsidR="00000000" w:rsidRDefault="00832D71">
            <w:pPr>
              <w:rPr>
                <w:rFonts w:eastAsia="Times New Roman"/>
                <w:sz w:val="20"/>
                <w:szCs w:val="20"/>
              </w:rPr>
            </w:pPr>
          </w:p>
        </w:tc>
        <w:tc>
          <w:tcPr>
            <w:tcW w:w="396" w:type="pct"/>
            <w:vAlign w:val="center"/>
            <w:hideMark/>
          </w:tcPr>
          <w:p w14:paraId="2F702DC1" w14:textId="77777777" w:rsidR="00000000" w:rsidRDefault="00832D71">
            <w:pPr>
              <w:rPr>
                <w:rFonts w:eastAsia="Times New Roman"/>
                <w:sz w:val="20"/>
                <w:szCs w:val="20"/>
              </w:rPr>
            </w:pPr>
          </w:p>
        </w:tc>
        <w:tc>
          <w:tcPr>
            <w:tcW w:w="50" w:type="pct"/>
            <w:vAlign w:val="center"/>
            <w:hideMark/>
          </w:tcPr>
          <w:p w14:paraId="7D980D91" w14:textId="77777777" w:rsidR="00000000" w:rsidRDefault="00832D71">
            <w:pPr>
              <w:rPr>
                <w:rFonts w:eastAsia="Times New Roman"/>
                <w:sz w:val="20"/>
                <w:szCs w:val="20"/>
              </w:rPr>
            </w:pPr>
          </w:p>
        </w:tc>
        <w:tc>
          <w:tcPr>
            <w:tcW w:w="35" w:type="pct"/>
            <w:vAlign w:val="center"/>
            <w:hideMark/>
          </w:tcPr>
          <w:p w14:paraId="4D4D6651" w14:textId="77777777" w:rsidR="00000000" w:rsidRDefault="00832D71">
            <w:pPr>
              <w:rPr>
                <w:rFonts w:eastAsia="Times New Roman"/>
                <w:sz w:val="20"/>
                <w:szCs w:val="20"/>
              </w:rPr>
            </w:pPr>
          </w:p>
        </w:tc>
        <w:tc>
          <w:tcPr>
            <w:tcW w:w="50" w:type="pct"/>
            <w:vAlign w:val="center"/>
            <w:hideMark/>
          </w:tcPr>
          <w:p w14:paraId="2D5B07F8" w14:textId="77777777" w:rsidR="00000000" w:rsidRDefault="00832D71">
            <w:pPr>
              <w:rPr>
                <w:rFonts w:eastAsia="Times New Roman"/>
                <w:sz w:val="20"/>
                <w:szCs w:val="20"/>
              </w:rPr>
            </w:pPr>
          </w:p>
        </w:tc>
        <w:tc>
          <w:tcPr>
            <w:tcW w:w="666" w:type="pct"/>
            <w:vAlign w:val="center"/>
            <w:hideMark/>
          </w:tcPr>
          <w:p w14:paraId="184D8711" w14:textId="77777777" w:rsidR="00000000" w:rsidRDefault="00832D71">
            <w:pPr>
              <w:rPr>
                <w:rFonts w:eastAsia="Times New Roman"/>
                <w:sz w:val="20"/>
                <w:szCs w:val="20"/>
              </w:rPr>
            </w:pPr>
          </w:p>
        </w:tc>
        <w:tc>
          <w:tcPr>
            <w:tcW w:w="50" w:type="pct"/>
            <w:vAlign w:val="center"/>
            <w:hideMark/>
          </w:tcPr>
          <w:p w14:paraId="71436613" w14:textId="77777777" w:rsidR="00000000" w:rsidRDefault="00832D71">
            <w:pPr>
              <w:rPr>
                <w:rFonts w:eastAsia="Times New Roman"/>
                <w:sz w:val="20"/>
                <w:szCs w:val="20"/>
              </w:rPr>
            </w:pPr>
          </w:p>
        </w:tc>
      </w:tr>
      <w:tr w:rsidR="00000000" w14:paraId="0C289DAC" w14:textId="77777777">
        <w:trPr>
          <w:trHeight w:val="160"/>
          <w:tblCellSpacing w:w="15" w:type="dxa"/>
        </w:trPr>
        <w:tc>
          <w:tcPr>
            <w:tcW w:w="0" w:type="auto"/>
            <w:vAlign w:val="bottom"/>
            <w:hideMark/>
          </w:tcPr>
          <w:p w14:paraId="100BD8FB" w14:textId="77777777" w:rsidR="00000000" w:rsidRDefault="00832D71">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14:paraId="318FD313"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5A15B1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A305D5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C7ABB1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B680FF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2392974"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5F84639"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0AAAE9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EF8549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7D2AD6D"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85416BF"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CF989CE"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A5D4707" w14:textId="77777777">
        <w:trPr>
          <w:trHeight w:val="160"/>
          <w:tblCellSpacing w:w="15" w:type="dxa"/>
        </w:trPr>
        <w:tc>
          <w:tcPr>
            <w:tcW w:w="0" w:type="auto"/>
            <w:vAlign w:val="bottom"/>
            <w:hideMark/>
          </w:tcPr>
          <w:p w14:paraId="0D359073"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AF351C2"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3947257"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30F35EE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38CA1F5"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52DE5E8"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0CD9CE13"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AC36BBF"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60944BE"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C9F1C5E"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F1018D7"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795D003" w14:textId="77777777" w:rsidR="00000000" w:rsidRDefault="00832D71">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14:paraId="7959F01B"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6DA25692" w14:textId="77777777">
        <w:trPr>
          <w:trHeight w:val="160"/>
          <w:tblCellSpacing w:w="15" w:type="dxa"/>
        </w:trPr>
        <w:tc>
          <w:tcPr>
            <w:tcW w:w="0" w:type="auto"/>
            <w:vAlign w:val="bottom"/>
            <w:hideMark/>
          </w:tcPr>
          <w:p w14:paraId="377A9DE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6086FE5"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CB9A13F"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86BCDDF"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AC5B1A4"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D3C9AF3"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091122DD"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1732FCE"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AFDE287" w14:textId="77777777" w:rsidR="00000000" w:rsidRDefault="00832D71">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14:paraId="28E8361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F6F596E"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DC6CBB2" w14:textId="77777777" w:rsidR="00000000" w:rsidRDefault="00832D71">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14:paraId="6E813385"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3F184AC" w14:textId="77777777">
        <w:trPr>
          <w:trHeight w:val="200"/>
          <w:tblCellSpacing w:w="15" w:type="dxa"/>
        </w:trPr>
        <w:tc>
          <w:tcPr>
            <w:tcW w:w="0" w:type="auto"/>
            <w:hideMark/>
          </w:tcPr>
          <w:p w14:paraId="07E0168E" w14:textId="77777777" w:rsidR="00000000" w:rsidRDefault="00832D71">
            <w:pPr>
              <w:pStyle w:val="a3"/>
              <w:spacing w:before="0" w:beforeAutospacing="0" w:after="0" w:afterAutospacing="0"/>
              <w:rPr>
                <w:sz w:val="20"/>
                <w:szCs w:val="20"/>
              </w:rPr>
            </w:pPr>
            <w:r>
              <w:rPr>
                <w:sz w:val="20"/>
                <w:szCs w:val="20"/>
              </w:rPr>
              <w:t>Cost of products sol</w:t>
            </w:r>
            <w:r>
              <w:rPr>
                <w:sz w:val="20"/>
                <w:szCs w:val="20"/>
              </w:rPr>
              <w:t>d</w:t>
            </w:r>
          </w:p>
        </w:tc>
        <w:tc>
          <w:tcPr>
            <w:tcW w:w="0" w:type="auto"/>
            <w:hideMark/>
          </w:tcPr>
          <w:p w14:paraId="3ACDEE46"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93ABF1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DC25A2F"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40A7BB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138EF9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04DA64A"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2DF144B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BE6068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2957861"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B380D70"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068404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A75CACA" w14:textId="77777777" w:rsidR="00000000" w:rsidRDefault="00832D71">
            <w:pPr>
              <w:pStyle w:val="a3"/>
              <w:spacing w:before="0" w:beforeAutospacing="0" w:after="0" w:afterAutospacing="0"/>
              <w:jc w:val="right"/>
              <w:rPr>
                <w:sz w:val="20"/>
                <w:szCs w:val="20"/>
              </w:rPr>
            </w:pPr>
            <w:r>
              <w:rPr>
                <w:sz w:val="20"/>
                <w:szCs w:val="20"/>
              </w:rPr>
              <w:t> </w:t>
            </w:r>
          </w:p>
        </w:tc>
      </w:tr>
      <w:tr w:rsidR="00000000" w14:paraId="1C9ED42D" w14:textId="77777777">
        <w:trPr>
          <w:trHeight w:val="200"/>
          <w:tblCellSpacing w:w="15" w:type="dxa"/>
        </w:trPr>
        <w:tc>
          <w:tcPr>
            <w:tcW w:w="0" w:type="auto"/>
            <w:hideMark/>
          </w:tcPr>
          <w:p w14:paraId="037B736F" w14:textId="77777777" w:rsidR="00000000" w:rsidRDefault="00832D71">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14:paraId="32081E9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C8AB30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0037034" w14:textId="77777777" w:rsidR="00000000" w:rsidRDefault="00832D71">
            <w:pPr>
              <w:pStyle w:val="a3"/>
              <w:spacing w:before="0" w:beforeAutospacing="0" w:after="0" w:afterAutospacing="0"/>
              <w:jc w:val="right"/>
              <w:rPr>
                <w:sz w:val="20"/>
                <w:szCs w:val="20"/>
              </w:rPr>
            </w:pPr>
            <w:r>
              <w:rPr>
                <w:sz w:val="20"/>
                <w:szCs w:val="20"/>
              </w:rPr>
              <w:t>601,08</w:t>
            </w:r>
            <w:r>
              <w:rPr>
                <w:sz w:val="20"/>
                <w:szCs w:val="20"/>
              </w:rPr>
              <w:t>1</w:t>
            </w:r>
          </w:p>
        </w:tc>
        <w:tc>
          <w:tcPr>
            <w:tcW w:w="0" w:type="auto"/>
            <w:noWrap/>
            <w:vAlign w:val="bottom"/>
            <w:hideMark/>
          </w:tcPr>
          <w:p w14:paraId="4EF4788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3C15DD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C3ABA4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40A2610" w14:textId="77777777" w:rsidR="00000000" w:rsidRDefault="00832D71">
            <w:pPr>
              <w:pStyle w:val="a3"/>
              <w:spacing w:before="0" w:beforeAutospacing="0" w:after="0" w:afterAutospacing="0"/>
              <w:jc w:val="right"/>
              <w:rPr>
                <w:sz w:val="20"/>
                <w:szCs w:val="20"/>
              </w:rPr>
            </w:pPr>
            <w:r>
              <w:rPr>
                <w:sz w:val="20"/>
                <w:szCs w:val="20"/>
              </w:rPr>
              <w:t>411,72</w:t>
            </w:r>
            <w:r>
              <w:rPr>
                <w:sz w:val="20"/>
                <w:szCs w:val="20"/>
              </w:rPr>
              <w:t>0</w:t>
            </w:r>
          </w:p>
        </w:tc>
        <w:tc>
          <w:tcPr>
            <w:tcW w:w="0" w:type="auto"/>
            <w:noWrap/>
            <w:vAlign w:val="bottom"/>
            <w:hideMark/>
          </w:tcPr>
          <w:p w14:paraId="44632B0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B765EB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71C950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E8D313D" w14:textId="77777777" w:rsidR="00000000" w:rsidRDefault="00832D71">
            <w:pPr>
              <w:pStyle w:val="a3"/>
              <w:spacing w:before="0" w:beforeAutospacing="0" w:after="0" w:afterAutospacing="0"/>
              <w:jc w:val="right"/>
              <w:rPr>
                <w:sz w:val="20"/>
                <w:szCs w:val="20"/>
              </w:rPr>
            </w:pPr>
            <w:r>
              <w:rPr>
                <w:sz w:val="20"/>
                <w:szCs w:val="20"/>
              </w:rPr>
              <w:t>189,36</w:t>
            </w:r>
            <w:r>
              <w:rPr>
                <w:sz w:val="20"/>
                <w:szCs w:val="20"/>
              </w:rPr>
              <w:t>1</w:t>
            </w:r>
          </w:p>
        </w:tc>
        <w:tc>
          <w:tcPr>
            <w:tcW w:w="0" w:type="auto"/>
            <w:noWrap/>
            <w:vAlign w:val="bottom"/>
            <w:hideMark/>
          </w:tcPr>
          <w:p w14:paraId="29A6BDF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CD2672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ECCF6E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828AF66" w14:textId="77777777" w:rsidR="00000000" w:rsidRDefault="00832D71">
            <w:pPr>
              <w:pStyle w:val="a3"/>
              <w:spacing w:before="0" w:beforeAutospacing="0" w:after="0" w:afterAutospacing="0"/>
              <w:jc w:val="right"/>
              <w:rPr>
                <w:sz w:val="20"/>
                <w:szCs w:val="20"/>
              </w:rPr>
            </w:pPr>
            <w:r>
              <w:rPr>
                <w:sz w:val="20"/>
                <w:szCs w:val="20"/>
              </w:rPr>
              <w:t>46.</w:t>
            </w:r>
            <w:r>
              <w:rPr>
                <w:sz w:val="20"/>
                <w:szCs w:val="20"/>
              </w:rPr>
              <w:t>0</w:t>
            </w:r>
          </w:p>
        </w:tc>
        <w:tc>
          <w:tcPr>
            <w:tcW w:w="0" w:type="auto"/>
            <w:noWrap/>
            <w:vAlign w:val="bottom"/>
            <w:hideMark/>
          </w:tcPr>
          <w:p w14:paraId="1BDD875E" w14:textId="77777777" w:rsidR="00000000" w:rsidRDefault="00832D71">
            <w:pPr>
              <w:pStyle w:val="a3"/>
              <w:spacing w:before="0" w:beforeAutospacing="0" w:after="0" w:afterAutospacing="0"/>
              <w:rPr>
                <w:sz w:val="20"/>
                <w:szCs w:val="20"/>
              </w:rPr>
            </w:pPr>
            <w:r>
              <w:rPr>
                <w:sz w:val="20"/>
                <w:szCs w:val="20"/>
              </w:rPr>
              <w:t>%</w:t>
            </w:r>
          </w:p>
        </w:tc>
      </w:tr>
      <w:tr w:rsidR="00000000" w14:paraId="5869283E" w14:textId="77777777">
        <w:trPr>
          <w:trHeight w:val="200"/>
          <w:tblCellSpacing w:w="15" w:type="dxa"/>
        </w:trPr>
        <w:tc>
          <w:tcPr>
            <w:tcW w:w="0" w:type="auto"/>
            <w:hideMark/>
          </w:tcPr>
          <w:p w14:paraId="143E9093" w14:textId="77777777" w:rsidR="00000000" w:rsidRDefault="00832D71">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14:paraId="3F3D232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77A818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1C7391C" w14:textId="77777777" w:rsidR="00000000" w:rsidRDefault="00832D71">
            <w:pPr>
              <w:pStyle w:val="a3"/>
              <w:spacing w:before="0" w:beforeAutospacing="0" w:after="0" w:afterAutospacing="0"/>
              <w:jc w:val="right"/>
              <w:rPr>
                <w:sz w:val="20"/>
                <w:szCs w:val="20"/>
              </w:rPr>
            </w:pPr>
            <w:r>
              <w:rPr>
                <w:sz w:val="20"/>
                <w:szCs w:val="20"/>
              </w:rPr>
              <w:t>68,29</w:t>
            </w:r>
            <w:r>
              <w:rPr>
                <w:sz w:val="20"/>
                <w:szCs w:val="20"/>
              </w:rPr>
              <w:t>8</w:t>
            </w:r>
          </w:p>
        </w:tc>
        <w:tc>
          <w:tcPr>
            <w:tcW w:w="0" w:type="auto"/>
            <w:noWrap/>
            <w:vAlign w:val="bottom"/>
            <w:hideMark/>
          </w:tcPr>
          <w:p w14:paraId="72E6BBB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8BB4AF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436F11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ACAFA22" w14:textId="77777777" w:rsidR="00000000" w:rsidRDefault="00832D71">
            <w:pPr>
              <w:pStyle w:val="a3"/>
              <w:spacing w:before="0" w:beforeAutospacing="0" w:after="0" w:afterAutospacing="0"/>
              <w:jc w:val="right"/>
              <w:rPr>
                <w:sz w:val="20"/>
                <w:szCs w:val="20"/>
              </w:rPr>
            </w:pPr>
            <w:r>
              <w:rPr>
                <w:sz w:val="20"/>
                <w:szCs w:val="20"/>
              </w:rPr>
              <w:t>41,15</w:t>
            </w:r>
            <w:r>
              <w:rPr>
                <w:sz w:val="20"/>
                <w:szCs w:val="20"/>
              </w:rPr>
              <w:t>8</w:t>
            </w:r>
          </w:p>
        </w:tc>
        <w:tc>
          <w:tcPr>
            <w:tcW w:w="0" w:type="auto"/>
            <w:noWrap/>
            <w:vAlign w:val="bottom"/>
            <w:hideMark/>
          </w:tcPr>
          <w:p w14:paraId="47EAC5D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4B49AA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F9CDDF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FFB3D04" w14:textId="77777777" w:rsidR="00000000" w:rsidRDefault="00832D71">
            <w:pPr>
              <w:pStyle w:val="a3"/>
              <w:spacing w:before="0" w:beforeAutospacing="0" w:after="0" w:afterAutospacing="0"/>
              <w:jc w:val="right"/>
              <w:rPr>
                <w:sz w:val="20"/>
                <w:szCs w:val="20"/>
              </w:rPr>
            </w:pPr>
            <w:r>
              <w:rPr>
                <w:sz w:val="20"/>
                <w:szCs w:val="20"/>
              </w:rPr>
              <w:t>27,14</w:t>
            </w:r>
            <w:r>
              <w:rPr>
                <w:sz w:val="20"/>
                <w:szCs w:val="20"/>
              </w:rPr>
              <w:t>0</w:t>
            </w:r>
          </w:p>
        </w:tc>
        <w:tc>
          <w:tcPr>
            <w:tcW w:w="0" w:type="auto"/>
            <w:noWrap/>
            <w:vAlign w:val="bottom"/>
            <w:hideMark/>
          </w:tcPr>
          <w:p w14:paraId="1460B3F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CE5122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AF5381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C754B09" w14:textId="77777777" w:rsidR="00000000" w:rsidRDefault="00832D71">
            <w:pPr>
              <w:pStyle w:val="a3"/>
              <w:spacing w:before="0" w:beforeAutospacing="0" w:after="0" w:afterAutospacing="0"/>
              <w:jc w:val="right"/>
              <w:rPr>
                <w:sz w:val="20"/>
                <w:szCs w:val="20"/>
              </w:rPr>
            </w:pPr>
            <w:r>
              <w:rPr>
                <w:sz w:val="20"/>
                <w:szCs w:val="20"/>
              </w:rPr>
              <w:t>65.</w:t>
            </w:r>
            <w:r>
              <w:rPr>
                <w:sz w:val="20"/>
                <w:szCs w:val="20"/>
              </w:rPr>
              <w:t>9</w:t>
            </w:r>
          </w:p>
        </w:tc>
        <w:tc>
          <w:tcPr>
            <w:tcW w:w="0" w:type="auto"/>
            <w:noWrap/>
            <w:vAlign w:val="bottom"/>
            <w:hideMark/>
          </w:tcPr>
          <w:p w14:paraId="0ACC3DBD" w14:textId="77777777" w:rsidR="00000000" w:rsidRDefault="00832D71">
            <w:pPr>
              <w:pStyle w:val="a3"/>
              <w:spacing w:before="0" w:beforeAutospacing="0" w:after="0" w:afterAutospacing="0"/>
              <w:rPr>
                <w:sz w:val="20"/>
                <w:szCs w:val="20"/>
              </w:rPr>
            </w:pPr>
            <w:r>
              <w:rPr>
                <w:sz w:val="20"/>
                <w:szCs w:val="20"/>
              </w:rPr>
              <w:t>%</w:t>
            </w:r>
          </w:p>
        </w:tc>
      </w:tr>
      <w:tr w:rsidR="00000000" w14:paraId="56A5D325" w14:textId="77777777">
        <w:trPr>
          <w:trHeight w:val="200"/>
          <w:tblCellSpacing w:w="15" w:type="dxa"/>
        </w:trPr>
        <w:tc>
          <w:tcPr>
            <w:tcW w:w="0" w:type="auto"/>
            <w:hideMark/>
          </w:tcPr>
          <w:p w14:paraId="5539AF49" w14:textId="77777777" w:rsidR="00000000" w:rsidRDefault="00832D71">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14:paraId="2106586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B7AACA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C3D7952" w14:textId="77777777" w:rsidR="00000000" w:rsidRDefault="00832D71">
            <w:pPr>
              <w:pStyle w:val="a3"/>
              <w:spacing w:before="0" w:beforeAutospacing="0" w:after="0" w:afterAutospacing="0"/>
              <w:jc w:val="right"/>
              <w:rPr>
                <w:sz w:val="20"/>
                <w:szCs w:val="20"/>
              </w:rPr>
            </w:pPr>
            <w:r>
              <w:rPr>
                <w:sz w:val="20"/>
                <w:szCs w:val="20"/>
              </w:rPr>
              <w:t>27,25</w:t>
            </w:r>
            <w:r>
              <w:rPr>
                <w:sz w:val="20"/>
                <w:szCs w:val="20"/>
              </w:rPr>
              <w:t>6</w:t>
            </w:r>
          </w:p>
        </w:tc>
        <w:tc>
          <w:tcPr>
            <w:tcW w:w="0" w:type="auto"/>
            <w:noWrap/>
            <w:vAlign w:val="bottom"/>
            <w:hideMark/>
          </w:tcPr>
          <w:p w14:paraId="5D64410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A1F049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300731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34C2FD2" w14:textId="77777777" w:rsidR="00000000" w:rsidRDefault="00832D71">
            <w:pPr>
              <w:pStyle w:val="a3"/>
              <w:spacing w:before="0" w:beforeAutospacing="0" w:after="0" w:afterAutospacing="0"/>
              <w:jc w:val="right"/>
              <w:rPr>
                <w:sz w:val="20"/>
                <w:szCs w:val="20"/>
              </w:rPr>
            </w:pPr>
            <w:r>
              <w:rPr>
                <w:sz w:val="20"/>
                <w:szCs w:val="20"/>
              </w:rPr>
              <w:t>17,51</w:t>
            </w:r>
            <w:r>
              <w:rPr>
                <w:sz w:val="20"/>
                <w:szCs w:val="20"/>
              </w:rPr>
              <w:t>5</w:t>
            </w:r>
          </w:p>
        </w:tc>
        <w:tc>
          <w:tcPr>
            <w:tcW w:w="0" w:type="auto"/>
            <w:noWrap/>
            <w:vAlign w:val="bottom"/>
            <w:hideMark/>
          </w:tcPr>
          <w:p w14:paraId="1CD3457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01B8B5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BBE700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3DCEFDA" w14:textId="77777777" w:rsidR="00000000" w:rsidRDefault="00832D71">
            <w:pPr>
              <w:pStyle w:val="a3"/>
              <w:spacing w:before="0" w:beforeAutospacing="0" w:after="0" w:afterAutospacing="0"/>
              <w:jc w:val="right"/>
              <w:rPr>
                <w:sz w:val="20"/>
                <w:szCs w:val="20"/>
              </w:rPr>
            </w:pPr>
            <w:r>
              <w:rPr>
                <w:sz w:val="20"/>
                <w:szCs w:val="20"/>
              </w:rPr>
              <w:t>9,74</w:t>
            </w:r>
            <w:r>
              <w:rPr>
                <w:sz w:val="20"/>
                <w:szCs w:val="20"/>
              </w:rPr>
              <w:t>1</w:t>
            </w:r>
          </w:p>
        </w:tc>
        <w:tc>
          <w:tcPr>
            <w:tcW w:w="0" w:type="auto"/>
            <w:noWrap/>
            <w:vAlign w:val="bottom"/>
            <w:hideMark/>
          </w:tcPr>
          <w:p w14:paraId="4DEA24E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A97BB2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9F3378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2A5517E" w14:textId="77777777" w:rsidR="00000000" w:rsidRDefault="00832D71">
            <w:pPr>
              <w:pStyle w:val="a3"/>
              <w:spacing w:before="0" w:beforeAutospacing="0" w:after="0" w:afterAutospacing="0"/>
              <w:jc w:val="right"/>
              <w:rPr>
                <w:sz w:val="20"/>
                <w:szCs w:val="20"/>
              </w:rPr>
            </w:pPr>
            <w:r>
              <w:rPr>
                <w:sz w:val="20"/>
                <w:szCs w:val="20"/>
              </w:rPr>
              <w:t>55.</w:t>
            </w:r>
            <w:r>
              <w:rPr>
                <w:sz w:val="20"/>
                <w:szCs w:val="20"/>
              </w:rPr>
              <w:t>6</w:t>
            </w:r>
          </w:p>
        </w:tc>
        <w:tc>
          <w:tcPr>
            <w:tcW w:w="0" w:type="auto"/>
            <w:noWrap/>
            <w:vAlign w:val="bottom"/>
            <w:hideMark/>
          </w:tcPr>
          <w:p w14:paraId="3B340B64" w14:textId="77777777" w:rsidR="00000000" w:rsidRDefault="00832D71">
            <w:pPr>
              <w:pStyle w:val="a3"/>
              <w:spacing w:before="0" w:beforeAutospacing="0" w:after="0" w:afterAutospacing="0"/>
              <w:rPr>
                <w:sz w:val="20"/>
                <w:szCs w:val="20"/>
              </w:rPr>
            </w:pPr>
            <w:r>
              <w:rPr>
                <w:sz w:val="20"/>
                <w:szCs w:val="20"/>
              </w:rPr>
              <w:t>%</w:t>
            </w:r>
          </w:p>
        </w:tc>
      </w:tr>
      <w:tr w:rsidR="00000000" w14:paraId="1DC7F806" w14:textId="77777777">
        <w:trPr>
          <w:trHeight w:val="200"/>
          <w:tblCellSpacing w:w="15" w:type="dxa"/>
        </w:trPr>
        <w:tc>
          <w:tcPr>
            <w:tcW w:w="0" w:type="auto"/>
            <w:hideMark/>
          </w:tcPr>
          <w:p w14:paraId="32A207C9" w14:textId="77777777" w:rsidR="00000000" w:rsidRDefault="00832D71">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14:paraId="0D117F9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35887F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664ECD8" w14:textId="77777777" w:rsidR="00000000" w:rsidRDefault="00832D71">
            <w:pPr>
              <w:pStyle w:val="a3"/>
              <w:spacing w:before="0" w:beforeAutospacing="0" w:after="0" w:afterAutospacing="0"/>
              <w:jc w:val="right"/>
              <w:rPr>
                <w:sz w:val="20"/>
                <w:szCs w:val="20"/>
              </w:rPr>
            </w:pPr>
            <w:r>
              <w:rPr>
                <w:sz w:val="20"/>
                <w:szCs w:val="20"/>
              </w:rPr>
              <w:t>15,48</w:t>
            </w:r>
            <w:r>
              <w:rPr>
                <w:sz w:val="20"/>
                <w:szCs w:val="20"/>
              </w:rPr>
              <w:t>8</w:t>
            </w:r>
          </w:p>
        </w:tc>
        <w:tc>
          <w:tcPr>
            <w:tcW w:w="0" w:type="auto"/>
            <w:noWrap/>
            <w:vAlign w:val="bottom"/>
            <w:hideMark/>
          </w:tcPr>
          <w:p w14:paraId="08DED35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75E854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02BB20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758DFEE" w14:textId="77777777" w:rsidR="00000000" w:rsidRDefault="00832D71">
            <w:pPr>
              <w:pStyle w:val="a3"/>
              <w:spacing w:before="0" w:beforeAutospacing="0" w:after="0" w:afterAutospacing="0"/>
              <w:jc w:val="right"/>
              <w:rPr>
                <w:sz w:val="20"/>
                <w:szCs w:val="20"/>
              </w:rPr>
            </w:pPr>
            <w:r>
              <w:rPr>
                <w:sz w:val="20"/>
                <w:szCs w:val="20"/>
              </w:rPr>
              <w:t>15,08</w:t>
            </w:r>
            <w:r>
              <w:rPr>
                <w:sz w:val="20"/>
                <w:szCs w:val="20"/>
              </w:rPr>
              <w:t>5</w:t>
            </w:r>
          </w:p>
        </w:tc>
        <w:tc>
          <w:tcPr>
            <w:tcW w:w="0" w:type="auto"/>
            <w:noWrap/>
            <w:vAlign w:val="bottom"/>
            <w:hideMark/>
          </w:tcPr>
          <w:p w14:paraId="479361D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C1D274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579D00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D2D62CC" w14:textId="77777777" w:rsidR="00000000" w:rsidRDefault="00832D71">
            <w:pPr>
              <w:pStyle w:val="a3"/>
              <w:spacing w:before="0" w:beforeAutospacing="0" w:after="0" w:afterAutospacing="0"/>
              <w:jc w:val="right"/>
              <w:rPr>
                <w:sz w:val="20"/>
                <w:szCs w:val="20"/>
              </w:rPr>
            </w:pPr>
            <w:r>
              <w:rPr>
                <w:sz w:val="20"/>
                <w:szCs w:val="20"/>
              </w:rPr>
              <w:t>40</w:t>
            </w:r>
            <w:r>
              <w:rPr>
                <w:sz w:val="20"/>
                <w:szCs w:val="20"/>
              </w:rPr>
              <w:t>3</w:t>
            </w:r>
          </w:p>
        </w:tc>
        <w:tc>
          <w:tcPr>
            <w:tcW w:w="0" w:type="auto"/>
            <w:noWrap/>
            <w:vAlign w:val="bottom"/>
            <w:hideMark/>
          </w:tcPr>
          <w:p w14:paraId="4133FAE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22E7FF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CEFD1B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74E238B" w14:textId="77777777" w:rsidR="00000000" w:rsidRDefault="00832D71">
            <w:pPr>
              <w:pStyle w:val="a3"/>
              <w:spacing w:before="0" w:beforeAutospacing="0" w:after="0" w:afterAutospacing="0"/>
              <w:jc w:val="right"/>
              <w:rPr>
                <w:sz w:val="20"/>
                <w:szCs w:val="20"/>
              </w:rPr>
            </w:pPr>
            <w:r>
              <w:rPr>
                <w:sz w:val="20"/>
                <w:szCs w:val="20"/>
              </w:rPr>
              <w:t>2.</w:t>
            </w:r>
            <w:r>
              <w:rPr>
                <w:sz w:val="20"/>
                <w:szCs w:val="20"/>
              </w:rPr>
              <w:t>7</w:t>
            </w:r>
          </w:p>
        </w:tc>
        <w:tc>
          <w:tcPr>
            <w:tcW w:w="0" w:type="auto"/>
            <w:noWrap/>
            <w:vAlign w:val="bottom"/>
            <w:hideMark/>
          </w:tcPr>
          <w:p w14:paraId="7BB65AD8" w14:textId="77777777" w:rsidR="00000000" w:rsidRDefault="00832D71">
            <w:pPr>
              <w:pStyle w:val="a3"/>
              <w:spacing w:before="0" w:beforeAutospacing="0" w:after="0" w:afterAutospacing="0"/>
              <w:rPr>
                <w:sz w:val="20"/>
                <w:szCs w:val="20"/>
              </w:rPr>
            </w:pPr>
            <w:r>
              <w:rPr>
                <w:sz w:val="20"/>
                <w:szCs w:val="20"/>
              </w:rPr>
              <w:t>%</w:t>
            </w:r>
          </w:p>
        </w:tc>
      </w:tr>
      <w:tr w:rsidR="00000000" w14:paraId="1F44715C" w14:textId="77777777">
        <w:trPr>
          <w:trHeight w:val="200"/>
          <w:tblCellSpacing w:w="15" w:type="dxa"/>
        </w:trPr>
        <w:tc>
          <w:tcPr>
            <w:tcW w:w="0" w:type="auto"/>
            <w:hideMark/>
          </w:tcPr>
          <w:p w14:paraId="1B82B2DB" w14:textId="77777777" w:rsidR="00000000" w:rsidRDefault="00832D71">
            <w:pPr>
              <w:pStyle w:val="a3"/>
              <w:spacing w:before="0" w:beforeAutospacing="0" w:after="0" w:afterAutospacing="0"/>
              <w:ind w:left="400"/>
              <w:rPr>
                <w:sz w:val="20"/>
                <w:szCs w:val="20"/>
              </w:rPr>
            </w:pPr>
            <w:r>
              <w:rPr>
                <w:sz w:val="20"/>
                <w:szCs w:val="20"/>
              </w:rPr>
              <w:t>Total cost of products sol</w:t>
            </w:r>
            <w:r>
              <w:rPr>
                <w:sz w:val="20"/>
                <w:szCs w:val="20"/>
              </w:rPr>
              <w:t>d</w:t>
            </w:r>
          </w:p>
        </w:tc>
        <w:tc>
          <w:tcPr>
            <w:tcW w:w="0" w:type="auto"/>
            <w:hideMark/>
          </w:tcPr>
          <w:p w14:paraId="001449A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559B00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CC2F720" w14:textId="77777777" w:rsidR="00000000" w:rsidRDefault="00832D71">
            <w:pPr>
              <w:pStyle w:val="a3"/>
              <w:spacing w:before="0" w:beforeAutospacing="0" w:after="0" w:afterAutospacing="0"/>
              <w:jc w:val="right"/>
              <w:rPr>
                <w:sz w:val="20"/>
                <w:szCs w:val="20"/>
              </w:rPr>
            </w:pPr>
            <w:r>
              <w:rPr>
                <w:sz w:val="20"/>
                <w:szCs w:val="20"/>
              </w:rPr>
              <w:t>712,12</w:t>
            </w:r>
            <w:r>
              <w:rPr>
                <w:sz w:val="20"/>
                <w:szCs w:val="20"/>
              </w:rPr>
              <w:t>3</w:t>
            </w:r>
          </w:p>
        </w:tc>
        <w:tc>
          <w:tcPr>
            <w:tcW w:w="0" w:type="auto"/>
            <w:noWrap/>
            <w:vAlign w:val="bottom"/>
            <w:hideMark/>
          </w:tcPr>
          <w:p w14:paraId="5E8F746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071249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F950C1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3FDD5C1" w14:textId="77777777" w:rsidR="00000000" w:rsidRDefault="00832D71">
            <w:pPr>
              <w:pStyle w:val="a3"/>
              <w:spacing w:before="0" w:beforeAutospacing="0" w:after="0" w:afterAutospacing="0"/>
              <w:jc w:val="right"/>
              <w:rPr>
                <w:sz w:val="20"/>
                <w:szCs w:val="20"/>
              </w:rPr>
            </w:pPr>
            <w:r>
              <w:rPr>
                <w:sz w:val="20"/>
                <w:szCs w:val="20"/>
              </w:rPr>
              <w:t>485,47</w:t>
            </w:r>
            <w:r>
              <w:rPr>
                <w:sz w:val="20"/>
                <w:szCs w:val="20"/>
              </w:rPr>
              <w:t>8</w:t>
            </w:r>
          </w:p>
        </w:tc>
        <w:tc>
          <w:tcPr>
            <w:tcW w:w="0" w:type="auto"/>
            <w:noWrap/>
            <w:vAlign w:val="bottom"/>
            <w:hideMark/>
          </w:tcPr>
          <w:p w14:paraId="5BFE093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BB403A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3FD0FD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E563DDF" w14:textId="77777777" w:rsidR="00000000" w:rsidRDefault="00832D71">
            <w:pPr>
              <w:pStyle w:val="a3"/>
              <w:spacing w:before="0" w:beforeAutospacing="0" w:after="0" w:afterAutospacing="0"/>
              <w:jc w:val="right"/>
              <w:rPr>
                <w:sz w:val="20"/>
                <w:szCs w:val="20"/>
              </w:rPr>
            </w:pPr>
            <w:r>
              <w:rPr>
                <w:sz w:val="20"/>
                <w:szCs w:val="20"/>
              </w:rPr>
              <w:t>226,64</w:t>
            </w:r>
            <w:r>
              <w:rPr>
                <w:sz w:val="20"/>
                <w:szCs w:val="20"/>
              </w:rPr>
              <w:t>5</w:t>
            </w:r>
          </w:p>
        </w:tc>
        <w:tc>
          <w:tcPr>
            <w:tcW w:w="0" w:type="auto"/>
            <w:noWrap/>
            <w:vAlign w:val="bottom"/>
            <w:hideMark/>
          </w:tcPr>
          <w:p w14:paraId="6D904A6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383730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4E118D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A8260D1" w14:textId="77777777" w:rsidR="00000000" w:rsidRDefault="00832D71">
            <w:pPr>
              <w:pStyle w:val="a3"/>
              <w:spacing w:before="0" w:beforeAutospacing="0" w:after="0" w:afterAutospacing="0"/>
              <w:jc w:val="right"/>
              <w:rPr>
                <w:sz w:val="20"/>
                <w:szCs w:val="20"/>
              </w:rPr>
            </w:pPr>
            <w:r>
              <w:rPr>
                <w:sz w:val="20"/>
                <w:szCs w:val="20"/>
              </w:rPr>
              <w:t>46.</w:t>
            </w:r>
            <w:r>
              <w:rPr>
                <w:sz w:val="20"/>
                <w:szCs w:val="20"/>
              </w:rPr>
              <w:t>7</w:t>
            </w:r>
          </w:p>
        </w:tc>
        <w:tc>
          <w:tcPr>
            <w:tcW w:w="0" w:type="auto"/>
            <w:noWrap/>
            <w:vAlign w:val="bottom"/>
            <w:hideMark/>
          </w:tcPr>
          <w:p w14:paraId="76C93007" w14:textId="77777777" w:rsidR="00000000" w:rsidRDefault="00832D71">
            <w:pPr>
              <w:pStyle w:val="a3"/>
              <w:spacing w:before="0" w:beforeAutospacing="0" w:after="0" w:afterAutospacing="0"/>
              <w:rPr>
                <w:sz w:val="20"/>
                <w:szCs w:val="20"/>
              </w:rPr>
            </w:pPr>
            <w:r>
              <w:rPr>
                <w:sz w:val="20"/>
                <w:szCs w:val="20"/>
              </w:rPr>
              <w:t>%</w:t>
            </w:r>
          </w:p>
        </w:tc>
      </w:tr>
      <w:tr w:rsidR="00000000" w14:paraId="070636BC" w14:textId="77777777">
        <w:trPr>
          <w:trHeight w:val="200"/>
          <w:tblCellSpacing w:w="15" w:type="dxa"/>
        </w:trPr>
        <w:tc>
          <w:tcPr>
            <w:tcW w:w="0" w:type="auto"/>
            <w:hideMark/>
          </w:tcPr>
          <w:p w14:paraId="1FBD90CB" w14:textId="77777777" w:rsidR="00000000" w:rsidRDefault="00832D71">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14:paraId="4668825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25CAE6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89B6FC0" w14:textId="77777777" w:rsidR="00000000" w:rsidRDefault="00832D71">
            <w:pPr>
              <w:pStyle w:val="a3"/>
              <w:spacing w:before="0" w:beforeAutospacing="0" w:after="0" w:afterAutospacing="0"/>
              <w:jc w:val="right"/>
              <w:rPr>
                <w:sz w:val="20"/>
                <w:szCs w:val="20"/>
              </w:rPr>
            </w:pPr>
            <w:r>
              <w:rPr>
                <w:sz w:val="20"/>
                <w:szCs w:val="20"/>
              </w:rPr>
              <w:t>47.</w:t>
            </w:r>
            <w:r>
              <w:rPr>
                <w:sz w:val="20"/>
                <w:szCs w:val="20"/>
              </w:rPr>
              <w:t>4</w:t>
            </w:r>
          </w:p>
        </w:tc>
        <w:tc>
          <w:tcPr>
            <w:tcW w:w="0" w:type="auto"/>
            <w:noWrap/>
            <w:vAlign w:val="bottom"/>
            <w:hideMark/>
          </w:tcPr>
          <w:p w14:paraId="6E1AD36B"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162D925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D536E1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4B25BF1" w14:textId="77777777" w:rsidR="00000000" w:rsidRDefault="00832D71">
            <w:pPr>
              <w:pStyle w:val="a3"/>
              <w:spacing w:before="0" w:beforeAutospacing="0" w:after="0" w:afterAutospacing="0"/>
              <w:jc w:val="right"/>
              <w:rPr>
                <w:sz w:val="20"/>
                <w:szCs w:val="20"/>
              </w:rPr>
            </w:pPr>
            <w:r>
              <w:rPr>
                <w:sz w:val="20"/>
                <w:szCs w:val="20"/>
              </w:rPr>
              <w:t>37.</w:t>
            </w:r>
            <w:r>
              <w:rPr>
                <w:sz w:val="20"/>
                <w:szCs w:val="20"/>
              </w:rPr>
              <w:t>7</w:t>
            </w:r>
          </w:p>
        </w:tc>
        <w:tc>
          <w:tcPr>
            <w:tcW w:w="0" w:type="auto"/>
            <w:noWrap/>
            <w:vAlign w:val="bottom"/>
            <w:hideMark/>
          </w:tcPr>
          <w:p w14:paraId="397DF768"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08915D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618AB4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B6ED300"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5A1808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FCD0A4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810C946" w14:textId="77777777" w:rsidR="00000000" w:rsidRDefault="00832D71">
            <w:pPr>
              <w:pStyle w:val="a3"/>
              <w:spacing w:before="0" w:beforeAutospacing="0" w:after="0" w:afterAutospacing="0"/>
              <w:jc w:val="right"/>
              <w:rPr>
                <w:sz w:val="20"/>
                <w:szCs w:val="20"/>
              </w:rPr>
            </w:pPr>
            <w:r>
              <w:rPr>
                <w:sz w:val="20"/>
                <w:szCs w:val="20"/>
              </w:rPr>
              <w:t> </w:t>
            </w:r>
          </w:p>
        </w:tc>
      </w:tr>
    </w:tbl>
    <w:p w14:paraId="146E7589" w14:textId="77777777" w:rsidR="00000000" w:rsidRDefault="00832D71">
      <w:pPr>
        <w:pStyle w:val="a3"/>
        <w:spacing w:before="0" w:beforeAutospacing="0" w:after="0" w:afterAutospacing="0"/>
        <w:rPr>
          <w:sz w:val="20"/>
          <w:szCs w:val="20"/>
        </w:rPr>
      </w:pPr>
      <w:r>
        <w:rPr>
          <w:sz w:val="20"/>
          <w:szCs w:val="20"/>
        </w:rPr>
        <w:t> </w:t>
      </w:r>
    </w:p>
    <w:p w14:paraId="6C9FB4D3" w14:textId="77777777" w:rsidR="00000000" w:rsidRDefault="00832D71">
      <w:pPr>
        <w:pStyle w:val="a3"/>
        <w:spacing w:before="0" w:beforeAutospacing="0" w:after="0" w:afterAutospacing="0"/>
        <w:ind w:firstLine="555"/>
        <w:jc w:val="both"/>
        <w:rPr>
          <w:sz w:val="20"/>
          <w:szCs w:val="20"/>
        </w:rPr>
      </w:pPr>
      <w:r>
        <w:rPr>
          <w:sz w:val="20"/>
          <w:szCs w:val="20"/>
        </w:rPr>
        <w:t>The cost of products sold reported in the consolidated statements of operations represents the weighted average unit cost of propane, fuel oil and refined fuels, and natural gas and electricity sold, including transportation costs to deliver product from o</w:t>
      </w:r>
      <w:r>
        <w:rPr>
          <w:sz w:val="20"/>
          <w:szCs w:val="20"/>
        </w:rPr>
        <w:t>ur supply points to storage or to our customer service centers. Cost of products sold also includes the cost of appliances and related parts sold or installed by our customer service centers computed on a basis that approximates the average cost of the pro</w:t>
      </w:r>
      <w:r>
        <w:rPr>
          <w:sz w:val="20"/>
          <w:szCs w:val="20"/>
        </w:rPr>
        <w:t>ducts</w:t>
      </w:r>
      <w:r>
        <w:rPr>
          <w:sz w:val="20"/>
          <w:szCs w:val="20"/>
        </w:rPr>
        <w:t>.</w:t>
      </w:r>
      <w:r>
        <w:rPr>
          <w:sz w:val="20"/>
          <w:szCs w:val="20"/>
        </w:rPr>
        <w:t xml:space="preserve"> </w:t>
      </w:r>
    </w:p>
    <w:p w14:paraId="45E8FB5D" w14:textId="77777777" w:rsidR="00000000" w:rsidRDefault="00832D71">
      <w:pPr>
        <w:pStyle w:val="a3"/>
        <w:spacing w:before="240" w:beforeAutospacing="0" w:after="0" w:afterAutospacing="0"/>
        <w:ind w:firstLine="555"/>
        <w:jc w:val="both"/>
        <w:rPr>
          <w:sz w:val="20"/>
          <w:szCs w:val="20"/>
        </w:rPr>
      </w:pPr>
      <w:r>
        <w:rPr>
          <w:sz w:val="20"/>
          <w:szCs w:val="20"/>
        </w:rPr>
        <w:t>Given the retail nature of our operations, we maintain a certain level of priced physical inventory to help ensure that our field operations have adequate supply commensurate with the time of year. Our strategy has been, and will continue to be, to</w:t>
      </w:r>
      <w:r>
        <w:rPr>
          <w:sz w:val="20"/>
          <w:szCs w:val="20"/>
        </w:rPr>
        <w:t xml:space="preserve"> keep our physical inventory priced relatively close to market for our field operations. Consistent with past practices, we principally utilize futures and/or options contracts traded on the NYMEX to mitigate the price risk associated with our priced physi</w:t>
      </w:r>
      <w:r>
        <w:rPr>
          <w:sz w:val="20"/>
          <w:szCs w:val="20"/>
        </w:rPr>
        <w:t>cal inventory. In addition, we sell propane and fuel oil to customers at fixed prices, and enter into derivative instruments to hedge a portion of our exposure to fluctuations in commodity prices as a result of selling the fixed price contracts. At expirat</w:t>
      </w:r>
      <w:r>
        <w:rPr>
          <w:sz w:val="20"/>
          <w:szCs w:val="20"/>
        </w:rPr>
        <w:t>ion, the derivative contracts are settled by the delivery of the product to the respective party or are settled by the payment of a net amount equal to the difference between the then market price and the fixed contract price or option exercise price. Unde</w:t>
      </w:r>
      <w:r>
        <w:rPr>
          <w:sz w:val="20"/>
          <w:szCs w:val="20"/>
        </w:rPr>
        <w:t xml:space="preserve">r this risk management strategy, realized gains or losses on futures or options contracts, which are reported in cost of products sold, will typically offset losses or gains on the physical inventory once the product is sold (which may or may not occur in </w:t>
      </w:r>
      <w:r>
        <w:rPr>
          <w:sz w:val="20"/>
          <w:szCs w:val="20"/>
        </w:rPr>
        <w:t>the same accounting period). We do not use futures or options contracts, or other derivative instruments, for speculative trading purposes. Unrealized non-cash gains or losses from changes in the fair value of derivative instruments that are not designated</w:t>
      </w:r>
      <w:r>
        <w:rPr>
          <w:sz w:val="20"/>
          <w:szCs w:val="20"/>
        </w:rPr>
        <w:t xml:space="preserve"> as cash flow hedges are recorded within cost of products sold. Cost of products sold excludes depreciation and amortization; these amounts are reported separately within the consolidated statements of operations</w:t>
      </w:r>
      <w:r>
        <w:rPr>
          <w:sz w:val="20"/>
          <w:szCs w:val="20"/>
        </w:rPr>
        <w:t>.</w:t>
      </w:r>
    </w:p>
    <w:p w14:paraId="15FFEA3E" w14:textId="77777777" w:rsidR="00000000" w:rsidRDefault="00832D71">
      <w:pPr>
        <w:pStyle w:val="a3"/>
        <w:spacing w:before="240" w:beforeAutospacing="0" w:after="0" w:afterAutospacing="0"/>
        <w:ind w:firstLine="555"/>
        <w:jc w:val="both"/>
        <w:rPr>
          <w:sz w:val="20"/>
          <w:szCs w:val="20"/>
        </w:rPr>
      </w:pPr>
      <w:r>
        <w:rPr>
          <w:sz w:val="20"/>
          <w:szCs w:val="20"/>
        </w:rPr>
        <w:t>From a commodity perspective, as discussed above, wholesale propane prices trended higher throughout much of the first half of the fiscal year before generally receding during the second half of the fiscal year. Overall, average posted propane prices (basi</w:t>
      </w:r>
      <w:r>
        <w:rPr>
          <w:sz w:val="20"/>
          <w:szCs w:val="20"/>
        </w:rPr>
        <w:t>s Mont Belvieu, Texas) and fuel oil prices during fiscal 2022 were 39.1% and 81.6% higher than the prior year, respectively. The net change in the fair value of derivative instruments during the fiscal year resulted in unrealized non-cash losses of $27.9 m</w:t>
      </w:r>
      <w:r>
        <w:rPr>
          <w:sz w:val="20"/>
          <w:szCs w:val="20"/>
        </w:rPr>
        <w:t>illion and unrealized non-cash gains of $43.1 million reported in cost of products sold in fiscal 2022 and 2021, respectively, resulting in a year-over-year increase of $71.1 million in cost of products sold, all of which was reported in the propane segmen</w:t>
      </w:r>
      <w:r>
        <w:rPr>
          <w:sz w:val="20"/>
          <w:szCs w:val="20"/>
        </w:rPr>
        <w:t>t</w:t>
      </w:r>
      <w:r>
        <w:rPr>
          <w:sz w:val="20"/>
          <w:szCs w:val="20"/>
        </w:rPr>
        <w:t>.</w:t>
      </w:r>
    </w:p>
    <w:p w14:paraId="15C9FCA1" w14:textId="77777777" w:rsidR="00000000" w:rsidRDefault="00832D71">
      <w:pPr>
        <w:pStyle w:val="a3"/>
        <w:spacing w:before="240" w:beforeAutospacing="0" w:after="0" w:afterAutospacing="0"/>
        <w:ind w:firstLine="555"/>
        <w:jc w:val="both"/>
        <w:rPr>
          <w:sz w:val="20"/>
          <w:szCs w:val="20"/>
        </w:rPr>
      </w:pPr>
      <w:r>
        <w:rPr>
          <w:sz w:val="20"/>
          <w:szCs w:val="20"/>
        </w:rPr>
        <w:t>Cost of products sold associated with the distribution of propane and related activities of $601.1 million for fiscal 2022 increased $189.4 million, or 46.0%, compared to the prior year. Higher average wholesale costs contributed to a $148.6 million inc</w:t>
      </w:r>
      <w:r>
        <w:rPr>
          <w:sz w:val="20"/>
          <w:szCs w:val="20"/>
        </w:rPr>
        <w:t>rease in cost of products sold, while lower volumes sold contributed to a $19.4 million decrease. Included within the propane segment are costs from other propane activities which decreased $10.9 million compared to the prior year due to a lower notional a</w:t>
      </w:r>
      <w:r>
        <w:rPr>
          <w:sz w:val="20"/>
          <w:szCs w:val="20"/>
        </w:rPr>
        <w:t>mount of hedging contracts used in risk management activities that were settled physically, coupled with the net increase in cost of products sold of $71.1 million resulting from the mark-to-market adjustments on derivative instruments in both periods disc</w:t>
      </w:r>
      <w:r>
        <w:rPr>
          <w:sz w:val="20"/>
          <w:szCs w:val="20"/>
        </w:rPr>
        <w:t>ussed above</w:t>
      </w:r>
      <w:r>
        <w:rPr>
          <w:sz w:val="20"/>
          <w:szCs w:val="20"/>
        </w:rPr>
        <w:t>.</w:t>
      </w:r>
    </w:p>
    <w:p w14:paraId="00ED777F" w14:textId="77777777" w:rsidR="00000000" w:rsidRDefault="00832D71">
      <w:pPr>
        <w:pStyle w:val="a3"/>
        <w:spacing w:before="240" w:beforeAutospacing="0" w:after="0" w:afterAutospacing="0"/>
        <w:ind w:firstLine="555"/>
        <w:jc w:val="both"/>
        <w:rPr>
          <w:sz w:val="20"/>
          <w:szCs w:val="20"/>
        </w:rPr>
      </w:pPr>
      <w:r>
        <w:rPr>
          <w:sz w:val="20"/>
          <w:szCs w:val="20"/>
        </w:rPr>
        <w:t>Cost of products sold associated with our fuel oil and refined fuels segment of $68.3 million for fiscal 2022 increased $27.1 million, or 65.9%, compared to the prior year. Higher average wholesale costs contributed to an increase in cost of p</w:t>
      </w:r>
      <w:r>
        <w:rPr>
          <w:sz w:val="20"/>
          <w:szCs w:val="20"/>
        </w:rPr>
        <w:t>roducts sold of $29.3 million, while lower volumes sold contributed to a $2.2 million decrease</w:t>
      </w:r>
      <w:r>
        <w:rPr>
          <w:sz w:val="20"/>
          <w:szCs w:val="20"/>
        </w:rPr>
        <w:t>.</w:t>
      </w:r>
    </w:p>
    <w:p w14:paraId="310DEFCC" w14:textId="77777777" w:rsidR="00000000" w:rsidRDefault="00832D71">
      <w:pPr>
        <w:pStyle w:val="a3"/>
        <w:spacing w:before="0" w:beforeAutospacing="0" w:after="0" w:afterAutospacing="0"/>
        <w:jc w:val="center"/>
        <w:rPr>
          <w:sz w:val="20"/>
          <w:szCs w:val="20"/>
        </w:rPr>
      </w:pPr>
      <w:r>
        <w:rPr>
          <w:sz w:val="20"/>
          <w:szCs w:val="20"/>
        </w:rPr>
        <w:t> </w:t>
      </w:r>
    </w:p>
    <w:p w14:paraId="7EB52279" w14:textId="77777777" w:rsidR="00000000" w:rsidRDefault="00832D71">
      <w:pPr>
        <w:pStyle w:val="a3"/>
        <w:spacing w:before="0" w:beforeAutospacing="0" w:after="0" w:afterAutospacing="0"/>
        <w:jc w:val="center"/>
        <w:rPr>
          <w:sz w:val="20"/>
          <w:szCs w:val="20"/>
        </w:rPr>
      </w:pPr>
      <w:r>
        <w:rPr>
          <w:sz w:val="20"/>
          <w:szCs w:val="20"/>
        </w:rPr>
        <w:t>3</w:t>
      </w:r>
      <w:r>
        <w:rPr>
          <w:sz w:val="20"/>
          <w:szCs w:val="20"/>
        </w:rPr>
        <w:t>4</w:t>
      </w:r>
    </w:p>
    <w:p w14:paraId="05F87E99" w14:textId="77777777" w:rsidR="00000000" w:rsidRDefault="00832D71">
      <w:pPr>
        <w:rPr>
          <w:rFonts w:eastAsia="Times New Roman"/>
        </w:rPr>
      </w:pPr>
      <w:r>
        <w:rPr>
          <w:rFonts w:eastAsia="Times New Roman"/>
        </w:rPr>
        <w:pict w14:anchorId="2BBABCEB">
          <v:rect id="_x0000_i1061" style="width:0;height:1.5pt" o:hralign="center" o:hrstd="t" o:hr="t" fillcolor="#a0a0a0" stroked="f"/>
        </w:pict>
      </w:r>
    </w:p>
    <w:p w14:paraId="291D6E67"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69212F72" w14:textId="77777777" w:rsidR="00000000" w:rsidRDefault="00832D71">
      <w:pPr>
        <w:pStyle w:val="a3"/>
        <w:spacing w:before="240" w:beforeAutospacing="0" w:after="0" w:afterAutospacing="0"/>
        <w:ind w:firstLine="555"/>
        <w:jc w:val="both"/>
        <w:rPr>
          <w:sz w:val="20"/>
          <w:szCs w:val="20"/>
        </w:rPr>
      </w:pPr>
      <w:r>
        <w:rPr>
          <w:sz w:val="20"/>
          <w:szCs w:val="20"/>
        </w:rPr>
        <w:t>Cost of products sold in our natural gas and electricity segment of $27.3 million for fiscal 2022 increased $9.7 million, or 55.6%, compared to the prior year, primarily due to higher natural gas and electricity wholesale costs, partially offset by lower u</w:t>
      </w:r>
      <w:r>
        <w:rPr>
          <w:sz w:val="20"/>
          <w:szCs w:val="20"/>
        </w:rPr>
        <w:t>sage</w:t>
      </w:r>
      <w:r>
        <w:rPr>
          <w:sz w:val="20"/>
          <w:szCs w:val="20"/>
        </w:rPr>
        <w:t>.</w:t>
      </w:r>
    </w:p>
    <w:p w14:paraId="392613F0" w14:textId="77777777" w:rsidR="00000000" w:rsidRDefault="00832D71">
      <w:pPr>
        <w:pStyle w:val="a3"/>
        <w:spacing w:before="360" w:beforeAutospacing="0" w:after="0" w:afterAutospacing="0"/>
        <w:jc w:val="both"/>
        <w:rPr>
          <w:sz w:val="20"/>
          <w:szCs w:val="20"/>
        </w:rPr>
      </w:pPr>
      <w:r>
        <w:rPr>
          <w:i/>
          <w:iCs/>
          <w:sz w:val="20"/>
          <w:szCs w:val="20"/>
        </w:rPr>
        <w:t>Operating Expense</w:t>
      </w:r>
      <w:r>
        <w:rPr>
          <w:i/>
          <w:iCs/>
          <w:sz w:val="20"/>
          <w:szCs w:val="20"/>
        </w:rPr>
        <w:t>s</w:t>
      </w:r>
    </w:p>
    <w:p w14:paraId="04D7AAC5" w14:textId="77777777" w:rsidR="00000000" w:rsidRDefault="00832D71">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40"/>
        <w:gridCol w:w="110"/>
        <w:gridCol w:w="160"/>
        <w:gridCol w:w="710"/>
        <w:gridCol w:w="227"/>
        <w:gridCol w:w="110"/>
        <w:gridCol w:w="160"/>
        <w:gridCol w:w="710"/>
        <w:gridCol w:w="227"/>
        <w:gridCol w:w="110"/>
        <w:gridCol w:w="160"/>
        <w:gridCol w:w="610"/>
        <w:gridCol w:w="110"/>
        <w:gridCol w:w="110"/>
        <w:gridCol w:w="112"/>
        <w:gridCol w:w="567"/>
        <w:gridCol w:w="242"/>
      </w:tblGrid>
      <w:tr w:rsidR="00000000" w14:paraId="2928AF8C" w14:textId="77777777">
        <w:trPr>
          <w:tblCellSpacing w:w="15" w:type="dxa"/>
        </w:trPr>
        <w:tc>
          <w:tcPr>
            <w:tcW w:w="2471" w:type="pct"/>
            <w:vAlign w:val="center"/>
            <w:hideMark/>
          </w:tcPr>
          <w:p w14:paraId="60BEED1B" w14:textId="77777777" w:rsidR="00000000" w:rsidRDefault="00832D71">
            <w:pPr>
              <w:rPr>
                <w:sz w:val="20"/>
                <w:szCs w:val="20"/>
              </w:rPr>
            </w:pPr>
          </w:p>
        </w:tc>
        <w:tc>
          <w:tcPr>
            <w:tcW w:w="45" w:type="pct"/>
            <w:vAlign w:val="center"/>
            <w:hideMark/>
          </w:tcPr>
          <w:p w14:paraId="179AFEBA" w14:textId="77777777" w:rsidR="00000000" w:rsidRDefault="00832D71">
            <w:pPr>
              <w:rPr>
                <w:rFonts w:eastAsia="Times New Roman"/>
                <w:sz w:val="20"/>
                <w:szCs w:val="20"/>
              </w:rPr>
            </w:pPr>
          </w:p>
        </w:tc>
        <w:tc>
          <w:tcPr>
            <w:tcW w:w="50" w:type="pct"/>
            <w:vAlign w:val="center"/>
            <w:hideMark/>
          </w:tcPr>
          <w:p w14:paraId="302AD7D9" w14:textId="77777777" w:rsidR="00000000" w:rsidRDefault="00832D71">
            <w:pPr>
              <w:rPr>
                <w:rFonts w:eastAsia="Times New Roman"/>
                <w:sz w:val="20"/>
                <w:szCs w:val="20"/>
              </w:rPr>
            </w:pPr>
          </w:p>
        </w:tc>
        <w:tc>
          <w:tcPr>
            <w:tcW w:w="445" w:type="pct"/>
            <w:vAlign w:val="center"/>
            <w:hideMark/>
          </w:tcPr>
          <w:p w14:paraId="76A77519" w14:textId="77777777" w:rsidR="00000000" w:rsidRDefault="00832D71">
            <w:pPr>
              <w:rPr>
                <w:rFonts w:eastAsia="Times New Roman"/>
                <w:sz w:val="20"/>
                <w:szCs w:val="20"/>
              </w:rPr>
            </w:pPr>
          </w:p>
        </w:tc>
        <w:tc>
          <w:tcPr>
            <w:tcW w:w="50" w:type="pct"/>
            <w:vAlign w:val="center"/>
            <w:hideMark/>
          </w:tcPr>
          <w:p w14:paraId="1144350C" w14:textId="77777777" w:rsidR="00000000" w:rsidRDefault="00832D71">
            <w:pPr>
              <w:rPr>
                <w:rFonts w:eastAsia="Times New Roman"/>
                <w:sz w:val="20"/>
                <w:szCs w:val="20"/>
              </w:rPr>
            </w:pPr>
          </w:p>
        </w:tc>
        <w:tc>
          <w:tcPr>
            <w:tcW w:w="45" w:type="pct"/>
            <w:vAlign w:val="center"/>
            <w:hideMark/>
          </w:tcPr>
          <w:p w14:paraId="00B3D5AB" w14:textId="77777777" w:rsidR="00000000" w:rsidRDefault="00832D71">
            <w:pPr>
              <w:rPr>
                <w:rFonts w:eastAsia="Times New Roman"/>
                <w:sz w:val="20"/>
                <w:szCs w:val="20"/>
              </w:rPr>
            </w:pPr>
          </w:p>
        </w:tc>
        <w:tc>
          <w:tcPr>
            <w:tcW w:w="50" w:type="pct"/>
            <w:vAlign w:val="center"/>
            <w:hideMark/>
          </w:tcPr>
          <w:p w14:paraId="0E18BF77" w14:textId="77777777" w:rsidR="00000000" w:rsidRDefault="00832D71">
            <w:pPr>
              <w:rPr>
                <w:rFonts w:eastAsia="Times New Roman"/>
                <w:sz w:val="20"/>
                <w:szCs w:val="20"/>
              </w:rPr>
            </w:pPr>
          </w:p>
        </w:tc>
        <w:tc>
          <w:tcPr>
            <w:tcW w:w="446" w:type="pct"/>
            <w:vAlign w:val="center"/>
            <w:hideMark/>
          </w:tcPr>
          <w:p w14:paraId="6675F080" w14:textId="77777777" w:rsidR="00000000" w:rsidRDefault="00832D71">
            <w:pPr>
              <w:rPr>
                <w:rFonts w:eastAsia="Times New Roman"/>
                <w:sz w:val="20"/>
                <w:szCs w:val="20"/>
              </w:rPr>
            </w:pPr>
          </w:p>
        </w:tc>
        <w:tc>
          <w:tcPr>
            <w:tcW w:w="50" w:type="pct"/>
            <w:vAlign w:val="center"/>
            <w:hideMark/>
          </w:tcPr>
          <w:p w14:paraId="559853A6" w14:textId="77777777" w:rsidR="00000000" w:rsidRDefault="00832D71">
            <w:pPr>
              <w:rPr>
                <w:rFonts w:eastAsia="Times New Roman"/>
                <w:sz w:val="20"/>
                <w:szCs w:val="20"/>
              </w:rPr>
            </w:pPr>
          </w:p>
        </w:tc>
        <w:tc>
          <w:tcPr>
            <w:tcW w:w="46" w:type="pct"/>
            <w:vAlign w:val="center"/>
            <w:hideMark/>
          </w:tcPr>
          <w:p w14:paraId="4FCDF41A" w14:textId="77777777" w:rsidR="00000000" w:rsidRDefault="00832D71">
            <w:pPr>
              <w:rPr>
                <w:rFonts w:eastAsia="Times New Roman"/>
                <w:sz w:val="20"/>
                <w:szCs w:val="20"/>
              </w:rPr>
            </w:pPr>
          </w:p>
        </w:tc>
        <w:tc>
          <w:tcPr>
            <w:tcW w:w="50" w:type="pct"/>
            <w:vAlign w:val="center"/>
            <w:hideMark/>
          </w:tcPr>
          <w:p w14:paraId="2B1A5965" w14:textId="77777777" w:rsidR="00000000" w:rsidRDefault="00832D71">
            <w:pPr>
              <w:rPr>
                <w:rFonts w:eastAsia="Times New Roman"/>
                <w:sz w:val="20"/>
                <w:szCs w:val="20"/>
              </w:rPr>
            </w:pPr>
          </w:p>
        </w:tc>
        <w:tc>
          <w:tcPr>
            <w:tcW w:w="396" w:type="pct"/>
            <w:vAlign w:val="center"/>
            <w:hideMark/>
          </w:tcPr>
          <w:p w14:paraId="2CE44A44" w14:textId="77777777" w:rsidR="00000000" w:rsidRDefault="00832D71">
            <w:pPr>
              <w:rPr>
                <w:rFonts w:eastAsia="Times New Roman"/>
                <w:sz w:val="20"/>
                <w:szCs w:val="20"/>
              </w:rPr>
            </w:pPr>
          </w:p>
        </w:tc>
        <w:tc>
          <w:tcPr>
            <w:tcW w:w="50" w:type="pct"/>
            <w:vAlign w:val="center"/>
            <w:hideMark/>
          </w:tcPr>
          <w:p w14:paraId="4D01CC9F" w14:textId="77777777" w:rsidR="00000000" w:rsidRDefault="00832D71">
            <w:pPr>
              <w:rPr>
                <w:rFonts w:eastAsia="Times New Roman"/>
                <w:sz w:val="20"/>
                <w:szCs w:val="20"/>
              </w:rPr>
            </w:pPr>
          </w:p>
        </w:tc>
        <w:tc>
          <w:tcPr>
            <w:tcW w:w="35" w:type="pct"/>
            <w:vAlign w:val="center"/>
            <w:hideMark/>
          </w:tcPr>
          <w:p w14:paraId="5913D942" w14:textId="77777777" w:rsidR="00000000" w:rsidRDefault="00832D71">
            <w:pPr>
              <w:rPr>
                <w:rFonts w:eastAsia="Times New Roman"/>
                <w:sz w:val="20"/>
                <w:szCs w:val="20"/>
              </w:rPr>
            </w:pPr>
          </w:p>
        </w:tc>
        <w:tc>
          <w:tcPr>
            <w:tcW w:w="50" w:type="pct"/>
            <w:vAlign w:val="center"/>
            <w:hideMark/>
          </w:tcPr>
          <w:p w14:paraId="6982AF96" w14:textId="77777777" w:rsidR="00000000" w:rsidRDefault="00832D71">
            <w:pPr>
              <w:rPr>
                <w:rFonts w:eastAsia="Times New Roman"/>
                <w:sz w:val="20"/>
                <w:szCs w:val="20"/>
              </w:rPr>
            </w:pPr>
          </w:p>
        </w:tc>
        <w:tc>
          <w:tcPr>
            <w:tcW w:w="666" w:type="pct"/>
            <w:vAlign w:val="center"/>
            <w:hideMark/>
          </w:tcPr>
          <w:p w14:paraId="5596FBEF" w14:textId="77777777" w:rsidR="00000000" w:rsidRDefault="00832D71">
            <w:pPr>
              <w:rPr>
                <w:rFonts w:eastAsia="Times New Roman"/>
                <w:sz w:val="20"/>
                <w:szCs w:val="20"/>
              </w:rPr>
            </w:pPr>
          </w:p>
        </w:tc>
        <w:tc>
          <w:tcPr>
            <w:tcW w:w="50" w:type="pct"/>
            <w:vAlign w:val="center"/>
            <w:hideMark/>
          </w:tcPr>
          <w:p w14:paraId="1C4BF5FD" w14:textId="77777777" w:rsidR="00000000" w:rsidRDefault="00832D71">
            <w:pPr>
              <w:rPr>
                <w:rFonts w:eastAsia="Times New Roman"/>
                <w:sz w:val="20"/>
                <w:szCs w:val="20"/>
              </w:rPr>
            </w:pPr>
          </w:p>
        </w:tc>
      </w:tr>
      <w:tr w:rsidR="00000000" w14:paraId="4C12987B" w14:textId="77777777">
        <w:trPr>
          <w:trHeight w:val="160"/>
          <w:tblCellSpacing w:w="15" w:type="dxa"/>
        </w:trPr>
        <w:tc>
          <w:tcPr>
            <w:tcW w:w="0" w:type="auto"/>
            <w:vAlign w:val="bottom"/>
            <w:hideMark/>
          </w:tcPr>
          <w:p w14:paraId="18E35006" w14:textId="77777777" w:rsidR="00000000" w:rsidRDefault="00832D71">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14:paraId="6381B890"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29269F9"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5F81A0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A0B243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879EA49"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81DE03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D2F74D3"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0A18A3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03FFF01"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226847B"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AB5489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7AE7D89"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28E2967" w14:textId="77777777">
        <w:trPr>
          <w:trHeight w:val="160"/>
          <w:tblCellSpacing w:w="15" w:type="dxa"/>
        </w:trPr>
        <w:tc>
          <w:tcPr>
            <w:tcW w:w="0" w:type="auto"/>
            <w:vAlign w:val="bottom"/>
            <w:hideMark/>
          </w:tcPr>
          <w:p w14:paraId="00708ADE"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88C1480"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0FB7900"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3A5DB5D0"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814CAF9"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0BB8734"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053E9A1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DA9AFFB"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1D10B4D"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BAB37A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282E1BC"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21A882A" w14:textId="77777777" w:rsidR="00000000" w:rsidRDefault="00832D71">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14:paraId="7EE6AD2A"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66B3F518" w14:textId="77777777">
        <w:trPr>
          <w:trHeight w:val="160"/>
          <w:tblCellSpacing w:w="15" w:type="dxa"/>
        </w:trPr>
        <w:tc>
          <w:tcPr>
            <w:tcW w:w="0" w:type="auto"/>
            <w:vAlign w:val="bottom"/>
            <w:hideMark/>
          </w:tcPr>
          <w:p w14:paraId="52D74C1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88E7841"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CA8190C"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7D5CD7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038C5B8"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D05FC1C"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9A596F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09D3E92"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B7653C2" w14:textId="77777777" w:rsidR="00000000" w:rsidRDefault="00832D71">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14:paraId="657828E5"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DC5B6DA"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504A4FC" w14:textId="77777777" w:rsidR="00000000" w:rsidRDefault="00832D71">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14:paraId="0E3A1E95"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FD9FFC6" w14:textId="77777777">
        <w:trPr>
          <w:trHeight w:val="200"/>
          <w:tblCellSpacing w:w="15" w:type="dxa"/>
        </w:trPr>
        <w:tc>
          <w:tcPr>
            <w:tcW w:w="0" w:type="auto"/>
            <w:hideMark/>
          </w:tcPr>
          <w:p w14:paraId="20CE980D" w14:textId="77777777" w:rsidR="00000000" w:rsidRDefault="00832D71">
            <w:pPr>
              <w:pStyle w:val="a3"/>
              <w:spacing w:before="0" w:beforeAutospacing="0" w:after="0" w:afterAutospacing="0"/>
              <w:rPr>
                <w:sz w:val="20"/>
                <w:szCs w:val="20"/>
              </w:rPr>
            </w:pPr>
            <w:r>
              <w:rPr>
                <w:sz w:val="20"/>
                <w:szCs w:val="20"/>
              </w:rPr>
              <w:t>Operating expense</w:t>
            </w:r>
            <w:r>
              <w:rPr>
                <w:sz w:val="20"/>
                <w:szCs w:val="20"/>
              </w:rPr>
              <w:t>s</w:t>
            </w:r>
          </w:p>
        </w:tc>
        <w:tc>
          <w:tcPr>
            <w:tcW w:w="0" w:type="auto"/>
            <w:hideMark/>
          </w:tcPr>
          <w:p w14:paraId="30ABE7A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DE24BE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D86C823" w14:textId="77777777" w:rsidR="00000000" w:rsidRDefault="00832D71">
            <w:pPr>
              <w:pStyle w:val="a3"/>
              <w:spacing w:before="0" w:beforeAutospacing="0" w:after="0" w:afterAutospacing="0"/>
              <w:jc w:val="right"/>
              <w:rPr>
                <w:sz w:val="20"/>
                <w:szCs w:val="20"/>
              </w:rPr>
            </w:pPr>
            <w:r>
              <w:rPr>
                <w:sz w:val="20"/>
                <w:szCs w:val="20"/>
              </w:rPr>
              <w:t>442,41</w:t>
            </w:r>
            <w:r>
              <w:rPr>
                <w:sz w:val="20"/>
                <w:szCs w:val="20"/>
              </w:rPr>
              <w:t>1</w:t>
            </w:r>
          </w:p>
        </w:tc>
        <w:tc>
          <w:tcPr>
            <w:tcW w:w="0" w:type="auto"/>
            <w:noWrap/>
            <w:vAlign w:val="bottom"/>
            <w:hideMark/>
          </w:tcPr>
          <w:p w14:paraId="36B8E42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E153BF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FAACC2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667929F" w14:textId="77777777" w:rsidR="00000000" w:rsidRDefault="00832D71">
            <w:pPr>
              <w:pStyle w:val="a3"/>
              <w:spacing w:before="0" w:beforeAutospacing="0" w:after="0" w:afterAutospacing="0"/>
              <w:jc w:val="right"/>
              <w:rPr>
                <w:sz w:val="20"/>
                <w:szCs w:val="20"/>
              </w:rPr>
            </w:pPr>
            <w:r>
              <w:rPr>
                <w:sz w:val="20"/>
                <w:szCs w:val="20"/>
              </w:rPr>
              <w:t>411,39</w:t>
            </w:r>
            <w:r>
              <w:rPr>
                <w:sz w:val="20"/>
                <w:szCs w:val="20"/>
              </w:rPr>
              <w:t>0</w:t>
            </w:r>
          </w:p>
        </w:tc>
        <w:tc>
          <w:tcPr>
            <w:tcW w:w="0" w:type="auto"/>
            <w:noWrap/>
            <w:vAlign w:val="bottom"/>
            <w:hideMark/>
          </w:tcPr>
          <w:p w14:paraId="1E70A10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1DF278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8FCE5B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904D494" w14:textId="77777777" w:rsidR="00000000" w:rsidRDefault="00832D71">
            <w:pPr>
              <w:pStyle w:val="a3"/>
              <w:spacing w:before="0" w:beforeAutospacing="0" w:after="0" w:afterAutospacing="0"/>
              <w:jc w:val="right"/>
              <w:rPr>
                <w:sz w:val="20"/>
                <w:szCs w:val="20"/>
              </w:rPr>
            </w:pPr>
            <w:r>
              <w:rPr>
                <w:sz w:val="20"/>
                <w:szCs w:val="20"/>
              </w:rPr>
              <w:t>31,02</w:t>
            </w:r>
            <w:r>
              <w:rPr>
                <w:sz w:val="20"/>
                <w:szCs w:val="20"/>
              </w:rPr>
              <w:t>1</w:t>
            </w:r>
          </w:p>
        </w:tc>
        <w:tc>
          <w:tcPr>
            <w:tcW w:w="0" w:type="auto"/>
            <w:noWrap/>
            <w:vAlign w:val="bottom"/>
            <w:hideMark/>
          </w:tcPr>
          <w:p w14:paraId="395BEF5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6FA5BB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D9E27C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769712F" w14:textId="77777777" w:rsidR="00000000" w:rsidRDefault="00832D71">
            <w:pPr>
              <w:pStyle w:val="a3"/>
              <w:spacing w:before="0" w:beforeAutospacing="0" w:after="0" w:afterAutospacing="0"/>
              <w:jc w:val="right"/>
              <w:rPr>
                <w:sz w:val="20"/>
                <w:szCs w:val="20"/>
              </w:rPr>
            </w:pPr>
            <w:r>
              <w:rPr>
                <w:sz w:val="20"/>
                <w:szCs w:val="20"/>
              </w:rPr>
              <w:t>7.</w:t>
            </w:r>
            <w:r>
              <w:rPr>
                <w:sz w:val="20"/>
                <w:szCs w:val="20"/>
              </w:rPr>
              <w:t>5</w:t>
            </w:r>
          </w:p>
        </w:tc>
        <w:tc>
          <w:tcPr>
            <w:tcW w:w="0" w:type="auto"/>
            <w:noWrap/>
            <w:vAlign w:val="bottom"/>
            <w:hideMark/>
          </w:tcPr>
          <w:p w14:paraId="0327FB22" w14:textId="77777777" w:rsidR="00000000" w:rsidRDefault="00832D71">
            <w:pPr>
              <w:pStyle w:val="a3"/>
              <w:spacing w:before="0" w:beforeAutospacing="0" w:after="0" w:afterAutospacing="0"/>
              <w:rPr>
                <w:sz w:val="20"/>
                <w:szCs w:val="20"/>
              </w:rPr>
            </w:pPr>
            <w:r>
              <w:rPr>
                <w:sz w:val="20"/>
                <w:szCs w:val="20"/>
              </w:rPr>
              <w:t>%</w:t>
            </w:r>
          </w:p>
        </w:tc>
      </w:tr>
      <w:tr w:rsidR="00000000" w14:paraId="1320AF74" w14:textId="77777777">
        <w:trPr>
          <w:trHeight w:val="200"/>
          <w:tblCellSpacing w:w="15" w:type="dxa"/>
        </w:trPr>
        <w:tc>
          <w:tcPr>
            <w:tcW w:w="0" w:type="auto"/>
            <w:hideMark/>
          </w:tcPr>
          <w:p w14:paraId="59362027" w14:textId="77777777" w:rsidR="00000000" w:rsidRDefault="00832D71">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14:paraId="0C7C651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B3FE76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D9DE48F" w14:textId="77777777" w:rsidR="00000000" w:rsidRDefault="00832D71">
            <w:pPr>
              <w:pStyle w:val="a3"/>
              <w:spacing w:before="0" w:beforeAutospacing="0" w:after="0" w:afterAutospacing="0"/>
              <w:jc w:val="right"/>
              <w:rPr>
                <w:sz w:val="20"/>
                <w:szCs w:val="20"/>
              </w:rPr>
            </w:pPr>
            <w:r>
              <w:rPr>
                <w:sz w:val="20"/>
                <w:szCs w:val="20"/>
              </w:rPr>
              <w:t>29.</w:t>
            </w:r>
            <w:r>
              <w:rPr>
                <w:sz w:val="20"/>
                <w:szCs w:val="20"/>
              </w:rPr>
              <w:t>5</w:t>
            </w:r>
          </w:p>
        </w:tc>
        <w:tc>
          <w:tcPr>
            <w:tcW w:w="0" w:type="auto"/>
            <w:noWrap/>
            <w:vAlign w:val="bottom"/>
            <w:hideMark/>
          </w:tcPr>
          <w:p w14:paraId="2D564959"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6248977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5E8DDD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1947BB8" w14:textId="77777777" w:rsidR="00000000" w:rsidRDefault="00832D71">
            <w:pPr>
              <w:pStyle w:val="a3"/>
              <w:spacing w:before="0" w:beforeAutospacing="0" w:after="0" w:afterAutospacing="0"/>
              <w:jc w:val="right"/>
              <w:rPr>
                <w:sz w:val="20"/>
                <w:szCs w:val="20"/>
              </w:rPr>
            </w:pPr>
            <w:r>
              <w:rPr>
                <w:sz w:val="20"/>
                <w:szCs w:val="20"/>
              </w:rPr>
              <w:t>31.</w:t>
            </w:r>
            <w:r>
              <w:rPr>
                <w:sz w:val="20"/>
                <w:szCs w:val="20"/>
              </w:rPr>
              <w:t>9</w:t>
            </w:r>
          </w:p>
        </w:tc>
        <w:tc>
          <w:tcPr>
            <w:tcW w:w="0" w:type="auto"/>
            <w:noWrap/>
            <w:vAlign w:val="bottom"/>
            <w:hideMark/>
          </w:tcPr>
          <w:p w14:paraId="585B152A"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947C580"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1707FC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3E33C61"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5F90207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73A5D2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5149EE6" w14:textId="77777777" w:rsidR="00000000" w:rsidRDefault="00832D71">
            <w:pPr>
              <w:pStyle w:val="a3"/>
              <w:spacing w:before="0" w:beforeAutospacing="0" w:after="0" w:afterAutospacing="0"/>
              <w:jc w:val="right"/>
              <w:rPr>
                <w:sz w:val="20"/>
                <w:szCs w:val="20"/>
              </w:rPr>
            </w:pPr>
            <w:r>
              <w:rPr>
                <w:sz w:val="20"/>
                <w:szCs w:val="20"/>
              </w:rPr>
              <w:t> </w:t>
            </w:r>
          </w:p>
        </w:tc>
      </w:tr>
    </w:tbl>
    <w:p w14:paraId="67F7BD12" w14:textId="77777777" w:rsidR="00000000" w:rsidRDefault="00832D71">
      <w:pPr>
        <w:pStyle w:val="a3"/>
        <w:spacing w:before="0" w:beforeAutospacing="0" w:after="0" w:afterAutospacing="0"/>
        <w:rPr>
          <w:sz w:val="20"/>
          <w:szCs w:val="20"/>
        </w:rPr>
      </w:pPr>
      <w:r>
        <w:rPr>
          <w:sz w:val="20"/>
          <w:szCs w:val="20"/>
        </w:rPr>
        <w:t> </w:t>
      </w:r>
    </w:p>
    <w:p w14:paraId="261D43C4" w14:textId="77777777" w:rsidR="00000000" w:rsidRDefault="00832D71">
      <w:pPr>
        <w:pStyle w:val="a3"/>
        <w:spacing w:before="40" w:beforeAutospacing="0" w:after="0" w:afterAutospacing="0"/>
        <w:ind w:firstLine="555"/>
        <w:jc w:val="both"/>
        <w:rPr>
          <w:sz w:val="20"/>
          <w:szCs w:val="20"/>
        </w:rPr>
      </w:pPr>
      <w:r>
        <w:rPr>
          <w:sz w:val="20"/>
          <w:szCs w:val="20"/>
        </w:rPr>
        <w:t>All costs of operating our retail distribution and appliance sales and service operations are reported within operating expenses in the consolidated statements of operations. These operating expenses include the compensation and benefits of field and direc</w:t>
      </w:r>
      <w:r>
        <w:rPr>
          <w:sz w:val="20"/>
          <w:szCs w:val="20"/>
        </w:rPr>
        <w:t>t operating support personnel, costs of operating and maintaining our vehicle fleet, overhead and other costs of our purchasing, training and safety departments and other direct and indirect costs of operating our customer service centers</w:t>
      </w:r>
      <w:r>
        <w:rPr>
          <w:sz w:val="20"/>
          <w:szCs w:val="20"/>
        </w:rPr>
        <w:t>.</w:t>
      </w:r>
    </w:p>
    <w:p w14:paraId="4BBD8314" w14:textId="77777777" w:rsidR="00000000" w:rsidRDefault="00832D71">
      <w:pPr>
        <w:pStyle w:val="a3"/>
        <w:spacing w:before="240" w:beforeAutospacing="0" w:after="0" w:afterAutospacing="0"/>
        <w:ind w:firstLine="555"/>
        <w:jc w:val="both"/>
        <w:rPr>
          <w:sz w:val="20"/>
          <w:szCs w:val="20"/>
        </w:rPr>
      </w:pPr>
      <w:r>
        <w:rPr>
          <w:sz w:val="20"/>
          <w:szCs w:val="20"/>
        </w:rPr>
        <w:t>Operating expens</w:t>
      </w:r>
      <w:r>
        <w:rPr>
          <w:sz w:val="20"/>
          <w:szCs w:val="20"/>
        </w:rPr>
        <w:t>es of $442.4 million for fiscal 2022 increased $31.0 million, or 7.5%, compared to $411.4 million in the prior year, due primarily to higher payroll and benefit-related costs, including higher variable compensation expense, higher vehicle lease and operati</w:t>
      </w:r>
      <w:r>
        <w:rPr>
          <w:sz w:val="20"/>
          <w:szCs w:val="20"/>
        </w:rPr>
        <w:t>ng costs, higher provisions for doubtful accounts, as well as other inflationary effects on our operating costs</w:t>
      </w:r>
      <w:r>
        <w:rPr>
          <w:sz w:val="20"/>
          <w:szCs w:val="20"/>
        </w:rPr>
        <w:t>.</w:t>
      </w:r>
      <w:r>
        <w:rPr>
          <w:sz w:val="20"/>
          <w:szCs w:val="20"/>
        </w:rPr>
        <w:t xml:space="preserve"> </w:t>
      </w:r>
    </w:p>
    <w:p w14:paraId="405A7E0B" w14:textId="77777777" w:rsidR="00000000" w:rsidRDefault="00832D71">
      <w:pPr>
        <w:pStyle w:val="a3"/>
        <w:spacing w:before="360" w:beforeAutospacing="0" w:after="0" w:afterAutospacing="0"/>
        <w:jc w:val="both"/>
        <w:rPr>
          <w:sz w:val="20"/>
          <w:szCs w:val="20"/>
        </w:rPr>
      </w:pPr>
      <w:r>
        <w:rPr>
          <w:i/>
          <w:iCs/>
          <w:sz w:val="20"/>
          <w:szCs w:val="20"/>
        </w:rPr>
        <w:t>General and Administrative Expense</w:t>
      </w:r>
      <w:r>
        <w:rPr>
          <w:i/>
          <w:iCs/>
          <w:sz w:val="20"/>
          <w:szCs w:val="20"/>
        </w:rPr>
        <w:t>s</w:t>
      </w:r>
    </w:p>
    <w:p w14:paraId="6AA2356C" w14:textId="77777777" w:rsidR="00000000" w:rsidRDefault="00832D71">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83"/>
        <w:gridCol w:w="110"/>
        <w:gridCol w:w="160"/>
        <w:gridCol w:w="610"/>
        <w:gridCol w:w="227"/>
        <w:gridCol w:w="110"/>
        <w:gridCol w:w="160"/>
        <w:gridCol w:w="610"/>
        <w:gridCol w:w="227"/>
        <w:gridCol w:w="110"/>
        <w:gridCol w:w="160"/>
        <w:gridCol w:w="585"/>
        <w:gridCol w:w="110"/>
        <w:gridCol w:w="110"/>
        <w:gridCol w:w="112"/>
        <w:gridCol w:w="649"/>
        <w:gridCol w:w="242"/>
      </w:tblGrid>
      <w:tr w:rsidR="00000000" w14:paraId="6E4C60B4" w14:textId="77777777">
        <w:trPr>
          <w:tblCellSpacing w:w="15" w:type="dxa"/>
        </w:trPr>
        <w:tc>
          <w:tcPr>
            <w:tcW w:w="2452" w:type="pct"/>
            <w:vAlign w:val="center"/>
            <w:hideMark/>
          </w:tcPr>
          <w:p w14:paraId="6BE870BC" w14:textId="77777777" w:rsidR="00000000" w:rsidRDefault="00832D71">
            <w:pPr>
              <w:rPr>
                <w:sz w:val="20"/>
                <w:szCs w:val="20"/>
              </w:rPr>
            </w:pPr>
          </w:p>
        </w:tc>
        <w:tc>
          <w:tcPr>
            <w:tcW w:w="26" w:type="pct"/>
            <w:vAlign w:val="center"/>
            <w:hideMark/>
          </w:tcPr>
          <w:p w14:paraId="4F39C9D7" w14:textId="77777777" w:rsidR="00000000" w:rsidRDefault="00832D71">
            <w:pPr>
              <w:rPr>
                <w:rFonts w:eastAsia="Times New Roman"/>
                <w:sz w:val="20"/>
                <w:szCs w:val="20"/>
              </w:rPr>
            </w:pPr>
          </w:p>
        </w:tc>
        <w:tc>
          <w:tcPr>
            <w:tcW w:w="50" w:type="pct"/>
            <w:vAlign w:val="center"/>
            <w:hideMark/>
          </w:tcPr>
          <w:p w14:paraId="77012C85" w14:textId="77777777" w:rsidR="00000000" w:rsidRDefault="00832D71">
            <w:pPr>
              <w:rPr>
                <w:rFonts w:eastAsia="Times New Roman"/>
                <w:sz w:val="20"/>
                <w:szCs w:val="20"/>
              </w:rPr>
            </w:pPr>
          </w:p>
        </w:tc>
        <w:tc>
          <w:tcPr>
            <w:tcW w:w="417" w:type="pct"/>
            <w:vAlign w:val="center"/>
            <w:hideMark/>
          </w:tcPr>
          <w:p w14:paraId="0315EE58" w14:textId="77777777" w:rsidR="00000000" w:rsidRDefault="00832D71">
            <w:pPr>
              <w:rPr>
                <w:rFonts w:eastAsia="Times New Roman"/>
                <w:sz w:val="20"/>
                <w:szCs w:val="20"/>
              </w:rPr>
            </w:pPr>
          </w:p>
        </w:tc>
        <w:tc>
          <w:tcPr>
            <w:tcW w:w="50" w:type="pct"/>
            <w:vAlign w:val="center"/>
            <w:hideMark/>
          </w:tcPr>
          <w:p w14:paraId="7B655B8A" w14:textId="77777777" w:rsidR="00000000" w:rsidRDefault="00832D71">
            <w:pPr>
              <w:rPr>
                <w:rFonts w:eastAsia="Times New Roman"/>
                <w:sz w:val="20"/>
                <w:szCs w:val="20"/>
              </w:rPr>
            </w:pPr>
          </w:p>
        </w:tc>
        <w:tc>
          <w:tcPr>
            <w:tcW w:w="19" w:type="pct"/>
            <w:vAlign w:val="center"/>
            <w:hideMark/>
          </w:tcPr>
          <w:p w14:paraId="7A75B877" w14:textId="77777777" w:rsidR="00000000" w:rsidRDefault="00832D71">
            <w:pPr>
              <w:rPr>
                <w:rFonts w:eastAsia="Times New Roman"/>
                <w:sz w:val="20"/>
                <w:szCs w:val="20"/>
              </w:rPr>
            </w:pPr>
          </w:p>
        </w:tc>
        <w:tc>
          <w:tcPr>
            <w:tcW w:w="50" w:type="pct"/>
            <w:vAlign w:val="center"/>
            <w:hideMark/>
          </w:tcPr>
          <w:p w14:paraId="11329D67" w14:textId="77777777" w:rsidR="00000000" w:rsidRDefault="00832D71">
            <w:pPr>
              <w:rPr>
                <w:rFonts w:eastAsia="Times New Roman"/>
                <w:sz w:val="20"/>
                <w:szCs w:val="20"/>
              </w:rPr>
            </w:pPr>
          </w:p>
        </w:tc>
        <w:tc>
          <w:tcPr>
            <w:tcW w:w="417" w:type="pct"/>
            <w:vAlign w:val="center"/>
            <w:hideMark/>
          </w:tcPr>
          <w:p w14:paraId="5DCD28BF" w14:textId="77777777" w:rsidR="00000000" w:rsidRDefault="00832D71">
            <w:pPr>
              <w:rPr>
                <w:rFonts w:eastAsia="Times New Roman"/>
                <w:sz w:val="20"/>
                <w:szCs w:val="20"/>
              </w:rPr>
            </w:pPr>
          </w:p>
        </w:tc>
        <w:tc>
          <w:tcPr>
            <w:tcW w:w="50" w:type="pct"/>
            <w:vAlign w:val="center"/>
            <w:hideMark/>
          </w:tcPr>
          <w:p w14:paraId="22A1074C" w14:textId="77777777" w:rsidR="00000000" w:rsidRDefault="00832D71">
            <w:pPr>
              <w:rPr>
                <w:rFonts w:eastAsia="Times New Roman"/>
                <w:sz w:val="20"/>
                <w:szCs w:val="20"/>
              </w:rPr>
            </w:pPr>
          </w:p>
        </w:tc>
        <w:tc>
          <w:tcPr>
            <w:tcW w:w="20" w:type="pct"/>
            <w:vAlign w:val="center"/>
            <w:hideMark/>
          </w:tcPr>
          <w:p w14:paraId="16A1B545" w14:textId="77777777" w:rsidR="00000000" w:rsidRDefault="00832D71">
            <w:pPr>
              <w:rPr>
                <w:rFonts w:eastAsia="Times New Roman"/>
                <w:sz w:val="20"/>
                <w:szCs w:val="20"/>
              </w:rPr>
            </w:pPr>
          </w:p>
        </w:tc>
        <w:tc>
          <w:tcPr>
            <w:tcW w:w="50" w:type="pct"/>
            <w:vAlign w:val="center"/>
            <w:hideMark/>
          </w:tcPr>
          <w:p w14:paraId="54B3D68E" w14:textId="77777777" w:rsidR="00000000" w:rsidRDefault="00832D71">
            <w:pPr>
              <w:rPr>
                <w:rFonts w:eastAsia="Times New Roman"/>
                <w:sz w:val="20"/>
                <w:szCs w:val="20"/>
              </w:rPr>
            </w:pPr>
          </w:p>
        </w:tc>
        <w:tc>
          <w:tcPr>
            <w:tcW w:w="592" w:type="pct"/>
            <w:vAlign w:val="center"/>
            <w:hideMark/>
          </w:tcPr>
          <w:p w14:paraId="123AF229" w14:textId="77777777" w:rsidR="00000000" w:rsidRDefault="00832D71">
            <w:pPr>
              <w:rPr>
                <w:rFonts w:eastAsia="Times New Roman"/>
                <w:sz w:val="20"/>
                <w:szCs w:val="20"/>
              </w:rPr>
            </w:pPr>
          </w:p>
        </w:tc>
        <w:tc>
          <w:tcPr>
            <w:tcW w:w="50" w:type="pct"/>
            <w:vAlign w:val="center"/>
            <w:hideMark/>
          </w:tcPr>
          <w:p w14:paraId="7A68C9EF" w14:textId="77777777" w:rsidR="00000000" w:rsidRDefault="00832D71">
            <w:pPr>
              <w:rPr>
                <w:rFonts w:eastAsia="Times New Roman"/>
                <w:sz w:val="20"/>
                <w:szCs w:val="20"/>
              </w:rPr>
            </w:pPr>
          </w:p>
        </w:tc>
        <w:tc>
          <w:tcPr>
            <w:tcW w:w="16" w:type="pct"/>
            <w:vAlign w:val="center"/>
            <w:hideMark/>
          </w:tcPr>
          <w:p w14:paraId="2117DB20" w14:textId="77777777" w:rsidR="00000000" w:rsidRDefault="00832D71">
            <w:pPr>
              <w:rPr>
                <w:rFonts w:eastAsia="Times New Roman"/>
                <w:sz w:val="20"/>
                <w:szCs w:val="20"/>
              </w:rPr>
            </w:pPr>
          </w:p>
        </w:tc>
        <w:tc>
          <w:tcPr>
            <w:tcW w:w="50" w:type="pct"/>
            <w:vAlign w:val="center"/>
            <w:hideMark/>
          </w:tcPr>
          <w:p w14:paraId="2B3E137F" w14:textId="77777777" w:rsidR="00000000" w:rsidRDefault="00832D71">
            <w:pPr>
              <w:rPr>
                <w:rFonts w:eastAsia="Times New Roman"/>
                <w:sz w:val="20"/>
                <w:szCs w:val="20"/>
              </w:rPr>
            </w:pPr>
          </w:p>
        </w:tc>
        <w:tc>
          <w:tcPr>
            <w:tcW w:w="637" w:type="pct"/>
            <w:vAlign w:val="center"/>
            <w:hideMark/>
          </w:tcPr>
          <w:p w14:paraId="077EC3CF" w14:textId="77777777" w:rsidR="00000000" w:rsidRDefault="00832D71">
            <w:pPr>
              <w:rPr>
                <w:rFonts w:eastAsia="Times New Roman"/>
                <w:sz w:val="20"/>
                <w:szCs w:val="20"/>
              </w:rPr>
            </w:pPr>
          </w:p>
        </w:tc>
        <w:tc>
          <w:tcPr>
            <w:tcW w:w="50" w:type="pct"/>
            <w:vAlign w:val="center"/>
            <w:hideMark/>
          </w:tcPr>
          <w:p w14:paraId="252A996B" w14:textId="77777777" w:rsidR="00000000" w:rsidRDefault="00832D71">
            <w:pPr>
              <w:rPr>
                <w:rFonts w:eastAsia="Times New Roman"/>
                <w:sz w:val="20"/>
                <w:szCs w:val="20"/>
              </w:rPr>
            </w:pPr>
          </w:p>
        </w:tc>
      </w:tr>
      <w:tr w:rsidR="00000000" w14:paraId="78BDE0A2" w14:textId="77777777">
        <w:trPr>
          <w:trHeight w:val="160"/>
          <w:tblCellSpacing w:w="15" w:type="dxa"/>
        </w:trPr>
        <w:tc>
          <w:tcPr>
            <w:tcW w:w="0" w:type="auto"/>
            <w:vAlign w:val="bottom"/>
            <w:hideMark/>
          </w:tcPr>
          <w:p w14:paraId="0326DA7F" w14:textId="77777777" w:rsidR="00000000" w:rsidRDefault="00832D71">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14:paraId="0498EC6B"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9B273C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E107EE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9E0A0D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987DBF4"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C0E1D2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480F7CB"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2AF216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3A15385"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F0DECC1"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440A758"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F609EEE"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5BA190B6" w14:textId="77777777">
        <w:trPr>
          <w:trHeight w:val="160"/>
          <w:tblCellSpacing w:w="15" w:type="dxa"/>
        </w:trPr>
        <w:tc>
          <w:tcPr>
            <w:tcW w:w="0" w:type="auto"/>
            <w:vAlign w:val="bottom"/>
            <w:hideMark/>
          </w:tcPr>
          <w:p w14:paraId="275F8E5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7E40083"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0F46CD2"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5BFF75DA"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259038F"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BEA7D35"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4DD2489F"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738EAF5"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D9A81C1"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B70D7A1"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30D018C"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5012B54" w14:textId="77777777" w:rsidR="00000000" w:rsidRDefault="00832D71">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14:paraId="58E81CB1"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1AABFBED" w14:textId="77777777">
        <w:trPr>
          <w:trHeight w:val="160"/>
          <w:tblCellSpacing w:w="15" w:type="dxa"/>
        </w:trPr>
        <w:tc>
          <w:tcPr>
            <w:tcW w:w="0" w:type="auto"/>
            <w:vAlign w:val="bottom"/>
            <w:hideMark/>
          </w:tcPr>
          <w:p w14:paraId="60396AD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5C56479"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0AC34AC"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796D8598"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9AB139F"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31CC142"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712EDC9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DD2527F"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8B3957E" w14:textId="77777777" w:rsidR="00000000" w:rsidRDefault="00832D71">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14:paraId="1C7B0E4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7E00F1D"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9B0AA65" w14:textId="77777777" w:rsidR="00000000" w:rsidRDefault="00832D71">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14:paraId="7985BCE1"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690C7C55" w14:textId="77777777">
        <w:trPr>
          <w:trHeight w:val="200"/>
          <w:tblCellSpacing w:w="15" w:type="dxa"/>
        </w:trPr>
        <w:tc>
          <w:tcPr>
            <w:tcW w:w="0" w:type="auto"/>
            <w:hideMark/>
          </w:tcPr>
          <w:p w14:paraId="52EC740F" w14:textId="77777777" w:rsidR="00000000" w:rsidRDefault="00832D71">
            <w:pPr>
              <w:pStyle w:val="a3"/>
              <w:spacing w:before="0" w:beforeAutospacing="0" w:after="0" w:afterAutospacing="0"/>
              <w:rPr>
                <w:sz w:val="20"/>
                <w:szCs w:val="20"/>
              </w:rPr>
            </w:pPr>
            <w:r>
              <w:rPr>
                <w:sz w:val="20"/>
                <w:szCs w:val="20"/>
              </w:rPr>
              <w:t>General and administrative expense</w:t>
            </w:r>
            <w:r>
              <w:rPr>
                <w:sz w:val="20"/>
                <w:szCs w:val="20"/>
              </w:rPr>
              <w:t>s</w:t>
            </w:r>
          </w:p>
        </w:tc>
        <w:tc>
          <w:tcPr>
            <w:tcW w:w="0" w:type="auto"/>
            <w:hideMark/>
          </w:tcPr>
          <w:p w14:paraId="542D4FC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95B119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5BF78F8" w14:textId="77777777" w:rsidR="00000000" w:rsidRDefault="00832D71">
            <w:pPr>
              <w:pStyle w:val="a3"/>
              <w:spacing w:before="0" w:beforeAutospacing="0" w:after="0" w:afterAutospacing="0"/>
              <w:jc w:val="right"/>
              <w:rPr>
                <w:sz w:val="20"/>
                <w:szCs w:val="20"/>
              </w:rPr>
            </w:pPr>
            <w:r>
              <w:rPr>
                <w:sz w:val="20"/>
                <w:szCs w:val="20"/>
              </w:rPr>
              <w:t>81,75</w:t>
            </w:r>
            <w:r>
              <w:rPr>
                <w:sz w:val="20"/>
                <w:szCs w:val="20"/>
              </w:rPr>
              <w:t>6</w:t>
            </w:r>
          </w:p>
        </w:tc>
        <w:tc>
          <w:tcPr>
            <w:tcW w:w="0" w:type="auto"/>
            <w:noWrap/>
            <w:vAlign w:val="bottom"/>
            <w:hideMark/>
          </w:tcPr>
          <w:p w14:paraId="7D90A02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05BEA4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136988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6874A5E" w14:textId="77777777" w:rsidR="00000000" w:rsidRDefault="00832D71">
            <w:pPr>
              <w:pStyle w:val="a3"/>
              <w:spacing w:before="0" w:beforeAutospacing="0" w:after="0" w:afterAutospacing="0"/>
              <w:jc w:val="right"/>
              <w:rPr>
                <w:sz w:val="20"/>
                <w:szCs w:val="20"/>
              </w:rPr>
            </w:pPr>
            <w:r>
              <w:rPr>
                <w:sz w:val="20"/>
                <w:szCs w:val="20"/>
              </w:rPr>
              <w:t>74,09</w:t>
            </w:r>
            <w:r>
              <w:rPr>
                <w:sz w:val="20"/>
                <w:szCs w:val="20"/>
              </w:rPr>
              <w:t>6</w:t>
            </w:r>
          </w:p>
        </w:tc>
        <w:tc>
          <w:tcPr>
            <w:tcW w:w="0" w:type="auto"/>
            <w:noWrap/>
            <w:vAlign w:val="bottom"/>
            <w:hideMark/>
          </w:tcPr>
          <w:p w14:paraId="7F3CB64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729186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E9B29F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1A61286" w14:textId="77777777" w:rsidR="00000000" w:rsidRDefault="00832D71">
            <w:pPr>
              <w:pStyle w:val="a3"/>
              <w:spacing w:before="0" w:beforeAutospacing="0" w:after="0" w:afterAutospacing="0"/>
              <w:jc w:val="right"/>
              <w:rPr>
                <w:sz w:val="20"/>
                <w:szCs w:val="20"/>
              </w:rPr>
            </w:pPr>
            <w:r>
              <w:rPr>
                <w:sz w:val="20"/>
                <w:szCs w:val="20"/>
              </w:rPr>
              <w:t>7,66</w:t>
            </w:r>
            <w:r>
              <w:rPr>
                <w:sz w:val="20"/>
                <w:szCs w:val="20"/>
              </w:rPr>
              <w:t>0</w:t>
            </w:r>
          </w:p>
        </w:tc>
        <w:tc>
          <w:tcPr>
            <w:tcW w:w="0" w:type="auto"/>
            <w:noWrap/>
            <w:vAlign w:val="bottom"/>
            <w:hideMark/>
          </w:tcPr>
          <w:p w14:paraId="5B2142B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60974D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3D46C4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74A58D4"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3</w:t>
            </w:r>
          </w:p>
        </w:tc>
        <w:tc>
          <w:tcPr>
            <w:tcW w:w="0" w:type="auto"/>
            <w:noWrap/>
            <w:vAlign w:val="bottom"/>
            <w:hideMark/>
          </w:tcPr>
          <w:p w14:paraId="1A3E749D" w14:textId="77777777" w:rsidR="00000000" w:rsidRDefault="00832D71">
            <w:pPr>
              <w:pStyle w:val="a3"/>
              <w:spacing w:before="0" w:beforeAutospacing="0" w:after="0" w:afterAutospacing="0"/>
              <w:rPr>
                <w:sz w:val="20"/>
                <w:szCs w:val="20"/>
              </w:rPr>
            </w:pPr>
            <w:r>
              <w:rPr>
                <w:sz w:val="20"/>
                <w:szCs w:val="20"/>
              </w:rPr>
              <w:t>%</w:t>
            </w:r>
          </w:p>
        </w:tc>
      </w:tr>
      <w:tr w:rsidR="00000000" w14:paraId="53706C56" w14:textId="77777777">
        <w:trPr>
          <w:trHeight w:val="200"/>
          <w:tblCellSpacing w:w="15" w:type="dxa"/>
        </w:trPr>
        <w:tc>
          <w:tcPr>
            <w:tcW w:w="0" w:type="auto"/>
            <w:hideMark/>
          </w:tcPr>
          <w:p w14:paraId="1F0AA5CB" w14:textId="77777777" w:rsidR="00000000" w:rsidRDefault="00832D71">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14:paraId="7687193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7DF1CD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56301A9" w14:textId="77777777" w:rsidR="00000000" w:rsidRDefault="00832D71">
            <w:pPr>
              <w:pStyle w:val="a3"/>
              <w:spacing w:before="0" w:beforeAutospacing="0" w:after="0" w:afterAutospacing="0"/>
              <w:jc w:val="right"/>
              <w:rPr>
                <w:sz w:val="20"/>
                <w:szCs w:val="20"/>
              </w:rPr>
            </w:pPr>
            <w:r>
              <w:rPr>
                <w:sz w:val="20"/>
                <w:szCs w:val="20"/>
              </w:rPr>
              <w:t>5.</w:t>
            </w:r>
            <w:r>
              <w:rPr>
                <w:sz w:val="20"/>
                <w:szCs w:val="20"/>
              </w:rPr>
              <w:t>4</w:t>
            </w:r>
          </w:p>
        </w:tc>
        <w:tc>
          <w:tcPr>
            <w:tcW w:w="0" w:type="auto"/>
            <w:noWrap/>
            <w:vAlign w:val="bottom"/>
            <w:hideMark/>
          </w:tcPr>
          <w:p w14:paraId="42436CC9"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FB1444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E95D2F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4CAAF16" w14:textId="77777777" w:rsidR="00000000" w:rsidRDefault="00832D71">
            <w:pPr>
              <w:pStyle w:val="a3"/>
              <w:spacing w:before="0" w:beforeAutospacing="0" w:after="0" w:afterAutospacing="0"/>
              <w:jc w:val="right"/>
              <w:rPr>
                <w:sz w:val="20"/>
                <w:szCs w:val="20"/>
              </w:rPr>
            </w:pPr>
            <w:r>
              <w:rPr>
                <w:sz w:val="20"/>
                <w:szCs w:val="20"/>
              </w:rPr>
              <w:t>5.</w:t>
            </w:r>
            <w:r>
              <w:rPr>
                <w:sz w:val="20"/>
                <w:szCs w:val="20"/>
              </w:rPr>
              <w:t>7</w:t>
            </w:r>
          </w:p>
        </w:tc>
        <w:tc>
          <w:tcPr>
            <w:tcW w:w="0" w:type="auto"/>
            <w:noWrap/>
            <w:vAlign w:val="bottom"/>
            <w:hideMark/>
          </w:tcPr>
          <w:p w14:paraId="3EABADAB"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B32485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30D4B6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012918D"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03668D9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0538D2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05A4E08" w14:textId="77777777" w:rsidR="00000000" w:rsidRDefault="00832D71">
            <w:pPr>
              <w:pStyle w:val="a3"/>
              <w:spacing w:before="0" w:beforeAutospacing="0" w:after="0" w:afterAutospacing="0"/>
              <w:jc w:val="right"/>
              <w:rPr>
                <w:sz w:val="20"/>
                <w:szCs w:val="20"/>
              </w:rPr>
            </w:pPr>
            <w:r>
              <w:rPr>
                <w:sz w:val="20"/>
                <w:szCs w:val="20"/>
              </w:rPr>
              <w:t> </w:t>
            </w:r>
          </w:p>
        </w:tc>
      </w:tr>
    </w:tbl>
    <w:p w14:paraId="1AF8FA95" w14:textId="77777777" w:rsidR="00000000" w:rsidRDefault="00832D71">
      <w:pPr>
        <w:pStyle w:val="a3"/>
        <w:spacing w:before="0" w:beforeAutospacing="0" w:after="0" w:afterAutospacing="0"/>
        <w:rPr>
          <w:sz w:val="20"/>
          <w:szCs w:val="20"/>
        </w:rPr>
      </w:pPr>
      <w:r>
        <w:rPr>
          <w:sz w:val="20"/>
          <w:szCs w:val="20"/>
        </w:rPr>
        <w:t> </w:t>
      </w:r>
    </w:p>
    <w:p w14:paraId="5CB1E9B6" w14:textId="77777777" w:rsidR="00000000" w:rsidRDefault="00832D71">
      <w:pPr>
        <w:pStyle w:val="a3"/>
        <w:spacing w:before="40" w:beforeAutospacing="0" w:after="0" w:afterAutospacing="0"/>
        <w:ind w:firstLine="555"/>
        <w:jc w:val="both"/>
        <w:rPr>
          <w:sz w:val="20"/>
          <w:szCs w:val="20"/>
        </w:rPr>
      </w:pPr>
      <w:r>
        <w:rPr>
          <w:sz w:val="20"/>
          <w:szCs w:val="20"/>
        </w:rPr>
        <w:t xml:space="preserve">All costs of our back office support functions, including compensation and benefits for executives and other support functions, as well as other costs and expenses to maintain finance and accounting, treasury, legal, human resources, corporate development </w:t>
      </w:r>
      <w:r>
        <w:rPr>
          <w:sz w:val="20"/>
          <w:szCs w:val="20"/>
        </w:rPr>
        <w:t>and the information systems functions are reported within general and administrative expenses in the consolidated statements of operations</w:t>
      </w:r>
      <w:r>
        <w:rPr>
          <w:sz w:val="20"/>
          <w:szCs w:val="20"/>
        </w:rPr>
        <w:t>.</w:t>
      </w:r>
    </w:p>
    <w:p w14:paraId="305FE52D" w14:textId="77777777" w:rsidR="00000000" w:rsidRDefault="00832D71">
      <w:pPr>
        <w:pStyle w:val="a3"/>
        <w:spacing w:before="240" w:beforeAutospacing="0" w:after="0" w:afterAutospacing="0"/>
        <w:ind w:firstLine="555"/>
        <w:jc w:val="both"/>
        <w:rPr>
          <w:sz w:val="20"/>
          <w:szCs w:val="20"/>
        </w:rPr>
      </w:pPr>
      <w:r>
        <w:rPr>
          <w:sz w:val="20"/>
          <w:szCs w:val="20"/>
        </w:rPr>
        <w:t>General and administrative expenses of $81.8 million for fiscal 2022 increased $7.7 million, or 10.3%, compared to $</w:t>
      </w:r>
      <w:r>
        <w:rPr>
          <w:sz w:val="20"/>
          <w:szCs w:val="20"/>
        </w:rPr>
        <w:t>74.1 million in the prior year, primarily due to higher payroll and benefit-related costs, including higher variable compensation expense given the year-over-year increase in earnings, as well as other inflationary effects on our expense base</w:t>
      </w:r>
      <w:r>
        <w:rPr>
          <w:sz w:val="20"/>
          <w:szCs w:val="20"/>
        </w:rPr>
        <w:t>.</w:t>
      </w:r>
      <w:r>
        <w:rPr>
          <w:sz w:val="20"/>
          <w:szCs w:val="20"/>
        </w:rPr>
        <w:t xml:space="preserve"> </w:t>
      </w:r>
    </w:p>
    <w:p w14:paraId="69E7C510" w14:textId="77777777" w:rsidR="00000000" w:rsidRDefault="00832D71">
      <w:pPr>
        <w:pStyle w:val="a3"/>
        <w:spacing w:before="360" w:beforeAutospacing="0" w:after="0" w:afterAutospacing="0"/>
        <w:jc w:val="both"/>
        <w:rPr>
          <w:sz w:val="20"/>
          <w:szCs w:val="20"/>
        </w:rPr>
      </w:pPr>
      <w:r>
        <w:rPr>
          <w:i/>
          <w:iCs/>
          <w:sz w:val="20"/>
          <w:szCs w:val="20"/>
        </w:rPr>
        <w:t>Depreciatio</w:t>
      </w:r>
      <w:r>
        <w:rPr>
          <w:i/>
          <w:iCs/>
          <w:sz w:val="20"/>
          <w:szCs w:val="20"/>
        </w:rPr>
        <w:t>n and Amortizatio</w:t>
      </w:r>
      <w:r>
        <w:rPr>
          <w:i/>
          <w:iCs/>
          <w:sz w:val="20"/>
          <w:szCs w:val="20"/>
        </w:rPr>
        <w:t>n</w:t>
      </w:r>
    </w:p>
    <w:p w14:paraId="7B7FEF38" w14:textId="77777777" w:rsidR="00000000" w:rsidRDefault="00832D71">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57"/>
        <w:gridCol w:w="110"/>
        <w:gridCol w:w="160"/>
        <w:gridCol w:w="610"/>
        <w:gridCol w:w="227"/>
        <w:gridCol w:w="110"/>
        <w:gridCol w:w="160"/>
        <w:gridCol w:w="710"/>
        <w:gridCol w:w="227"/>
        <w:gridCol w:w="110"/>
        <w:gridCol w:w="160"/>
        <w:gridCol w:w="677"/>
        <w:gridCol w:w="127"/>
        <w:gridCol w:w="110"/>
        <w:gridCol w:w="111"/>
        <w:gridCol w:w="600"/>
        <w:gridCol w:w="309"/>
      </w:tblGrid>
      <w:tr w:rsidR="00000000" w14:paraId="483ECC0C" w14:textId="77777777">
        <w:trPr>
          <w:tblCellSpacing w:w="15" w:type="dxa"/>
        </w:trPr>
        <w:tc>
          <w:tcPr>
            <w:tcW w:w="2466" w:type="pct"/>
            <w:vAlign w:val="center"/>
            <w:hideMark/>
          </w:tcPr>
          <w:p w14:paraId="76093392" w14:textId="77777777" w:rsidR="00000000" w:rsidRDefault="00832D71">
            <w:pPr>
              <w:rPr>
                <w:sz w:val="20"/>
                <w:szCs w:val="20"/>
              </w:rPr>
            </w:pPr>
          </w:p>
        </w:tc>
        <w:tc>
          <w:tcPr>
            <w:tcW w:w="45" w:type="pct"/>
            <w:vAlign w:val="center"/>
            <w:hideMark/>
          </w:tcPr>
          <w:p w14:paraId="5A0C6E89" w14:textId="77777777" w:rsidR="00000000" w:rsidRDefault="00832D71">
            <w:pPr>
              <w:rPr>
                <w:rFonts w:eastAsia="Times New Roman"/>
                <w:sz w:val="20"/>
                <w:szCs w:val="20"/>
              </w:rPr>
            </w:pPr>
          </w:p>
        </w:tc>
        <w:tc>
          <w:tcPr>
            <w:tcW w:w="50" w:type="pct"/>
            <w:vAlign w:val="center"/>
            <w:hideMark/>
          </w:tcPr>
          <w:p w14:paraId="29F95969" w14:textId="77777777" w:rsidR="00000000" w:rsidRDefault="00832D71">
            <w:pPr>
              <w:rPr>
                <w:rFonts w:eastAsia="Times New Roman"/>
                <w:sz w:val="20"/>
                <w:szCs w:val="20"/>
              </w:rPr>
            </w:pPr>
          </w:p>
        </w:tc>
        <w:tc>
          <w:tcPr>
            <w:tcW w:w="443" w:type="pct"/>
            <w:vAlign w:val="center"/>
            <w:hideMark/>
          </w:tcPr>
          <w:p w14:paraId="5DE7CA3D" w14:textId="77777777" w:rsidR="00000000" w:rsidRDefault="00832D71">
            <w:pPr>
              <w:rPr>
                <w:rFonts w:eastAsia="Times New Roman"/>
                <w:sz w:val="20"/>
                <w:szCs w:val="20"/>
              </w:rPr>
            </w:pPr>
          </w:p>
        </w:tc>
        <w:tc>
          <w:tcPr>
            <w:tcW w:w="50" w:type="pct"/>
            <w:vAlign w:val="center"/>
            <w:hideMark/>
          </w:tcPr>
          <w:p w14:paraId="20466FBD" w14:textId="77777777" w:rsidR="00000000" w:rsidRDefault="00832D71">
            <w:pPr>
              <w:rPr>
                <w:rFonts w:eastAsia="Times New Roman"/>
                <w:sz w:val="20"/>
                <w:szCs w:val="20"/>
              </w:rPr>
            </w:pPr>
          </w:p>
        </w:tc>
        <w:tc>
          <w:tcPr>
            <w:tcW w:w="45" w:type="pct"/>
            <w:vAlign w:val="center"/>
            <w:hideMark/>
          </w:tcPr>
          <w:p w14:paraId="49395683" w14:textId="77777777" w:rsidR="00000000" w:rsidRDefault="00832D71">
            <w:pPr>
              <w:rPr>
                <w:rFonts w:eastAsia="Times New Roman"/>
                <w:sz w:val="20"/>
                <w:szCs w:val="20"/>
              </w:rPr>
            </w:pPr>
          </w:p>
        </w:tc>
        <w:tc>
          <w:tcPr>
            <w:tcW w:w="50" w:type="pct"/>
            <w:vAlign w:val="center"/>
            <w:hideMark/>
          </w:tcPr>
          <w:p w14:paraId="37B8C9EA" w14:textId="77777777" w:rsidR="00000000" w:rsidRDefault="00832D71">
            <w:pPr>
              <w:rPr>
                <w:rFonts w:eastAsia="Times New Roman"/>
                <w:sz w:val="20"/>
                <w:szCs w:val="20"/>
              </w:rPr>
            </w:pPr>
          </w:p>
        </w:tc>
        <w:tc>
          <w:tcPr>
            <w:tcW w:w="443" w:type="pct"/>
            <w:vAlign w:val="center"/>
            <w:hideMark/>
          </w:tcPr>
          <w:p w14:paraId="4726E62E" w14:textId="77777777" w:rsidR="00000000" w:rsidRDefault="00832D71">
            <w:pPr>
              <w:rPr>
                <w:rFonts w:eastAsia="Times New Roman"/>
                <w:sz w:val="20"/>
                <w:szCs w:val="20"/>
              </w:rPr>
            </w:pPr>
          </w:p>
        </w:tc>
        <w:tc>
          <w:tcPr>
            <w:tcW w:w="50" w:type="pct"/>
            <w:vAlign w:val="center"/>
            <w:hideMark/>
          </w:tcPr>
          <w:p w14:paraId="3A595A30" w14:textId="77777777" w:rsidR="00000000" w:rsidRDefault="00832D71">
            <w:pPr>
              <w:rPr>
                <w:rFonts w:eastAsia="Times New Roman"/>
                <w:sz w:val="20"/>
                <w:szCs w:val="20"/>
              </w:rPr>
            </w:pPr>
          </w:p>
        </w:tc>
        <w:tc>
          <w:tcPr>
            <w:tcW w:w="45" w:type="pct"/>
            <w:vAlign w:val="center"/>
            <w:hideMark/>
          </w:tcPr>
          <w:p w14:paraId="10E5B75C" w14:textId="77777777" w:rsidR="00000000" w:rsidRDefault="00832D71">
            <w:pPr>
              <w:rPr>
                <w:rFonts w:eastAsia="Times New Roman"/>
                <w:sz w:val="20"/>
                <w:szCs w:val="20"/>
              </w:rPr>
            </w:pPr>
          </w:p>
        </w:tc>
        <w:tc>
          <w:tcPr>
            <w:tcW w:w="50" w:type="pct"/>
            <w:vAlign w:val="center"/>
            <w:hideMark/>
          </w:tcPr>
          <w:p w14:paraId="57B808AE" w14:textId="77777777" w:rsidR="00000000" w:rsidRDefault="00832D71">
            <w:pPr>
              <w:rPr>
                <w:rFonts w:eastAsia="Times New Roman"/>
                <w:sz w:val="20"/>
                <w:szCs w:val="20"/>
              </w:rPr>
            </w:pPr>
          </w:p>
        </w:tc>
        <w:tc>
          <w:tcPr>
            <w:tcW w:w="396" w:type="pct"/>
            <w:vAlign w:val="center"/>
            <w:hideMark/>
          </w:tcPr>
          <w:p w14:paraId="4A31E742" w14:textId="77777777" w:rsidR="00000000" w:rsidRDefault="00832D71">
            <w:pPr>
              <w:rPr>
                <w:rFonts w:eastAsia="Times New Roman"/>
                <w:sz w:val="20"/>
                <w:szCs w:val="20"/>
              </w:rPr>
            </w:pPr>
          </w:p>
        </w:tc>
        <w:tc>
          <w:tcPr>
            <w:tcW w:w="50" w:type="pct"/>
            <w:vAlign w:val="center"/>
            <w:hideMark/>
          </w:tcPr>
          <w:p w14:paraId="7781A5F7" w14:textId="77777777" w:rsidR="00000000" w:rsidRDefault="00832D71">
            <w:pPr>
              <w:rPr>
                <w:rFonts w:eastAsia="Times New Roman"/>
                <w:sz w:val="20"/>
                <w:szCs w:val="20"/>
              </w:rPr>
            </w:pPr>
          </w:p>
        </w:tc>
        <w:tc>
          <w:tcPr>
            <w:tcW w:w="35" w:type="pct"/>
            <w:vAlign w:val="center"/>
            <w:hideMark/>
          </w:tcPr>
          <w:p w14:paraId="43C8F083" w14:textId="77777777" w:rsidR="00000000" w:rsidRDefault="00832D71">
            <w:pPr>
              <w:rPr>
                <w:rFonts w:eastAsia="Times New Roman"/>
                <w:sz w:val="20"/>
                <w:szCs w:val="20"/>
              </w:rPr>
            </w:pPr>
          </w:p>
        </w:tc>
        <w:tc>
          <w:tcPr>
            <w:tcW w:w="50" w:type="pct"/>
            <w:vAlign w:val="center"/>
            <w:hideMark/>
          </w:tcPr>
          <w:p w14:paraId="0EBFAE21" w14:textId="77777777" w:rsidR="00000000" w:rsidRDefault="00832D71">
            <w:pPr>
              <w:rPr>
                <w:rFonts w:eastAsia="Times New Roman"/>
                <w:sz w:val="20"/>
                <w:szCs w:val="20"/>
              </w:rPr>
            </w:pPr>
          </w:p>
        </w:tc>
        <w:tc>
          <w:tcPr>
            <w:tcW w:w="677" w:type="pct"/>
            <w:vAlign w:val="center"/>
            <w:hideMark/>
          </w:tcPr>
          <w:p w14:paraId="6A87E7FA" w14:textId="77777777" w:rsidR="00000000" w:rsidRDefault="00832D71">
            <w:pPr>
              <w:rPr>
                <w:rFonts w:eastAsia="Times New Roman"/>
                <w:sz w:val="20"/>
                <w:szCs w:val="20"/>
              </w:rPr>
            </w:pPr>
          </w:p>
        </w:tc>
        <w:tc>
          <w:tcPr>
            <w:tcW w:w="50" w:type="pct"/>
            <w:vAlign w:val="center"/>
            <w:hideMark/>
          </w:tcPr>
          <w:p w14:paraId="7ADB404D" w14:textId="77777777" w:rsidR="00000000" w:rsidRDefault="00832D71">
            <w:pPr>
              <w:rPr>
                <w:rFonts w:eastAsia="Times New Roman"/>
                <w:sz w:val="20"/>
                <w:szCs w:val="20"/>
              </w:rPr>
            </w:pPr>
          </w:p>
        </w:tc>
      </w:tr>
      <w:tr w:rsidR="00000000" w14:paraId="2AA5A5B0" w14:textId="77777777">
        <w:trPr>
          <w:trHeight w:val="160"/>
          <w:tblCellSpacing w:w="15" w:type="dxa"/>
        </w:trPr>
        <w:tc>
          <w:tcPr>
            <w:tcW w:w="0" w:type="auto"/>
            <w:vAlign w:val="bottom"/>
            <w:hideMark/>
          </w:tcPr>
          <w:p w14:paraId="2C26CECA" w14:textId="77777777" w:rsidR="00000000" w:rsidRDefault="00832D71">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14:paraId="67D7DA78"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EE52B8C"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8C480AA"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588B55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8A11A81"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782892D"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5D553AB"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3F7BC89"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2089F8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FDCA3A8"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E7F44E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3839987"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4CBDAED" w14:textId="77777777">
        <w:trPr>
          <w:trHeight w:val="160"/>
          <w:tblCellSpacing w:w="15" w:type="dxa"/>
        </w:trPr>
        <w:tc>
          <w:tcPr>
            <w:tcW w:w="0" w:type="auto"/>
            <w:vAlign w:val="bottom"/>
            <w:hideMark/>
          </w:tcPr>
          <w:p w14:paraId="2FD21C0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A899F72"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CB691A8"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02FED18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4B9908D"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DEB168A"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1ECC8823"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78F735E"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549B005"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6F2859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0FC8AB1"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36153AF" w14:textId="77777777" w:rsidR="00000000" w:rsidRDefault="00832D71">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14:paraId="07D440F0"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44659A2F" w14:textId="77777777">
        <w:trPr>
          <w:trHeight w:val="160"/>
          <w:tblCellSpacing w:w="15" w:type="dxa"/>
        </w:trPr>
        <w:tc>
          <w:tcPr>
            <w:tcW w:w="0" w:type="auto"/>
            <w:vAlign w:val="bottom"/>
            <w:hideMark/>
          </w:tcPr>
          <w:p w14:paraId="4B9AA89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7427151"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B01D658"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0889E00"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4222A0A"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DB3726A"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8390980"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F2E47CC"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D851DD9" w14:textId="77777777" w:rsidR="00000000" w:rsidRDefault="00832D71">
            <w:pPr>
              <w:pStyle w:val="a3"/>
              <w:spacing w:before="0" w:beforeAutospacing="0" w:after="0" w:afterAutospacing="0"/>
              <w:jc w:val="center"/>
              <w:rPr>
                <w:sz w:val="16"/>
                <w:szCs w:val="16"/>
              </w:rPr>
            </w:pPr>
            <w:r>
              <w:rPr>
                <w:b/>
                <w:bCs/>
                <w:sz w:val="16"/>
                <w:szCs w:val="16"/>
              </w:rPr>
              <w:t>Decreas</w:t>
            </w:r>
            <w:r>
              <w:rPr>
                <w:b/>
                <w:bCs/>
                <w:sz w:val="16"/>
                <w:szCs w:val="16"/>
              </w:rPr>
              <w:t>e</w:t>
            </w:r>
          </w:p>
        </w:tc>
        <w:tc>
          <w:tcPr>
            <w:tcW w:w="0" w:type="auto"/>
            <w:vAlign w:val="bottom"/>
            <w:hideMark/>
          </w:tcPr>
          <w:p w14:paraId="06D6E54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D26874B"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A21326B" w14:textId="77777777" w:rsidR="00000000" w:rsidRDefault="00832D71">
            <w:pPr>
              <w:pStyle w:val="a3"/>
              <w:spacing w:before="0" w:beforeAutospacing="0" w:after="0" w:afterAutospacing="0"/>
              <w:jc w:val="center"/>
              <w:rPr>
                <w:sz w:val="16"/>
                <w:szCs w:val="16"/>
              </w:rPr>
            </w:pPr>
            <w:r>
              <w:rPr>
                <w:b/>
                <w:bCs/>
                <w:sz w:val="16"/>
                <w:szCs w:val="16"/>
              </w:rPr>
              <w:t>Decreas</w:t>
            </w:r>
            <w:r>
              <w:rPr>
                <w:b/>
                <w:bCs/>
                <w:sz w:val="16"/>
                <w:szCs w:val="16"/>
              </w:rPr>
              <w:t>e</w:t>
            </w:r>
          </w:p>
        </w:tc>
        <w:tc>
          <w:tcPr>
            <w:tcW w:w="0" w:type="auto"/>
            <w:vAlign w:val="bottom"/>
            <w:hideMark/>
          </w:tcPr>
          <w:p w14:paraId="76981B8B"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44AB0D93" w14:textId="77777777">
        <w:trPr>
          <w:trHeight w:val="200"/>
          <w:tblCellSpacing w:w="15" w:type="dxa"/>
        </w:trPr>
        <w:tc>
          <w:tcPr>
            <w:tcW w:w="0" w:type="auto"/>
            <w:hideMark/>
          </w:tcPr>
          <w:p w14:paraId="08D8CC21" w14:textId="77777777" w:rsidR="00000000" w:rsidRDefault="00832D71">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hideMark/>
          </w:tcPr>
          <w:p w14:paraId="001BB34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1BA7C5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A4120FA" w14:textId="77777777" w:rsidR="00000000" w:rsidRDefault="00832D71">
            <w:pPr>
              <w:pStyle w:val="a3"/>
              <w:spacing w:before="0" w:beforeAutospacing="0" w:after="0" w:afterAutospacing="0"/>
              <w:jc w:val="right"/>
              <w:rPr>
                <w:sz w:val="20"/>
                <w:szCs w:val="20"/>
              </w:rPr>
            </w:pPr>
            <w:r>
              <w:rPr>
                <w:sz w:val="20"/>
                <w:szCs w:val="20"/>
              </w:rPr>
              <w:t>58,84</w:t>
            </w:r>
            <w:r>
              <w:rPr>
                <w:sz w:val="20"/>
                <w:szCs w:val="20"/>
              </w:rPr>
              <w:t>8</w:t>
            </w:r>
          </w:p>
        </w:tc>
        <w:tc>
          <w:tcPr>
            <w:tcW w:w="0" w:type="auto"/>
            <w:noWrap/>
            <w:vAlign w:val="bottom"/>
            <w:hideMark/>
          </w:tcPr>
          <w:p w14:paraId="1F9AD2F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19D084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05379D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D76E69B" w14:textId="77777777" w:rsidR="00000000" w:rsidRDefault="00832D71">
            <w:pPr>
              <w:pStyle w:val="a3"/>
              <w:spacing w:before="0" w:beforeAutospacing="0" w:after="0" w:afterAutospacing="0"/>
              <w:jc w:val="right"/>
              <w:rPr>
                <w:sz w:val="20"/>
                <w:szCs w:val="20"/>
              </w:rPr>
            </w:pPr>
            <w:r>
              <w:rPr>
                <w:sz w:val="20"/>
                <w:szCs w:val="20"/>
              </w:rPr>
              <w:t>104,55</w:t>
            </w:r>
            <w:r>
              <w:rPr>
                <w:sz w:val="20"/>
                <w:szCs w:val="20"/>
              </w:rPr>
              <w:t>5</w:t>
            </w:r>
          </w:p>
        </w:tc>
        <w:tc>
          <w:tcPr>
            <w:tcW w:w="0" w:type="auto"/>
            <w:noWrap/>
            <w:vAlign w:val="bottom"/>
            <w:hideMark/>
          </w:tcPr>
          <w:p w14:paraId="4579A18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6375E8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5319B9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B2A94B9" w14:textId="77777777" w:rsidR="00000000" w:rsidRDefault="00832D71">
            <w:pPr>
              <w:pStyle w:val="a3"/>
              <w:spacing w:before="0" w:beforeAutospacing="0" w:after="0" w:afterAutospacing="0"/>
              <w:jc w:val="right"/>
              <w:rPr>
                <w:sz w:val="20"/>
                <w:szCs w:val="20"/>
              </w:rPr>
            </w:pPr>
            <w:r>
              <w:rPr>
                <w:sz w:val="20"/>
                <w:szCs w:val="20"/>
              </w:rPr>
              <w:t>(45,70</w:t>
            </w:r>
            <w:r>
              <w:rPr>
                <w:sz w:val="20"/>
                <w:szCs w:val="20"/>
              </w:rPr>
              <w:t>7</w:t>
            </w:r>
          </w:p>
        </w:tc>
        <w:tc>
          <w:tcPr>
            <w:tcW w:w="0" w:type="auto"/>
            <w:noWrap/>
            <w:vAlign w:val="bottom"/>
            <w:hideMark/>
          </w:tcPr>
          <w:p w14:paraId="7B983EC4"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1AACE2E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58ABCD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67C8CE1" w14:textId="77777777" w:rsidR="00000000" w:rsidRDefault="00832D71">
            <w:pPr>
              <w:pStyle w:val="a3"/>
              <w:spacing w:before="0" w:beforeAutospacing="0" w:after="0" w:afterAutospacing="0"/>
              <w:jc w:val="right"/>
              <w:rPr>
                <w:sz w:val="20"/>
                <w:szCs w:val="20"/>
              </w:rPr>
            </w:pPr>
            <w:r>
              <w:rPr>
                <w:sz w:val="20"/>
                <w:szCs w:val="20"/>
              </w:rPr>
              <w:t>(43.</w:t>
            </w:r>
            <w:r>
              <w:rPr>
                <w:sz w:val="20"/>
                <w:szCs w:val="20"/>
              </w:rPr>
              <w:t>7</w:t>
            </w:r>
          </w:p>
        </w:tc>
        <w:tc>
          <w:tcPr>
            <w:tcW w:w="0" w:type="auto"/>
            <w:noWrap/>
            <w:vAlign w:val="bottom"/>
            <w:hideMark/>
          </w:tcPr>
          <w:p w14:paraId="533573DF" w14:textId="77777777" w:rsidR="00000000" w:rsidRDefault="00832D71">
            <w:pPr>
              <w:pStyle w:val="a3"/>
              <w:spacing w:before="0" w:beforeAutospacing="0" w:after="0" w:afterAutospacing="0"/>
              <w:rPr>
                <w:sz w:val="20"/>
                <w:szCs w:val="20"/>
              </w:rPr>
            </w:pPr>
            <w:r>
              <w:rPr>
                <w:sz w:val="20"/>
                <w:szCs w:val="20"/>
              </w:rPr>
              <w:t>)</w:t>
            </w:r>
            <w:r>
              <w:rPr>
                <w:sz w:val="20"/>
                <w:szCs w:val="20"/>
              </w:rPr>
              <w:t>%</w:t>
            </w:r>
          </w:p>
        </w:tc>
      </w:tr>
      <w:tr w:rsidR="00000000" w14:paraId="6D35B953" w14:textId="77777777">
        <w:trPr>
          <w:trHeight w:val="200"/>
          <w:tblCellSpacing w:w="15" w:type="dxa"/>
        </w:trPr>
        <w:tc>
          <w:tcPr>
            <w:tcW w:w="0" w:type="auto"/>
            <w:hideMark/>
          </w:tcPr>
          <w:p w14:paraId="713498E4" w14:textId="77777777" w:rsidR="00000000" w:rsidRDefault="00832D71">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14:paraId="09DA508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74FFB8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2710B29" w14:textId="77777777" w:rsidR="00000000" w:rsidRDefault="00832D71">
            <w:pPr>
              <w:pStyle w:val="a3"/>
              <w:spacing w:before="0" w:beforeAutospacing="0" w:after="0" w:afterAutospacing="0"/>
              <w:jc w:val="right"/>
              <w:rPr>
                <w:sz w:val="20"/>
                <w:szCs w:val="20"/>
              </w:rPr>
            </w:pPr>
            <w:r>
              <w:rPr>
                <w:sz w:val="20"/>
                <w:szCs w:val="20"/>
              </w:rPr>
              <w:t>3.</w:t>
            </w:r>
            <w:r>
              <w:rPr>
                <w:sz w:val="20"/>
                <w:szCs w:val="20"/>
              </w:rPr>
              <w:t>9</w:t>
            </w:r>
          </w:p>
        </w:tc>
        <w:tc>
          <w:tcPr>
            <w:tcW w:w="0" w:type="auto"/>
            <w:noWrap/>
            <w:vAlign w:val="bottom"/>
            <w:hideMark/>
          </w:tcPr>
          <w:p w14:paraId="75C608AC"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947942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A0BD57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30917A4" w14:textId="77777777" w:rsidR="00000000" w:rsidRDefault="00832D71">
            <w:pPr>
              <w:pStyle w:val="a3"/>
              <w:spacing w:before="0" w:beforeAutospacing="0" w:after="0" w:afterAutospacing="0"/>
              <w:jc w:val="right"/>
              <w:rPr>
                <w:sz w:val="20"/>
                <w:szCs w:val="20"/>
              </w:rPr>
            </w:pPr>
            <w:r>
              <w:rPr>
                <w:sz w:val="20"/>
                <w:szCs w:val="20"/>
              </w:rPr>
              <w:t>8.</w:t>
            </w:r>
            <w:r>
              <w:rPr>
                <w:sz w:val="20"/>
                <w:szCs w:val="20"/>
              </w:rPr>
              <w:t>1</w:t>
            </w:r>
          </w:p>
        </w:tc>
        <w:tc>
          <w:tcPr>
            <w:tcW w:w="0" w:type="auto"/>
            <w:noWrap/>
            <w:vAlign w:val="bottom"/>
            <w:hideMark/>
          </w:tcPr>
          <w:p w14:paraId="5EDCA726"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2053BF6"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DDA406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8E6A3AA"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3321733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54E099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DD3461E" w14:textId="77777777" w:rsidR="00000000" w:rsidRDefault="00832D71">
            <w:pPr>
              <w:pStyle w:val="a3"/>
              <w:spacing w:before="0" w:beforeAutospacing="0" w:after="0" w:afterAutospacing="0"/>
              <w:jc w:val="right"/>
              <w:rPr>
                <w:sz w:val="20"/>
                <w:szCs w:val="20"/>
              </w:rPr>
            </w:pPr>
            <w:r>
              <w:rPr>
                <w:sz w:val="20"/>
                <w:szCs w:val="20"/>
              </w:rPr>
              <w:t> </w:t>
            </w:r>
          </w:p>
        </w:tc>
      </w:tr>
    </w:tbl>
    <w:p w14:paraId="4113897B" w14:textId="77777777" w:rsidR="00000000" w:rsidRDefault="00832D71">
      <w:pPr>
        <w:pStyle w:val="a3"/>
        <w:spacing w:before="0" w:beforeAutospacing="0" w:after="0" w:afterAutospacing="0"/>
        <w:rPr>
          <w:sz w:val="20"/>
          <w:szCs w:val="20"/>
        </w:rPr>
      </w:pPr>
      <w:r>
        <w:rPr>
          <w:sz w:val="20"/>
          <w:szCs w:val="20"/>
        </w:rPr>
        <w:t> </w:t>
      </w:r>
    </w:p>
    <w:p w14:paraId="258E15EB" w14:textId="77777777" w:rsidR="00000000" w:rsidRDefault="00832D71">
      <w:pPr>
        <w:pStyle w:val="a3"/>
        <w:spacing w:before="40" w:beforeAutospacing="0" w:after="0" w:afterAutospacing="0"/>
        <w:ind w:firstLine="555"/>
        <w:jc w:val="both"/>
        <w:rPr>
          <w:sz w:val="20"/>
          <w:szCs w:val="20"/>
        </w:rPr>
      </w:pPr>
      <w:r>
        <w:rPr>
          <w:sz w:val="20"/>
          <w:szCs w:val="20"/>
        </w:rPr>
        <w:t>Depreciation and amortization expense of $58.8 million in fiscal 2022 decreased $45.7 million from $104.6 million in the prior year, primarily as a result of lower amortization expense attributable to the conclusion of the amortization period for certain i</w:t>
      </w:r>
      <w:r>
        <w:rPr>
          <w:sz w:val="20"/>
          <w:szCs w:val="20"/>
        </w:rPr>
        <w:t>ntangible assets from prior business acquisitions</w:t>
      </w:r>
      <w:r>
        <w:rPr>
          <w:sz w:val="20"/>
          <w:szCs w:val="20"/>
        </w:rPr>
        <w:t>.</w:t>
      </w:r>
      <w:r>
        <w:rPr>
          <w:sz w:val="20"/>
          <w:szCs w:val="20"/>
        </w:rPr>
        <w:t xml:space="preserve"> </w:t>
      </w:r>
    </w:p>
    <w:p w14:paraId="56EB90DE" w14:textId="77777777" w:rsidR="00000000" w:rsidRDefault="00832D71">
      <w:pPr>
        <w:pStyle w:val="a3"/>
        <w:spacing w:before="360" w:beforeAutospacing="0" w:after="0" w:afterAutospacing="0"/>
        <w:jc w:val="both"/>
        <w:rPr>
          <w:sz w:val="20"/>
          <w:szCs w:val="20"/>
        </w:rPr>
      </w:pPr>
      <w:r>
        <w:rPr>
          <w:i/>
          <w:iCs/>
          <w:sz w:val="20"/>
          <w:szCs w:val="20"/>
        </w:rPr>
        <w:t>Interest Expense, ne</w:t>
      </w:r>
      <w:r>
        <w:rPr>
          <w:i/>
          <w:iCs/>
          <w:sz w:val="20"/>
          <w:szCs w:val="20"/>
        </w:rPr>
        <w:t>t</w:t>
      </w:r>
    </w:p>
    <w:p w14:paraId="26216CD7" w14:textId="77777777" w:rsidR="00000000" w:rsidRDefault="00832D71">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57"/>
        <w:gridCol w:w="110"/>
        <w:gridCol w:w="160"/>
        <w:gridCol w:w="610"/>
        <w:gridCol w:w="227"/>
        <w:gridCol w:w="110"/>
        <w:gridCol w:w="160"/>
        <w:gridCol w:w="610"/>
        <w:gridCol w:w="227"/>
        <w:gridCol w:w="110"/>
        <w:gridCol w:w="160"/>
        <w:gridCol w:w="577"/>
        <w:gridCol w:w="127"/>
        <w:gridCol w:w="110"/>
        <w:gridCol w:w="111"/>
        <w:gridCol w:w="600"/>
        <w:gridCol w:w="309"/>
      </w:tblGrid>
      <w:tr w:rsidR="00000000" w14:paraId="4A23403A" w14:textId="77777777">
        <w:trPr>
          <w:tblCellSpacing w:w="15" w:type="dxa"/>
        </w:trPr>
        <w:tc>
          <w:tcPr>
            <w:tcW w:w="2466" w:type="pct"/>
            <w:vAlign w:val="center"/>
            <w:hideMark/>
          </w:tcPr>
          <w:p w14:paraId="6B5945ED" w14:textId="77777777" w:rsidR="00000000" w:rsidRDefault="00832D71">
            <w:pPr>
              <w:rPr>
                <w:sz w:val="20"/>
                <w:szCs w:val="20"/>
              </w:rPr>
            </w:pPr>
          </w:p>
        </w:tc>
        <w:tc>
          <w:tcPr>
            <w:tcW w:w="45" w:type="pct"/>
            <w:vAlign w:val="center"/>
            <w:hideMark/>
          </w:tcPr>
          <w:p w14:paraId="5ADC7C6C" w14:textId="77777777" w:rsidR="00000000" w:rsidRDefault="00832D71">
            <w:pPr>
              <w:rPr>
                <w:rFonts w:eastAsia="Times New Roman"/>
                <w:sz w:val="20"/>
                <w:szCs w:val="20"/>
              </w:rPr>
            </w:pPr>
          </w:p>
        </w:tc>
        <w:tc>
          <w:tcPr>
            <w:tcW w:w="50" w:type="pct"/>
            <w:vAlign w:val="center"/>
            <w:hideMark/>
          </w:tcPr>
          <w:p w14:paraId="579E27A8" w14:textId="77777777" w:rsidR="00000000" w:rsidRDefault="00832D71">
            <w:pPr>
              <w:rPr>
                <w:rFonts w:eastAsia="Times New Roman"/>
                <w:sz w:val="20"/>
                <w:szCs w:val="20"/>
              </w:rPr>
            </w:pPr>
          </w:p>
        </w:tc>
        <w:tc>
          <w:tcPr>
            <w:tcW w:w="443" w:type="pct"/>
            <w:vAlign w:val="center"/>
            <w:hideMark/>
          </w:tcPr>
          <w:p w14:paraId="69642B80" w14:textId="77777777" w:rsidR="00000000" w:rsidRDefault="00832D71">
            <w:pPr>
              <w:rPr>
                <w:rFonts w:eastAsia="Times New Roman"/>
                <w:sz w:val="20"/>
                <w:szCs w:val="20"/>
              </w:rPr>
            </w:pPr>
          </w:p>
        </w:tc>
        <w:tc>
          <w:tcPr>
            <w:tcW w:w="50" w:type="pct"/>
            <w:vAlign w:val="center"/>
            <w:hideMark/>
          </w:tcPr>
          <w:p w14:paraId="42E5B4AD" w14:textId="77777777" w:rsidR="00000000" w:rsidRDefault="00832D71">
            <w:pPr>
              <w:rPr>
                <w:rFonts w:eastAsia="Times New Roman"/>
                <w:sz w:val="20"/>
                <w:szCs w:val="20"/>
              </w:rPr>
            </w:pPr>
          </w:p>
        </w:tc>
        <w:tc>
          <w:tcPr>
            <w:tcW w:w="45" w:type="pct"/>
            <w:vAlign w:val="center"/>
            <w:hideMark/>
          </w:tcPr>
          <w:p w14:paraId="01512F43" w14:textId="77777777" w:rsidR="00000000" w:rsidRDefault="00832D71">
            <w:pPr>
              <w:rPr>
                <w:rFonts w:eastAsia="Times New Roman"/>
                <w:sz w:val="20"/>
                <w:szCs w:val="20"/>
              </w:rPr>
            </w:pPr>
          </w:p>
        </w:tc>
        <w:tc>
          <w:tcPr>
            <w:tcW w:w="50" w:type="pct"/>
            <w:vAlign w:val="center"/>
            <w:hideMark/>
          </w:tcPr>
          <w:p w14:paraId="228ECBB9" w14:textId="77777777" w:rsidR="00000000" w:rsidRDefault="00832D71">
            <w:pPr>
              <w:rPr>
                <w:rFonts w:eastAsia="Times New Roman"/>
                <w:sz w:val="20"/>
                <w:szCs w:val="20"/>
              </w:rPr>
            </w:pPr>
          </w:p>
        </w:tc>
        <w:tc>
          <w:tcPr>
            <w:tcW w:w="443" w:type="pct"/>
            <w:vAlign w:val="center"/>
            <w:hideMark/>
          </w:tcPr>
          <w:p w14:paraId="5B2A3C64" w14:textId="77777777" w:rsidR="00000000" w:rsidRDefault="00832D71">
            <w:pPr>
              <w:rPr>
                <w:rFonts w:eastAsia="Times New Roman"/>
                <w:sz w:val="20"/>
                <w:szCs w:val="20"/>
              </w:rPr>
            </w:pPr>
          </w:p>
        </w:tc>
        <w:tc>
          <w:tcPr>
            <w:tcW w:w="50" w:type="pct"/>
            <w:vAlign w:val="center"/>
            <w:hideMark/>
          </w:tcPr>
          <w:p w14:paraId="7E5BB8E8" w14:textId="77777777" w:rsidR="00000000" w:rsidRDefault="00832D71">
            <w:pPr>
              <w:rPr>
                <w:rFonts w:eastAsia="Times New Roman"/>
                <w:sz w:val="20"/>
                <w:szCs w:val="20"/>
              </w:rPr>
            </w:pPr>
          </w:p>
        </w:tc>
        <w:tc>
          <w:tcPr>
            <w:tcW w:w="45" w:type="pct"/>
            <w:vAlign w:val="center"/>
            <w:hideMark/>
          </w:tcPr>
          <w:p w14:paraId="1FD18615" w14:textId="77777777" w:rsidR="00000000" w:rsidRDefault="00832D71">
            <w:pPr>
              <w:rPr>
                <w:rFonts w:eastAsia="Times New Roman"/>
                <w:sz w:val="20"/>
                <w:szCs w:val="20"/>
              </w:rPr>
            </w:pPr>
          </w:p>
        </w:tc>
        <w:tc>
          <w:tcPr>
            <w:tcW w:w="50" w:type="pct"/>
            <w:vAlign w:val="center"/>
            <w:hideMark/>
          </w:tcPr>
          <w:p w14:paraId="44119963" w14:textId="77777777" w:rsidR="00000000" w:rsidRDefault="00832D71">
            <w:pPr>
              <w:rPr>
                <w:rFonts w:eastAsia="Times New Roman"/>
                <w:sz w:val="20"/>
                <w:szCs w:val="20"/>
              </w:rPr>
            </w:pPr>
          </w:p>
        </w:tc>
        <w:tc>
          <w:tcPr>
            <w:tcW w:w="396" w:type="pct"/>
            <w:vAlign w:val="center"/>
            <w:hideMark/>
          </w:tcPr>
          <w:p w14:paraId="723648EC" w14:textId="77777777" w:rsidR="00000000" w:rsidRDefault="00832D71">
            <w:pPr>
              <w:rPr>
                <w:rFonts w:eastAsia="Times New Roman"/>
                <w:sz w:val="20"/>
                <w:szCs w:val="20"/>
              </w:rPr>
            </w:pPr>
          </w:p>
        </w:tc>
        <w:tc>
          <w:tcPr>
            <w:tcW w:w="50" w:type="pct"/>
            <w:vAlign w:val="center"/>
            <w:hideMark/>
          </w:tcPr>
          <w:p w14:paraId="27987D66" w14:textId="77777777" w:rsidR="00000000" w:rsidRDefault="00832D71">
            <w:pPr>
              <w:rPr>
                <w:rFonts w:eastAsia="Times New Roman"/>
                <w:sz w:val="20"/>
                <w:szCs w:val="20"/>
              </w:rPr>
            </w:pPr>
          </w:p>
        </w:tc>
        <w:tc>
          <w:tcPr>
            <w:tcW w:w="35" w:type="pct"/>
            <w:vAlign w:val="center"/>
            <w:hideMark/>
          </w:tcPr>
          <w:p w14:paraId="200F68AE" w14:textId="77777777" w:rsidR="00000000" w:rsidRDefault="00832D71">
            <w:pPr>
              <w:rPr>
                <w:rFonts w:eastAsia="Times New Roman"/>
                <w:sz w:val="20"/>
                <w:szCs w:val="20"/>
              </w:rPr>
            </w:pPr>
          </w:p>
        </w:tc>
        <w:tc>
          <w:tcPr>
            <w:tcW w:w="50" w:type="pct"/>
            <w:vAlign w:val="center"/>
            <w:hideMark/>
          </w:tcPr>
          <w:p w14:paraId="0A2F9EA6" w14:textId="77777777" w:rsidR="00000000" w:rsidRDefault="00832D71">
            <w:pPr>
              <w:rPr>
                <w:rFonts w:eastAsia="Times New Roman"/>
                <w:sz w:val="20"/>
                <w:szCs w:val="20"/>
              </w:rPr>
            </w:pPr>
          </w:p>
        </w:tc>
        <w:tc>
          <w:tcPr>
            <w:tcW w:w="677" w:type="pct"/>
            <w:vAlign w:val="center"/>
            <w:hideMark/>
          </w:tcPr>
          <w:p w14:paraId="5FE60C10" w14:textId="77777777" w:rsidR="00000000" w:rsidRDefault="00832D71">
            <w:pPr>
              <w:rPr>
                <w:rFonts w:eastAsia="Times New Roman"/>
                <w:sz w:val="20"/>
                <w:szCs w:val="20"/>
              </w:rPr>
            </w:pPr>
          </w:p>
        </w:tc>
        <w:tc>
          <w:tcPr>
            <w:tcW w:w="50" w:type="pct"/>
            <w:vAlign w:val="center"/>
            <w:hideMark/>
          </w:tcPr>
          <w:p w14:paraId="17699FC6" w14:textId="77777777" w:rsidR="00000000" w:rsidRDefault="00832D71">
            <w:pPr>
              <w:rPr>
                <w:rFonts w:eastAsia="Times New Roman"/>
                <w:sz w:val="20"/>
                <w:szCs w:val="20"/>
              </w:rPr>
            </w:pPr>
          </w:p>
        </w:tc>
      </w:tr>
      <w:tr w:rsidR="00000000" w14:paraId="712FAEE3" w14:textId="77777777">
        <w:trPr>
          <w:trHeight w:val="160"/>
          <w:tblCellSpacing w:w="15" w:type="dxa"/>
        </w:trPr>
        <w:tc>
          <w:tcPr>
            <w:tcW w:w="0" w:type="auto"/>
            <w:vAlign w:val="bottom"/>
            <w:hideMark/>
          </w:tcPr>
          <w:p w14:paraId="4563CDFB" w14:textId="77777777" w:rsidR="00000000" w:rsidRDefault="00832D71">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14:paraId="20E1F904"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81AD85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8EA1277"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6D3340D"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F80A1E1"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4CEEF55"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1C06B5E"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DE3C6A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6497FF0"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CBDF0BA"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DC907E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4411E2F"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1E4C38B" w14:textId="77777777">
        <w:trPr>
          <w:trHeight w:val="160"/>
          <w:tblCellSpacing w:w="15" w:type="dxa"/>
        </w:trPr>
        <w:tc>
          <w:tcPr>
            <w:tcW w:w="0" w:type="auto"/>
            <w:vAlign w:val="bottom"/>
            <w:hideMark/>
          </w:tcPr>
          <w:p w14:paraId="4D55350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8E0ED7E"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803D656"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564279B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F44E8A1"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19D3F55"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2893675D"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9F11933"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1609F21"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2C59A85"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1C59897"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47B9C24" w14:textId="77777777" w:rsidR="00000000" w:rsidRDefault="00832D71">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14:paraId="7521EF43"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5B72CCA3" w14:textId="77777777">
        <w:trPr>
          <w:trHeight w:val="160"/>
          <w:tblCellSpacing w:w="15" w:type="dxa"/>
        </w:trPr>
        <w:tc>
          <w:tcPr>
            <w:tcW w:w="0" w:type="auto"/>
            <w:vAlign w:val="bottom"/>
            <w:hideMark/>
          </w:tcPr>
          <w:p w14:paraId="302E7C0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25995F4"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1DA70F5"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742C2D23"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DCC8928"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AB69DAC"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1ACB96A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F5FE708"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D2EC744" w14:textId="77777777" w:rsidR="00000000" w:rsidRDefault="00832D71">
            <w:pPr>
              <w:pStyle w:val="a3"/>
              <w:spacing w:before="0" w:beforeAutospacing="0" w:after="0" w:afterAutospacing="0"/>
              <w:jc w:val="center"/>
              <w:rPr>
                <w:sz w:val="16"/>
                <w:szCs w:val="16"/>
              </w:rPr>
            </w:pPr>
            <w:r>
              <w:rPr>
                <w:b/>
                <w:bCs/>
                <w:sz w:val="16"/>
                <w:szCs w:val="16"/>
              </w:rPr>
              <w:t>Decreas</w:t>
            </w:r>
            <w:r>
              <w:rPr>
                <w:b/>
                <w:bCs/>
                <w:sz w:val="16"/>
                <w:szCs w:val="16"/>
              </w:rPr>
              <w:t>e</w:t>
            </w:r>
          </w:p>
        </w:tc>
        <w:tc>
          <w:tcPr>
            <w:tcW w:w="0" w:type="auto"/>
            <w:vAlign w:val="bottom"/>
            <w:hideMark/>
          </w:tcPr>
          <w:p w14:paraId="369F5FB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B2875A8"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A367702" w14:textId="77777777" w:rsidR="00000000" w:rsidRDefault="00832D71">
            <w:pPr>
              <w:pStyle w:val="a3"/>
              <w:spacing w:before="0" w:beforeAutospacing="0" w:after="0" w:afterAutospacing="0"/>
              <w:jc w:val="center"/>
              <w:rPr>
                <w:sz w:val="16"/>
                <w:szCs w:val="16"/>
              </w:rPr>
            </w:pPr>
            <w:r>
              <w:rPr>
                <w:b/>
                <w:bCs/>
                <w:sz w:val="16"/>
                <w:szCs w:val="16"/>
              </w:rPr>
              <w:t>Decreas</w:t>
            </w:r>
            <w:r>
              <w:rPr>
                <w:b/>
                <w:bCs/>
                <w:sz w:val="16"/>
                <w:szCs w:val="16"/>
              </w:rPr>
              <w:t>e</w:t>
            </w:r>
          </w:p>
        </w:tc>
        <w:tc>
          <w:tcPr>
            <w:tcW w:w="0" w:type="auto"/>
            <w:vAlign w:val="bottom"/>
            <w:hideMark/>
          </w:tcPr>
          <w:p w14:paraId="168084C9"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6D25922" w14:textId="77777777">
        <w:trPr>
          <w:trHeight w:val="200"/>
          <w:tblCellSpacing w:w="15" w:type="dxa"/>
        </w:trPr>
        <w:tc>
          <w:tcPr>
            <w:tcW w:w="0" w:type="auto"/>
            <w:hideMark/>
          </w:tcPr>
          <w:p w14:paraId="5E217D34" w14:textId="77777777" w:rsidR="00000000" w:rsidRDefault="00832D71">
            <w:pPr>
              <w:pStyle w:val="a3"/>
              <w:spacing w:before="0" w:beforeAutospacing="0" w:after="0" w:afterAutospacing="0"/>
              <w:rPr>
                <w:sz w:val="20"/>
                <w:szCs w:val="20"/>
              </w:rPr>
            </w:pPr>
            <w:r>
              <w:rPr>
                <w:sz w:val="20"/>
                <w:szCs w:val="20"/>
              </w:rPr>
              <w:t>Interest expense, ne</w:t>
            </w:r>
            <w:r>
              <w:rPr>
                <w:sz w:val="20"/>
                <w:szCs w:val="20"/>
              </w:rPr>
              <w:t>t</w:t>
            </w:r>
          </w:p>
        </w:tc>
        <w:tc>
          <w:tcPr>
            <w:tcW w:w="0" w:type="auto"/>
            <w:hideMark/>
          </w:tcPr>
          <w:p w14:paraId="45CD149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79D04B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DCA71A4" w14:textId="77777777" w:rsidR="00000000" w:rsidRDefault="00832D71">
            <w:pPr>
              <w:pStyle w:val="a3"/>
              <w:spacing w:before="0" w:beforeAutospacing="0" w:after="0" w:afterAutospacing="0"/>
              <w:jc w:val="right"/>
              <w:rPr>
                <w:sz w:val="20"/>
                <w:szCs w:val="20"/>
              </w:rPr>
            </w:pPr>
            <w:r>
              <w:rPr>
                <w:sz w:val="20"/>
                <w:szCs w:val="20"/>
              </w:rPr>
              <w:t>60,65</w:t>
            </w:r>
            <w:r>
              <w:rPr>
                <w:sz w:val="20"/>
                <w:szCs w:val="20"/>
              </w:rPr>
              <w:t>8</w:t>
            </w:r>
          </w:p>
        </w:tc>
        <w:tc>
          <w:tcPr>
            <w:tcW w:w="0" w:type="auto"/>
            <w:noWrap/>
            <w:vAlign w:val="bottom"/>
            <w:hideMark/>
          </w:tcPr>
          <w:p w14:paraId="2A766AE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BF0275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7210A8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99D5DB7" w14:textId="77777777" w:rsidR="00000000" w:rsidRDefault="00832D71">
            <w:pPr>
              <w:pStyle w:val="a3"/>
              <w:spacing w:before="0" w:beforeAutospacing="0" w:after="0" w:afterAutospacing="0"/>
              <w:jc w:val="right"/>
              <w:rPr>
                <w:sz w:val="20"/>
                <w:szCs w:val="20"/>
              </w:rPr>
            </w:pPr>
            <w:r>
              <w:rPr>
                <w:sz w:val="20"/>
                <w:szCs w:val="20"/>
              </w:rPr>
              <w:t>68,13</w:t>
            </w:r>
            <w:r>
              <w:rPr>
                <w:sz w:val="20"/>
                <w:szCs w:val="20"/>
              </w:rPr>
              <w:t>2</w:t>
            </w:r>
          </w:p>
        </w:tc>
        <w:tc>
          <w:tcPr>
            <w:tcW w:w="0" w:type="auto"/>
            <w:noWrap/>
            <w:vAlign w:val="bottom"/>
            <w:hideMark/>
          </w:tcPr>
          <w:p w14:paraId="252127A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3FBC46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CAB8CB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C426A1B" w14:textId="77777777" w:rsidR="00000000" w:rsidRDefault="00832D71">
            <w:pPr>
              <w:pStyle w:val="a3"/>
              <w:spacing w:before="0" w:beforeAutospacing="0" w:after="0" w:afterAutospacing="0"/>
              <w:jc w:val="right"/>
              <w:rPr>
                <w:sz w:val="20"/>
                <w:szCs w:val="20"/>
              </w:rPr>
            </w:pPr>
            <w:r>
              <w:rPr>
                <w:sz w:val="20"/>
                <w:szCs w:val="20"/>
              </w:rPr>
              <w:t>(7,47</w:t>
            </w:r>
            <w:r>
              <w:rPr>
                <w:sz w:val="20"/>
                <w:szCs w:val="20"/>
              </w:rPr>
              <w:t>4</w:t>
            </w:r>
          </w:p>
        </w:tc>
        <w:tc>
          <w:tcPr>
            <w:tcW w:w="0" w:type="auto"/>
            <w:noWrap/>
            <w:vAlign w:val="bottom"/>
            <w:hideMark/>
          </w:tcPr>
          <w:p w14:paraId="6AED39A4"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9C92C6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5B8835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2939558"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0</w:t>
            </w:r>
          </w:p>
        </w:tc>
        <w:tc>
          <w:tcPr>
            <w:tcW w:w="0" w:type="auto"/>
            <w:noWrap/>
            <w:vAlign w:val="bottom"/>
            <w:hideMark/>
          </w:tcPr>
          <w:p w14:paraId="62D52AA8" w14:textId="77777777" w:rsidR="00000000" w:rsidRDefault="00832D71">
            <w:pPr>
              <w:pStyle w:val="a3"/>
              <w:spacing w:before="0" w:beforeAutospacing="0" w:after="0" w:afterAutospacing="0"/>
              <w:rPr>
                <w:sz w:val="20"/>
                <w:szCs w:val="20"/>
              </w:rPr>
            </w:pPr>
            <w:r>
              <w:rPr>
                <w:sz w:val="20"/>
                <w:szCs w:val="20"/>
              </w:rPr>
              <w:t>)</w:t>
            </w:r>
            <w:r>
              <w:rPr>
                <w:sz w:val="20"/>
                <w:szCs w:val="20"/>
              </w:rPr>
              <w:t>%</w:t>
            </w:r>
          </w:p>
        </w:tc>
      </w:tr>
      <w:tr w:rsidR="00000000" w14:paraId="625AEEEF" w14:textId="77777777">
        <w:trPr>
          <w:trHeight w:val="200"/>
          <w:tblCellSpacing w:w="15" w:type="dxa"/>
        </w:trPr>
        <w:tc>
          <w:tcPr>
            <w:tcW w:w="0" w:type="auto"/>
            <w:hideMark/>
          </w:tcPr>
          <w:p w14:paraId="6EB2289E" w14:textId="77777777" w:rsidR="00000000" w:rsidRDefault="00832D71">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14:paraId="43CD293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0B3DC1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F0FD491" w14:textId="77777777" w:rsidR="00000000" w:rsidRDefault="00832D71">
            <w:pPr>
              <w:pStyle w:val="a3"/>
              <w:spacing w:before="0" w:beforeAutospacing="0" w:after="0" w:afterAutospacing="0"/>
              <w:jc w:val="right"/>
              <w:rPr>
                <w:sz w:val="20"/>
                <w:szCs w:val="20"/>
              </w:rPr>
            </w:pPr>
            <w:r>
              <w:rPr>
                <w:sz w:val="20"/>
                <w:szCs w:val="20"/>
              </w:rPr>
              <w:t>4.</w:t>
            </w:r>
            <w:r>
              <w:rPr>
                <w:sz w:val="20"/>
                <w:szCs w:val="20"/>
              </w:rPr>
              <w:t>0</w:t>
            </w:r>
          </w:p>
        </w:tc>
        <w:tc>
          <w:tcPr>
            <w:tcW w:w="0" w:type="auto"/>
            <w:noWrap/>
            <w:vAlign w:val="bottom"/>
            <w:hideMark/>
          </w:tcPr>
          <w:p w14:paraId="1D5AB9EF"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C9BD80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1BB1B9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21F7A81" w14:textId="77777777" w:rsidR="00000000" w:rsidRDefault="00832D71">
            <w:pPr>
              <w:pStyle w:val="a3"/>
              <w:spacing w:before="0" w:beforeAutospacing="0" w:after="0" w:afterAutospacing="0"/>
              <w:jc w:val="right"/>
              <w:rPr>
                <w:sz w:val="20"/>
                <w:szCs w:val="20"/>
              </w:rPr>
            </w:pPr>
            <w:r>
              <w:rPr>
                <w:sz w:val="20"/>
                <w:szCs w:val="20"/>
              </w:rPr>
              <w:t>5.</w:t>
            </w:r>
            <w:r>
              <w:rPr>
                <w:sz w:val="20"/>
                <w:szCs w:val="20"/>
              </w:rPr>
              <w:t>3</w:t>
            </w:r>
          </w:p>
        </w:tc>
        <w:tc>
          <w:tcPr>
            <w:tcW w:w="0" w:type="auto"/>
            <w:noWrap/>
            <w:vAlign w:val="bottom"/>
            <w:hideMark/>
          </w:tcPr>
          <w:p w14:paraId="4CAB753D"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68BD7ED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8B834E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DD37017"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380163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3E04EF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F420231" w14:textId="77777777" w:rsidR="00000000" w:rsidRDefault="00832D71">
            <w:pPr>
              <w:pStyle w:val="a3"/>
              <w:spacing w:before="0" w:beforeAutospacing="0" w:after="0" w:afterAutospacing="0"/>
              <w:jc w:val="right"/>
              <w:rPr>
                <w:sz w:val="20"/>
                <w:szCs w:val="20"/>
              </w:rPr>
            </w:pPr>
            <w:r>
              <w:rPr>
                <w:sz w:val="20"/>
                <w:szCs w:val="20"/>
              </w:rPr>
              <w:t> </w:t>
            </w:r>
          </w:p>
        </w:tc>
      </w:tr>
    </w:tbl>
    <w:p w14:paraId="558D3E8F" w14:textId="77777777" w:rsidR="00000000" w:rsidRDefault="00832D71">
      <w:pPr>
        <w:pStyle w:val="a3"/>
        <w:spacing w:before="0" w:beforeAutospacing="0" w:after="0" w:afterAutospacing="0"/>
        <w:rPr>
          <w:sz w:val="20"/>
          <w:szCs w:val="20"/>
        </w:rPr>
      </w:pPr>
      <w:r>
        <w:rPr>
          <w:sz w:val="20"/>
          <w:szCs w:val="20"/>
        </w:rPr>
        <w:t> </w:t>
      </w:r>
    </w:p>
    <w:p w14:paraId="26A5D7D5" w14:textId="77777777" w:rsidR="00000000" w:rsidRDefault="00832D71">
      <w:pPr>
        <w:pStyle w:val="a3"/>
        <w:spacing w:before="40" w:beforeAutospacing="0" w:after="0" w:afterAutospacing="0"/>
        <w:ind w:firstLine="555"/>
        <w:jc w:val="both"/>
        <w:rPr>
          <w:sz w:val="20"/>
          <w:szCs w:val="20"/>
        </w:rPr>
      </w:pPr>
      <w:r>
        <w:rPr>
          <w:sz w:val="20"/>
          <w:szCs w:val="20"/>
        </w:rPr>
        <w:t>Net interest expense of $60.7 million for fiscal 2022 decreased $7.5 million from $68.1 million in the prior year, primarily due to the impact of the refinancing of two tranches of senior notes at lower rates in the third quarter of the prior year, as well</w:t>
      </w:r>
      <w:r>
        <w:rPr>
          <w:sz w:val="20"/>
          <w:szCs w:val="20"/>
        </w:rPr>
        <w:t xml:space="preserve"> as a lower averag</w:t>
      </w:r>
      <w:r>
        <w:rPr>
          <w:sz w:val="20"/>
          <w:szCs w:val="20"/>
        </w:rPr>
        <w:t>e</w:t>
      </w:r>
      <w:r>
        <w:rPr>
          <w:sz w:val="20"/>
          <w:szCs w:val="20"/>
        </w:rPr>
        <w:t xml:space="preserve"> </w:t>
      </w:r>
    </w:p>
    <w:p w14:paraId="4355BEBA" w14:textId="77777777" w:rsidR="00000000" w:rsidRDefault="00832D71">
      <w:pPr>
        <w:pStyle w:val="a3"/>
        <w:spacing w:before="0" w:beforeAutospacing="0" w:after="0" w:afterAutospacing="0"/>
        <w:jc w:val="center"/>
        <w:rPr>
          <w:sz w:val="20"/>
          <w:szCs w:val="20"/>
        </w:rPr>
      </w:pPr>
      <w:r>
        <w:rPr>
          <w:sz w:val="20"/>
          <w:szCs w:val="20"/>
        </w:rPr>
        <w:t> </w:t>
      </w:r>
    </w:p>
    <w:p w14:paraId="4B82AFD3" w14:textId="77777777" w:rsidR="00000000" w:rsidRDefault="00832D71">
      <w:pPr>
        <w:pStyle w:val="a3"/>
        <w:spacing w:before="0" w:beforeAutospacing="0" w:after="0" w:afterAutospacing="0"/>
        <w:jc w:val="center"/>
        <w:rPr>
          <w:sz w:val="20"/>
          <w:szCs w:val="20"/>
        </w:rPr>
      </w:pPr>
      <w:r>
        <w:rPr>
          <w:sz w:val="20"/>
          <w:szCs w:val="20"/>
        </w:rPr>
        <w:t>3</w:t>
      </w:r>
      <w:r>
        <w:rPr>
          <w:sz w:val="20"/>
          <w:szCs w:val="20"/>
        </w:rPr>
        <w:t>5</w:t>
      </w:r>
    </w:p>
    <w:p w14:paraId="6FA00BB7" w14:textId="77777777" w:rsidR="00000000" w:rsidRDefault="00832D71">
      <w:pPr>
        <w:rPr>
          <w:rFonts w:eastAsia="Times New Roman"/>
        </w:rPr>
      </w:pPr>
      <w:r>
        <w:rPr>
          <w:rFonts w:eastAsia="Times New Roman"/>
        </w:rPr>
        <w:pict w14:anchorId="35EE3B7E">
          <v:rect id="_x0000_i1062" style="width:0;height:1.5pt" o:hralign="center" o:hrstd="t" o:hr="t" fillcolor="#a0a0a0" stroked="f"/>
        </w:pict>
      </w:r>
    </w:p>
    <w:p w14:paraId="69EE520E"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76CED68C" w14:textId="77777777" w:rsidR="00000000" w:rsidRDefault="00832D71">
      <w:pPr>
        <w:pStyle w:val="a3"/>
        <w:spacing w:before="40" w:beforeAutospacing="0" w:after="0" w:afterAutospacing="0"/>
        <w:jc w:val="both"/>
        <w:rPr>
          <w:sz w:val="20"/>
          <w:szCs w:val="20"/>
        </w:rPr>
      </w:pPr>
      <w:r>
        <w:rPr>
          <w:sz w:val="20"/>
          <w:szCs w:val="20"/>
        </w:rPr>
        <w:t>level of outstanding debt. During fiscal 2022, we reduced total outstanding borrowings by $42.4 million with cash flows from operating a</w:t>
      </w:r>
      <w:r>
        <w:rPr>
          <w:sz w:val="20"/>
          <w:szCs w:val="20"/>
        </w:rPr>
        <w:t>ctivities. See Liquidity and Capital Resources below for additional discussion</w:t>
      </w:r>
      <w:r>
        <w:rPr>
          <w:sz w:val="20"/>
          <w:szCs w:val="20"/>
        </w:rPr>
        <w:t>.</w:t>
      </w:r>
    </w:p>
    <w:p w14:paraId="7809B589" w14:textId="77777777" w:rsidR="00000000" w:rsidRDefault="00832D71">
      <w:pPr>
        <w:pStyle w:val="a3"/>
        <w:spacing w:before="360" w:beforeAutospacing="0" w:after="0" w:afterAutospacing="0"/>
        <w:jc w:val="both"/>
        <w:rPr>
          <w:sz w:val="20"/>
          <w:szCs w:val="20"/>
        </w:rPr>
      </w:pPr>
      <w:r>
        <w:rPr>
          <w:i/>
          <w:iCs/>
          <w:sz w:val="20"/>
          <w:szCs w:val="20"/>
        </w:rPr>
        <w:t>Loss on Debt Extinguishmen</w:t>
      </w:r>
      <w:r>
        <w:rPr>
          <w:i/>
          <w:iCs/>
          <w:sz w:val="20"/>
          <w:szCs w:val="20"/>
        </w:rPr>
        <w:t>t</w:t>
      </w:r>
    </w:p>
    <w:p w14:paraId="27865291" w14:textId="77777777" w:rsidR="00000000" w:rsidRDefault="00832D71">
      <w:pPr>
        <w:pStyle w:val="a3"/>
        <w:spacing w:before="120" w:beforeAutospacing="0" w:after="0" w:afterAutospacing="0"/>
        <w:ind w:firstLine="555"/>
        <w:jc w:val="both"/>
        <w:rPr>
          <w:sz w:val="20"/>
          <w:szCs w:val="20"/>
        </w:rPr>
      </w:pPr>
      <w:r>
        <w:rPr>
          <w:sz w:val="20"/>
          <w:szCs w:val="20"/>
        </w:rPr>
        <w:t>During the third quarter of fiscal 2021, we repurchased, satisfied and discharged all of our previously outstanding $525.0 million in aggregate prin</w:t>
      </w:r>
      <w:r>
        <w:rPr>
          <w:sz w:val="20"/>
          <w:szCs w:val="20"/>
        </w:rPr>
        <w:t>cipal balance of 5.5% senior notes due June 1, 2024 (the “2024 Senior Notes”) and $250.0 million in aggregate principal balance of 5.75% senior notes due March 1, 2025 (the “2025 Senior Notes”) with net proceeds from the issuance of $650.0 million in aggre</w:t>
      </w:r>
      <w:r>
        <w:rPr>
          <w:sz w:val="20"/>
          <w:szCs w:val="20"/>
        </w:rPr>
        <w:t>gate principal balance of 5.0% senior notes due June 1, 2031 (the “2031 Senior Notes”) and borrowings under our senior secured revolving credit facility, as described and defined below, pursuant to a tender offer and redemption. In connection with this ten</w:t>
      </w:r>
      <w:r>
        <w:rPr>
          <w:sz w:val="20"/>
          <w:szCs w:val="20"/>
        </w:rPr>
        <w:t>der offer and redemption during the third quarter of fiscal 2021, we recognized a loss on the extinguishment of debt of $16.0 million, consisting of $11.5 million for the redemption premium and related fees, as well as the write-off of $4.5 million in unam</w:t>
      </w:r>
      <w:r>
        <w:rPr>
          <w:sz w:val="20"/>
          <w:szCs w:val="20"/>
        </w:rPr>
        <w:t>ortized debt origination costs</w:t>
      </w:r>
      <w:r>
        <w:rPr>
          <w:sz w:val="20"/>
          <w:szCs w:val="20"/>
        </w:rPr>
        <w:t>.</w:t>
      </w:r>
    </w:p>
    <w:p w14:paraId="671A39A6" w14:textId="77777777" w:rsidR="00000000" w:rsidRDefault="00832D71">
      <w:pPr>
        <w:pStyle w:val="a3"/>
        <w:spacing w:before="360" w:beforeAutospacing="0" w:after="0" w:afterAutospacing="0"/>
        <w:jc w:val="both"/>
        <w:rPr>
          <w:sz w:val="20"/>
          <w:szCs w:val="20"/>
        </w:rPr>
      </w:pPr>
      <w:r>
        <w:rPr>
          <w:i/>
          <w:iCs/>
          <w:sz w:val="20"/>
          <w:szCs w:val="20"/>
        </w:rPr>
        <w:t>Net Income and Adjusted EBITD</w:t>
      </w:r>
      <w:r>
        <w:rPr>
          <w:i/>
          <w:iCs/>
          <w:sz w:val="20"/>
          <w:szCs w:val="20"/>
        </w:rPr>
        <w:t>A</w:t>
      </w:r>
    </w:p>
    <w:p w14:paraId="74227F40" w14:textId="77777777" w:rsidR="00000000" w:rsidRDefault="00832D71">
      <w:pPr>
        <w:pStyle w:val="a3"/>
        <w:spacing w:before="120" w:beforeAutospacing="0" w:after="0" w:afterAutospacing="0"/>
        <w:ind w:firstLine="555"/>
        <w:jc w:val="both"/>
        <w:rPr>
          <w:sz w:val="20"/>
          <w:szCs w:val="20"/>
        </w:rPr>
      </w:pPr>
      <w:r>
        <w:rPr>
          <w:sz w:val="20"/>
          <w:szCs w:val="20"/>
        </w:rPr>
        <w:t>Net income for fiscal 2022 amounted to $139.7 million, or $2.21 per Common Unit, compared to $122.8 million, or $1.96 per Common Unit, in fiscal 2021. Earnings before interest, taxes, depreciation and amortization (“EBITDA”) for fiscal 2022 amounted to $25</w:t>
      </w:r>
      <w:r>
        <w:rPr>
          <w:sz w:val="20"/>
          <w:szCs w:val="20"/>
        </w:rPr>
        <w:t>9.6 million, compared to $296.6 million for fiscal 2021</w:t>
      </w:r>
      <w:r>
        <w:rPr>
          <w:sz w:val="20"/>
          <w:szCs w:val="20"/>
        </w:rPr>
        <w:t>.</w:t>
      </w:r>
    </w:p>
    <w:p w14:paraId="6A78B44E" w14:textId="77777777" w:rsidR="00000000" w:rsidRDefault="00832D71">
      <w:pPr>
        <w:pStyle w:val="a3"/>
        <w:spacing w:before="240" w:beforeAutospacing="0" w:after="0" w:afterAutospacing="0"/>
        <w:ind w:firstLine="555"/>
        <w:jc w:val="both"/>
        <w:rPr>
          <w:sz w:val="20"/>
          <w:szCs w:val="20"/>
        </w:rPr>
      </w:pPr>
      <w:r>
        <w:rPr>
          <w:sz w:val="20"/>
          <w:szCs w:val="20"/>
        </w:rPr>
        <w:t>Net income and EBITDA for fiscal 2022 included (i) a $2.6 million loss on our equity investments in unconsolidated affiliates; and (ii) a $0.8 million pension settlement charge. Net income and EBITDA</w:t>
      </w:r>
      <w:r>
        <w:rPr>
          <w:sz w:val="20"/>
          <w:szCs w:val="20"/>
        </w:rPr>
        <w:t xml:space="preserve"> for fiscal 2021 included (i) a $16.0 million loss on debt extinguishment; (ii) a $4.3 million charge resulting from our withdrawal from a multi-employer pension plan; (iii) a $1.0 million pension settlement charge; and (iv) a $0.9 million loss on our equi</w:t>
      </w:r>
      <w:r>
        <w:rPr>
          <w:sz w:val="20"/>
          <w:szCs w:val="20"/>
        </w:rPr>
        <w:t>ty investment in an unconsolidated affiliate. Excluding the effects of these items, as well as the unrealized non-cash mark-to-market adjustments on derivative instruments in both years, Adjusted EBITDA increased to $291.0 million for fiscal 2022, compared</w:t>
      </w:r>
      <w:r>
        <w:rPr>
          <w:sz w:val="20"/>
          <w:szCs w:val="20"/>
        </w:rPr>
        <w:t xml:space="preserve"> to Adjusted EBITDA of $275.7 million for fiscal 2021</w:t>
      </w:r>
      <w:r>
        <w:rPr>
          <w:sz w:val="20"/>
          <w:szCs w:val="20"/>
        </w:rPr>
        <w:t>.</w:t>
      </w:r>
    </w:p>
    <w:p w14:paraId="33AA107E" w14:textId="77777777" w:rsidR="00000000" w:rsidRDefault="00832D71">
      <w:pPr>
        <w:pStyle w:val="a3"/>
        <w:spacing w:before="240" w:beforeAutospacing="0" w:after="0" w:afterAutospacing="0"/>
        <w:ind w:firstLine="555"/>
        <w:jc w:val="both"/>
        <w:rPr>
          <w:sz w:val="20"/>
          <w:szCs w:val="20"/>
        </w:rPr>
      </w:pPr>
      <w:r>
        <w:rPr>
          <w:sz w:val="20"/>
          <w:szCs w:val="20"/>
        </w:rPr>
        <w:t>EBITDA represents net income before deducting interest expense, income taxes, depreciation and amortization. Adjusted EBITDA represents EBITDA excluding the unrealized net gain or loss on mark-to-marke</w:t>
      </w:r>
      <w:r>
        <w:rPr>
          <w:sz w:val="20"/>
          <w:szCs w:val="20"/>
        </w:rPr>
        <w:t>t activity for derivative instruments and other items, as applicable, as provided in the table below. Our management uses EBITDA and Adjusted EBITDA as supplemental measures of operating performance and we are including them because we believe that they pr</w:t>
      </w:r>
      <w:r>
        <w:rPr>
          <w:sz w:val="20"/>
          <w:szCs w:val="20"/>
        </w:rPr>
        <w:t xml:space="preserve">ovide our investors and industry analysts with additional information to evaluate our operating results. EBITDA and Adjusted EBITDA are not recognized terms under US GAAP and should not be considered as an alternative to net income or net cash provided by </w:t>
      </w:r>
      <w:r>
        <w:rPr>
          <w:sz w:val="20"/>
          <w:szCs w:val="20"/>
        </w:rPr>
        <w:t>operating activities determined in accordance with US GAAP. Because EBITDA and Adjusted EBITDA as determined by us excludes some, but not all, items that affect net income, they may not be comparable to EBITDA and Adjusted EBITDA or similarly titled measur</w:t>
      </w:r>
      <w:r>
        <w:rPr>
          <w:sz w:val="20"/>
          <w:szCs w:val="20"/>
        </w:rPr>
        <w:t>es used by other companies</w:t>
      </w:r>
      <w:r>
        <w:rPr>
          <w:sz w:val="20"/>
          <w:szCs w:val="20"/>
        </w:rPr>
        <w:t>.</w:t>
      </w:r>
    </w:p>
    <w:p w14:paraId="1E478ACA" w14:textId="77777777" w:rsidR="00000000" w:rsidRDefault="00832D71">
      <w:pPr>
        <w:pStyle w:val="a3"/>
        <w:spacing w:before="240" w:beforeAutospacing="0" w:after="0" w:afterAutospacing="0"/>
        <w:ind w:firstLine="555"/>
        <w:jc w:val="both"/>
        <w:rPr>
          <w:sz w:val="20"/>
          <w:szCs w:val="20"/>
        </w:rPr>
      </w:pPr>
      <w:r>
        <w:rPr>
          <w:sz w:val="20"/>
          <w:szCs w:val="20"/>
        </w:rPr>
        <w:t>The following table sets forth our calculations of EBITDA and Adjusted EBITDA</w:t>
      </w:r>
      <w:r>
        <w:rPr>
          <w:sz w:val="20"/>
          <w:szCs w:val="20"/>
        </w:rPr>
        <w:t>:</w:t>
      </w:r>
    </w:p>
    <w:p w14:paraId="39A43921" w14:textId="77777777" w:rsidR="00000000" w:rsidRDefault="00832D71">
      <w:pPr>
        <w:pStyle w:val="a3"/>
        <w:spacing w:before="0" w:beforeAutospacing="0" w:after="0" w:afterAutospacing="0"/>
        <w:rPr>
          <w:sz w:val="20"/>
          <w:szCs w:val="20"/>
        </w:rPr>
      </w:pPr>
      <w:r>
        <w:rPr>
          <w:sz w:val="20"/>
          <w:szCs w:val="20"/>
        </w:rPr>
        <w:t> </w:t>
      </w:r>
    </w:p>
    <w:tbl>
      <w:tblPr>
        <w:tblW w:w="3600" w:type="pct"/>
        <w:tblCellSpacing w:w="15" w:type="dxa"/>
        <w:tblCellMar>
          <w:top w:w="15" w:type="dxa"/>
          <w:left w:w="15" w:type="dxa"/>
          <w:bottom w:w="15" w:type="dxa"/>
          <w:right w:w="15" w:type="dxa"/>
        </w:tblCellMar>
        <w:tblLook w:val="04A0" w:firstRow="1" w:lastRow="0" w:firstColumn="1" w:lastColumn="0" w:noHBand="0" w:noVBand="1"/>
      </w:tblPr>
      <w:tblGrid>
        <w:gridCol w:w="3768"/>
        <w:gridCol w:w="110"/>
        <w:gridCol w:w="160"/>
        <w:gridCol w:w="710"/>
        <w:gridCol w:w="110"/>
        <w:gridCol w:w="110"/>
        <w:gridCol w:w="160"/>
        <w:gridCol w:w="710"/>
        <w:gridCol w:w="142"/>
      </w:tblGrid>
      <w:tr w:rsidR="00000000" w14:paraId="2529467A" w14:textId="77777777">
        <w:trPr>
          <w:tblCellSpacing w:w="15" w:type="dxa"/>
        </w:trPr>
        <w:tc>
          <w:tcPr>
            <w:tcW w:w="3385" w:type="pct"/>
            <w:vAlign w:val="center"/>
            <w:hideMark/>
          </w:tcPr>
          <w:p w14:paraId="6C308758" w14:textId="77777777" w:rsidR="00000000" w:rsidRDefault="00832D71">
            <w:pPr>
              <w:rPr>
                <w:sz w:val="20"/>
                <w:szCs w:val="20"/>
              </w:rPr>
            </w:pPr>
          </w:p>
        </w:tc>
        <w:tc>
          <w:tcPr>
            <w:tcW w:w="69" w:type="pct"/>
            <w:vAlign w:val="center"/>
            <w:hideMark/>
          </w:tcPr>
          <w:p w14:paraId="1CC52B70" w14:textId="77777777" w:rsidR="00000000" w:rsidRDefault="00832D71">
            <w:pPr>
              <w:rPr>
                <w:rFonts w:eastAsia="Times New Roman"/>
                <w:sz w:val="20"/>
                <w:szCs w:val="20"/>
              </w:rPr>
            </w:pPr>
          </w:p>
        </w:tc>
        <w:tc>
          <w:tcPr>
            <w:tcW w:w="50" w:type="pct"/>
            <w:vAlign w:val="center"/>
            <w:hideMark/>
          </w:tcPr>
          <w:p w14:paraId="532033E4" w14:textId="77777777" w:rsidR="00000000" w:rsidRDefault="00832D71">
            <w:pPr>
              <w:rPr>
                <w:rFonts w:eastAsia="Times New Roman"/>
                <w:sz w:val="20"/>
                <w:szCs w:val="20"/>
              </w:rPr>
            </w:pPr>
          </w:p>
        </w:tc>
        <w:tc>
          <w:tcPr>
            <w:tcW w:w="626" w:type="pct"/>
            <w:vAlign w:val="center"/>
            <w:hideMark/>
          </w:tcPr>
          <w:p w14:paraId="15738141" w14:textId="77777777" w:rsidR="00000000" w:rsidRDefault="00832D71">
            <w:pPr>
              <w:rPr>
                <w:rFonts w:eastAsia="Times New Roman"/>
                <w:sz w:val="20"/>
                <w:szCs w:val="20"/>
              </w:rPr>
            </w:pPr>
          </w:p>
        </w:tc>
        <w:tc>
          <w:tcPr>
            <w:tcW w:w="50" w:type="pct"/>
            <w:vAlign w:val="center"/>
            <w:hideMark/>
          </w:tcPr>
          <w:p w14:paraId="0B3262C6" w14:textId="77777777" w:rsidR="00000000" w:rsidRDefault="00832D71">
            <w:pPr>
              <w:rPr>
                <w:rFonts w:eastAsia="Times New Roman"/>
                <w:sz w:val="20"/>
                <w:szCs w:val="20"/>
              </w:rPr>
            </w:pPr>
          </w:p>
        </w:tc>
        <w:tc>
          <w:tcPr>
            <w:tcW w:w="69" w:type="pct"/>
            <w:vAlign w:val="center"/>
            <w:hideMark/>
          </w:tcPr>
          <w:p w14:paraId="2703F656" w14:textId="77777777" w:rsidR="00000000" w:rsidRDefault="00832D71">
            <w:pPr>
              <w:rPr>
                <w:rFonts w:eastAsia="Times New Roman"/>
                <w:sz w:val="20"/>
                <w:szCs w:val="20"/>
              </w:rPr>
            </w:pPr>
          </w:p>
        </w:tc>
        <w:tc>
          <w:tcPr>
            <w:tcW w:w="50" w:type="pct"/>
            <w:vAlign w:val="center"/>
            <w:hideMark/>
          </w:tcPr>
          <w:p w14:paraId="5E0E01C1" w14:textId="77777777" w:rsidR="00000000" w:rsidRDefault="00832D71">
            <w:pPr>
              <w:rPr>
                <w:rFonts w:eastAsia="Times New Roman"/>
                <w:sz w:val="20"/>
                <w:szCs w:val="20"/>
              </w:rPr>
            </w:pPr>
          </w:p>
        </w:tc>
        <w:tc>
          <w:tcPr>
            <w:tcW w:w="649" w:type="pct"/>
            <w:vAlign w:val="center"/>
            <w:hideMark/>
          </w:tcPr>
          <w:p w14:paraId="5A663203" w14:textId="77777777" w:rsidR="00000000" w:rsidRDefault="00832D71">
            <w:pPr>
              <w:rPr>
                <w:rFonts w:eastAsia="Times New Roman"/>
                <w:sz w:val="20"/>
                <w:szCs w:val="20"/>
              </w:rPr>
            </w:pPr>
          </w:p>
        </w:tc>
        <w:tc>
          <w:tcPr>
            <w:tcW w:w="50" w:type="pct"/>
            <w:vAlign w:val="center"/>
            <w:hideMark/>
          </w:tcPr>
          <w:p w14:paraId="1D998252" w14:textId="77777777" w:rsidR="00000000" w:rsidRDefault="00832D71">
            <w:pPr>
              <w:rPr>
                <w:rFonts w:eastAsia="Times New Roman"/>
                <w:sz w:val="20"/>
                <w:szCs w:val="20"/>
              </w:rPr>
            </w:pPr>
          </w:p>
        </w:tc>
      </w:tr>
      <w:tr w:rsidR="00000000" w14:paraId="466BFCD6" w14:textId="77777777">
        <w:trPr>
          <w:trHeight w:val="160"/>
          <w:tblCellSpacing w:w="15" w:type="dxa"/>
        </w:trPr>
        <w:tc>
          <w:tcPr>
            <w:tcW w:w="0" w:type="auto"/>
            <w:vAlign w:val="bottom"/>
            <w:hideMark/>
          </w:tcPr>
          <w:p w14:paraId="3B81831F" w14:textId="77777777" w:rsidR="00000000" w:rsidRDefault="00832D71">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14:paraId="72901D11" w14:textId="77777777" w:rsidR="00000000" w:rsidRDefault="00832D71">
            <w:pPr>
              <w:pStyle w:val="a3"/>
              <w:spacing w:before="0" w:beforeAutospacing="0" w:after="0" w:afterAutospacing="0"/>
              <w:rPr>
                <w:sz w:val="16"/>
                <w:szCs w:val="16"/>
              </w:rPr>
            </w:pPr>
            <w:r>
              <w:rPr>
                <w:sz w:val="16"/>
                <w:szCs w:val="16"/>
              </w:rPr>
              <w:t> </w:t>
            </w:r>
          </w:p>
        </w:tc>
        <w:tc>
          <w:tcPr>
            <w:tcW w:w="0" w:type="auto"/>
            <w:gridSpan w:val="6"/>
            <w:vAlign w:val="bottom"/>
            <w:hideMark/>
          </w:tcPr>
          <w:p w14:paraId="1DB80918" w14:textId="77777777" w:rsidR="00000000" w:rsidRDefault="00832D71">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14:paraId="38419132"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474453FB" w14:textId="77777777">
        <w:trPr>
          <w:trHeight w:val="160"/>
          <w:tblCellSpacing w:w="15" w:type="dxa"/>
        </w:trPr>
        <w:tc>
          <w:tcPr>
            <w:tcW w:w="0" w:type="auto"/>
            <w:vAlign w:val="bottom"/>
            <w:hideMark/>
          </w:tcPr>
          <w:p w14:paraId="37CF7722"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D1A219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E86F684" w14:textId="77777777" w:rsidR="00000000" w:rsidRDefault="00832D71">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14:paraId="7AAC184A"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72CD62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E1F8495" w14:textId="77777777" w:rsidR="00000000" w:rsidRDefault="00832D71">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14:paraId="2A2E24BE"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13CB85D" w14:textId="77777777">
        <w:trPr>
          <w:trHeight w:val="160"/>
          <w:tblCellSpacing w:w="15" w:type="dxa"/>
        </w:trPr>
        <w:tc>
          <w:tcPr>
            <w:tcW w:w="0" w:type="auto"/>
            <w:vAlign w:val="bottom"/>
            <w:hideMark/>
          </w:tcPr>
          <w:p w14:paraId="23569E8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D0D3CF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FE7F2D3"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05B3323"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5C59F2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9787CE8"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E5C97EA"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6196574" w14:textId="77777777">
        <w:trPr>
          <w:trHeight w:val="200"/>
          <w:tblCellSpacing w:w="15" w:type="dxa"/>
        </w:trPr>
        <w:tc>
          <w:tcPr>
            <w:tcW w:w="0" w:type="auto"/>
            <w:hideMark/>
          </w:tcPr>
          <w:p w14:paraId="11797EC9" w14:textId="77777777" w:rsidR="00000000" w:rsidRDefault="00832D71">
            <w:pPr>
              <w:pStyle w:val="a3"/>
              <w:spacing w:before="0" w:beforeAutospacing="0" w:after="0" w:afterAutospacing="0"/>
              <w:rPr>
                <w:sz w:val="20"/>
                <w:szCs w:val="20"/>
              </w:rPr>
            </w:pPr>
            <w:r>
              <w:rPr>
                <w:sz w:val="20"/>
                <w:szCs w:val="20"/>
              </w:rPr>
              <w:t>Net incom</w:t>
            </w:r>
            <w:r>
              <w:rPr>
                <w:sz w:val="20"/>
                <w:szCs w:val="20"/>
              </w:rPr>
              <w:t>e</w:t>
            </w:r>
          </w:p>
        </w:tc>
        <w:tc>
          <w:tcPr>
            <w:tcW w:w="0" w:type="auto"/>
            <w:hideMark/>
          </w:tcPr>
          <w:p w14:paraId="7D01A4E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32147D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ECDF19F" w14:textId="77777777" w:rsidR="00000000" w:rsidRDefault="00832D71">
            <w:pPr>
              <w:pStyle w:val="a3"/>
              <w:spacing w:before="0" w:beforeAutospacing="0" w:after="0" w:afterAutospacing="0"/>
              <w:jc w:val="right"/>
              <w:rPr>
                <w:sz w:val="20"/>
                <w:szCs w:val="20"/>
              </w:rPr>
            </w:pPr>
            <w:r>
              <w:rPr>
                <w:sz w:val="20"/>
                <w:szCs w:val="20"/>
              </w:rPr>
              <w:t>139,70</w:t>
            </w:r>
            <w:r>
              <w:rPr>
                <w:sz w:val="20"/>
                <w:szCs w:val="20"/>
              </w:rPr>
              <w:t>8</w:t>
            </w:r>
          </w:p>
        </w:tc>
        <w:tc>
          <w:tcPr>
            <w:tcW w:w="0" w:type="auto"/>
            <w:noWrap/>
            <w:vAlign w:val="bottom"/>
            <w:hideMark/>
          </w:tcPr>
          <w:p w14:paraId="6DBB5DE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80DDAD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691D41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382F3C4" w14:textId="77777777" w:rsidR="00000000" w:rsidRDefault="00832D71">
            <w:pPr>
              <w:pStyle w:val="a3"/>
              <w:spacing w:before="0" w:beforeAutospacing="0" w:after="0" w:afterAutospacing="0"/>
              <w:jc w:val="right"/>
              <w:rPr>
                <w:sz w:val="20"/>
                <w:szCs w:val="20"/>
              </w:rPr>
            </w:pPr>
            <w:r>
              <w:rPr>
                <w:sz w:val="20"/>
                <w:szCs w:val="20"/>
              </w:rPr>
              <w:t>122,79</w:t>
            </w:r>
            <w:r>
              <w:rPr>
                <w:sz w:val="20"/>
                <w:szCs w:val="20"/>
              </w:rPr>
              <w:t>3</w:t>
            </w:r>
          </w:p>
        </w:tc>
        <w:tc>
          <w:tcPr>
            <w:tcW w:w="0" w:type="auto"/>
            <w:noWrap/>
            <w:vAlign w:val="bottom"/>
            <w:hideMark/>
          </w:tcPr>
          <w:p w14:paraId="41CE6585" w14:textId="77777777" w:rsidR="00000000" w:rsidRDefault="00832D71">
            <w:pPr>
              <w:pStyle w:val="a3"/>
              <w:spacing w:before="0" w:beforeAutospacing="0" w:after="0" w:afterAutospacing="0"/>
              <w:rPr>
                <w:sz w:val="20"/>
                <w:szCs w:val="20"/>
              </w:rPr>
            </w:pPr>
            <w:r>
              <w:rPr>
                <w:sz w:val="20"/>
                <w:szCs w:val="20"/>
              </w:rPr>
              <w:t> </w:t>
            </w:r>
          </w:p>
        </w:tc>
      </w:tr>
      <w:tr w:rsidR="00000000" w14:paraId="586558FD" w14:textId="77777777">
        <w:trPr>
          <w:trHeight w:val="200"/>
          <w:tblCellSpacing w:w="15" w:type="dxa"/>
        </w:trPr>
        <w:tc>
          <w:tcPr>
            <w:tcW w:w="0" w:type="auto"/>
            <w:hideMark/>
          </w:tcPr>
          <w:p w14:paraId="3755C737" w14:textId="77777777" w:rsidR="00000000" w:rsidRDefault="00832D71">
            <w:pPr>
              <w:pStyle w:val="a3"/>
              <w:spacing w:before="0" w:beforeAutospacing="0" w:after="0" w:afterAutospacing="0"/>
              <w:rPr>
                <w:sz w:val="20"/>
                <w:szCs w:val="20"/>
              </w:rPr>
            </w:pPr>
            <w:r>
              <w:rPr>
                <w:sz w:val="20"/>
                <w:szCs w:val="20"/>
              </w:rPr>
              <w:t>Add</w:t>
            </w:r>
            <w:r>
              <w:rPr>
                <w:sz w:val="20"/>
                <w:szCs w:val="20"/>
              </w:rPr>
              <w:t>:</w:t>
            </w:r>
          </w:p>
        </w:tc>
        <w:tc>
          <w:tcPr>
            <w:tcW w:w="0" w:type="auto"/>
            <w:hideMark/>
          </w:tcPr>
          <w:p w14:paraId="70C86C0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3E5740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4A20E63"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80EA28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47D5E6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89C1F30" w14:textId="77777777" w:rsidR="00000000" w:rsidRDefault="00832D71">
            <w:pPr>
              <w:pStyle w:val="a3"/>
              <w:spacing w:before="0" w:beforeAutospacing="0" w:after="0" w:afterAutospacing="0"/>
              <w:jc w:val="right"/>
              <w:rPr>
                <w:sz w:val="20"/>
                <w:szCs w:val="20"/>
              </w:rPr>
            </w:pPr>
            <w:r>
              <w:rPr>
                <w:sz w:val="20"/>
                <w:szCs w:val="20"/>
              </w:rPr>
              <w:t> </w:t>
            </w:r>
          </w:p>
        </w:tc>
      </w:tr>
      <w:tr w:rsidR="00000000" w14:paraId="63694323" w14:textId="77777777">
        <w:trPr>
          <w:trHeight w:val="200"/>
          <w:tblCellSpacing w:w="15" w:type="dxa"/>
        </w:trPr>
        <w:tc>
          <w:tcPr>
            <w:tcW w:w="0" w:type="auto"/>
            <w:hideMark/>
          </w:tcPr>
          <w:p w14:paraId="4313D8F9" w14:textId="77777777" w:rsidR="00000000" w:rsidRDefault="00832D71">
            <w:pPr>
              <w:pStyle w:val="a3"/>
              <w:spacing w:before="0" w:beforeAutospacing="0" w:after="0" w:afterAutospacing="0"/>
              <w:ind w:left="200"/>
              <w:rPr>
                <w:sz w:val="20"/>
                <w:szCs w:val="20"/>
              </w:rPr>
            </w:pPr>
            <w:r>
              <w:rPr>
                <w:sz w:val="20"/>
                <w:szCs w:val="20"/>
              </w:rPr>
              <w:t>Provision for income taxe</w:t>
            </w:r>
            <w:r>
              <w:rPr>
                <w:sz w:val="20"/>
                <w:szCs w:val="20"/>
              </w:rPr>
              <w:t>s</w:t>
            </w:r>
          </w:p>
        </w:tc>
        <w:tc>
          <w:tcPr>
            <w:tcW w:w="0" w:type="auto"/>
            <w:hideMark/>
          </w:tcPr>
          <w:p w14:paraId="6B7793F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57507F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5C01581" w14:textId="77777777" w:rsidR="00000000" w:rsidRDefault="00832D71">
            <w:pPr>
              <w:pStyle w:val="a3"/>
              <w:spacing w:before="0" w:beforeAutospacing="0" w:after="0" w:afterAutospacing="0"/>
              <w:jc w:val="right"/>
              <w:rPr>
                <w:sz w:val="20"/>
                <w:szCs w:val="20"/>
              </w:rPr>
            </w:pPr>
            <w:r>
              <w:rPr>
                <w:sz w:val="20"/>
                <w:szCs w:val="20"/>
              </w:rPr>
              <w:t>42</w:t>
            </w:r>
            <w:r>
              <w:rPr>
                <w:sz w:val="20"/>
                <w:szCs w:val="20"/>
              </w:rPr>
              <w:t>9</w:t>
            </w:r>
          </w:p>
        </w:tc>
        <w:tc>
          <w:tcPr>
            <w:tcW w:w="0" w:type="auto"/>
            <w:noWrap/>
            <w:vAlign w:val="bottom"/>
            <w:hideMark/>
          </w:tcPr>
          <w:p w14:paraId="4505D03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B121D2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0F56A7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2011B88" w14:textId="77777777" w:rsidR="00000000" w:rsidRDefault="00832D71">
            <w:pPr>
              <w:pStyle w:val="a3"/>
              <w:spacing w:before="0" w:beforeAutospacing="0" w:after="0" w:afterAutospacing="0"/>
              <w:jc w:val="right"/>
              <w:rPr>
                <w:sz w:val="20"/>
                <w:szCs w:val="20"/>
              </w:rPr>
            </w:pPr>
            <w:r>
              <w:rPr>
                <w:sz w:val="20"/>
                <w:szCs w:val="20"/>
              </w:rPr>
              <w:t>1,11</w:t>
            </w:r>
            <w:r>
              <w:rPr>
                <w:sz w:val="20"/>
                <w:szCs w:val="20"/>
              </w:rPr>
              <w:t>0</w:t>
            </w:r>
          </w:p>
        </w:tc>
        <w:tc>
          <w:tcPr>
            <w:tcW w:w="0" w:type="auto"/>
            <w:noWrap/>
            <w:vAlign w:val="bottom"/>
            <w:hideMark/>
          </w:tcPr>
          <w:p w14:paraId="2F8A303C" w14:textId="77777777" w:rsidR="00000000" w:rsidRDefault="00832D71">
            <w:pPr>
              <w:pStyle w:val="a3"/>
              <w:spacing w:before="0" w:beforeAutospacing="0" w:after="0" w:afterAutospacing="0"/>
              <w:rPr>
                <w:sz w:val="20"/>
                <w:szCs w:val="20"/>
              </w:rPr>
            </w:pPr>
            <w:r>
              <w:rPr>
                <w:sz w:val="20"/>
                <w:szCs w:val="20"/>
              </w:rPr>
              <w:t> </w:t>
            </w:r>
          </w:p>
        </w:tc>
      </w:tr>
      <w:tr w:rsidR="00000000" w14:paraId="37F6CC3B" w14:textId="77777777">
        <w:trPr>
          <w:trHeight w:val="200"/>
          <w:tblCellSpacing w:w="15" w:type="dxa"/>
        </w:trPr>
        <w:tc>
          <w:tcPr>
            <w:tcW w:w="0" w:type="auto"/>
            <w:hideMark/>
          </w:tcPr>
          <w:p w14:paraId="584191A5" w14:textId="77777777" w:rsidR="00000000" w:rsidRDefault="00832D71">
            <w:pPr>
              <w:pStyle w:val="a3"/>
              <w:spacing w:before="0" w:beforeAutospacing="0" w:after="0" w:afterAutospacing="0"/>
              <w:ind w:left="200"/>
              <w:rPr>
                <w:sz w:val="20"/>
                <w:szCs w:val="20"/>
              </w:rPr>
            </w:pPr>
            <w:r>
              <w:rPr>
                <w:sz w:val="20"/>
                <w:szCs w:val="20"/>
              </w:rPr>
              <w:t>Interest expense, ne</w:t>
            </w:r>
            <w:r>
              <w:rPr>
                <w:sz w:val="20"/>
                <w:szCs w:val="20"/>
              </w:rPr>
              <w:t>t</w:t>
            </w:r>
          </w:p>
        </w:tc>
        <w:tc>
          <w:tcPr>
            <w:tcW w:w="0" w:type="auto"/>
            <w:hideMark/>
          </w:tcPr>
          <w:p w14:paraId="667D516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0A92D9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547E5A2" w14:textId="77777777" w:rsidR="00000000" w:rsidRDefault="00832D71">
            <w:pPr>
              <w:pStyle w:val="a3"/>
              <w:spacing w:before="0" w:beforeAutospacing="0" w:after="0" w:afterAutospacing="0"/>
              <w:jc w:val="right"/>
              <w:rPr>
                <w:sz w:val="20"/>
                <w:szCs w:val="20"/>
              </w:rPr>
            </w:pPr>
            <w:r>
              <w:rPr>
                <w:sz w:val="20"/>
                <w:szCs w:val="20"/>
              </w:rPr>
              <w:t>60,65</w:t>
            </w:r>
            <w:r>
              <w:rPr>
                <w:sz w:val="20"/>
                <w:szCs w:val="20"/>
              </w:rPr>
              <w:t>8</w:t>
            </w:r>
          </w:p>
        </w:tc>
        <w:tc>
          <w:tcPr>
            <w:tcW w:w="0" w:type="auto"/>
            <w:noWrap/>
            <w:vAlign w:val="bottom"/>
            <w:hideMark/>
          </w:tcPr>
          <w:p w14:paraId="52414C9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E244DC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1C83D4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9E3CE45" w14:textId="77777777" w:rsidR="00000000" w:rsidRDefault="00832D71">
            <w:pPr>
              <w:pStyle w:val="a3"/>
              <w:spacing w:before="0" w:beforeAutospacing="0" w:after="0" w:afterAutospacing="0"/>
              <w:jc w:val="right"/>
              <w:rPr>
                <w:sz w:val="20"/>
                <w:szCs w:val="20"/>
              </w:rPr>
            </w:pPr>
            <w:r>
              <w:rPr>
                <w:sz w:val="20"/>
                <w:szCs w:val="20"/>
              </w:rPr>
              <w:t>68,13</w:t>
            </w:r>
            <w:r>
              <w:rPr>
                <w:sz w:val="20"/>
                <w:szCs w:val="20"/>
              </w:rPr>
              <w:t>2</w:t>
            </w:r>
          </w:p>
        </w:tc>
        <w:tc>
          <w:tcPr>
            <w:tcW w:w="0" w:type="auto"/>
            <w:noWrap/>
            <w:vAlign w:val="bottom"/>
            <w:hideMark/>
          </w:tcPr>
          <w:p w14:paraId="736D021B" w14:textId="77777777" w:rsidR="00000000" w:rsidRDefault="00832D71">
            <w:pPr>
              <w:pStyle w:val="a3"/>
              <w:spacing w:before="0" w:beforeAutospacing="0" w:after="0" w:afterAutospacing="0"/>
              <w:rPr>
                <w:sz w:val="20"/>
                <w:szCs w:val="20"/>
              </w:rPr>
            </w:pPr>
            <w:r>
              <w:rPr>
                <w:sz w:val="20"/>
                <w:szCs w:val="20"/>
              </w:rPr>
              <w:t> </w:t>
            </w:r>
          </w:p>
        </w:tc>
      </w:tr>
      <w:tr w:rsidR="00000000" w14:paraId="5DFD4EC9" w14:textId="77777777">
        <w:trPr>
          <w:trHeight w:val="200"/>
          <w:tblCellSpacing w:w="15" w:type="dxa"/>
        </w:trPr>
        <w:tc>
          <w:tcPr>
            <w:tcW w:w="0" w:type="auto"/>
            <w:hideMark/>
          </w:tcPr>
          <w:p w14:paraId="1205C82E" w14:textId="77777777" w:rsidR="00000000" w:rsidRDefault="00832D71">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hideMark/>
          </w:tcPr>
          <w:p w14:paraId="02DD50E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F75464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115A02E" w14:textId="77777777" w:rsidR="00000000" w:rsidRDefault="00832D71">
            <w:pPr>
              <w:pStyle w:val="a3"/>
              <w:spacing w:before="0" w:beforeAutospacing="0" w:after="0" w:afterAutospacing="0"/>
              <w:jc w:val="right"/>
              <w:rPr>
                <w:sz w:val="20"/>
                <w:szCs w:val="20"/>
              </w:rPr>
            </w:pPr>
            <w:r>
              <w:rPr>
                <w:sz w:val="20"/>
                <w:szCs w:val="20"/>
              </w:rPr>
              <w:t>58,84</w:t>
            </w:r>
            <w:r>
              <w:rPr>
                <w:sz w:val="20"/>
                <w:szCs w:val="20"/>
              </w:rPr>
              <w:t>8</w:t>
            </w:r>
          </w:p>
        </w:tc>
        <w:tc>
          <w:tcPr>
            <w:tcW w:w="0" w:type="auto"/>
            <w:noWrap/>
            <w:vAlign w:val="bottom"/>
            <w:hideMark/>
          </w:tcPr>
          <w:p w14:paraId="45AEF0D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359F95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DBF4FE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F692DD3" w14:textId="77777777" w:rsidR="00000000" w:rsidRDefault="00832D71">
            <w:pPr>
              <w:pStyle w:val="a3"/>
              <w:spacing w:before="0" w:beforeAutospacing="0" w:after="0" w:afterAutospacing="0"/>
              <w:jc w:val="right"/>
              <w:rPr>
                <w:sz w:val="20"/>
                <w:szCs w:val="20"/>
              </w:rPr>
            </w:pPr>
            <w:r>
              <w:rPr>
                <w:sz w:val="20"/>
                <w:szCs w:val="20"/>
              </w:rPr>
              <w:t>104,55</w:t>
            </w:r>
            <w:r>
              <w:rPr>
                <w:sz w:val="20"/>
                <w:szCs w:val="20"/>
              </w:rPr>
              <w:t>5</w:t>
            </w:r>
          </w:p>
        </w:tc>
        <w:tc>
          <w:tcPr>
            <w:tcW w:w="0" w:type="auto"/>
            <w:noWrap/>
            <w:vAlign w:val="bottom"/>
            <w:hideMark/>
          </w:tcPr>
          <w:p w14:paraId="011000DA" w14:textId="77777777" w:rsidR="00000000" w:rsidRDefault="00832D71">
            <w:pPr>
              <w:pStyle w:val="a3"/>
              <w:spacing w:before="0" w:beforeAutospacing="0" w:after="0" w:afterAutospacing="0"/>
              <w:rPr>
                <w:sz w:val="20"/>
                <w:szCs w:val="20"/>
              </w:rPr>
            </w:pPr>
            <w:r>
              <w:rPr>
                <w:sz w:val="20"/>
                <w:szCs w:val="20"/>
              </w:rPr>
              <w:t> </w:t>
            </w:r>
          </w:p>
        </w:tc>
      </w:tr>
      <w:tr w:rsidR="00000000" w14:paraId="226B0F99" w14:textId="77777777">
        <w:trPr>
          <w:trHeight w:val="200"/>
          <w:tblCellSpacing w:w="15" w:type="dxa"/>
        </w:trPr>
        <w:tc>
          <w:tcPr>
            <w:tcW w:w="0" w:type="auto"/>
            <w:hideMark/>
          </w:tcPr>
          <w:p w14:paraId="59C45993" w14:textId="77777777" w:rsidR="00000000" w:rsidRDefault="00832D71">
            <w:pPr>
              <w:pStyle w:val="a3"/>
              <w:spacing w:before="0" w:beforeAutospacing="0" w:after="0" w:afterAutospacing="0"/>
              <w:rPr>
                <w:sz w:val="20"/>
                <w:szCs w:val="20"/>
              </w:rPr>
            </w:pPr>
            <w:r>
              <w:rPr>
                <w:sz w:val="20"/>
                <w:szCs w:val="20"/>
              </w:rPr>
              <w:t>EBITD</w:t>
            </w:r>
            <w:r>
              <w:rPr>
                <w:sz w:val="20"/>
                <w:szCs w:val="20"/>
              </w:rPr>
              <w:t>A</w:t>
            </w:r>
          </w:p>
        </w:tc>
        <w:tc>
          <w:tcPr>
            <w:tcW w:w="0" w:type="auto"/>
            <w:hideMark/>
          </w:tcPr>
          <w:p w14:paraId="5CAD389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C5FD62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3A8BC2B" w14:textId="77777777" w:rsidR="00000000" w:rsidRDefault="00832D71">
            <w:pPr>
              <w:pStyle w:val="a3"/>
              <w:spacing w:before="0" w:beforeAutospacing="0" w:after="0" w:afterAutospacing="0"/>
              <w:jc w:val="right"/>
              <w:rPr>
                <w:sz w:val="20"/>
                <w:szCs w:val="20"/>
              </w:rPr>
            </w:pPr>
            <w:r>
              <w:rPr>
                <w:sz w:val="20"/>
                <w:szCs w:val="20"/>
              </w:rPr>
              <w:t>259,64</w:t>
            </w:r>
            <w:r>
              <w:rPr>
                <w:sz w:val="20"/>
                <w:szCs w:val="20"/>
              </w:rPr>
              <w:t>3</w:t>
            </w:r>
          </w:p>
        </w:tc>
        <w:tc>
          <w:tcPr>
            <w:tcW w:w="0" w:type="auto"/>
            <w:noWrap/>
            <w:vAlign w:val="bottom"/>
            <w:hideMark/>
          </w:tcPr>
          <w:p w14:paraId="7B47711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ECA9DC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E12CEA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28EB8E7" w14:textId="77777777" w:rsidR="00000000" w:rsidRDefault="00832D71">
            <w:pPr>
              <w:pStyle w:val="a3"/>
              <w:spacing w:before="0" w:beforeAutospacing="0" w:after="0" w:afterAutospacing="0"/>
              <w:jc w:val="right"/>
              <w:rPr>
                <w:sz w:val="20"/>
                <w:szCs w:val="20"/>
              </w:rPr>
            </w:pPr>
            <w:r>
              <w:rPr>
                <w:sz w:val="20"/>
                <w:szCs w:val="20"/>
              </w:rPr>
              <w:t>296,59</w:t>
            </w:r>
            <w:r>
              <w:rPr>
                <w:sz w:val="20"/>
                <w:szCs w:val="20"/>
              </w:rPr>
              <w:t>0</w:t>
            </w:r>
          </w:p>
        </w:tc>
        <w:tc>
          <w:tcPr>
            <w:tcW w:w="0" w:type="auto"/>
            <w:noWrap/>
            <w:vAlign w:val="bottom"/>
            <w:hideMark/>
          </w:tcPr>
          <w:p w14:paraId="685866C2" w14:textId="77777777" w:rsidR="00000000" w:rsidRDefault="00832D71">
            <w:pPr>
              <w:pStyle w:val="a3"/>
              <w:spacing w:before="0" w:beforeAutospacing="0" w:after="0" w:afterAutospacing="0"/>
              <w:rPr>
                <w:sz w:val="20"/>
                <w:szCs w:val="20"/>
              </w:rPr>
            </w:pPr>
            <w:r>
              <w:rPr>
                <w:sz w:val="20"/>
                <w:szCs w:val="20"/>
              </w:rPr>
              <w:t> </w:t>
            </w:r>
          </w:p>
        </w:tc>
      </w:tr>
      <w:tr w:rsidR="00000000" w14:paraId="32568DC7" w14:textId="77777777">
        <w:trPr>
          <w:trHeight w:val="200"/>
          <w:tblCellSpacing w:w="15" w:type="dxa"/>
        </w:trPr>
        <w:tc>
          <w:tcPr>
            <w:tcW w:w="0" w:type="auto"/>
            <w:hideMark/>
          </w:tcPr>
          <w:p w14:paraId="00422260" w14:textId="77777777" w:rsidR="00000000" w:rsidRDefault="00832D71">
            <w:pPr>
              <w:pStyle w:val="a3"/>
              <w:spacing w:before="0" w:beforeAutospacing="0" w:after="0" w:afterAutospacing="0"/>
              <w:rPr>
                <w:sz w:val="20"/>
                <w:szCs w:val="20"/>
              </w:rPr>
            </w:pPr>
            <w:r>
              <w:rPr>
                <w:sz w:val="20"/>
                <w:szCs w:val="20"/>
              </w:rPr>
              <w:t>Unrealized non-cash losses (gains) losses on changes in fair value of derivative</w:t>
            </w:r>
            <w:r>
              <w:rPr>
                <w:sz w:val="20"/>
                <w:szCs w:val="20"/>
              </w:rPr>
              <w:t>s</w:t>
            </w:r>
          </w:p>
        </w:tc>
        <w:tc>
          <w:tcPr>
            <w:tcW w:w="0" w:type="auto"/>
            <w:hideMark/>
          </w:tcPr>
          <w:p w14:paraId="042D5C6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B3F60C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9703CFF" w14:textId="77777777" w:rsidR="00000000" w:rsidRDefault="00832D71">
            <w:pPr>
              <w:pStyle w:val="a3"/>
              <w:spacing w:before="0" w:beforeAutospacing="0" w:after="0" w:afterAutospacing="0"/>
              <w:jc w:val="right"/>
              <w:rPr>
                <w:sz w:val="20"/>
                <w:szCs w:val="20"/>
              </w:rPr>
            </w:pPr>
            <w:r>
              <w:rPr>
                <w:sz w:val="20"/>
                <w:szCs w:val="20"/>
              </w:rPr>
              <w:t>27,92</w:t>
            </w:r>
            <w:r>
              <w:rPr>
                <w:sz w:val="20"/>
                <w:szCs w:val="20"/>
              </w:rPr>
              <w:t>9</w:t>
            </w:r>
          </w:p>
        </w:tc>
        <w:tc>
          <w:tcPr>
            <w:tcW w:w="0" w:type="auto"/>
            <w:noWrap/>
            <w:vAlign w:val="bottom"/>
            <w:hideMark/>
          </w:tcPr>
          <w:p w14:paraId="51E0C4A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6E4EF1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7B6317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3933980" w14:textId="77777777" w:rsidR="00000000" w:rsidRDefault="00832D71">
            <w:pPr>
              <w:pStyle w:val="a3"/>
              <w:spacing w:before="0" w:beforeAutospacing="0" w:after="0" w:afterAutospacing="0"/>
              <w:jc w:val="right"/>
              <w:rPr>
                <w:sz w:val="20"/>
                <w:szCs w:val="20"/>
              </w:rPr>
            </w:pPr>
            <w:r>
              <w:rPr>
                <w:sz w:val="20"/>
                <w:szCs w:val="20"/>
              </w:rPr>
              <w:t>(43,12</w:t>
            </w:r>
            <w:r>
              <w:rPr>
                <w:sz w:val="20"/>
                <w:szCs w:val="20"/>
              </w:rPr>
              <w:t>1</w:t>
            </w:r>
          </w:p>
        </w:tc>
        <w:tc>
          <w:tcPr>
            <w:tcW w:w="0" w:type="auto"/>
            <w:noWrap/>
            <w:vAlign w:val="bottom"/>
            <w:hideMark/>
          </w:tcPr>
          <w:p w14:paraId="7211DCF5" w14:textId="77777777" w:rsidR="00000000" w:rsidRDefault="00832D71">
            <w:pPr>
              <w:pStyle w:val="a3"/>
              <w:spacing w:before="0" w:beforeAutospacing="0" w:after="0" w:afterAutospacing="0"/>
              <w:rPr>
                <w:sz w:val="20"/>
                <w:szCs w:val="20"/>
              </w:rPr>
            </w:pPr>
            <w:r>
              <w:rPr>
                <w:sz w:val="20"/>
                <w:szCs w:val="20"/>
              </w:rPr>
              <w:t>)</w:t>
            </w:r>
          </w:p>
        </w:tc>
      </w:tr>
      <w:tr w:rsidR="00000000" w14:paraId="5D258764" w14:textId="77777777">
        <w:trPr>
          <w:trHeight w:val="200"/>
          <w:tblCellSpacing w:w="15" w:type="dxa"/>
        </w:trPr>
        <w:tc>
          <w:tcPr>
            <w:tcW w:w="0" w:type="auto"/>
            <w:hideMark/>
          </w:tcPr>
          <w:p w14:paraId="3D89DEFD" w14:textId="77777777" w:rsidR="00000000" w:rsidRDefault="00832D71">
            <w:pPr>
              <w:pStyle w:val="a3"/>
              <w:spacing w:before="0" w:beforeAutospacing="0" w:after="0" w:afterAutospacing="0"/>
              <w:rPr>
                <w:sz w:val="20"/>
                <w:szCs w:val="20"/>
              </w:rPr>
            </w:pPr>
            <w:r>
              <w:rPr>
                <w:sz w:val="20"/>
                <w:szCs w:val="20"/>
              </w:rPr>
              <w:t>Loss on debt extinguishmen</w:t>
            </w:r>
            <w:r>
              <w:rPr>
                <w:sz w:val="20"/>
                <w:szCs w:val="20"/>
              </w:rPr>
              <w:t>t</w:t>
            </w:r>
          </w:p>
        </w:tc>
        <w:tc>
          <w:tcPr>
            <w:tcW w:w="0" w:type="auto"/>
            <w:hideMark/>
          </w:tcPr>
          <w:p w14:paraId="6D3C65A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113A38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97594B7"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1ED6F11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6EB090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1C6CC1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290EADE" w14:textId="77777777" w:rsidR="00000000" w:rsidRDefault="00832D71">
            <w:pPr>
              <w:pStyle w:val="a3"/>
              <w:spacing w:before="0" w:beforeAutospacing="0" w:after="0" w:afterAutospacing="0"/>
              <w:jc w:val="right"/>
              <w:rPr>
                <w:sz w:val="20"/>
                <w:szCs w:val="20"/>
              </w:rPr>
            </w:pPr>
            <w:r>
              <w:rPr>
                <w:sz w:val="20"/>
                <w:szCs w:val="20"/>
              </w:rPr>
              <w:t>16,02</w:t>
            </w:r>
            <w:r>
              <w:rPr>
                <w:sz w:val="20"/>
                <w:szCs w:val="20"/>
              </w:rPr>
              <w:t>9</w:t>
            </w:r>
          </w:p>
        </w:tc>
        <w:tc>
          <w:tcPr>
            <w:tcW w:w="0" w:type="auto"/>
            <w:noWrap/>
            <w:vAlign w:val="bottom"/>
            <w:hideMark/>
          </w:tcPr>
          <w:p w14:paraId="3C8F365E" w14:textId="77777777" w:rsidR="00000000" w:rsidRDefault="00832D71">
            <w:pPr>
              <w:pStyle w:val="a3"/>
              <w:spacing w:before="0" w:beforeAutospacing="0" w:after="0" w:afterAutospacing="0"/>
              <w:rPr>
                <w:sz w:val="20"/>
                <w:szCs w:val="20"/>
              </w:rPr>
            </w:pPr>
            <w:r>
              <w:rPr>
                <w:sz w:val="20"/>
                <w:szCs w:val="20"/>
              </w:rPr>
              <w:t> </w:t>
            </w:r>
          </w:p>
        </w:tc>
      </w:tr>
      <w:tr w:rsidR="00000000" w14:paraId="73A4C4CD" w14:textId="77777777">
        <w:trPr>
          <w:trHeight w:val="200"/>
          <w:tblCellSpacing w:w="15" w:type="dxa"/>
        </w:trPr>
        <w:tc>
          <w:tcPr>
            <w:tcW w:w="0" w:type="auto"/>
            <w:hideMark/>
          </w:tcPr>
          <w:p w14:paraId="03C7FFF7" w14:textId="77777777" w:rsidR="00000000" w:rsidRDefault="00832D71">
            <w:pPr>
              <w:pStyle w:val="a3"/>
              <w:spacing w:before="0" w:beforeAutospacing="0" w:after="0" w:afterAutospacing="0"/>
              <w:rPr>
                <w:sz w:val="20"/>
                <w:szCs w:val="20"/>
              </w:rPr>
            </w:pPr>
            <w:r>
              <w:rPr>
                <w:sz w:val="20"/>
                <w:szCs w:val="20"/>
              </w:rPr>
              <w:t>Multi-employer pension plan withdrawal charg</w:t>
            </w:r>
            <w:r>
              <w:rPr>
                <w:sz w:val="20"/>
                <w:szCs w:val="20"/>
              </w:rPr>
              <w:t>e</w:t>
            </w:r>
          </w:p>
        </w:tc>
        <w:tc>
          <w:tcPr>
            <w:tcW w:w="0" w:type="auto"/>
            <w:hideMark/>
          </w:tcPr>
          <w:p w14:paraId="2AB36B2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02217B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6F3FCC6"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935347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92A688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AF834A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F095E1D" w14:textId="77777777" w:rsidR="00000000" w:rsidRDefault="00832D71">
            <w:pPr>
              <w:pStyle w:val="a3"/>
              <w:spacing w:before="0" w:beforeAutospacing="0" w:after="0" w:afterAutospacing="0"/>
              <w:jc w:val="right"/>
              <w:rPr>
                <w:sz w:val="20"/>
                <w:szCs w:val="20"/>
              </w:rPr>
            </w:pPr>
            <w:r>
              <w:rPr>
                <w:sz w:val="20"/>
                <w:szCs w:val="20"/>
              </w:rPr>
              <w:t>4,31</w:t>
            </w:r>
            <w:r>
              <w:rPr>
                <w:sz w:val="20"/>
                <w:szCs w:val="20"/>
              </w:rPr>
              <w:t>7</w:t>
            </w:r>
          </w:p>
        </w:tc>
        <w:tc>
          <w:tcPr>
            <w:tcW w:w="0" w:type="auto"/>
            <w:noWrap/>
            <w:vAlign w:val="bottom"/>
            <w:hideMark/>
          </w:tcPr>
          <w:p w14:paraId="156C37C9" w14:textId="77777777" w:rsidR="00000000" w:rsidRDefault="00832D71">
            <w:pPr>
              <w:pStyle w:val="a3"/>
              <w:spacing w:before="0" w:beforeAutospacing="0" w:after="0" w:afterAutospacing="0"/>
              <w:rPr>
                <w:sz w:val="20"/>
                <w:szCs w:val="20"/>
              </w:rPr>
            </w:pPr>
            <w:r>
              <w:rPr>
                <w:sz w:val="20"/>
                <w:szCs w:val="20"/>
              </w:rPr>
              <w:t> </w:t>
            </w:r>
          </w:p>
        </w:tc>
      </w:tr>
      <w:tr w:rsidR="00000000" w14:paraId="742897CF" w14:textId="77777777">
        <w:trPr>
          <w:trHeight w:val="200"/>
          <w:tblCellSpacing w:w="15" w:type="dxa"/>
        </w:trPr>
        <w:tc>
          <w:tcPr>
            <w:tcW w:w="0" w:type="auto"/>
            <w:hideMark/>
          </w:tcPr>
          <w:p w14:paraId="131EE1D0" w14:textId="77777777" w:rsidR="00000000" w:rsidRDefault="00832D71">
            <w:pPr>
              <w:pStyle w:val="a3"/>
              <w:spacing w:before="0" w:beforeAutospacing="0" w:after="0" w:afterAutospacing="0"/>
              <w:rPr>
                <w:sz w:val="20"/>
                <w:szCs w:val="20"/>
              </w:rPr>
            </w:pPr>
            <w:r>
              <w:rPr>
                <w:sz w:val="20"/>
                <w:szCs w:val="20"/>
              </w:rPr>
              <w:t>Pension settlement charg</w:t>
            </w:r>
            <w:r>
              <w:rPr>
                <w:sz w:val="20"/>
                <w:szCs w:val="20"/>
              </w:rPr>
              <w:t>e</w:t>
            </w:r>
          </w:p>
        </w:tc>
        <w:tc>
          <w:tcPr>
            <w:tcW w:w="0" w:type="auto"/>
            <w:hideMark/>
          </w:tcPr>
          <w:p w14:paraId="22C9AD6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E0EDF4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B99695D" w14:textId="77777777" w:rsidR="00000000" w:rsidRDefault="00832D71">
            <w:pPr>
              <w:pStyle w:val="a3"/>
              <w:spacing w:before="0" w:beforeAutospacing="0" w:after="0" w:afterAutospacing="0"/>
              <w:jc w:val="right"/>
              <w:rPr>
                <w:sz w:val="20"/>
                <w:szCs w:val="20"/>
              </w:rPr>
            </w:pPr>
            <w:r>
              <w:rPr>
                <w:sz w:val="20"/>
                <w:szCs w:val="20"/>
              </w:rPr>
              <w:t>84</w:t>
            </w:r>
            <w:r>
              <w:rPr>
                <w:sz w:val="20"/>
                <w:szCs w:val="20"/>
              </w:rPr>
              <w:t>0</w:t>
            </w:r>
          </w:p>
        </w:tc>
        <w:tc>
          <w:tcPr>
            <w:tcW w:w="0" w:type="auto"/>
            <w:noWrap/>
            <w:vAlign w:val="bottom"/>
            <w:hideMark/>
          </w:tcPr>
          <w:p w14:paraId="176BC6D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CB7E67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611648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44B890E" w14:textId="77777777" w:rsidR="00000000" w:rsidRDefault="00832D71">
            <w:pPr>
              <w:pStyle w:val="a3"/>
              <w:spacing w:before="0" w:beforeAutospacing="0" w:after="0" w:afterAutospacing="0"/>
              <w:jc w:val="right"/>
              <w:rPr>
                <w:sz w:val="20"/>
                <w:szCs w:val="20"/>
              </w:rPr>
            </w:pPr>
            <w:r>
              <w:rPr>
                <w:sz w:val="20"/>
                <w:szCs w:val="20"/>
              </w:rPr>
              <w:t>95</w:t>
            </w:r>
            <w:r>
              <w:rPr>
                <w:sz w:val="20"/>
                <w:szCs w:val="20"/>
              </w:rPr>
              <w:t>8</w:t>
            </w:r>
          </w:p>
        </w:tc>
        <w:tc>
          <w:tcPr>
            <w:tcW w:w="0" w:type="auto"/>
            <w:noWrap/>
            <w:vAlign w:val="bottom"/>
            <w:hideMark/>
          </w:tcPr>
          <w:p w14:paraId="10D5C664" w14:textId="77777777" w:rsidR="00000000" w:rsidRDefault="00832D71">
            <w:pPr>
              <w:pStyle w:val="a3"/>
              <w:spacing w:before="0" w:beforeAutospacing="0" w:after="0" w:afterAutospacing="0"/>
              <w:rPr>
                <w:sz w:val="20"/>
                <w:szCs w:val="20"/>
              </w:rPr>
            </w:pPr>
            <w:r>
              <w:rPr>
                <w:sz w:val="20"/>
                <w:szCs w:val="20"/>
              </w:rPr>
              <w:t> </w:t>
            </w:r>
          </w:p>
        </w:tc>
      </w:tr>
      <w:tr w:rsidR="00000000" w14:paraId="7417694D" w14:textId="77777777">
        <w:trPr>
          <w:trHeight w:val="200"/>
          <w:tblCellSpacing w:w="15" w:type="dxa"/>
        </w:trPr>
        <w:tc>
          <w:tcPr>
            <w:tcW w:w="0" w:type="auto"/>
            <w:hideMark/>
          </w:tcPr>
          <w:p w14:paraId="5454C3DA" w14:textId="77777777" w:rsidR="00000000" w:rsidRDefault="00832D71">
            <w:pPr>
              <w:pStyle w:val="a3"/>
              <w:spacing w:before="0" w:beforeAutospacing="0" w:after="0" w:afterAutospacing="0"/>
              <w:rPr>
                <w:sz w:val="20"/>
                <w:szCs w:val="20"/>
              </w:rPr>
            </w:pPr>
            <w:r>
              <w:rPr>
                <w:sz w:val="20"/>
                <w:szCs w:val="20"/>
              </w:rPr>
              <w:t>Equity in earnings of unconsolidated affiliate</w:t>
            </w:r>
            <w:r>
              <w:rPr>
                <w:sz w:val="20"/>
                <w:szCs w:val="20"/>
              </w:rPr>
              <w:t>s</w:t>
            </w:r>
          </w:p>
        </w:tc>
        <w:tc>
          <w:tcPr>
            <w:tcW w:w="0" w:type="auto"/>
            <w:hideMark/>
          </w:tcPr>
          <w:p w14:paraId="52EA728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737F02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8048C25" w14:textId="77777777" w:rsidR="00000000" w:rsidRDefault="00832D71">
            <w:pPr>
              <w:pStyle w:val="a3"/>
              <w:spacing w:before="0" w:beforeAutospacing="0" w:after="0" w:afterAutospacing="0"/>
              <w:jc w:val="right"/>
              <w:rPr>
                <w:sz w:val="20"/>
                <w:szCs w:val="20"/>
              </w:rPr>
            </w:pPr>
            <w:r>
              <w:rPr>
                <w:sz w:val="20"/>
                <w:szCs w:val="20"/>
              </w:rPr>
              <w:t>2,61</w:t>
            </w:r>
            <w:r>
              <w:rPr>
                <w:sz w:val="20"/>
                <w:szCs w:val="20"/>
              </w:rPr>
              <w:t>4</w:t>
            </w:r>
          </w:p>
        </w:tc>
        <w:tc>
          <w:tcPr>
            <w:tcW w:w="0" w:type="auto"/>
            <w:noWrap/>
            <w:vAlign w:val="bottom"/>
            <w:hideMark/>
          </w:tcPr>
          <w:p w14:paraId="31810C9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ECD73B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ADE2D4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87B8376" w14:textId="77777777" w:rsidR="00000000" w:rsidRDefault="00832D71">
            <w:pPr>
              <w:pStyle w:val="a3"/>
              <w:spacing w:before="0" w:beforeAutospacing="0" w:after="0" w:afterAutospacing="0"/>
              <w:jc w:val="right"/>
              <w:rPr>
                <w:sz w:val="20"/>
                <w:szCs w:val="20"/>
              </w:rPr>
            </w:pPr>
            <w:r>
              <w:rPr>
                <w:sz w:val="20"/>
                <w:szCs w:val="20"/>
              </w:rPr>
              <w:t>90</w:t>
            </w:r>
            <w:r>
              <w:rPr>
                <w:sz w:val="20"/>
                <w:szCs w:val="20"/>
              </w:rPr>
              <w:t>7</w:t>
            </w:r>
          </w:p>
        </w:tc>
        <w:tc>
          <w:tcPr>
            <w:tcW w:w="0" w:type="auto"/>
            <w:noWrap/>
            <w:vAlign w:val="bottom"/>
            <w:hideMark/>
          </w:tcPr>
          <w:p w14:paraId="656F2626" w14:textId="77777777" w:rsidR="00000000" w:rsidRDefault="00832D71">
            <w:pPr>
              <w:pStyle w:val="a3"/>
              <w:spacing w:before="0" w:beforeAutospacing="0" w:after="0" w:afterAutospacing="0"/>
              <w:rPr>
                <w:sz w:val="20"/>
                <w:szCs w:val="20"/>
              </w:rPr>
            </w:pPr>
            <w:r>
              <w:rPr>
                <w:sz w:val="20"/>
                <w:szCs w:val="20"/>
              </w:rPr>
              <w:t> </w:t>
            </w:r>
          </w:p>
        </w:tc>
      </w:tr>
      <w:tr w:rsidR="00000000" w14:paraId="6DDB8ECB" w14:textId="77777777">
        <w:trPr>
          <w:trHeight w:val="200"/>
          <w:tblCellSpacing w:w="15" w:type="dxa"/>
        </w:trPr>
        <w:tc>
          <w:tcPr>
            <w:tcW w:w="0" w:type="auto"/>
            <w:hideMark/>
          </w:tcPr>
          <w:p w14:paraId="412FA596" w14:textId="77777777" w:rsidR="00000000" w:rsidRDefault="00832D71">
            <w:pPr>
              <w:pStyle w:val="a3"/>
              <w:spacing w:before="0" w:beforeAutospacing="0" w:after="0" w:afterAutospacing="0"/>
              <w:rPr>
                <w:sz w:val="20"/>
                <w:szCs w:val="20"/>
              </w:rPr>
            </w:pPr>
            <w:r>
              <w:rPr>
                <w:sz w:val="20"/>
                <w:szCs w:val="20"/>
              </w:rPr>
              <w:t>Adjusted EBITD</w:t>
            </w:r>
            <w:r>
              <w:rPr>
                <w:sz w:val="20"/>
                <w:szCs w:val="20"/>
              </w:rPr>
              <w:t>A</w:t>
            </w:r>
          </w:p>
        </w:tc>
        <w:tc>
          <w:tcPr>
            <w:tcW w:w="0" w:type="auto"/>
            <w:hideMark/>
          </w:tcPr>
          <w:p w14:paraId="5BF033A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8FA3E1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32C1F6B" w14:textId="77777777" w:rsidR="00000000" w:rsidRDefault="00832D71">
            <w:pPr>
              <w:pStyle w:val="a3"/>
              <w:spacing w:before="0" w:beforeAutospacing="0" w:after="0" w:afterAutospacing="0"/>
              <w:jc w:val="right"/>
              <w:rPr>
                <w:sz w:val="20"/>
                <w:szCs w:val="20"/>
              </w:rPr>
            </w:pPr>
            <w:r>
              <w:rPr>
                <w:sz w:val="20"/>
                <w:szCs w:val="20"/>
              </w:rPr>
              <w:t>291,02</w:t>
            </w:r>
            <w:r>
              <w:rPr>
                <w:sz w:val="20"/>
                <w:szCs w:val="20"/>
              </w:rPr>
              <w:t>6</w:t>
            </w:r>
          </w:p>
        </w:tc>
        <w:tc>
          <w:tcPr>
            <w:tcW w:w="0" w:type="auto"/>
            <w:noWrap/>
            <w:vAlign w:val="bottom"/>
            <w:hideMark/>
          </w:tcPr>
          <w:p w14:paraId="6EBE0E6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C3B910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436E2D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8A998F8" w14:textId="77777777" w:rsidR="00000000" w:rsidRDefault="00832D71">
            <w:pPr>
              <w:pStyle w:val="a3"/>
              <w:spacing w:before="0" w:beforeAutospacing="0" w:after="0" w:afterAutospacing="0"/>
              <w:jc w:val="right"/>
              <w:rPr>
                <w:sz w:val="20"/>
                <w:szCs w:val="20"/>
              </w:rPr>
            </w:pPr>
            <w:r>
              <w:rPr>
                <w:sz w:val="20"/>
                <w:szCs w:val="20"/>
              </w:rPr>
              <w:t>275,68</w:t>
            </w:r>
            <w:r>
              <w:rPr>
                <w:sz w:val="20"/>
                <w:szCs w:val="20"/>
              </w:rPr>
              <w:t>0</w:t>
            </w:r>
          </w:p>
        </w:tc>
        <w:tc>
          <w:tcPr>
            <w:tcW w:w="0" w:type="auto"/>
            <w:noWrap/>
            <w:vAlign w:val="bottom"/>
            <w:hideMark/>
          </w:tcPr>
          <w:p w14:paraId="0D5E186C" w14:textId="77777777" w:rsidR="00000000" w:rsidRDefault="00832D71">
            <w:pPr>
              <w:pStyle w:val="a3"/>
              <w:spacing w:before="0" w:beforeAutospacing="0" w:after="0" w:afterAutospacing="0"/>
              <w:rPr>
                <w:sz w:val="20"/>
                <w:szCs w:val="20"/>
              </w:rPr>
            </w:pPr>
            <w:r>
              <w:rPr>
                <w:sz w:val="20"/>
                <w:szCs w:val="20"/>
              </w:rPr>
              <w:t> </w:t>
            </w:r>
          </w:p>
        </w:tc>
      </w:tr>
    </w:tbl>
    <w:p w14:paraId="1B01FE5B" w14:textId="77777777" w:rsidR="00000000" w:rsidRDefault="00832D71">
      <w:pPr>
        <w:pStyle w:val="a3"/>
        <w:spacing w:before="240" w:beforeAutospacing="0" w:after="0" w:afterAutospacing="0"/>
        <w:ind w:firstLine="555"/>
        <w:jc w:val="both"/>
        <w:rPr>
          <w:sz w:val="20"/>
          <w:szCs w:val="20"/>
        </w:rPr>
      </w:pPr>
      <w:r>
        <w:rPr>
          <w:sz w:val="20"/>
          <w:szCs w:val="20"/>
        </w:rPr>
        <w:t>We also reference gross margins, computed as revenues less cost of products sold as those amounts are reported on the consolidated financial statements. Our management uses gross margin as a supplemental measure of operating performance and we are includin</w:t>
      </w:r>
      <w:r>
        <w:rPr>
          <w:sz w:val="20"/>
          <w:szCs w:val="20"/>
        </w:rPr>
        <w:t>g it as we believe that it provides our investors and industry analysts with additional information that we determined is usefu</w:t>
      </w:r>
      <w:r>
        <w:rPr>
          <w:sz w:val="20"/>
          <w:szCs w:val="20"/>
        </w:rPr>
        <w:t>l</w:t>
      </w:r>
      <w:r>
        <w:rPr>
          <w:sz w:val="20"/>
          <w:szCs w:val="20"/>
        </w:rPr>
        <w:t xml:space="preserve"> </w:t>
      </w:r>
    </w:p>
    <w:p w14:paraId="36879F3C" w14:textId="77777777" w:rsidR="00000000" w:rsidRDefault="00832D71">
      <w:pPr>
        <w:pStyle w:val="a3"/>
        <w:spacing w:before="0" w:beforeAutospacing="0" w:after="0" w:afterAutospacing="0"/>
        <w:jc w:val="center"/>
        <w:rPr>
          <w:sz w:val="20"/>
          <w:szCs w:val="20"/>
        </w:rPr>
      </w:pPr>
      <w:r>
        <w:rPr>
          <w:sz w:val="20"/>
          <w:szCs w:val="20"/>
        </w:rPr>
        <w:t> </w:t>
      </w:r>
    </w:p>
    <w:p w14:paraId="0BF480CA" w14:textId="77777777" w:rsidR="00000000" w:rsidRDefault="00832D71">
      <w:pPr>
        <w:pStyle w:val="a3"/>
        <w:spacing w:before="0" w:beforeAutospacing="0" w:after="0" w:afterAutospacing="0"/>
        <w:jc w:val="center"/>
        <w:rPr>
          <w:sz w:val="20"/>
          <w:szCs w:val="20"/>
        </w:rPr>
      </w:pPr>
      <w:r>
        <w:rPr>
          <w:sz w:val="20"/>
          <w:szCs w:val="20"/>
        </w:rPr>
        <w:t>3</w:t>
      </w:r>
      <w:r>
        <w:rPr>
          <w:sz w:val="20"/>
          <w:szCs w:val="20"/>
        </w:rPr>
        <w:t>6</w:t>
      </w:r>
    </w:p>
    <w:p w14:paraId="3DFD7D81" w14:textId="77777777" w:rsidR="00000000" w:rsidRDefault="00832D71">
      <w:pPr>
        <w:rPr>
          <w:rFonts w:eastAsia="Times New Roman"/>
        </w:rPr>
      </w:pPr>
      <w:r>
        <w:rPr>
          <w:rFonts w:eastAsia="Times New Roman"/>
        </w:rPr>
        <w:pict w14:anchorId="0F6D2C7D">
          <v:rect id="_x0000_i1063" style="width:0;height:1.5pt" o:hralign="center" o:hrstd="t" o:hr="t" fillcolor="#a0a0a0" stroked="f"/>
        </w:pict>
      </w:r>
    </w:p>
    <w:p w14:paraId="40C49993"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514482D4" w14:textId="77777777" w:rsidR="00000000" w:rsidRDefault="00832D71">
      <w:pPr>
        <w:pStyle w:val="a3"/>
        <w:spacing w:before="240" w:beforeAutospacing="0" w:after="0" w:afterAutospacing="0"/>
        <w:jc w:val="both"/>
        <w:rPr>
          <w:sz w:val="20"/>
          <w:szCs w:val="20"/>
        </w:rPr>
      </w:pPr>
      <w:r>
        <w:rPr>
          <w:sz w:val="20"/>
          <w:szCs w:val="20"/>
        </w:rPr>
        <w:t xml:space="preserve">to evaluate our operating </w:t>
      </w:r>
      <w:r>
        <w:rPr>
          <w:sz w:val="20"/>
          <w:szCs w:val="20"/>
        </w:rPr>
        <w:t>results. As cost of products sold does not include depreciation and amortization expense, the gross margin we reference is considered a non-GAAP financial measure</w:t>
      </w:r>
      <w:r>
        <w:rPr>
          <w:sz w:val="20"/>
          <w:szCs w:val="20"/>
        </w:rPr>
        <w:t>.</w:t>
      </w:r>
    </w:p>
    <w:p w14:paraId="4C5BE478" w14:textId="77777777" w:rsidR="00000000" w:rsidRDefault="00832D71">
      <w:pPr>
        <w:pStyle w:val="a3"/>
        <w:spacing w:before="360" w:beforeAutospacing="0" w:after="0" w:afterAutospacing="0"/>
        <w:rPr>
          <w:sz w:val="20"/>
          <w:szCs w:val="20"/>
        </w:rPr>
      </w:pPr>
      <w:r>
        <w:rPr>
          <w:b/>
          <w:bCs/>
          <w:i/>
          <w:iCs/>
          <w:sz w:val="20"/>
          <w:szCs w:val="20"/>
        </w:rPr>
        <w:t>Fiscal Year 2021 Compared to Fiscal Year 202</w:t>
      </w:r>
      <w:r>
        <w:rPr>
          <w:b/>
          <w:bCs/>
          <w:i/>
          <w:iCs/>
          <w:sz w:val="20"/>
          <w:szCs w:val="20"/>
        </w:rPr>
        <w:t>0</w:t>
      </w:r>
    </w:p>
    <w:p w14:paraId="7C58A72E" w14:textId="77777777" w:rsidR="00000000" w:rsidRDefault="00832D71">
      <w:pPr>
        <w:pStyle w:val="a3"/>
        <w:spacing w:before="240" w:beforeAutospacing="0" w:after="0" w:afterAutospacing="0"/>
        <w:ind w:firstLine="555"/>
        <w:jc w:val="both"/>
        <w:rPr>
          <w:sz w:val="20"/>
          <w:szCs w:val="20"/>
        </w:rPr>
      </w:pPr>
      <w:r>
        <w:rPr>
          <w:sz w:val="20"/>
          <w:szCs w:val="20"/>
        </w:rPr>
        <w:t>We are omitting from this section our discussion of the earliest of the three years of financials included in this Form 10-K. The discussion for fiscal year 2021 compared to fiscal year 2020 can be found in “Management’s Discussion and Analysis of Financia</w:t>
      </w:r>
      <w:r>
        <w:rPr>
          <w:sz w:val="20"/>
          <w:szCs w:val="20"/>
        </w:rPr>
        <w:t>l Condition and Results of Operations” in Part II, Item 7 of our Annual Report on Form 10-K for the fiscal year ended September 25, 2021, which was filed with the SEC on November 24, 2021</w:t>
      </w:r>
      <w:r>
        <w:rPr>
          <w:sz w:val="20"/>
          <w:szCs w:val="20"/>
        </w:rPr>
        <w:t>.</w:t>
      </w:r>
      <w:r>
        <w:rPr>
          <w:sz w:val="20"/>
          <w:szCs w:val="20"/>
        </w:rPr>
        <w:t xml:space="preserve"> </w:t>
      </w:r>
    </w:p>
    <w:p w14:paraId="70129CE0" w14:textId="77777777" w:rsidR="00000000" w:rsidRDefault="00832D71">
      <w:pPr>
        <w:pStyle w:val="a3"/>
        <w:spacing w:before="360" w:beforeAutospacing="0" w:after="0" w:afterAutospacing="0"/>
        <w:rPr>
          <w:sz w:val="20"/>
          <w:szCs w:val="20"/>
        </w:rPr>
      </w:pPr>
      <w:r>
        <w:rPr>
          <w:b/>
          <w:bCs/>
          <w:sz w:val="20"/>
          <w:szCs w:val="20"/>
        </w:rPr>
        <w:t>Liquidity and Capital Resource</w:t>
      </w:r>
      <w:r>
        <w:rPr>
          <w:b/>
          <w:bCs/>
          <w:sz w:val="20"/>
          <w:szCs w:val="20"/>
        </w:rPr>
        <w:t>s</w:t>
      </w:r>
    </w:p>
    <w:p w14:paraId="15191F4F" w14:textId="77777777" w:rsidR="00000000" w:rsidRDefault="00832D71">
      <w:pPr>
        <w:pStyle w:val="a3"/>
        <w:spacing w:before="360" w:beforeAutospacing="0" w:after="0" w:afterAutospacing="0"/>
        <w:jc w:val="both"/>
        <w:rPr>
          <w:sz w:val="20"/>
          <w:szCs w:val="20"/>
        </w:rPr>
      </w:pPr>
      <w:r>
        <w:rPr>
          <w:b/>
          <w:bCs/>
          <w:i/>
          <w:iCs/>
          <w:sz w:val="20"/>
          <w:szCs w:val="20"/>
        </w:rPr>
        <w:t>Analysis of Cash Flow</w:t>
      </w:r>
      <w:r>
        <w:rPr>
          <w:b/>
          <w:bCs/>
          <w:i/>
          <w:iCs/>
          <w:sz w:val="20"/>
          <w:szCs w:val="20"/>
        </w:rPr>
        <w:t>s</w:t>
      </w:r>
    </w:p>
    <w:p w14:paraId="7FD2DCC2" w14:textId="77777777" w:rsidR="00000000" w:rsidRDefault="00832D71">
      <w:pPr>
        <w:pStyle w:val="a3"/>
        <w:spacing w:before="120" w:beforeAutospacing="0" w:after="0" w:afterAutospacing="0"/>
        <w:ind w:firstLine="555"/>
        <w:jc w:val="both"/>
        <w:rPr>
          <w:sz w:val="20"/>
          <w:szCs w:val="20"/>
        </w:rPr>
      </w:pPr>
      <w:r>
        <w:rPr>
          <w:i/>
          <w:iCs/>
          <w:sz w:val="20"/>
          <w:szCs w:val="20"/>
        </w:rPr>
        <w:t>Operating A</w:t>
      </w:r>
      <w:r>
        <w:rPr>
          <w:i/>
          <w:iCs/>
          <w:sz w:val="20"/>
          <w:szCs w:val="20"/>
        </w:rPr>
        <w:t>ctivities</w:t>
      </w:r>
      <w:r>
        <w:rPr>
          <w:i/>
          <w:iCs/>
          <w:sz w:val="20"/>
          <w:szCs w:val="20"/>
        </w:rPr>
        <w:t>.</w:t>
      </w:r>
      <w:r>
        <w:rPr>
          <w:sz w:val="20"/>
          <w:szCs w:val="20"/>
        </w:rPr>
        <w:t xml:space="preserve"> Net cash provided by operating activities for fiscal 2022 amounted to $220.5 million, a decrease of $6.0 million compared to the prior year. The decrease was primarily due to a higher level of variable-based compensation payments for awards earn</w:t>
      </w:r>
      <w:r>
        <w:rPr>
          <w:sz w:val="20"/>
          <w:szCs w:val="20"/>
        </w:rPr>
        <w:t>ed in the respective prior fiscal year, the payment of the employer portion of social security payroll tax that was deferred during a certain portion of fiscal 2020 under the CARES Act, and a larger increase in working capital compared to the prior year, w</w:t>
      </w:r>
      <w:r>
        <w:rPr>
          <w:sz w:val="20"/>
          <w:szCs w:val="20"/>
        </w:rPr>
        <w:t>hich stemmed from the rise in average wholesale costs of propane (discussed above)</w:t>
      </w:r>
      <w:r>
        <w:rPr>
          <w:sz w:val="20"/>
          <w:szCs w:val="20"/>
        </w:rPr>
        <w:t>.</w:t>
      </w:r>
    </w:p>
    <w:p w14:paraId="576BEE1E" w14:textId="77777777" w:rsidR="00000000" w:rsidRDefault="00832D71">
      <w:pPr>
        <w:pStyle w:val="a3"/>
        <w:spacing w:before="240" w:beforeAutospacing="0" w:after="0" w:afterAutospacing="0"/>
        <w:ind w:firstLine="555"/>
        <w:jc w:val="both"/>
        <w:rPr>
          <w:sz w:val="20"/>
          <w:szCs w:val="20"/>
        </w:rPr>
      </w:pPr>
      <w:r>
        <w:rPr>
          <w:i/>
          <w:iCs/>
          <w:sz w:val="20"/>
          <w:szCs w:val="20"/>
        </w:rPr>
        <w:t>Investing Activities</w:t>
      </w:r>
      <w:r>
        <w:rPr>
          <w:i/>
          <w:iCs/>
          <w:sz w:val="20"/>
          <w:szCs w:val="20"/>
        </w:rPr>
        <w:t>.</w:t>
      </w:r>
      <w:r>
        <w:rPr>
          <w:sz w:val="20"/>
          <w:szCs w:val="20"/>
        </w:rPr>
        <w:t xml:space="preserve"> Net cash used in investing activities of $94.4 million for fiscal 2022 consisted of capital expenditures of $44.4 million (including $24.3 million to </w:t>
      </w:r>
      <w:r>
        <w:rPr>
          <w:sz w:val="20"/>
          <w:szCs w:val="20"/>
        </w:rPr>
        <w:t>support the growth of operations and $20.1 million for maintenance expenditures), a $30.0 million investment in IH (plus direct transactions costs), as well as $25.6 million used in the acquisition of a retail propane business and other investing activitie</w:t>
      </w:r>
      <w:r>
        <w:rPr>
          <w:sz w:val="20"/>
          <w:szCs w:val="20"/>
        </w:rPr>
        <w:t xml:space="preserve">s involving Oberon (see Part IV, Note 4 of this Annual Report in relation to these transactions). This was partially offset by approximately $6.0 million in net proceeds from the sale of property, plant and equipment, as well as the sale of certain assets </w:t>
      </w:r>
      <w:r>
        <w:rPr>
          <w:sz w:val="20"/>
          <w:szCs w:val="20"/>
        </w:rPr>
        <w:t>and operations in a non-strategic market of the propane segment</w:t>
      </w:r>
      <w:r>
        <w:rPr>
          <w:sz w:val="20"/>
          <w:szCs w:val="20"/>
        </w:rPr>
        <w:t>.</w:t>
      </w:r>
      <w:r>
        <w:rPr>
          <w:sz w:val="20"/>
          <w:szCs w:val="20"/>
        </w:rPr>
        <w:t xml:space="preserve"> </w:t>
      </w:r>
    </w:p>
    <w:p w14:paraId="629AE79D" w14:textId="77777777" w:rsidR="00000000" w:rsidRDefault="00832D71">
      <w:pPr>
        <w:pStyle w:val="a3"/>
        <w:spacing w:before="240" w:beforeAutospacing="0" w:after="0" w:afterAutospacing="0"/>
        <w:ind w:firstLine="555"/>
        <w:jc w:val="both"/>
        <w:rPr>
          <w:sz w:val="20"/>
          <w:szCs w:val="20"/>
        </w:rPr>
      </w:pPr>
      <w:r>
        <w:rPr>
          <w:sz w:val="20"/>
          <w:szCs w:val="20"/>
        </w:rPr>
        <w:t>Net cash used in investing activities of $34.1 million for fiscal 2021 consisted of capital expenditures of $29.9 million (including $15.4 million to support the growth of operations and $14</w:t>
      </w:r>
      <w:r>
        <w:rPr>
          <w:sz w:val="20"/>
          <w:szCs w:val="20"/>
        </w:rPr>
        <w:t>.5 million for maintenance expenditures), $8.7 million used in the acquisition of a retail propane business and other investing activities involving Oberon, partially offset by $4.5 million in net proceeds from the sale of property, plant and equipment</w:t>
      </w:r>
      <w:r>
        <w:rPr>
          <w:sz w:val="20"/>
          <w:szCs w:val="20"/>
        </w:rPr>
        <w:t>.</w:t>
      </w:r>
    </w:p>
    <w:p w14:paraId="6BB44F65" w14:textId="77777777" w:rsidR="00000000" w:rsidRDefault="00832D71">
      <w:pPr>
        <w:pStyle w:val="a3"/>
        <w:spacing w:before="240" w:beforeAutospacing="0" w:after="0" w:afterAutospacing="0"/>
        <w:ind w:firstLine="555"/>
        <w:jc w:val="both"/>
        <w:rPr>
          <w:sz w:val="20"/>
          <w:szCs w:val="20"/>
        </w:rPr>
      </w:pPr>
      <w:r>
        <w:rPr>
          <w:i/>
          <w:iCs/>
          <w:sz w:val="20"/>
          <w:szCs w:val="20"/>
        </w:rPr>
        <w:t>Financing Activities</w:t>
      </w:r>
      <w:r>
        <w:rPr>
          <w:i/>
          <w:iCs/>
          <w:sz w:val="20"/>
          <w:szCs w:val="20"/>
        </w:rPr>
        <w:t>.</w:t>
      </w:r>
      <w:r>
        <w:rPr>
          <w:sz w:val="20"/>
          <w:szCs w:val="20"/>
        </w:rPr>
        <w:t xml:space="preserve"> Net cash used in financing activities for fiscal 2022 of $127.8 million reflected the quarterly distribution to Common Unitholders at a rate of $0.325 per Common Unit paid in respect of the fourth quarter of fiscal 2021 and the first </w:t>
      </w:r>
      <w:r>
        <w:rPr>
          <w:sz w:val="20"/>
          <w:szCs w:val="20"/>
        </w:rPr>
        <w:t>three quarters of fiscal 2022, net repayments of borrowings under our revolving credit facility of $42.4 million, and other financing activities of $3.7 million</w:t>
      </w:r>
      <w:r>
        <w:rPr>
          <w:sz w:val="20"/>
          <w:szCs w:val="20"/>
        </w:rPr>
        <w:t>.</w:t>
      </w:r>
    </w:p>
    <w:p w14:paraId="7F56BBF7" w14:textId="77777777" w:rsidR="00000000" w:rsidRDefault="00832D71">
      <w:pPr>
        <w:pStyle w:val="a3"/>
        <w:spacing w:before="240" w:beforeAutospacing="0" w:after="0" w:afterAutospacing="0"/>
        <w:ind w:firstLine="555"/>
        <w:jc w:val="both"/>
        <w:rPr>
          <w:sz w:val="20"/>
          <w:szCs w:val="20"/>
        </w:rPr>
      </w:pPr>
      <w:r>
        <w:rPr>
          <w:sz w:val="20"/>
          <w:szCs w:val="20"/>
        </w:rPr>
        <w:t>Net cash used in financing activities for fiscal 2021 of $189.8 million reflected the quarterl</w:t>
      </w:r>
      <w:r>
        <w:rPr>
          <w:sz w:val="20"/>
          <w:szCs w:val="20"/>
        </w:rPr>
        <w:t>y distribution to Common Unitholders at a rate of $0.30 per Common Unit paid in respect of the fourth quarter of fiscal 2020, the first and second quarters of fiscal 2021 and the quarterly distribution at a rate of $0.325 per Common Unit paid in respect of</w:t>
      </w:r>
      <w:r>
        <w:rPr>
          <w:sz w:val="20"/>
          <w:szCs w:val="20"/>
        </w:rPr>
        <w:t xml:space="preserve"> the third quarter of fiscal 2021. Also reflected in financing activities for fiscal 2021 was proceeds of $650.0 million from the issuance of the 2031 Senior Notes which were used, along with borrowings of $125.0 million under the revolving credit facility</w:t>
      </w:r>
      <w:r>
        <w:rPr>
          <w:sz w:val="20"/>
          <w:szCs w:val="20"/>
        </w:rPr>
        <w:t>, to repurchase, satisfy and discharge all of the previously outstanding 2024 Senior Notes and 2025 Senior Notes, with an aggregate par value of $775.0 million, as well as to pay tender premiums and other related fees of $11.3 million and debt issuance cos</w:t>
      </w:r>
      <w:r>
        <w:rPr>
          <w:sz w:val="20"/>
          <w:szCs w:val="20"/>
        </w:rPr>
        <w:t>ts of $10.8 million, pursuant to a tender offer and redemption</w:t>
      </w:r>
      <w:r>
        <w:rPr>
          <w:sz w:val="20"/>
          <w:szCs w:val="20"/>
        </w:rPr>
        <w:t>.</w:t>
      </w:r>
    </w:p>
    <w:p w14:paraId="3D75F0AF" w14:textId="77777777" w:rsidR="00000000" w:rsidRDefault="00832D71">
      <w:pPr>
        <w:pStyle w:val="a3"/>
        <w:spacing w:before="360" w:beforeAutospacing="0" w:after="0" w:afterAutospacing="0"/>
        <w:jc w:val="both"/>
        <w:rPr>
          <w:sz w:val="20"/>
          <w:szCs w:val="20"/>
        </w:rPr>
      </w:pPr>
      <w:r>
        <w:rPr>
          <w:b/>
          <w:bCs/>
          <w:i/>
          <w:iCs/>
          <w:sz w:val="20"/>
          <w:szCs w:val="20"/>
        </w:rPr>
        <w:t>Summary of Long-Term Debt Obligations and Revolving Credit Line</w:t>
      </w:r>
      <w:r>
        <w:rPr>
          <w:b/>
          <w:bCs/>
          <w:i/>
          <w:iCs/>
          <w:sz w:val="20"/>
          <w:szCs w:val="20"/>
        </w:rPr>
        <w:t>s</w:t>
      </w:r>
    </w:p>
    <w:p w14:paraId="709F5073" w14:textId="77777777" w:rsidR="00000000" w:rsidRDefault="00832D71">
      <w:pPr>
        <w:pStyle w:val="a3"/>
        <w:spacing w:before="120" w:beforeAutospacing="0" w:after="0" w:afterAutospacing="0"/>
        <w:ind w:firstLine="555"/>
        <w:jc w:val="both"/>
        <w:rPr>
          <w:sz w:val="20"/>
          <w:szCs w:val="20"/>
        </w:rPr>
      </w:pPr>
      <w:r>
        <w:rPr>
          <w:sz w:val="20"/>
          <w:szCs w:val="20"/>
        </w:rPr>
        <w:t>As of September 24, 2022, our long-term debt consisted of $350.0 million in aggregate principal amount of 5.875% senior notes d</w:t>
      </w:r>
      <w:r>
        <w:rPr>
          <w:sz w:val="20"/>
          <w:szCs w:val="20"/>
        </w:rPr>
        <w:t>ue March 1, 2027, $650.0 million of the 2031 Senior Notes and $89.6 million outstanding under our $500.0 million senior secured revolving credit facility (“Revolving Credit Facility”) provided by our credit agreement. See Part IV, Note 10 of this Annual Re</w:t>
      </w:r>
      <w:r>
        <w:rPr>
          <w:sz w:val="20"/>
          <w:szCs w:val="20"/>
        </w:rPr>
        <w:t>port</w:t>
      </w:r>
      <w:r>
        <w:rPr>
          <w:sz w:val="20"/>
          <w:szCs w:val="20"/>
        </w:rPr>
        <w:t>.</w:t>
      </w:r>
      <w:r>
        <w:rPr>
          <w:sz w:val="20"/>
          <w:szCs w:val="20"/>
        </w:rPr>
        <w:t xml:space="preserve"> </w:t>
      </w:r>
    </w:p>
    <w:p w14:paraId="2ADE34AE" w14:textId="77777777" w:rsidR="00000000" w:rsidRDefault="00832D71">
      <w:pPr>
        <w:pStyle w:val="a3"/>
        <w:spacing w:before="240" w:beforeAutospacing="0" w:after="0" w:afterAutospacing="0"/>
        <w:ind w:firstLine="555"/>
        <w:jc w:val="both"/>
        <w:rPr>
          <w:sz w:val="20"/>
          <w:szCs w:val="20"/>
        </w:rPr>
      </w:pPr>
      <w:r>
        <w:rPr>
          <w:sz w:val="20"/>
          <w:szCs w:val="20"/>
        </w:rPr>
        <w:t>The aggregate amounts of long-term debt maturities subsequent to September 24, 2022 are as follows: fiscal 2023: $-0-; fiscal 2024: $-0-; fiscal 2025: $89.6 million; fiscal 2026: $-0-; fiscal 2027: $350.0 million; and thereafter: $650.0 million</w:t>
      </w:r>
      <w:r>
        <w:rPr>
          <w:sz w:val="20"/>
          <w:szCs w:val="20"/>
        </w:rPr>
        <w:t>.</w:t>
      </w:r>
    </w:p>
    <w:p w14:paraId="2997B614" w14:textId="77777777" w:rsidR="00000000" w:rsidRDefault="00832D71">
      <w:pPr>
        <w:pStyle w:val="a3"/>
        <w:spacing w:before="240" w:beforeAutospacing="0" w:after="0" w:afterAutospacing="0"/>
        <w:ind w:firstLine="555"/>
        <w:jc w:val="both"/>
        <w:rPr>
          <w:sz w:val="20"/>
          <w:szCs w:val="20"/>
        </w:rPr>
      </w:pPr>
      <w:r>
        <w:rPr>
          <w:i/>
          <w:iCs/>
          <w:sz w:val="20"/>
          <w:szCs w:val="20"/>
        </w:rPr>
        <w:t>Tot</w:t>
      </w:r>
      <w:r>
        <w:rPr>
          <w:i/>
          <w:iCs/>
          <w:sz w:val="20"/>
          <w:szCs w:val="20"/>
        </w:rPr>
        <w:t>al Consolidated Leverage Ratio.</w:t>
      </w:r>
      <w:r>
        <w:rPr>
          <w:i/>
          <w:iCs/>
          <w:sz w:val="20"/>
          <w:szCs w:val="20"/>
        </w:rPr>
        <w:t xml:space="preserve"> </w:t>
      </w:r>
      <w:r>
        <w:rPr>
          <w:sz w:val="20"/>
          <w:szCs w:val="20"/>
        </w:rPr>
        <w:t>Total Consolidated Leverage Ratio, as defined by our credit agreement, represents Adjusted EBITDA calculated on a trailing twelve-month basis plus non-cash compensation costs recognized under our Restricted Unit Plans fo</w:t>
      </w:r>
      <w:r>
        <w:rPr>
          <w:sz w:val="20"/>
          <w:szCs w:val="20"/>
        </w:rPr>
        <w:t>r</w:t>
      </w:r>
      <w:r>
        <w:rPr>
          <w:sz w:val="20"/>
          <w:szCs w:val="20"/>
        </w:rPr>
        <w:t xml:space="preserve"> </w:t>
      </w:r>
    </w:p>
    <w:p w14:paraId="3C30DFF4" w14:textId="77777777" w:rsidR="00000000" w:rsidRDefault="00832D71">
      <w:pPr>
        <w:pStyle w:val="a3"/>
        <w:spacing w:before="0" w:beforeAutospacing="0" w:after="0" w:afterAutospacing="0"/>
        <w:jc w:val="center"/>
        <w:rPr>
          <w:sz w:val="20"/>
          <w:szCs w:val="20"/>
        </w:rPr>
      </w:pPr>
      <w:r>
        <w:rPr>
          <w:sz w:val="20"/>
          <w:szCs w:val="20"/>
        </w:rPr>
        <w:t> </w:t>
      </w:r>
    </w:p>
    <w:p w14:paraId="3A0C6071" w14:textId="77777777" w:rsidR="00000000" w:rsidRDefault="00832D71">
      <w:pPr>
        <w:pStyle w:val="a3"/>
        <w:spacing w:before="0" w:beforeAutospacing="0" w:after="0" w:afterAutospacing="0"/>
        <w:jc w:val="center"/>
        <w:rPr>
          <w:sz w:val="20"/>
          <w:szCs w:val="20"/>
        </w:rPr>
      </w:pPr>
      <w:r>
        <w:rPr>
          <w:sz w:val="20"/>
          <w:szCs w:val="20"/>
        </w:rPr>
        <w:t>3</w:t>
      </w:r>
      <w:r>
        <w:rPr>
          <w:sz w:val="20"/>
          <w:szCs w:val="20"/>
        </w:rPr>
        <w:t>7</w:t>
      </w:r>
    </w:p>
    <w:p w14:paraId="07DCAFDD" w14:textId="77777777" w:rsidR="00000000" w:rsidRDefault="00832D71">
      <w:pPr>
        <w:rPr>
          <w:rFonts w:eastAsia="Times New Roman"/>
        </w:rPr>
      </w:pPr>
      <w:r>
        <w:rPr>
          <w:rFonts w:eastAsia="Times New Roman"/>
        </w:rPr>
        <w:pict w14:anchorId="6A507779">
          <v:rect id="_x0000_i1064" style="width:0;height:1.5pt" o:hralign="center" o:hrstd="t" o:hr="t" fillcolor="#a0a0a0" stroked="f"/>
        </w:pict>
      </w:r>
    </w:p>
    <w:p w14:paraId="38535879"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7075F3B8" w14:textId="77777777" w:rsidR="00000000" w:rsidRDefault="00832D71">
      <w:pPr>
        <w:pStyle w:val="a3"/>
        <w:spacing w:before="240" w:beforeAutospacing="0" w:after="0" w:afterAutospacing="0"/>
        <w:jc w:val="both"/>
        <w:rPr>
          <w:sz w:val="20"/>
          <w:szCs w:val="20"/>
        </w:rPr>
      </w:pPr>
      <w:r>
        <w:rPr>
          <w:sz w:val="20"/>
          <w:szCs w:val="20"/>
        </w:rPr>
        <w:t xml:space="preserve">the same period. To calculate the Total Consolidated Leverage Ratio, divide gross borrowings outstanding as of the current period’s balance sheet date by our </w:t>
      </w:r>
      <w:r>
        <w:rPr>
          <w:sz w:val="20"/>
          <w:szCs w:val="20"/>
        </w:rPr>
        <w:t>Adjusted EBITDA</w:t>
      </w:r>
      <w:r>
        <w:rPr>
          <w:sz w:val="20"/>
          <w:szCs w:val="20"/>
        </w:rPr>
        <w:t>.</w:t>
      </w:r>
    </w:p>
    <w:p w14:paraId="7813CAE8" w14:textId="77777777" w:rsidR="00000000" w:rsidRDefault="00832D71">
      <w:pPr>
        <w:pStyle w:val="a3"/>
        <w:spacing w:before="0" w:beforeAutospacing="0" w:after="0" w:afterAutospacing="0"/>
        <w:ind w:firstLine="555"/>
        <w:jc w:val="both"/>
        <w:rPr>
          <w:sz w:val="20"/>
          <w:szCs w:val="20"/>
        </w:rPr>
      </w:pPr>
      <w:r>
        <w:rPr>
          <w:sz w:val="20"/>
          <w:szCs w:val="20"/>
        </w:rPr>
        <w:t> </w:t>
      </w:r>
    </w:p>
    <w:tbl>
      <w:tblPr>
        <w:tblW w:w="3750" w:type="pct"/>
        <w:tblCellSpacing w:w="15" w:type="dxa"/>
        <w:tblCellMar>
          <w:top w:w="15" w:type="dxa"/>
          <w:left w:w="15" w:type="dxa"/>
          <w:bottom w:w="15" w:type="dxa"/>
          <w:right w:w="15" w:type="dxa"/>
        </w:tblCellMar>
        <w:tblLook w:val="04A0" w:firstRow="1" w:lastRow="0" w:firstColumn="1" w:lastColumn="0" w:noHBand="0" w:noVBand="1"/>
      </w:tblPr>
      <w:tblGrid>
        <w:gridCol w:w="3735"/>
        <w:gridCol w:w="110"/>
        <w:gridCol w:w="160"/>
        <w:gridCol w:w="860"/>
        <w:gridCol w:w="110"/>
        <w:gridCol w:w="110"/>
        <w:gridCol w:w="160"/>
        <w:gridCol w:w="860"/>
        <w:gridCol w:w="125"/>
      </w:tblGrid>
      <w:tr w:rsidR="00000000" w14:paraId="4D9594CB" w14:textId="77777777">
        <w:trPr>
          <w:tblCellSpacing w:w="15" w:type="dxa"/>
        </w:trPr>
        <w:tc>
          <w:tcPr>
            <w:tcW w:w="3236" w:type="pct"/>
            <w:vAlign w:val="center"/>
            <w:hideMark/>
          </w:tcPr>
          <w:p w14:paraId="2A5C2A3B" w14:textId="77777777" w:rsidR="00000000" w:rsidRDefault="00832D71">
            <w:pPr>
              <w:rPr>
                <w:sz w:val="20"/>
                <w:szCs w:val="20"/>
              </w:rPr>
            </w:pPr>
          </w:p>
        </w:tc>
        <w:tc>
          <w:tcPr>
            <w:tcW w:w="66" w:type="pct"/>
            <w:vAlign w:val="center"/>
            <w:hideMark/>
          </w:tcPr>
          <w:p w14:paraId="2CCCEE54" w14:textId="77777777" w:rsidR="00000000" w:rsidRDefault="00832D71">
            <w:pPr>
              <w:rPr>
                <w:rFonts w:eastAsia="Times New Roman"/>
                <w:sz w:val="20"/>
                <w:szCs w:val="20"/>
              </w:rPr>
            </w:pPr>
          </w:p>
        </w:tc>
        <w:tc>
          <w:tcPr>
            <w:tcW w:w="50" w:type="pct"/>
            <w:vAlign w:val="center"/>
            <w:hideMark/>
          </w:tcPr>
          <w:p w14:paraId="4CDFDEA3" w14:textId="77777777" w:rsidR="00000000" w:rsidRDefault="00832D71">
            <w:pPr>
              <w:rPr>
                <w:rFonts w:eastAsia="Times New Roman"/>
                <w:sz w:val="20"/>
                <w:szCs w:val="20"/>
              </w:rPr>
            </w:pPr>
          </w:p>
        </w:tc>
        <w:tc>
          <w:tcPr>
            <w:tcW w:w="709" w:type="pct"/>
            <w:vAlign w:val="center"/>
            <w:hideMark/>
          </w:tcPr>
          <w:p w14:paraId="436CF00D" w14:textId="77777777" w:rsidR="00000000" w:rsidRDefault="00832D71">
            <w:pPr>
              <w:rPr>
                <w:rFonts w:eastAsia="Times New Roman"/>
                <w:sz w:val="20"/>
                <w:szCs w:val="20"/>
              </w:rPr>
            </w:pPr>
          </w:p>
        </w:tc>
        <w:tc>
          <w:tcPr>
            <w:tcW w:w="50" w:type="pct"/>
            <w:vAlign w:val="center"/>
            <w:hideMark/>
          </w:tcPr>
          <w:p w14:paraId="4541FE96" w14:textId="77777777" w:rsidR="00000000" w:rsidRDefault="00832D71">
            <w:pPr>
              <w:rPr>
                <w:rFonts w:eastAsia="Times New Roman"/>
                <w:sz w:val="20"/>
                <w:szCs w:val="20"/>
              </w:rPr>
            </w:pPr>
          </w:p>
        </w:tc>
        <w:tc>
          <w:tcPr>
            <w:tcW w:w="65" w:type="pct"/>
            <w:vAlign w:val="center"/>
            <w:hideMark/>
          </w:tcPr>
          <w:p w14:paraId="0FD08E7F" w14:textId="77777777" w:rsidR="00000000" w:rsidRDefault="00832D71">
            <w:pPr>
              <w:rPr>
                <w:rFonts w:eastAsia="Times New Roman"/>
                <w:sz w:val="20"/>
                <w:szCs w:val="20"/>
              </w:rPr>
            </w:pPr>
          </w:p>
        </w:tc>
        <w:tc>
          <w:tcPr>
            <w:tcW w:w="50" w:type="pct"/>
            <w:vAlign w:val="center"/>
            <w:hideMark/>
          </w:tcPr>
          <w:p w14:paraId="4EF754FC" w14:textId="77777777" w:rsidR="00000000" w:rsidRDefault="00832D71">
            <w:pPr>
              <w:rPr>
                <w:rFonts w:eastAsia="Times New Roman"/>
                <w:sz w:val="20"/>
                <w:szCs w:val="20"/>
              </w:rPr>
            </w:pPr>
          </w:p>
        </w:tc>
        <w:tc>
          <w:tcPr>
            <w:tcW w:w="722" w:type="pct"/>
            <w:vAlign w:val="center"/>
            <w:hideMark/>
          </w:tcPr>
          <w:p w14:paraId="01841FE4" w14:textId="77777777" w:rsidR="00000000" w:rsidRDefault="00832D71">
            <w:pPr>
              <w:rPr>
                <w:rFonts w:eastAsia="Times New Roman"/>
                <w:sz w:val="20"/>
                <w:szCs w:val="20"/>
              </w:rPr>
            </w:pPr>
          </w:p>
        </w:tc>
        <w:tc>
          <w:tcPr>
            <w:tcW w:w="50" w:type="pct"/>
            <w:vAlign w:val="center"/>
            <w:hideMark/>
          </w:tcPr>
          <w:p w14:paraId="44C82739" w14:textId="77777777" w:rsidR="00000000" w:rsidRDefault="00832D71">
            <w:pPr>
              <w:rPr>
                <w:rFonts w:eastAsia="Times New Roman"/>
                <w:sz w:val="20"/>
                <w:szCs w:val="20"/>
              </w:rPr>
            </w:pPr>
          </w:p>
        </w:tc>
      </w:tr>
      <w:tr w:rsidR="00000000" w14:paraId="4BA95A8E" w14:textId="77777777">
        <w:trPr>
          <w:trHeight w:val="160"/>
          <w:tblCellSpacing w:w="15" w:type="dxa"/>
        </w:trPr>
        <w:tc>
          <w:tcPr>
            <w:tcW w:w="0" w:type="auto"/>
            <w:vAlign w:val="bottom"/>
            <w:hideMark/>
          </w:tcPr>
          <w:p w14:paraId="7E7A01F0" w14:textId="77777777" w:rsidR="00000000" w:rsidRDefault="00832D71">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14:paraId="29A95E5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195A0C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446A6D9"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57BAC85"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496546A"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6314824"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B3DA992" w14:textId="77777777">
        <w:trPr>
          <w:trHeight w:val="160"/>
          <w:tblCellSpacing w:w="15" w:type="dxa"/>
        </w:trPr>
        <w:tc>
          <w:tcPr>
            <w:tcW w:w="0" w:type="auto"/>
            <w:vAlign w:val="bottom"/>
            <w:hideMark/>
          </w:tcPr>
          <w:p w14:paraId="3B03CC62"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BC49A6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06524BB"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233F11AC"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595B10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AB42BB6"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0CFDAF60"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12BA794" w14:textId="77777777">
        <w:trPr>
          <w:trHeight w:val="160"/>
          <w:tblCellSpacing w:w="15" w:type="dxa"/>
        </w:trPr>
        <w:tc>
          <w:tcPr>
            <w:tcW w:w="0" w:type="auto"/>
            <w:vAlign w:val="bottom"/>
            <w:hideMark/>
          </w:tcPr>
          <w:p w14:paraId="079F52FC"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63F344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1C5AAD6"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737B72C"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F7AEE4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A12C9DD"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DD72177"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A173836" w14:textId="77777777">
        <w:trPr>
          <w:trHeight w:val="200"/>
          <w:tblCellSpacing w:w="15" w:type="dxa"/>
        </w:trPr>
        <w:tc>
          <w:tcPr>
            <w:tcW w:w="0" w:type="auto"/>
            <w:hideMark/>
          </w:tcPr>
          <w:p w14:paraId="02C887F9" w14:textId="77777777" w:rsidR="00000000" w:rsidRDefault="00832D71">
            <w:pPr>
              <w:pStyle w:val="a3"/>
              <w:spacing w:before="0" w:beforeAutospacing="0" w:after="0" w:afterAutospacing="0"/>
              <w:rPr>
                <w:sz w:val="20"/>
                <w:szCs w:val="20"/>
              </w:rPr>
            </w:pPr>
            <w:r>
              <w:rPr>
                <w:sz w:val="20"/>
                <w:szCs w:val="20"/>
              </w:rPr>
              <w:t>Long-term borrowing</w:t>
            </w:r>
            <w:r>
              <w:rPr>
                <w:sz w:val="20"/>
                <w:szCs w:val="20"/>
              </w:rPr>
              <w:t>s</w:t>
            </w:r>
          </w:p>
        </w:tc>
        <w:tc>
          <w:tcPr>
            <w:tcW w:w="0" w:type="auto"/>
            <w:hideMark/>
          </w:tcPr>
          <w:p w14:paraId="62151F9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F68E74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67DB26F" w14:textId="77777777" w:rsidR="00000000" w:rsidRDefault="00832D71">
            <w:pPr>
              <w:pStyle w:val="a3"/>
              <w:spacing w:before="0" w:beforeAutospacing="0" w:after="0" w:afterAutospacing="0"/>
              <w:jc w:val="right"/>
              <w:rPr>
                <w:sz w:val="20"/>
                <w:szCs w:val="20"/>
              </w:rPr>
            </w:pPr>
            <w:r>
              <w:rPr>
                <w:sz w:val="20"/>
                <w:szCs w:val="20"/>
              </w:rPr>
              <w:t>1,089,60</w:t>
            </w:r>
            <w:r>
              <w:rPr>
                <w:sz w:val="20"/>
                <w:szCs w:val="20"/>
              </w:rPr>
              <w:t>0</w:t>
            </w:r>
          </w:p>
        </w:tc>
        <w:tc>
          <w:tcPr>
            <w:tcW w:w="0" w:type="auto"/>
            <w:noWrap/>
            <w:vAlign w:val="bottom"/>
            <w:hideMark/>
          </w:tcPr>
          <w:p w14:paraId="2F33412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C56BC5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6856E7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7EC936B" w14:textId="77777777" w:rsidR="00000000" w:rsidRDefault="00832D71">
            <w:pPr>
              <w:pStyle w:val="a3"/>
              <w:spacing w:before="0" w:beforeAutospacing="0" w:after="0" w:afterAutospacing="0"/>
              <w:jc w:val="right"/>
              <w:rPr>
                <w:sz w:val="20"/>
                <w:szCs w:val="20"/>
              </w:rPr>
            </w:pPr>
            <w:r>
              <w:rPr>
                <w:sz w:val="20"/>
                <w:szCs w:val="20"/>
              </w:rPr>
              <w:t>1,132,00</w:t>
            </w:r>
            <w:r>
              <w:rPr>
                <w:sz w:val="20"/>
                <w:szCs w:val="20"/>
              </w:rPr>
              <w:t>0</w:t>
            </w:r>
          </w:p>
        </w:tc>
        <w:tc>
          <w:tcPr>
            <w:tcW w:w="0" w:type="auto"/>
            <w:noWrap/>
            <w:vAlign w:val="bottom"/>
            <w:hideMark/>
          </w:tcPr>
          <w:p w14:paraId="59E039D3" w14:textId="77777777" w:rsidR="00000000" w:rsidRDefault="00832D71">
            <w:pPr>
              <w:pStyle w:val="a3"/>
              <w:spacing w:before="0" w:beforeAutospacing="0" w:after="0" w:afterAutospacing="0"/>
              <w:rPr>
                <w:sz w:val="20"/>
                <w:szCs w:val="20"/>
              </w:rPr>
            </w:pPr>
            <w:r>
              <w:rPr>
                <w:sz w:val="20"/>
                <w:szCs w:val="20"/>
              </w:rPr>
              <w:t> </w:t>
            </w:r>
          </w:p>
        </w:tc>
      </w:tr>
      <w:tr w:rsidR="00000000" w14:paraId="03B30DC3" w14:textId="77777777">
        <w:trPr>
          <w:tblCellSpacing w:w="15" w:type="dxa"/>
        </w:trPr>
        <w:tc>
          <w:tcPr>
            <w:tcW w:w="0" w:type="auto"/>
            <w:hideMark/>
          </w:tcPr>
          <w:p w14:paraId="37D419F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EF4712B"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2A65C0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326725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4FCFA4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81A2FA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FA262BF" w14:textId="77777777" w:rsidR="00000000" w:rsidRDefault="00832D71">
            <w:pPr>
              <w:pStyle w:val="a3"/>
              <w:spacing w:before="0" w:beforeAutospacing="0" w:after="0" w:afterAutospacing="0"/>
              <w:rPr>
                <w:sz w:val="20"/>
                <w:szCs w:val="20"/>
              </w:rPr>
            </w:pPr>
            <w:r>
              <w:rPr>
                <w:sz w:val="20"/>
                <w:szCs w:val="20"/>
              </w:rPr>
              <w:t> </w:t>
            </w:r>
          </w:p>
        </w:tc>
      </w:tr>
      <w:tr w:rsidR="00000000" w14:paraId="59357DA4" w14:textId="77777777">
        <w:trPr>
          <w:trHeight w:val="200"/>
          <w:tblCellSpacing w:w="15" w:type="dxa"/>
        </w:trPr>
        <w:tc>
          <w:tcPr>
            <w:tcW w:w="0" w:type="auto"/>
            <w:hideMark/>
          </w:tcPr>
          <w:p w14:paraId="07239330" w14:textId="77777777" w:rsidR="00000000" w:rsidRDefault="00832D71">
            <w:pPr>
              <w:pStyle w:val="a3"/>
              <w:spacing w:before="0" w:beforeAutospacing="0" w:after="0" w:afterAutospacing="0"/>
              <w:rPr>
                <w:sz w:val="20"/>
                <w:szCs w:val="20"/>
              </w:rPr>
            </w:pPr>
            <w:r>
              <w:rPr>
                <w:sz w:val="20"/>
                <w:szCs w:val="20"/>
              </w:rPr>
              <w:t>Adjusted EBITD</w:t>
            </w:r>
            <w:r>
              <w:rPr>
                <w:sz w:val="20"/>
                <w:szCs w:val="20"/>
              </w:rPr>
              <w:t>A</w:t>
            </w:r>
          </w:p>
        </w:tc>
        <w:tc>
          <w:tcPr>
            <w:tcW w:w="0" w:type="auto"/>
            <w:hideMark/>
          </w:tcPr>
          <w:p w14:paraId="7AD2456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FBD0CE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2A5ED30" w14:textId="77777777" w:rsidR="00000000" w:rsidRDefault="00832D71">
            <w:pPr>
              <w:pStyle w:val="a3"/>
              <w:spacing w:before="0" w:beforeAutospacing="0" w:after="0" w:afterAutospacing="0"/>
              <w:jc w:val="right"/>
              <w:rPr>
                <w:sz w:val="20"/>
                <w:szCs w:val="20"/>
              </w:rPr>
            </w:pPr>
            <w:r>
              <w:rPr>
                <w:sz w:val="20"/>
                <w:szCs w:val="20"/>
              </w:rPr>
              <w:t>291,02</w:t>
            </w:r>
            <w:r>
              <w:rPr>
                <w:sz w:val="20"/>
                <w:szCs w:val="20"/>
              </w:rPr>
              <w:t>6</w:t>
            </w:r>
          </w:p>
        </w:tc>
        <w:tc>
          <w:tcPr>
            <w:tcW w:w="0" w:type="auto"/>
            <w:noWrap/>
            <w:vAlign w:val="bottom"/>
            <w:hideMark/>
          </w:tcPr>
          <w:p w14:paraId="7289257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26F876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BAA120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6822BF9" w14:textId="77777777" w:rsidR="00000000" w:rsidRDefault="00832D71">
            <w:pPr>
              <w:pStyle w:val="a3"/>
              <w:spacing w:before="0" w:beforeAutospacing="0" w:after="0" w:afterAutospacing="0"/>
              <w:jc w:val="right"/>
              <w:rPr>
                <w:sz w:val="20"/>
                <w:szCs w:val="20"/>
              </w:rPr>
            </w:pPr>
            <w:r>
              <w:rPr>
                <w:sz w:val="20"/>
                <w:szCs w:val="20"/>
              </w:rPr>
              <w:t>275,68</w:t>
            </w:r>
            <w:r>
              <w:rPr>
                <w:sz w:val="20"/>
                <w:szCs w:val="20"/>
              </w:rPr>
              <w:t>0</w:t>
            </w:r>
          </w:p>
        </w:tc>
        <w:tc>
          <w:tcPr>
            <w:tcW w:w="0" w:type="auto"/>
            <w:noWrap/>
            <w:vAlign w:val="bottom"/>
            <w:hideMark/>
          </w:tcPr>
          <w:p w14:paraId="6ADDC758" w14:textId="77777777" w:rsidR="00000000" w:rsidRDefault="00832D71">
            <w:pPr>
              <w:pStyle w:val="a3"/>
              <w:spacing w:before="0" w:beforeAutospacing="0" w:after="0" w:afterAutospacing="0"/>
              <w:rPr>
                <w:sz w:val="20"/>
                <w:szCs w:val="20"/>
              </w:rPr>
            </w:pPr>
            <w:r>
              <w:rPr>
                <w:sz w:val="20"/>
                <w:szCs w:val="20"/>
              </w:rPr>
              <w:t> </w:t>
            </w:r>
          </w:p>
        </w:tc>
      </w:tr>
      <w:tr w:rsidR="00000000" w14:paraId="77FC3E73" w14:textId="77777777">
        <w:trPr>
          <w:trHeight w:val="200"/>
          <w:tblCellSpacing w:w="15" w:type="dxa"/>
        </w:trPr>
        <w:tc>
          <w:tcPr>
            <w:tcW w:w="0" w:type="auto"/>
            <w:hideMark/>
          </w:tcPr>
          <w:p w14:paraId="7421F463" w14:textId="77777777" w:rsidR="00000000" w:rsidRDefault="00832D71">
            <w:pPr>
              <w:pStyle w:val="a3"/>
              <w:spacing w:before="0" w:beforeAutospacing="0" w:after="0" w:afterAutospacing="0"/>
              <w:rPr>
                <w:sz w:val="20"/>
                <w:szCs w:val="20"/>
              </w:rPr>
            </w:pPr>
            <w:r>
              <w:rPr>
                <w:sz w:val="20"/>
                <w:szCs w:val="20"/>
              </w:rPr>
              <w:t>Compensation costs recognized under Restricted Unit Plan</w:t>
            </w:r>
            <w:r>
              <w:rPr>
                <w:sz w:val="20"/>
                <w:szCs w:val="20"/>
              </w:rPr>
              <w:t>s</w:t>
            </w:r>
          </w:p>
        </w:tc>
        <w:tc>
          <w:tcPr>
            <w:tcW w:w="0" w:type="auto"/>
            <w:hideMark/>
          </w:tcPr>
          <w:p w14:paraId="55A964D0"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E8D5A4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FCE1489" w14:textId="77777777" w:rsidR="00000000" w:rsidRDefault="00832D71">
            <w:pPr>
              <w:pStyle w:val="a3"/>
              <w:spacing w:before="0" w:beforeAutospacing="0" w:after="0" w:afterAutospacing="0"/>
              <w:jc w:val="right"/>
              <w:rPr>
                <w:sz w:val="20"/>
                <w:szCs w:val="20"/>
              </w:rPr>
            </w:pPr>
            <w:r>
              <w:rPr>
                <w:sz w:val="20"/>
                <w:szCs w:val="20"/>
              </w:rPr>
              <w:t>11,25</w:t>
            </w:r>
            <w:r>
              <w:rPr>
                <w:sz w:val="20"/>
                <w:szCs w:val="20"/>
              </w:rPr>
              <w:t>3</w:t>
            </w:r>
          </w:p>
        </w:tc>
        <w:tc>
          <w:tcPr>
            <w:tcW w:w="0" w:type="auto"/>
            <w:noWrap/>
            <w:hideMark/>
          </w:tcPr>
          <w:p w14:paraId="4FF6C06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841351F"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089FB51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1F2EA20" w14:textId="77777777" w:rsidR="00000000" w:rsidRDefault="00832D71">
            <w:pPr>
              <w:pStyle w:val="a3"/>
              <w:spacing w:before="0" w:beforeAutospacing="0" w:after="0" w:afterAutospacing="0"/>
              <w:jc w:val="right"/>
              <w:rPr>
                <w:sz w:val="20"/>
                <w:szCs w:val="20"/>
              </w:rPr>
            </w:pPr>
            <w:r>
              <w:rPr>
                <w:sz w:val="20"/>
                <w:szCs w:val="20"/>
              </w:rPr>
              <w:t>10,07</w:t>
            </w:r>
            <w:r>
              <w:rPr>
                <w:sz w:val="20"/>
                <w:szCs w:val="20"/>
              </w:rPr>
              <w:t>3</w:t>
            </w:r>
          </w:p>
        </w:tc>
        <w:tc>
          <w:tcPr>
            <w:tcW w:w="0" w:type="auto"/>
            <w:noWrap/>
            <w:hideMark/>
          </w:tcPr>
          <w:p w14:paraId="0F0CC55D" w14:textId="77777777" w:rsidR="00000000" w:rsidRDefault="00832D71">
            <w:pPr>
              <w:pStyle w:val="a3"/>
              <w:spacing w:before="0" w:beforeAutospacing="0" w:after="0" w:afterAutospacing="0"/>
              <w:rPr>
                <w:sz w:val="20"/>
                <w:szCs w:val="20"/>
              </w:rPr>
            </w:pPr>
            <w:r>
              <w:rPr>
                <w:sz w:val="20"/>
                <w:szCs w:val="20"/>
              </w:rPr>
              <w:t> </w:t>
            </w:r>
          </w:p>
        </w:tc>
      </w:tr>
      <w:tr w:rsidR="00000000" w14:paraId="697967BF" w14:textId="77777777">
        <w:trPr>
          <w:trHeight w:val="200"/>
          <w:tblCellSpacing w:w="15" w:type="dxa"/>
        </w:trPr>
        <w:tc>
          <w:tcPr>
            <w:tcW w:w="0" w:type="auto"/>
            <w:hideMark/>
          </w:tcPr>
          <w:p w14:paraId="22F4AE6D" w14:textId="77777777" w:rsidR="00000000" w:rsidRDefault="00832D71">
            <w:pPr>
              <w:pStyle w:val="a3"/>
              <w:spacing w:before="0" w:beforeAutospacing="0" w:after="0" w:afterAutospacing="0"/>
              <w:rPr>
                <w:sz w:val="20"/>
                <w:szCs w:val="20"/>
              </w:rPr>
            </w:pPr>
            <w:r>
              <w:rPr>
                <w:sz w:val="20"/>
                <w:szCs w:val="20"/>
              </w:rPr>
              <w:t>Adjusted EBITDA for use in calculatio</w:t>
            </w:r>
            <w:r>
              <w:rPr>
                <w:sz w:val="20"/>
                <w:szCs w:val="20"/>
              </w:rPr>
              <w:t>n</w:t>
            </w:r>
          </w:p>
        </w:tc>
        <w:tc>
          <w:tcPr>
            <w:tcW w:w="0" w:type="auto"/>
            <w:hideMark/>
          </w:tcPr>
          <w:p w14:paraId="1FD44DC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EB7F43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2212C5C" w14:textId="77777777" w:rsidR="00000000" w:rsidRDefault="00832D71">
            <w:pPr>
              <w:pStyle w:val="a3"/>
              <w:spacing w:before="0" w:beforeAutospacing="0" w:after="0" w:afterAutospacing="0"/>
              <w:jc w:val="right"/>
              <w:rPr>
                <w:sz w:val="20"/>
                <w:szCs w:val="20"/>
              </w:rPr>
            </w:pPr>
            <w:r>
              <w:rPr>
                <w:sz w:val="20"/>
                <w:szCs w:val="20"/>
              </w:rPr>
              <w:t>302,27</w:t>
            </w:r>
            <w:r>
              <w:rPr>
                <w:sz w:val="20"/>
                <w:szCs w:val="20"/>
              </w:rPr>
              <w:t>9</w:t>
            </w:r>
          </w:p>
        </w:tc>
        <w:tc>
          <w:tcPr>
            <w:tcW w:w="0" w:type="auto"/>
            <w:noWrap/>
            <w:vAlign w:val="bottom"/>
            <w:hideMark/>
          </w:tcPr>
          <w:p w14:paraId="2DAFB6B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901568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361874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F8EBF5F" w14:textId="77777777" w:rsidR="00000000" w:rsidRDefault="00832D71">
            <w:pPr>
              <w:pStyle w:val="a3"/>
              <w:spacing w:before="0" w:beforeAutospacing="0" w:after="0" w:afterAutospacing="0"/>
              <w:jc w:val="right"/>
              <w:rPr>
                <w:sz w:val="20"/>
                <w:szCs w:val="20"/>
              </w:rPr>
            </w:pPr>
            <w:r>
              <w:rPr>
                <w:sz w:val="20"/>
                <w:szCs w:val="20"/>
              </w:rPr>
              <w:t>285,75</w:t>
            </w:r>
            <w:r>
              <w:rPr>
                <w:sz w:val="20"/>
                <w:szCs w:val="20"/>
              </w:rPr>
              <w:t>3</w:t>
            </w:r>
          </w:p>
        </w:tc>
        <w:tc>
          <w:tcPr>
            <w:tcW w:w="0" w:type="auto"/>
            <w:noWrap/>
            <w:vAlign w:val="bottom"/>
            <w:hideMark/>
          </w:tcPr>
          <w:p w14:paraId="02509BE6" w14:textId="77777777" w:rsidR="00000000" w:rsidRDefault="00832D71">
            <w:pPr>
              <w:pStyle w:val="a3"/>
              <w:spacing w:before="0" w:beforeAutospacing="0" w:after="0" w:afterAutospacing="0"/>
              <w:rPr>
                <w:sz w:val="20"/>
                <w:szCs w:val="20"/>
              </w:rPr>
            </w:pPr>
            <w:r>
              <w:rPr>
                <w:sz w:val="20"/>
                <w:szCs w:val="20"/>
              </w:rPr>
              <w:t> </w:t>
            </w:r>
          </w:p>
        </w:tc>
      </w:tr>
      <w:tr w:rsidR="00000000" w14:paraId="0F278393" w14:textId="77777777">
        <w:trPr>
          <w:tblCellSpacing w:w="15" w:type="dxa"/>
        </w:trPr>
        <w:tc>
          <w:tcPr>
            <w:tcW w:w="0" w:type="auto"/>
            <w:hideMark/>
          </w:tcPr>
          <w:p w14:paraId="718DF62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E286ED5"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030E49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EBDDDB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4EF175C"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35FFD8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48D634F" w14:textId="77777777" w:rsidR="00000000" w:rsidRDefault="00832D71">
            <w:pPr>
              <w:pStyle w:val="a3"/>
              <w:spacing w:before="0" w:beforeAutospacing="0" w:after="0" w:afterAutospacing="0"/>
              <w:rPr>
                <w:sz w:val="20"/>
                <w:szCs w:val="20"/>
              </w:rPr>
            </w:pPr>
            <w:r>
              <w:rPr>
                <w:sz w:val="20"/>
                <w:szCs w:val="20"/>
              </w:rPr>
              <w:t> </w:t>
            </w:r>
          </w:p>
        </w:tc>
      </w:tr>
      <w:tr w:rsidR="00000000" w14:paraId="04761DBD" w14:textId="77777777">
        <w:trPr>
          <w:trHeight w:val="200"/>
          <w:tblCellSpacing w:w="15" w:type="dxa"/>
        </w:trPr>
        <w:tc>
          <w:tcPr>
            <w:tcW w:w="0" w:type="auto"/>
            <w:hideMark/>
          </w:tcPr>
          <w:p w14:paraId="79EF68E1" w14:textId="77777777" w:rsidR="00000000" w:rsidRDefault="00832D71">
            <w:pPr>
              <w:pStyle w:val="a3"/>
              <w:spacing w:before="0" w:beforeAutospacing="0" w:after="0" w:afterAutospacing="0"/>
              <w:rPr>
                <w:sz w:val="20"/>
                <w:szCs w:val="20"/>
              </w:rPr>
            </w:pPr>
            <w:r>
              <w:rPr>
                <w:b/>
                <w:bCs/>
                <w:sz w:val="20"/>
                <w:szCs w:val="20"/>
              </w:rPr>
              <w:t>Total Consolidated Leverage Rati</w:t>
            </w:r>
            <w:r>
              <w:rPr>
                <w:b/>
                <w:bCs/>
                <w:sz w:val="20"/>
                <w:szCs w:val="20"/>
              </w:rPr>
              <w:t>o</w:t>
            </w:r>
          </w:p>
        </w:tc>
        <w:tc>
          <w:tcPr>
            <w:tcW w:w="0" w:type="auto"/>
            <w:hideMark/>
          </w:tcPr>
          <w:p w14:paraId="70976EB4"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C7EF00A" w14:textId="77777777" w:rsidR="00000000" w:rsidRDefault="00832D71">
            <w:pPr>
              <w:pStyle w:val="a3"/>
              <w:spacing w:before="0" w:beforeAutospacing="0" w:after="0" w:afterAutospacing="0"/>
              <w:jc w:val="right"/>
              <w:rPr>
                <w:sz w:val="20"/>
                <w:szCs w:val="20"/>
              </w:rPr>
            </w:pPr>
            <w:r>
              <w:rPr>
                <w:b/>
                <w:bCs/>
                <w:sz w:val="20"/>
                <w:szCs w:val="20"/>
              </w:rPr>
              <w:t xml:space="preserve">3.60 </w:t>
            </w:r>
            <w:r>
              <w:rPr>
                <w:b/>
                <w:bCs/>
                <w:sz w:val="20"/>
                <w:szCs w:val="20"/>
              </w:rPr>
              <w:t>x</w:t>
            </w:r>
          </w:p>
        </w:tc>
        <w:tc>
          <w:tcPr>
            <w:tcW w:w="0" w:type="auto"/>
            <w:vAlign w:val="bottom"/>
            <w:hideMark/>
          </w:tcPr>
          <w:p w14:paraId="2CCBAB31"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C733E8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C31D48D" w14:textId="77777777" w:rsidR="00000000" w:rsidRDefault="00832D71">
            <w:pPr>
              <w:pStyle w:val="a3"/>
              <w:spacing w:before="0" w:beforeAutospacing="0" w:after="0" w:afterAutospacing="0"/>
              <w:jc w:val="right"/>
              <w:rPr>
                <w:sz w:val="20"/>
                <w:szCs w:val="20"/>
              </w:rPr>
            </w:pPr>
            <w:r>
              <w:rPr>
                <w:b/>
                <w:bCs/>
                <w:sz w:val="20"/>
                <w:szCs w:val="20"/>
              </w:rPr>
              <w:t xml:space="preserve">3.96 </w:t>
            </w:r>
            <w:r>
              <w:rPr>
                <w:b/>
                <w:bCs/>
                <w:sz w:val="20"/>
                <w:szCs w:val="20"/>
              </w:rPr>
              <w:t>x</w:t>
            </w:r>
          </w:p>
        </w:tc>
        <w:tc>
          <w:tcPr>
            <w:tcW w:w="0" w:type="auto"/>
            <w:vAlign w:val="bottom"/>
            <w:hideMark/>
          </w:tcPr>
          <w:p w14:paraId="6EB3D819" w14:textId="77777777" w:rsidR="00000000" w:rsidRDefault="00832D71">
            <w:pPr>
              <w:pStyle w:val="a3"/>
              <w:spacing w:before="0" w:beforeAutospacing="0" w:after="0" w:afterAutospacing="0"/>
              <w:jc w:val="right"/>
              <w:rPr>
                <w:sz w:val="20"/>
                <w:szCs w:val="20"/>
              </w:rPr>
            </w:pPr>
            <w:r>
              <w:rPr>
                <w:sz w:val="20"/>
                <w:szCs w:val="20"/>
              </w:rPr>
              <w:t> </w:t>
            </w:r>
          </w:p>
        </w:tc>
      </w:tr>
    </w:tbl>
    <w:p w14:paraId="425F8971" w14:textId="77777777" w:rsidR="00000000" w:rsidRDefault="00832D71">
      <w:pPr>
        <w:pStyle w:val="a3"/>
        <w:spacing w:before="360" w:beforeAutospacing="0" w:after="0" w:afterAutospacing="0"/>
        <w:jc w:val="both"/>
        <w:rPr>
          <w:sz w:val="20"/>
          <w:szCs w:val="20"/>
        </w:rPr>
      </w:pPr>
      <w:r>
        <w:rPr>
          <w:b/>
          <w:bCs/>
          <w:i/>
          <w:iCs/>
          <w:sz w:val="20"/>
          <w:szCs w:val="20"/>
        </w:rPr>
        <w:t>Partnership Distribution</w:t>
      </w:r>
      <w:r>
        <w:rPr>
          <w:b/>
          <w:bCs/>
          <w:i/>
          <w:iCs/>
          <w:sz w:val="20"/>
          <w:szCs w:val="20"/>
        </w:rPr>
        <w:t>s</w:t>
      </w:r>
    </w:p>
    <w:p w14:paraId="66288D37" w14:textId="77777777" w:rsidR="00000000" w:rsidRDefault="00832D71">
      <w:pPr>
        <w:pStyle w:val="a3"/>
        <w:spacing w:before="120" w:beforeAutospacing="0" w:after="0" w:afterAutospacing="0"/>
        <w:ind w:firstLine="555"/>
        <w:jc w:val="both"/>
        <w:rPr>
          <w:sz w:val="20"/>
          <w:szCs w:val="20"/>
        </w:rPr>
      </w:pPr>
      <w:r>
        <w:rPr>
          <w:sz w:val="20"/>
          <w:szCs w:val="20"/>
        </w:rPr>
        <w:t>We are required to make distributions in an amount equal to all of our Available Cash, as defined in our Third Amended and Restated Partnership Agreement, as amended (the “Partnership Agreement”), no more than 45 days after the en</w:t>
      </w:r>
      <w:r>
        <w:rPr>
          <w:sz w:val="20"/>
          <w:szCs w:val="20"/>
        </w:rPr>
        <w:t>d of each fiscal quarter to holders of record on the applicable record dates. Available Cash, as defined in the Partnership Agreement, generally means all cash on hand at the end of the respective fiscal quarter, less the amount of cash reserves establishe</w:t>
      </w:r>
      <w:r>
        <w:rPr>
          <w:sz w:val="20"/>
          <w:szCs w:val="20"/>
        </w:rPr>
        <w:t>d by the Board of Supervisors in its reasonable discretion for future cash requirements. These reserves are retained for the proper conduct of our business, the payment of debt principal and interest and for distributions during the next four quarters. The</w:t>
      </w:r>
      <w:r>
        <w:rPr>
          <w:sz w:val="20"/>
          <w:szCs w:val="20"/>
        </w:rPr>
        <w:t xml:space="preserve"> Board of Supervisors reviews the level of Available Cash on a quarterly basis based upon information provided by management</w:t>
      </w:r>
      <w:r>
        <w:rPr>
          <w:sz w:val="20"/>
          <w:szCs w:val="20"/>
        </w:rPr>
        <w:t>.</w:t>
      </w:r>
    </w:p>
    <w:p w14:paraId="3CBE56AA" w14:textId="77777777" w:rsidR="00000000" w:rsidRDefault="00832D71">
      <w:pPr>
        <w:pStyle w:val="a3"/>
        <w:spacing w:before="360" w:beforeAutospacing="0" w:after="0" w:afterAutospacing="0"/>
        <w:jc w:val="both"/>
        <w:rPr>
          <w:sz w:val="20"/>
          <w:szCs w:val="20"/>
        </w:rPr>
      </w:pPr>
      <w:r>
        <w:rPr>
          <w:b/>
          <w:bCs/>
          <w:i/>
          <w:iCs/>
          <w:sz w:val="20"/>
          <w:szCs w:val="20"/>
        </w:rPr>
        <w:t>Pension Plan Assets and Obligation</w:t>
      </w:r>
      <w:r>
        <w:rPr>
          <w:b/>
          <w:bCs/>
          <w:i/>
          <w:iCs/>
          <w:sz w:val="20"/>
          <w:szCs w:val="20"/>
        </w:rPr>
        <w:t>s</w:t>
      </w:r>
    </w:p>
    <w:p w14:paraId="6D0F8FDF" w14:textId="77777777" w:rsidR="00000000" w:rsidRDefault="00832D71">
      <w:pPr>
        <w:pStyle w:val="a3"/>
        <w:spacing w:before="120" w:beforeAutospacing="0" w:after="0" w:afterAutospacing="0"/>
        <w:ind w:firstLine="555"/>
        <w:jc w:val="both"/>
        <w:rPr>
          <w:sz w:val="20"/>
          <w:szCs w:val="20"/>
        </w:rPr>
      </w:pPr>
      <w:r>
        <w:rPr>
          <w:sz w:val="20"/>
          <w:szCs w:val="20"/>
        </w:rPr>
        <w:t xml:space="preserve">We have a noncontributory defined benefit pension plan which was originally designed to cover </w:t>
      </w:r>
      <w:r>
        <w:rPr>
          <w:sz w:val="20"/>
          <w:szCs w:val="20"/>
        </w:rPr>
        <w:t>all of our eligible employees who met certain requirements as to age and length of service. Effective January 1, 1998, we amended the defined benefit pension plan to provide benefits under a cash balance formula as compared to a final average pay formula w</w:t>
      </w:r>
      <w:r>
        <w:rPr>
          <w:sz w:val="20"/>
          <w:szCs w:val="20"/>
        </w:rPr>
        <w:t>hich was in effect prior to January 1, 1998. Our defined benefit pension plan was frozen to new participants effective January 1, 2000 and, in furtherance of our effort to minimize future increases in our benefit obligations, effective January 1, 2003, all</w:t>
      </w:r>
      <w:r>
        <w:rPr>
          <w:sz w:val="20"/>
          <w:szCs w:val="20"/>
        </w:rPr>
        <w:t xml:space="preserve"> future service credits were eliminated. Therefore, eligible participants will receive interest credits only toward their ultimate defined benefit under the defined benefit pension plan. We made contribution payments to the defined benefit pension plan of </w:t>
      </w:r>
      <w:r>
        <w:rPr>
          <w:sz w:val="20"/>
          <w:szCs w:val="20"/>
        </w:rPr>
        <w:t>$3.3 million, $6.3 million and $3.8 million in fiscal 2022, fiscal 2021 and fiscal 2020, respectively. As of September 24, 2022 and September 25, 2021, the plan’s projected benefit obligation exceeded the fair value of plan assets by $20.8 million and $25.</w:t>
      </w:r>
      <w:r>
        <w:rPr>
          <w:sz w:val="20"/>
          <w:szCs w:val="20"/>
        </w:rPr>
        <w:t>2 million, respectively. The net liability recognized in the consolidated financial statements for the defined benefit pension plan decreased by $4.4 million during fiscal 2022, which was primarily attributable to the contributions made during the year, as</w:t>
      </w:r>
      <w:r>
        <w:rPr>
          <w:sz w:val="20"/>
          <w:szCs w:val="20"/>
        </w:rPr>
        <w:t xml:space="preserve"> well as the increase in the discount rate used to measure the benefit obligation. During fiscal 2023, we expect to contribute approximately $3.3 million to the defined benefit pension plan</w:t>
      </w:r>
      <w:r>
        <w:rPr>
          <w:sz w:val="20"/>
          <w:szCs w:val="20"/>
        </w:rPr>
        <w:t>.</w:t>
      </w:r>
    </w:p>
    <w:p w14:paraId="090F4F3B" w14:textId="77777777" w:rsidR="00000000" w:rsidRDefault="00832D71">
      <w:pPr>
        <w:pStyle w:val="a3"/>
        <w:spacing w:before="240" w:beforeAutospacing="0" w:after="0" w:afterAutospacing="0"/>
        <w:ind w:firstLine="555"/>
        <w:jc w:val="both"/>
        <w:rPr>
          <w:sz w:val="20"/>
          <w:szCs w:val="20"/>
        </w:rPr>
      </w:pPr>
      <w:r>
        <w:rPr>
          <w:sz w:val="20"/>
          <w:szCs w:val="20"/>
        </w:rPr>
        <w:t>Our investment policies and strategies, as set forth in the Inves</w:t>
      </w:r>
      <w:r>
        <w:rPr>
          <w:sz w:val="20"/>
          <w:szCs w:val="20"/>
        </w:rPr>
        <w:t>tment Management Policy and Guidelines, are monitored by a Benefits Committee comprised of five members of management. The Benefits Committee employs a liability driven investment strategy, which seeks to increase the correlation of the plan’s assets and l</w:t>
      </w:r>
      <w:r>
        <w:rPr>
          <w:sz w:val="20"/>
          <w:szCs w:val="20"/>
        </w:rPr>
        <w:t>iabilities to reduce the volatility of the plan’s funded status. The execution of this strategy has resulted in an asset allocation that is largely comprised of fixed income securities. A liability driven investment strategy is intended to reduce investmen</w:t>
      </w:r>
      <w:r>
        <w:rPr>
          <w:sz w:val="20"/>
          <w:szCs w:val="20"/>
        </w:rPr>
        <w:t>t risk and, over the long-term, generate returns on plan assets that largely fund the annual interest on the accumulated benefit obligation. For purposes of measuring the projected benefit obligation as of September 24, 2022 and September 25, 2021, we used</w:t>
      </w:r>
      <w:r>
        <w:rPr>
          <w:sz w:val="20"/>
          <w:szCs w:val="20"/>
        </w:rPr>
        <w:t xml:space="preserve"> a discount rate of 5.125% and 2.50%, respectively, reflecting current market rates for debt obligations of a similar duration to our pension obligations. With other assumptions held constant, an increase or decrease of 100 basis points in the discount rat</w:t>
      </w:r>
      <w:r>
        <w:rPr>
          <w:sz w:val="20"/>
          <w:szCs w:val="20"/>
        </w:rPr>
        <w:t>e would have an immaterial impact on net pension and postretirement benefit costs</w:t>
      </w:r>
      <w:r>
        <w:rPr>
          <w:sz w:val="20"/>
          <w:szCs w:val="20"/>
        </w:rPr>
        <w:t>.</w:t>
      </w:r>
      <w:r>
        <w:rPr>
          <w:sz w:val="20"/>
          <w:szCs w:val="20"/>
        </w:rPr>
        <w:t xml:space="preserve"> </w:t>
      </w:r>
    </w:p>
    <w:p w14:paraId="2B5F4F98" w14:textId="77777777" w:rsidR="00000000" w:rsidRDefault="00832D71">
      <w:pPr>
        <w:pStyle w:val="a3"/>
        <w:spacing w:before="240" w:beforeAutospacing="0" w:after="0" w:afterAutospacing="0"/>
        <w:ind w:firstLine="555"/>
        <w:jc w:val="both"/>
        <w:rPr>
          <w:sz w:val="20"/>
          <w:szCs w:val="20"/>
        </w:rPr>
      </w:pPr>
      <w:r>
        <w:rPr>
          <w:sz w:val="20"/>
          <w:szCs w:val="20"/>
        </w:rPr>
        <w:t>During fiscal 2022, lump sum pension settlement payments of $3.3 million exceeded the interest and service cost components of the net periodic pension cost of $2.2 million.</w:t>
      </w:r>
      <w:r>
        <w:rPr>
          <w:sz w:val="20"/>
          <w:szCs w:val="20"/>
        </w:rPr>
        <w:t xml:space="preserve"> As a result, we recorded a non-cash settlement charge of $0.8 million during fiscal 2022 in order to accelerate recognition of a portion of cumulative unamortized losses. Similarly, during fiscal 2021, lump sum pension settlement payments of $3.9 million </w:t>
      </w:r>
      <w:r>
        <w:rPr>
          <w:sz w:val="20"/>
          <w:szCs w:val="20"/>
        </w:rPr>
        <w:t>exceeded the interest and service cost components of the net periodic pension cost of $2.3 million. As a result, we recorded a non-cash settlement charge of $1.0 million during fiscal 2021, also in order to accelerate recognition of a portion of cumulative</w:t>
      </w:r>
      <w:r>
        <w:rPr>
          <w:sz w:val="20"/>
          <w:szCs w:val="20"/>
        </w:rPr>
        <w:t xml:space="preserve"> unamortized losses. During fiscal 2020, lump sum pension settlement payments of $3.6 million exceeded the interest and service cost components of the net periodic pension cost of $2.7 million. As a result, we recorded a non-cash settlement charge of $1.1 </w:t>
      </w:r>
      <w:r>
        <w:rPr>
          <w:sz w:val="20"/>
          <w:szCs w:val="20"/>
        </w:rPr>
        <w:t xml:space="preserve">million during fiscal 2020, also in order to accelerate recognition of a portion of cumulative unamortized losses. These unrecognized losses were previously accumulated as a reduction to partners’ capital and were being amortized to expense as part of our </w:t>
      </w:r>
      <w:r>
        <w:rPr>
          <w:sz w:val="20"/>
          <w:szCs w:val="20"/>
        </w:rPr>
        <w:t>net periodic pension cost</w:t>
      </w:r>
      <w:r>
        <w:rPr>
          <w:sz w:val="20"/>
          <w:szCs w:val="20"/>
        </w:rPr>
        <w:t>.</w:t>
      </w:r>
      <w:r>
        <w:rPr>
          <w:sz w:val="20"/>
          <w:szCs w:val="20"/>
        </w:rPr>
        <w:t xml:space="preserve"> </w:t>
      </w:r>
    </w:p>
    <w:p w14:paraId="027D46CD" w14:textId="77777777" w:rsidR="00000000" w:rsidRDefault="00832D71">
      <w:pPr>
        <w:pStyle w:val="a3"/>
        <w:spacing w:before="0" w:beforeAutospacing="0" w:after="0" w:afterAutospacing="0"/>
        <w:jc w:val="center"/>
        <w:rPr>
          <w:sz w:val="20"/>
          <w:szCs w:val="20"/>
        </w:rPr>
      </w:pPr>
      <w:r>
        <w:rPr>
          <w:sz w:val="20"/>
          <w:szCs w:val="20"/>
        </w:rPr>
        <w:t> </w:t>
      </w:r>
    </w:p>
    <w:p w14:paraId="1B11CC04" w14:textId="77777777" w:rsidR="00000000" w:rsidRDefault="00832D71">
      <w:pPr>
        <w:pStyle w:val="a3"/>
        <w:spacing w:before="0" w:beforeAutospacing="0" w:after="0" w:afterAutospacing="0"/>
        <w:jc w:val="center"/>
        <w:rPr>
          <w:sz w:val="20"/>
          <w:szCs w:val="20"/>
        </w:rPr>
      </w:pPr>
      <w:r>
        <w:rPr>
          <w:sz w:val="20"/>
          <w:szCs w:val="20"/>
        </w:rPr>
        <w:t>3</w:t>
      </w:r>
      <w:r>
        <w:rPr>
          <w:sz w:val="20"/>
          <w:szCs w:val="20"/>
        </w:rPr>
        <w:t>8</w:t>
      </w:r>
    </w:p>
    <w:p w14:paraId="14CC6902" w14:textId="77777777" w:rsidR="00000000" w:rsidRDefault="00832D71">
      <w:pPr>
        <w:rPr>
          <w:rFonts w:eastAsia="Times New Roman"/>
        </w:rPr>
      </w:pPr>
      <w:r>
        <w:rPr>
          <w:rFonts w:eastAsia="Times New Roman"/>
        </w:rPr>
        <w:pict w14:anchorId="2C044269">
          <v:rect id="_x0000_i1065" style="width:0;height:1.5pt" o:hralign="center" o:hrstd="t" o:hr="t" fillcolor="#a0a0a0" stroked="f"/>
        </w:pict>
      </w:r>
    </w:p>
    <w:p w14:paraId="00E53B03"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751587ED" w14:textId="77777777" w:rsidR="00000000" w:rsidRDefault="00832D71">
      <w:pPr>
        <w:pStyle w:val="a3"/>
        <w:spacing w:before="240" w:beforeAutospacing="0" w:after="0" w:afterAutospacing="0"/>
        <w:ind w:firstLine="555"/>
        <w:jc w:val="both"/>
        <w:rPr>
          <w:sz w:val="20"/>
          <w:szCs w:val="20"/>
        </w:rPr>
      </w:pPr>
      <w:r>
        <w:rPr>
          <w:sz w:val="20"/>
          <w:szCs w:val="20"/>
        </w:rPr>
        <w:t>We also provide postretirement health care and life insurance benefits for certain retired employees. Partnership employees hire</w:t>
      </w:r>
      <w:r>
        <w:rPr>
          <w:sz w:val="20"/>
          <w:szCs w:val="20"/>
        </w:rPr>
        <w:t xml:space="preserve">d prior to July 1993 and who retired prior to March 1998 are eligible for postretirement health care and life insurance benefits if they reached a specified retirement age while working for the Partnership. Effective March 31, 1998, we froze participation </w:t>
      </w:r>
      <w:r>
        <w:rPr>
          <w:sz w:val="20"/>
          <w:szCs w:val="20"/>
        </w:rPr>
        <w:t>in the postretirement health care benefit plan, with no new retirees eligible to participate in the plan. All active employees who were eligible to receive health care benefits under the postretirement plan subsequent to March 1, 1998, were provided an inc</w:t>
      </w:r>
      <w:r>
        <w:rPr>
          <w:sz w:val="20"/>
          <w:szCs w:val="20"/>
        </w:rPr>
        <w:t xml:space="preserve">rease to their accumulated benefits under the cash balance pension plan. Our postretirement health care and life insurance benefit plans are unfunded. Effective January 1, 2006, we changed our postretirement health care plan from a self-insured program to </w:t>
      </w:r>
      <w:r>
        <w:rPr>
          <w:sz w:val="20"/>
          <w:szCs w:val="20"/>
        </w:rPr>
        <w:t>one that is fully insured under which we pay a portion of the insurance premium on behalf of the eligible participants</w:t>
      </w:r>
      <w:r>
        <w:rPr>
          <w:sz w:val="20"/>
          <w:szCs w:val="20"/>
        </w:rPr>
        <w:t>.</w:t>
      </w:r>
      <w:r>
        <w:rPr>
          <w:sz w:val="20"/>
          <w:szCs w:val="20"/>
        </w:rPr>
        <w:t xml:space="preserve"> </w:t>
      </w:r>
    </w:p>
    <w:p w14:paraId="560C84E3" w14:textId="77777777" w:rsidR="00000000" w:rsidRDefault="00832D71">
      <w:pPr>
        <w:pStyle w:val="a3"/>
        <w:spacing w:before="360" w:beforeAutospacing="0" w:after="0" w:afterAutospacing="0"/>
        <w:jc w:val="both"/>
        <w:rPr>
          <w:sz w:val="20"/>
          <w:szCs w:val="20"/>
        </w:rPr>
      </w:pPr>
      <w:r>
        <w:rPr>
          <w:b/>
          <w:bCs/>
          <w:i/>
          <w:iCs/>
          <w:sz w:val="20"/>
          <w:szCs w:val="20"/>
        </w:rPr>
        <w:t>Contractual and Other Obligation</w:t>
      </w:r>
      <w:r>
        <w:rPr>
          <w:b/>
          <w:bCs/>
          <w:i/>
          <w:iCs/>
          <w:sz w:val="20"/>
          <w:szCs w:val="20"/>
        </w:rPr>
        <w:t>s</w:t>
      </w:r>
    </w:p>
    <w:p w14:paraId="3952CC29" w14:textId="77777777" w:rsidR="00000000" w:rsidRDefault="00832D71">
      <w:pPr>
        <w:pStyle w:val="a3"/>
        <w:spacing w:before="120" w:beforeAutospacing="0" w:after="0" w:afterAutospacing="0"/>
        <w:ind w:firstLine="555"/>
        <w:jc w:val="both"/>
        <w:rPr>
          <w:sz w:val="20"/>
          <w:szCs w:val="20"/>
        </w:rPr>
      </w:pPr>
      <w:r>
        <w:rPr>
          <w:sz w:val="20"/>
          <w:szCs w:val="20"/>
        </w:rPr>
        <w:t>The following table summarizes payments due under our known contractual and other obligations as of S</w:t>
      </w:r>
      <w:r>
        <w:rPr>
          <w:sz w:val="20"/>
          <w:szCs w:val="20"/>
        </w:rPr>
        <w:t>eptember 24, 2022</w:t>
      </w:r>
      <w:r>
        <w:rPr>
          <w:sz w:val="20"/>
          <w:szCs w:val="20"/>
        </w:rPr>
        <w:t>:</w:t>
      </w:r>
    </w:p>
    <w:p w14:paraId="386F169D" w14:textId="77777777" w:rsidR="00000000" w:rsidRDefault="00832D7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51"/>
        <w:gridCol w:w="110"/>
        <w:gridCol w:w="160"/>
        <w:gridCol w:w="710"/>
        <w:gridCol w:w="110"/>
        <w:gridCol w:w="110"/>
        <w:gridCol w:w="160"/>
        <w:gridCol w:w="710"/>
        <w:gridCol w:w="110"/>
        <w:gridCol w:w="110"/>
        <w:gridCol w:w="160"/>
        <w:gridCol w:w="710"/>
        <w:gridCol w:w="110"/>
        <w:gridCol w:w="110"/>
        <w:gridCol w:w="160"/>
        <w:gridCol w:w="610"/>
        <w:gridCol w:w="110"/>
        <w:gridCol w:w="110"/>
        <w:gridCol w:w="160"/>
        <w:gridCol w:w="710"/>
        <w:gridCol w:w="110"/>
        <w:gridCol w:w="110"/>
        <w:gridCol w:w="160"/>
        <w:gridCol w:w="710"/>
        <w:gridCol w:w="125"/>
      </w:tblGrid>
      <w:tr w:rsidR="00000000" w14:paraId="3587C60A" w14:textId="77777777">
        <w:trPr>
          <w:tblCellSpacing w:w="15" w:type="dxa"/>
        </w:trPr>
        <w:tc>
          <w:tcPr>
            <w:tcW w:w="1633" w:type="pct"/>
            <w:vAlign w:val="center"/>
            <w:hideMark/>
          </w:tcPr>
          <w:p w14:paraId="18C35716" w14:textId="77777777" w:rsidR="00000000" w:rsidRDefault="00832D71">
            <w:pPr>
              <w:rPr>
                <w:sz w:val="20"/>
                <w:szCs w:val="20"/>
              </w:rPr>
            </w:pPr>
          </w:p>
        </w:tc>
        <w:tc>
          <w:tcPr>
            <w:tcW w:w="55" w:type="pct"/>
            <w:vAlign w:val="center"/>
            <w:hideMark/>
          </w:tcPr>
          <w:p w14:paraId="18F09680" w14:textId="77777777" w:rsidR="00000000" w:rsidRDefault="00832D71">
            <w:pPr>
              <w:rPr>
                <w:rFonts w:eastAsia="Times New Roman"/>
                <w:sz w:val="20"/>
                <w:szCs w:val="20"/>
              </w:rPr>
            </w:pPr>
          </w:p>
        </w:tc>
        <w:tc>
          <w:tcPr>
            <w:tcW w:w="50" w:type="pct"/>
            <w:vAlign w:val="center"/>
            <w:hideMark/>
          </w:tcPr>
          <w:p w14:paraId="60CA661E" w14:textId="77777777" w:rsidR="00000000" w:rsidRDefault="00832D71">
            <w:pPr>
              <w:rPr>
                <w:rFonts w:eastAsia="Times New Roman"/>
                <w:sz w:val="20"/>
                <w:szCs w:val="20"/>
              </w:rPr>
            </w:pPr>
          </w:p>
        </w:tc>
        <w:tc>
          <w:tcPr>
            <w:tcW w:w="406" w:type="pct"/>
            <w:vAlign w:val="center"/>
            <w:hideMark/>
          </w:tcPr>
          <w:p w14:paraId="4FBC80E3" w14:textId="77777777" w:rsidR="00000000" w:rsidRDefault="00832D71">
            <w:pPr>
              <w:rPr>
                <w:rFonts w:eastAsia="Times New Roman"/>
                <w:sz w:val="20"/>
                <w:szCs w:val="20"/>
              </w:rPr>
            </w:pPr>
          </w:p>
        </w:tc>
        <w:tc>
          <w:tcPr>
            <w:tcW w:w="50" w:type="pct"/>
            <w:vAlign w:val="center"/>
            <w:hideMark/>
          </w:tcPr>
          <w:p w14:paraId="0DA96533" w14:textId="77777777" w:rsidR="00000000" w:rsidRDefault="00832D71">
            <w:pPr>
              <w:rPr>
                <w:rFonts w:eastAsia="Times New Roman"/>
                <w:sz w:val="20"/>
                <w:szCs w:val="20"/>
              </w:rPr>
            </w:pPr>
          </w:p>
        </w:tc>
        <w:tc>
          <w:tcPr>
            <w:tcW w:w="55" w:type="pct"/>
            <w:vAlign w:val="center"/>
            <w:hideMark/>
          </w:tcPr>
          <w:p w14:paraId="369C1C1C" w14:textId="77777777" w:rsidR="00000000" w:rsidRDefault="00832D71">
            <w:pPr>
              <w:rPr>
                <w:rFonts w:eastAsia="Times New Roman"/>
                <w:sz w:val="20"/>
                <w:szCs w:val="20"/>
              </w:rPr>
            </w:pPr>
          </w:p>
        </w:tc>
        <w:tc>
          <w:tcPr>
            <w:tcW w:w="50" w:type="pct"/>
            <w:vAlign w:val="center"/>
            <w:hideMark/>
          </w:tcPr>
          <w:p w14:paraId="1DEF3C0F" w14:textId="77777777" w:rsidR="00000000" w:rsidRDefault="00832D71">
            <w:pPr>
              <w:rPr>
                <w:rFonts w:eastAsia="Times New Roman"/>
                <w:sz w:val="20"/>
                <w:szCs w:val="20"/>
              </w:rPr>
            </w:pPr>
          </w:p>
        </w:tc>
        <w:tc>
          <w:tcPr>
            <w:tcW w:w="406" w:type="pct"/>
            <w:vAlign w:val="center"/>
            <w:hideMark/>
          </w:tcPr>
          <w:p w14:paraId="7DDFD5C6" w14:textId="77777777" w:rsidR="00000000" w:rsidRDefault="00832D71">
            <w:pPr>
              <w:rPr>
                <w:rFonts w:eastAsia="Times New Roman"/>
                <w:sz w:val="20"/>
                <w:szCs w:val="20"/>
              </w:rPr>
            </w:pPr>
          </w:p>
        </w:tc>
        <w:tc>
          <w:tcPr>
            <w:tcW w:w="50" w:type="pct"/>
            <w:vAlign w:val="center"/>
            <w:hideMark/>
          </w:tcPr>
          <w:p w14:paraId="0F191454" w14:textId="77777777" w:rsidR="00000000" w:rsidRDefault="00832D71">
            <w:pPr>
              <w:rPr>
                <w:rFonts w:eastAsia="Times New Roman"/>
                <w:sz w:val="20"/>
                <w:szCs w:val="20"/>
              </w:rPr>
            </w:pPr>
          </w:p>
        </w:tc>
        <w:tc>
          <w:tcPr>
            <w:tcW w:w="55" w:type="pct"/>
            <w:vAlign w:val="center"/>
            <w:hideMark/>
          </w:tcPr>
          <w:p w14:paraId="502D96AF" w14:textId="77777777" w:rsidR="00000000" w:rsidRDefault="00832D71">
            <w:pPr>
              <w:rPr>
                <w:rFonts w:eastAsia="Times New Roman"/>
                <w:sz w:val="20"/>
                <w:szCs w:val="20"/>
              </w:rPr>
            </w:pPr>
          </w:p>
        </w:tc>
        <w:tc>
          <w:tcPr>
            <w:tcW w:w="50" w:type="pct"/>
            <w:vAlign w:val="center"/>
            <w:hideMark/>
          </w:tcPr>
          <w:p w14:paraId="7FFA8BF1" w14:textId="77777777" w:rsidR="00000000" w:rsidRDefault="00832D71">
            <w:pPr>
              <w:rPr>
                <w:rFonts w:eastAsia="Times New Roman"/>
                <w:sz w:val="20"/>
                <w:szCs w:val="20"/>
              </w:rPr>
            </w:pPr>
          </w:p>
        </w:tc>
        <w:tc>
          <w:tcPr>
            <w:tcW w:w="406" w:type="pct"/>
            <w:vAlign w:val="center"/>
            <w:hideMark/>
          </w:tcPr>
          <w:p w14:paraId="49D78A9F" w14:textId="77777777" w:rsidR="00000000" w:rsidRDefault="00832D71">
            <w:pPr>
              <w:rPr>
                <w:rFonts w:eastAsia="Times New Roman"/>
                <w:sz w:val="20"/>
                <w:szCs w:val="20"/>
              </w:rPr>
            </w:pPr>
          </w:p>
        </w:tc>
        <w:tc>
          <w:tcPr>
            <w:tcW w:w="50" w:type="pct"/>
            <w:vAlign w:val="center"/>
            <w:hideMark/>
          </w:tcPr>
          <w:p w14:paraId="6CEDC928" w14:textId="77777777" w:rsidR="00000000" w:rsidRDefault="00832D71">
            <w:pPr>
              <w:rPr>
                <w:rFonts w:eastAsia="Times New Roman"/>
                <w:sz w:val="20"/>
                <w:szCs w:val="20"/>
              </w:rPr>
            </w:pPr>
          </w:p>
        </w:tc>
        <w:tc>
          <w:tcPr>
            <w:tcW w:w="55" w:type="pct"/>
            <w:vAlign w:val="center"/>
            <w:hideMark/>
          </w:tcPr>
          <w:p w14:paraId="794AE3BC" w14:textId="77777777" w:rsidR="00000000" w:rsidRDefault="00832D71">
            <w:pPr>
              <w:rPr>
                <w:rFonts w:eastAsia="Times New Roman"/>
                <w:sz w:val="20"/>
                <w:szCs w:val="20"/>
              </w:rPr>
            </w:pPr>
          </w:p>
        </w:tc>
        <w:tc>
          <w:tcPr>
            <w:tcW w:w="50" w:type="pct"/>
            <w:vAlign w:val="center"/>
            <w:hideMark/>
          </w:tcPr>
          <w:p w14:paraId="490FAC31" w14:textId="77777777" w:rsidR="00000000" w:rsidRDefault="00832D71">
            <w:pPr>
              <w:rPr>
                <w:rFonts w:eastAsia="Times New Roman"/>
                <w:sz w:val="20"/>
                <w:szCs w:val="20"/>
              </w:rPr>
            </w:pPr>
          </w:p>
        </w:tc>
        <w:tc>
          <w:tcPr>
            <w:tcW w:w="406" w:type="pct"/>
            <w:vAlign w:val="center"/>
            <w:hideMark/>
          </w:tcPr>
          <w:p w14:paraId="794DA83E" w14:textId="77777777" w:rsidR="00000000" w:rsidRDefault="00832D71">
            <w:pPr>
              <w:rPr>
                <w:rFonts w:eastAsia="Times New Roman"/>
                <w:sz w:val="20"/>
                <w:szCs w:val="20"/>
              </w:rPr>
            </w:pPr>
          </w:p>
        </w:tc>
        <w:tc>
          <w:tcPr>
            <w:tcW w:w="50" w:type="pct"/>
            <w:vAlign w:val="center"/>
            <w:hideMark/>
          </w:tcPr>
          <w:p w14:paraId="333C4790" w14:textId="77777777" w:rsidR="00000000" w:rsidRDefault="00832D71">
            <w:pPr>
              <w:rPr>
                <w:rFonts w:eastAsia="Times New Roman"/>
                <w:sz w:val="20"/>
                <w:szCs w:val="20"/>
              </w:rPr>
            </w:pPr>
          </w:p>
        </w:tc>
        <w:tc>
          <w:tcPr>
            <w:tcW w:w="55" w:type="pct"/>
            <w:vAlign w:val="center"/>
            <w:hideMark/>
          </w:tcPr>
          <w:p w14:paraId="2A922EAA" w14:textId="77777777" w:rsidR="00000000" w:rsidRDefault="00832D71">
            <w:pPr>
              <w:rPr>
                <w:rFonts w:eastAsia="Times New Roman"/>
                <w:sz w:val="20"/>
                <w:szCs w:val="20"/>
              </w:rPr>
            </w:pPr>
          </w:p>
        </w:tc>
        <w:tc>
          <w:tcPr>
            <w:tcW w:w="50" w:type="pct"/>
            <w:vAlign w:val="center"/>
            <w:hideMark/>
          </w:tcPr>
          <w:p w14:paraId="4514F0F2" w14:textId="77777777" w:rsidR="00000000" w:rsidRDefault="00832D71">
            <w:pPr>
              <w:rPr>
                <w:rFonts w:eastAsia="Times New Roman"/>
                <w:sz w:val="20"/>
                <w:szCs w:val="20"/>
              </w:rPr>
            </w:pPr>
          </w:p>
        </w:tc>
        <w:tc>
          <w:tcPr>
            <w:tcW w:w="406" w:type="pct"/>
            <w:vAlign w:val="center"/>
            <w:hideMark/>
          </w:tcPr>
          <w:p w14:paraId="4F6C4ECD" w14:textId="77777777" w:rsidR="00000000" w:rsidRDefault="00832D71">
            <w:pPr>
              <w:rPr>
                <w:rFonts w:eastAsia="Times New Roman"/>
                <w:sz w:val="20"/>
                <w:szCs w:val="20"/>
              </w:rPr>
            </w:pPr>
          </w:p>
        </w:tc>
        <w:tc>
          <w:tcPr>
            <w:tcW w:w="50" w:type="pct"/>
            <w:vAlign w:val="center"/>
            <w:hideMark/>
          </w:tcPr>
          <w:p w14:paraId="0917F4FA" w14:textId="77777777" w:rsidR="00000000" w:rsidRDefault="00832D71">
            <w:pPr>
              <w:rPr>
                <w:rFonts w:eastAsia="Times New Roman"/>
                <w:sz w:val="20"/>
                <w:szCs w:val="20"/>
              </w:rPr>
            </w:pPr>
          </w:p>
        </w:tc>
        <w:tc>
          <w:tcPr>
            <w:tcW w:w="55" w:type="pct"/>
            <w:vAlign w:val="center"/>
            <w:hideMark/>
          </w:tcPr>
          <w:p w14:paraId="771DE0E0" w14:textId="77777777" w:rsidR="00000000" w:rsidRDefault="00832D71">
            <w:pPr>
              <w:rPr>
                <w:rFonts w:eastAsia="Times New Roman"/>
                <w:sz w:val="20"/>
                <w:szCs w:val="20"/>
              </w:rPr>
            </w:pPr>
          </w:p>
        </w:tc>
        <w:tc>
          <w:tcPr>
            <w:tcW w:w="50" w:type="pct"/>
            <w:vAlign w:val="center"/>
            <w:hideMark/>
          </w:tcPr>
          <w:p w14:paraId="5048EB35" w14:textId="77777777" w:rsidR="00000000" w:rsidRDefault="00832D71">
            <w:pPr>
              <w:rPr>
                <w:rFonts w:eastAsia="Times New Roman"/>
                <w:sz w:val="20"/>
                <w:szCs w:val="20"/>
              </w:rPr>
            </w:pPr>
          </w:p>
        </w:tc>
        <w:tc>
          <w:tcPr>
            <w:tcW w:w="406" w:type="pct"/>
            <w:vAlign w:val="center"/>
            <w:hideMark/>
          </w:tcPr>
          <w:p w14:paraId="18743795" w14:textId="77777777" w:rsidR="00000000" w:rsidRDefault="00832D71">
            <w:pPr>
              <w:rPr>
                <w:rFonts w:eastAsia="Times New Roman"/>
                <w:sz w:val="20"/>
                <w:szCs w:val="20"/>
              </w:rPr>
            </w:pPr>
          </w:p>
        </w:tc>
        <w:tc>
          <w:tcPr>
            <w:tcW w:w="50" w:type="pct"/>
            <w:vAlign w:val="center"/>
            <w:hideMark/>
          </w:tcPr>
          <w:p w14:paraId="3D85151D" w14:textId="77777777" w:rsidR="00000000" w:rsidRDefault="00832D71">
            <w:pPr>
              <w:rPr>
                <w:rFonts w:eastAsia="Times New Roman"/>
                <w:sz w:val="20"/>
                <w:szCs w:val="20"/>
              </w:rPr>
            </w:pPr>
          </w:p>
        </w:tc>
      </w:tr>
      <w:tr w:rsidR="00000000" w14:paraId="0E0B093C" w14:textId="77777777">
        <w:trPr>
          <w:trHeight w:val="160"/>
          <w:tblCellSpacing w:w="15" w:type="dxa"/>
        </w:trPr>
        <w:tc>
          <w:tcPr>
            <w:tcW w:w="0" w:type="auto"/>
            <w:vAlign w:val="bottom"/>
            <w:hideMark/>
          </w:tcPr>
          <w:p w14:paraId="34C53291" w14:textId="77777777" w:rsidR="00000000" w:rsidRDefault="00832D71">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14:paraId="0C31C2B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C079861"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A6DC06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F7A9F9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E49F11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5B231B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02AA5E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F2A859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D533443"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C08E2B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BEDF0AD"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236FC29"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274662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6805F15"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5CC6BD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E51EE5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830AA1C"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DFAEAB6" w14:textId="77777777" w:rsidR="00000000" w:rsidRDefault="00832D71">
            <w:pPr>
              <w:pStyle w:val="a3"/>
              <w:spacing w:before="0" w:beforeAutospacing="0" w:after="0" w:afterAutospacing="0"/>
              <w:rPr>
                <w:sz w:val="16"/>
                <w:szCs w:val="16"/>
              </w:rPr>
            </w:pPr>
            <w:r>
              <w:rPr>
                <w:sz w:val="16"/>
                <w:szCs w:val="16"/>
              </w:rPr>
              <w:t> </w:t>
            </w:r>
          </w:p>
        </w:tc>
      </w:tr>
      <w:tr w:rsidR="00000000" w14:paraId="1C23E4A3" w14:textId="77777777">
        <w:trPr>
          <w:trHeight w:val="160"/>
          <w:tblCellSpacing w:w="15" w:type="dxa"/>
        </w:trPr>
        <w:tc>
          <w:tcPr>
            <w:tcW w:w="0" w:type="auto"/>
            <w:vAlign w:val="bottom"/>
            <w:hideMark/>
          </w:tcPr>
          <w:p w14:paraId="586DF05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CAA975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77BEA7A"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7DEFAF3"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04E11B3"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E09B633"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59FA8E1"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91EAC9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8D0B39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986764F"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6756EF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22FEC41"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3873543"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512EEE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2651C01"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BF0578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E5A0DE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FD39A61"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13D637B5"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437A7106" w14:textId="77777777">
        <w:trPr>
          <w:trHeight w:val="160"/>
          <w:tblCellSpacing w:w="15" w:type="dxa"/>
        </w:trPr>
        <w:tc>
          <w:tcPr>
            <w:tcW w:w="0" w:type="auto"/>
            <w:vAlign w:val="bottom"/>
            <w:hideMark/>
          </w:tcPr>
          <w:p w14:paraId="2806F870"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E75B58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4C10760"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2C44F532"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C7F5ACD"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CCB49EE"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4DE0192F"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933054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55F4406"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52C166FB"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0988BFD"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73F5CD3"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34D8E46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FBFA79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68C8FE9"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0979D1DD"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174B44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534A29F" w14:textId="77777777" w:rsidR="00000000" w:rsidRDefault="00832D71">
            <w:pPr>
              <w:pStyle w:val="a3"/>
              <w:spacing w:before="0" w:beforeAutospacing="0" w:after="0" w:afterAutospacing="0"/>
              <w:jc w:val="center"/>
              <w:rPr>
                <w:sz w:val="16"/>
                <w:szCs w:val="16"/>
              </w:rPr>
            </w:pPr>
            <w:r>
              <w:rPr>
                <w:b/>
                <w:bCs/>
                <w:sz w:val="16"/>
                <w:szCs w:val="16"/>
              </w:rPr>
              <w:t>2028 an</w:t>
            </w:r>
            <w:r>
              <w:rPr>
                <w:b/>
                <w:bCs/>
                <w:sz w:val="16"/>
                <w:szCs w:val="16"/>
              </w:rPr>
              <w:t>d</w:t>
            </w:r>
          </w:p>
        </w:tc>
        <w:tc>
          <w:tcPr>
            <w:tcW w:w="0" w:type="auto"/>
            <w:vAlign w:val="bottom"/>
            <w:hideMark/>
          </w:tcPr>
          <w:p w14:paraId="1F4F624A"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1C6927E" w14:textId="77777777">
        <w:trPr>
          <w:trHeight w:val="160"/>
          <w:tblCellSpacing w:w="15" w:type="dxa"/>
        </w:trPr>
        <w:tc>
          <w:tcPr>
            <w:tcW w:w="0" w:type="auto"/>
            <w:vAlign w:val="bottom"/>
            <w:hideMark/>
          </w:tcPr>
          <w:p w14:paraId="4B4EB93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6252CA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B2E03A9"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14:paraId="2F4F6F2B"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568995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8D06F55"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4</w:t>
            </w:r>
          </w:p>
        </w:tc>
        <w:tc>
          <w:tcPr>
            <w:tcW w:w="0" w:type="auto"/>
            <w:vAlign w:val="bottom"/>
            <w:hideMark/>
          </w:tcPr>
          <w:p w14:paraId="1F4BF4F6"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001361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985F1F2"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5</w:t>
            </w:r>
          </w:p>
        </w:tc>
        <w:tc>
          <w:tcPr>
            <w:tcW w:w="0" w:type="auto"/>
            <w:vAlign w:val="bottom"/>
            <w:hideMark/>
          </w:tcPr>
          <w:p w14:paraId="729F8A9B"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D95574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541A864"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6</w:t>
            </w:r>
          </w:p>
        </w:tc>
        <w:tc>
          <w:tcPr>
            <w:tcW w:w="0" w:type="auto"/>
            <w:vAlign w:val="bottom"/>
            <w:hideMark/>
          </w:tcPr>
          <w:p w14:paraId="12E5D255"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5C2BDB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AF560E9"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7</w:t>
            </w:r>
          </w:p>
        </w:tc>
        <w:tc>
          <w:tcPr>
            <w:tcW w:w="0" w:type="auto"/>
            <w:vAlign w:val="bottom"/>
            <w:hideMark/>
          </w:tcPr>
          <w:p w14:paraId="6293AA6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5FD10A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874AB56" w14:textId="77777777" w:rsidR="00000000" w:rsidRDefault="00832D71">
            <w:pPr>
              <w:pStyle w:val="a3"/>
              <w:spacing w:before="0" w:beforeAutospacing="0" w:after="0" w:afterAutospacing="0"/>
              <w:jc w:val="center"/>
              <w:rPr>
                <w:sz w:val="16"/>
                <w:szCs w:val="16"/>
              </w:rPr>
            </w:pPr>
            <w:r>
              <w:rPr>
                <w:b/>
                <w:bCs/>
                <w:sz w:val="16"/>
                <w:szCs w:val="16"/>
              </w:rPr>
              <w:t>thereafte</w:t>
            </w:r>
            <w:r>
              <w:rPr>
                <w:b/>
                <w:bCs/>
                <w:sz w:val="16"/>
                <w:szCs w:val="16"/>
              </w:rPr>
              <w:t>r</w:t>
            </w:r>
          </w:p>
        </w:tc>
        <w:tc>
          <w:tcPr>
            <w:tcW w:w="0" w:type="auto"/>
            <w:vAlign w:val="bottom"/>
            <w:hideMark/>
          </w:tcPr>
          <w:p w14:paraId="5EDDE5D2"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65453257" w14:textId="77777777">
        <w:trPr>
          <w:trHeight w:val="200"/>
          <w:tblCellSpacing w:w="15" w:type="dxa"/>
        </w:trPr>
        <w:tc>
          <w:tcPr>
            <w:tcW w:w="0" w:type="auto"/>
            <w:hideMark/>
          </w:tcPr>
          <w:p w14:paraId="39EEA026" w14:textId="77777777" w:rsidR="00000000" w:rsidRDefault="00832D71">
            <w:pPr>
              <w:pStyle w:val="a3"/>
              <w:spacing w:before="0" w:beforeAutospacing="0" w:after="0" w:afterAutospacing="0"/>
              <w:rPr>
                <w:sz w:val="20"/>
                <w:szCs w:val="20"/>
              </w:rPr>
            </w:pPr>
            <w:r>
              <w:rPr>
                <w:sz w:val="20"/>
                <w:szCs w:val="20"/>
              </w:rPr>
              <w:t>Long-term debt obligation</w:t>
            </w:r>
            <w:r>
              <w:rPr>
                <w:sz w:val="20"/>
                <w:szCs w:val="20"/>
              </w:rPr>
              <w:t>s</w:t>
            </w:r>
          </w:p>
        </w:tc>
        <w:tc>
          <w:tcPr>
            <w:tcW w:w="0" w:type="auto"/>
            <w:hideMark/>
          </w:tcPr>
          <w:p w14:paraId="1282AA6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9CEE3D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1069294"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43226D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307B46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99FDDA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5065502"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EF820A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00A0C2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C81DBD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CDB7125" w14:textId="77777777" w:rsidR="00000000" w:rsidRDefault="00832D71">
            <w:pPr>
              <w:pStyle w:val="a3"/>
              <w:spacing w:before="0" w:beforeAutospacing="0" w:after="0" w:afterAutospacing="0"/>
              <w:jc w:val="right"/>
              <w:rPr>
                <w:sz w:val="20"/>
                <w:szCs w:val="20"/>
              </w:rPr>
            </w:pPr>
            <w:r>
              <w:rPr>
                <w:sz w:val="20"/>
                <w:szCs w:val="20"/>
              </w:rPr>
              <w:t>89,60</w:t>
            </w:r>
            <w:r>
              <w:rPr>
                <w:sz w:val="20"/>
                <w:szCs w:val="20"/>
              </w:rPr>
              <w:t>0</w:t>
            </w:r>
          </w:p>
        </w:tc>
        <w:tc>
          <w:tcPr>
            <w:tcW w:w="0" w:type="auto"/>
            <w:noWrap/>
            <w:vAlign w:val="bottom"/>
            <w:hideMark/>
          </w:tcPr>
          <w:p w14:paraId="2990482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F2D8E8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1C0F8D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317A50D"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4D23C61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073C03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3A2DA7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9A4269B" w14:textId="77777777" w:rsidR="00000000" w:rsidRDefault="00832D71">
            <w:pPr>
              <w:pStyle w:val="a3"/>
              <w:spacing w:before="0" w:beforeAutospacing="0" w:after="0" w:afterAutospacing="0"/>
              <w:jc w:val="right"/>
              <w:rPr>
                <w:sz w:val="20"/>
                <w:szCs w:val="20"/>
              </w:rPr>
            </w:pPr>
            <w:r>
              <w:rPr>
                <w:sz w:val="20"/>
                <w:szCs w:val="20"/>
              </w:rPr>
              <w:t>350,00</w:t>
            </w:r>
            <w:r>
              <w:rPr>
                <w:sz w:val="20"/>
                <w:szCs w:val="20"/>
              </w:rPr>
              <w:t>0</w:t>
            </w:r>
          </w:p>
        </w:tc>
        <w:tc>
          <w:tcPr>
            <w:tcW w:w="0" w:type="auto"/>
            <w:noWrap/>
            <w:vAlign w:val="bottom"/>
            <w:hideMark/>
          </w:tcPr>
          <w:p w14:paraId="6969C93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A58688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CAF6D1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0FA02D3" w14:textId="77777777" w:rsidR="00000000" w:rsidRDefault="00832D71">
            <w:pPr>
              <w:pStyle w:val="a3"/>
              <w:spacing w:before="0" w:beforeAutospacing="0" w:after="0" w:afterAutospacing="0"/>
              <w:jc w:val="right"/>
              <w:rPr>
                <w:sz w:val="20"/>
                <w:szCs w:val="20"/>
              </w:rPr>
            </w:pPr>
            <w:r>
              <w:rPr>
                <w:sz w:val="20"/>
                <w:szCs w:val="20"/>
              </w:rPr>
              <w:t>650,00</w:t>
            </w:r>
            <w:r>
              <w:rPr>
                <w:sz w:val="20"/>
                <w:szCs w:val="20"/>
              </w:rPr>
              <w:t>0</w:t>
            </w:r>
          </w:p>
        </w:tc>
        <w:tc>
          <w:tcPr>
            <w:tcW w:w="0" w:type="auto"/>
            <w:noWrap/>
            <w:vAlign w:val="bottom"/>
            <w:hideMark/>
          </w:tcPr>
          <w:p w14:paraId="124B13D9" w14:textId="77777777" w:rsidR="00000000" w:rsidRDefault="00832D71">
            <w:pPr>
              <w:pStyle w:val="a3"/>
              <w:spacing w:before="0" w:beforeAutospacing="0" w:after="0" w:afterAutospacing="0"/>
              <w:rPr>
                <w:sz w:val="20"/>
                <w:szCs w:val="20"/>
              </w:rPr>
            </w:pPr>
            <w:r>
              <w:rPr>
                <w:sz w:val="20"/>
                <w:szCs w:val="20"/>
              </w:rPr>
              <w:t> </w:t>
            </w:r>
          </w:p>
        </w:tc>
      </w:tr>
      <w:tr w:rsidR="00000000" w14:paraId="6165DDF4" w14:textId="77777777">
        <w:trPr>
          <w:trHeight w:val="200"/>
          <w:tblCellSpacing w:w="15" w:type="dxa"/>
        </w:trPr>
        <w:tc>
          <w:tcPr>
            <w:tcW w:w="0" w:type="auto"/>
            <w:hideMark/>
          </w:tcPr>
          <w:p w14:paraId="2AA91607" w14:textId="77777777" w:rsidR="00000000" w:rsidRDefault="00832D71">
            <w:pPr>
              <w:pStyle w:val="a3"/>
              <w:spacing w:before="0" w:beforeAutospacing="0" w:after="0" w:afterAutospacing="0"/>
              <w:rPr>
                <w:sz w:val="20"/>
                <w:szCs w:val="20"/>
              </w:rPr>
            </w:pPr>
            <w:r>
              <w:rPr>
                <w:sz w:val="20"/>
                <w:szCs w:val="20"/>
              </w:rPr>
              <w:t>Interest payment</w:t>
            </w:r>
            <w:r>
              <w:rPr>
                <w:sz w:val="20"/>
                <w:szCs w:val="20"/>
              </w:rPr>
              <w:t>s</w:t>
            </w:r>
          </w:p>
        </w:tc>
        <w:tc>
          <w:tcPr>
            <w:tcW w:w="0" w:type="auto"/>
            <w:hideMark/>
          </w:tcPr>
          <w:p w14:paraId="33BEC13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80831E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D703919" w14:textId="77777777" w:rsidR="00000000" w:rsidRDefault="00832D71">
            <w:pPr>
              <w:pStyle w:val="a3"/>
              <w:spacing w:before="0" w:beforeAutospacing="0" w:after="0" w:afterAutospacing="0"/>
              <w:jc w:val="right"/>
              <w:rPr>
                <w:sz w:val="20"/>
                <w:szCs w:val="20"/>
              </w:rPr>
            </w:pPr>
            <w:r>
              <w:rPr>
                <w:sz w:val="20"/>
                <w:szCs w:val="20"/>
              </w:rPr>
              <w:t>62,76</w:t>
            </w:r>
            <w:r>
              <w:rPr>
                <w:sz w:val="20"/>
                <w:szCs w:val="20"/>
              </w:rPr>
              <w:t>4</w:t>
            </w:r>
          </w:p>
        </w:tc>
        <w:tc>
          <w:tcPr>
            <w:tcW w:w="0" w:type="auto"/>
            <w:noWrap/>
            <w:vAlign w:val="bottom"/>
            <w:hideMark/>
          </w:tcPr>
          <w:p w14:paraId="454B526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5A5A0A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E10C89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4ECED74" w14:textId="77777777" w:rsidR="00000000" w:rsidRDefault="00832D71">
            <w:pPr>
              <w:pStyle w:val="a3"/>
              <w:spacing w:before="0" w:beforeAutospacing="0" w:after="0" w:afterAutospacing="0"/>
              <w:jc w:val="right"/>
              <w:rPr>
                <w:sz w:val="20"/>
                <w:szCs w:val="20"/>
              </w:rPr>
            </w:pPr>
            <w:r>
              <w:rPr>
                <w:sz w:val="20"/>
                <w:szCs w:val="20"/>
              </w:rPr>
              <w:t>59,46</w:t>
            </w:r>
            <w:r>
              <w:rPr>
                <w:sz w:val="20"/>
                <w:szCs w:val="20"/>
              </w:rPr>
              <w:t>5</w:t>
            </w:r>
          </w:p>
        </w:tc>
        <w:tc>
          <w:tcPr>
            <w:tcW w:w="0" w:type="auto"/>
            <w:noWrap/>
            <w:vAlign w:val="bottom"/>
            <w:hideMark/>
          </w:tcPr>
          <w:p w14:paraId="605E3A7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9F560A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58927A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9C314BA" w14:textId="77777777" w:rsidR="00000000" w:rsidRDefault="00832D71">
            <w:pPr>
              <w:pStyle w:val="a3"/>
              <w:spacing w:before="0" w:beforeAutospacing="0" w:after="0" w:afterAutospacing="0"/>
              <w:jc w:val="right"/>
              <w:rPr>
                <w:sz w:val="20"/>
                <w:szCs w:val="20"/>
              </w:rPr>
            </w:pPr>
            <w:r>
              <w:rPr>
                <w:sz w:val="20"/>
                <w:szCs w:val="20"/>
              </w:rPr>
              <w:t>55,87</w:t>
            </w:r>
            <w:r>
              <w:rPr>
                <w:sz w:val="20"/>
                <w:szCs w:val="20"/>
              </w:rPr>
              <w:t>3</w:t>
            </w:r>
          </w:p>
        </w:tc>
        <w:tc>
          <w:tcPr>
            <w:tcW w:w="0" w:type="auto"/>
            <w:noWrap/>
            <w:vAlign w:val="bottom"/>
            <w:hideMark/>
          </w:tcPr>
          <w:p w14:paraId="3BFEDC2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B50303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E5761D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9521C9F" w14:textId="77777777" w:rsidR="00000000" w:rsidRDefault="00832D71">
            <w:pPr>
              <w:pStyle w:val="a3"/>
              <w:spacing w:before="0" w:beforeAutospacing="0" w:after="0" w:afterAutospacing="0"/>
              <w:jc w:val="right"/>
              <w:rPr>
                <w:sz w:val="20"/>
                <w:szCs w:val="20"/>
              </w:rPr>
            </w:pPr>
            <w:r>
              <w:rPr>
                <w:sz w:val="20"/>
                <w:szCs w:val="20"/>
              </w:rPr>
              <w:t>53,06</w:t>
            </w:r>
            <w:r>
              <w:rPr>
                <w:sz w:val="20"/>
                <w:szCs w:val="20"/>
              </w:rPr>
              <w:t>2</w:t>
            </w:r>
          </w:p>
        </w:tc>
        <w:tc>
          <w:tcPr>
            <w:tcW w:w="0" w:type="auto"/>
            <w:noWrap/>
            <w:vAlign w:val="bottom"/>
            <w:hideMark/>
          </w:tcPr>
          <w:p w14:paraId="6E20E89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F87A0C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12ED31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C6433FA" w14:textId="77777777" w:rsidR="00000000" w:rsidRDefault="00832D71">
            <w:pPr>
              <w:pStyle w:val="a3"/>
              <w:spacing w:before="0" w:beforeAutospacing="0" w:after="0" w:afterAutospacing="0"/>
              <w:jc w:val="right"/>
              <w:rPr>
                <w:sz w:val="20"/>
                <w:szCs w:val="20"/>
              </w:rPr>
            </w:pPr>
            <w:r>
              <w:rPr>
                <w:sz w:val="20"/>
                <w:szCs w:val="20"/>
              </w:rPr>
              <w:t>42,78</w:t>
            </w:r>
            <w:r>
              <w:rPr>
                <w:sz w:val="20"/>
                <w:szCs w:val="20"/>
              </w:rPr>
              <w:t>1</w:t>
            </w:r>
          </w:p>
        </w:tc>
        <w:tc>
          <w:tcPr>
            <w:tcW w:w="0" w:type="auto"/>
            <w:noWrap/>
            <w:vAlign w:val="bottom"/>
            <w:hideMark/>
          </w:tcPr>
          <w:p w14:paraId="3B2AE0E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701D02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B9B861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87502D8" w14:textId="77777777" w:rsidR="00000000" w:rsidRDefault="00832D71">
            <w:pPr>
              <w:pStyle w:val="a3"/>
              <w:spacing w:before="0" w:beforeAutospacing="0" w:after="0" w:afterAutospacing="0"/>
              <w:jc w:val="right"/>
              <w:rPr>
                <w:sz w:val="20"/>
                <w:szCs w:val="20"/>
              </w:rPr>
            </w:pPr>
            <w:r>
              <w:rPr>
                <w:sz w:val="20"/>
                <w:szCs w:val="20"/>
              </w:rPr>
              <w:t>130,00</w:t>
            </w:r>
            <w:r>
              <w:rPr>
                <w:sz w:val="20"/>
                <w:szCs w:val="20"/>
              </w:rPr>
              <w:t>0</w:t>
            </w:r>
          </w:p>
        </w:tc>
        <w:tc>
          <w:tcPr>
            <w:tcW w:w="0" w:type="auto"/>
            <w:noWrap/>
            <w:vAlign w:val="bottom"/>
            <w:hideMark/>
          </w:tcPr>
          <w:p w14:paraId="7BFAD90E" w14:textId="77777777" w:rsidR="00000000" w:rsidRDefault="00832D71">
            <w:pPr>
              <w:pStyle w:val="a3"/>
              <w:spacing w:before="0" w:beforeAutospacing="0" w:after="0" w:afterAutospacing="0"/>
              <w:rPr>
                <w:sz w:val="20"/>
                <w:szCs w:val="20"/>
              </w:rPr>
            </w:pPr>
            <w:r>
              <w:rPr>
                <w:sz w:val="20"/>
                <w:szCs w:val="20"/>
              </w:rPr>
              <w:t> </w:t>
            </w:r>
          </w:p>
        </w:tc>
      </w:tr>
      <w:tr w:rsidR="00000000" w14:paraId="6901E1C4" w14:textId="77777777">
        <w:trPr>
          <w:trHeight w:val="200"/>
          <w:tblCellSpacing w:w="15" w:type="dxa"/>
        </w:trPr>
        <w:tc>
          <w:tcPr>
            <w:tcW w:w="0" w:type="auto"/>
            <w:hideMark/>
          </w:tcPr>
          <w:p w14:paraId="1C00BAD3" w14:textId="77777777" w:rsidR="00000000" w:rsidRDefault="00832D71">
            <w:pPr>
              <w:pStyle w:val="a3"/>
              <w:spacing w:before="0" w:beforeAutospacing="0" w:after="0" w:afterAutospacing="0"/>
              <w:rPr>
                <w:sz w:val="20"/>
                <w:szCs w:val="20"/>
              </w:rPr>
            </w:pPr>
            <w:r>
              <w:rPr>
                <w:sz w:val="20"/>
                <w:szCs w:val="20"/>
              </w:rPr>
              <w:t>Operating lease obligations (a</w:t>
            </w:r>
            <w:r>
              <w:rPr>
                <w:sz w:val="20"/>
                <w:szCs w:val="20"/>
              </w:rPr>
              <w:t>)</w:t>
            </w:r>
          </w:p>
        </w:tc>
        <w:tc>
          <w:tcPr>
            <w:tcW w:w="0" w:type="auto"/>
            <w:hideMark/>
          </w:tcPr>
          <w:p w14:paraId="630BFAA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D9CD0B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40088DF" w14:textId="77777777" w:rsidR="00000000" w:rsidRDefault="00832D71">
            <w:pPr>
              <w:pStyle w:val="a3"/>
              <w:spacing w:before="0" w:beforeAutospacing="0" w:after="0" w:afterAutospacing="0"/>
              <w:jc w:val="right"/>
              <w:rPr>
                <w:sz w:val="20"/>
                <w:szCs w:val="20"/>
              </w:rPr>
            </w:pPr>
            <w:r>
              <w:rPr>
                <w:sz w:val="20"/>
                <w:szCs w:val="20"/>
              </w:rPr>
              <w:t>38,02</w:t>
            </w:r>
            <w:r>
              <w:rPr>
                <w:sz w:val="20"/>
                <w:szCs w:val="20"/>
              </w:rPr>
              <w:t>5</w:t>
            </w:r>
          </w:p>
        </w:tc>
        <w:tc>
          <w:tcPr>
            <w:tcW w:w="0" w:type="auto"/>
            <w:noWrap/>
            <w:vAlign w:val="bottom"/>
            <w:hideMark/>
          </w:tcPr>
          <w:p w14:paraId="038FC54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D900EB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A910E6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9E20DF7" w14:textId="77777777" w:rsidR="00000000" w:rsidRDefault="00832D71">
            <w:pPr>
              <w:pStyle w:val="a3"/>
              <w:spacing w:before="0" w:beforeAutospacing="0" w:after="0" w:afterAutospacing="0"/>
              <w:jc w:val="right"/>
              <w:rPr>
                <w:sz w:val="20"/>
                <w:szCs w:val="20"/>
              </w:rPr>
            </w:pPr>
            <w:r>
              <w:rPr>
                <w:sz w:val="20"/>
                <w:szCs w:val="20"/>
              </w:rPr>
              <w:t>32,22</w:t>
            </w:r>
            <w:r>
              <w:rPr>
                <w:sz w:val="20"/>
                <w:szCs w:val="20"/>
              </w:rPr>
              <w:t>9</w:t>
            </w:r>
          </w:p>
        </w:tc>
        <w:tc>
          <w:tcPr>
            <w:tcW w:w="0" w:type="auto"/>
            <w:noWrap/>
            <w:vAlign w:val="bottom"/>
            <w:hideMark/>
          </w:tcPr>
          <w:p w14:paraId="403E64F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4B4465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2FABBE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806D638" w14:textId="77777777" w:rsidR="00000000" w:rsidRDefault="00832D71">
            <w:pPr>
              <w:pStyle w:val="a3"/>
              <w:spacing w:before="0" w:beforeAutospacing="0" w:after="0" w:afterAutospacing="0"/>
              <w:jc w:val="right"/>
              <w:rPr>
                <w:sz w:val="20"/>
                <w:szCs w:val="20"/>
              </w:rPr>
            </w:pPr>
            <w:r>
              <w:rPr>
                <w:sz w:val="20"/>
                <w:szCs w:val="20"/>
              </w:rPr>
              <w:t>27,83</w:t>
            </w:r>
            <w:r>
              <w:rPr>
                <w:sz w:val="20"/>
                <w:szCs w:val="20"/>
              </w:rPr>
              <w:t>1</w:t>
            </w:r>
          </w:p>
        </w:tc>
        <w:tc>
          <w:tcPr>
            <w:tcW w:w="0" w:type="auto"/>
            <w:noWrap/>
            <w:vAlign w:val="bottom"/>
            <w:hideMark/>
          </w:tcPr>
          <w:p w14:paraId="69550B9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EABA51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9E9EE8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E7166DF" w14:textId="77777777" w:rsidR="00000000" w:rsidRDefault="00832D71">
            <w:pPr>
              <w:pStyle w:val="a3"/>
              <w:spacing w:before="0" w:beforeAutospacing="0" w:after="0" w:afterAutospacing="0"/>
              <w:jc w:val="right"/>
              <w:rPr>
                <w:sz w:val="20"/>
                <w:szCs w:val="20"/>
              </w:rPr>
            </w:pPr>
            <w:r>
              <w:rPr>
                <w:sz w:val="20"/>
                <w:szCs w:val="20"/>
              </w:rPr>
              <w:t>22,86</w:t>
            </w:r>
            <w:r>
              <w:rPr>
                <w:sz w:val="20"/>
                <w:szCs w:val="20"/>
              </w:rPr>
              <w:t>3</w:t>
            </w:r>
          </w:p>
        </w:tc>
        <w:tc>
          <w:tcPr>
            <w:tcW w:w="0" w:type="auto"/>
            <w:noWrap/>
            <w:vAlign w:val="bottom"/>
            <w:hideMark/>
          </w:tcPr>
          <w:p w14:paraId="1F84561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2E6E14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E5E555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3FCA293" w14:textId="77777777" w:rsidR="00000000" w:rsidRDefault="00832D71">
            <w:pPr>
              <w:pStyle w:val="a3"/>
              <w:spacing w:before="0" w:beforeAutospacing="0" w:after="0" w:afterAutospacing="0"/>
              <w:jc w:val="right"/>
              <w:rPr>
                <w:sz w:val="20"/>
                <w:szCs w:val="20"/>
              </w:rPr>
            </w:pPr>
            <w:r>
              <w:rPr>
                <w:sz w:val="20"/>
                <w:szCs w:val="20"/>
              </w:rPr>
              <w:t>12,99</w:t>
            </w:r>
            <w:r>
              <w:rPr>
                <w:sz w:val="20"/>
                <w:szCs w:val="20"/>
              </w:rPr>
              <w:t>0</w:t>
            </w:r>
          </w:p>
        </w:tc>
        <w:tc>
          <w:tcPr>
            <w:tcW w:w="0" w:type="auto"/>
            <w:noWrap/>
            <w:vAlign w:val="bottom"/>
            <w:hideMark/>
          </w:tcPr>
          <w:p w14:paraId="6DF5D58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B0DFDC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2CE864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8012ADB" w14:textId="77777777" w:rsidR="00000000" w:rsidRDefault="00832D71">
            <w:pPr>
              <w:pStyle w:val="a3"/>
              <w:spacing w:before="0" w:beforeAutospacing="0" w:after="0" w:afterAutospacing="0"/>
              <w:jc w:val="right"/>
              <w:rPr>
                <w:sz w:val="20"/>
                <w:szCs w:val="20"/>
              </w:rPr>
            </w:pPr>
            <w:r>
              <w:rPr>
                <w:sz w:val="20"/>
                <w:szCs w:val="20"/>
              </w:rPr>
              <w:t>24,55</w:t>
            </w:r>
            <w:r>
              <w:rPr>
                <w:sz w:val="20"/>
                <w:szCs w:val="20"/>
              </w:rPr>
              <w:t>3</w:t>
            </w:r>
          </w:p>
        </w:tc>
        <w:tc>
          <w:tcPr>
            <w:tcW w:w="0" w:type="auto"/>
            <w:noWrap/>
            <w:vAlign w:val="bottom"/>
            <w:hideMark/>
          </w:tcPr>
          <w:p w14:paraId="1FD5D2BA" w14:textId="77777777" w:rsidR="00000000" w:rsidRDefault="00832D71">
            <w:pPr>
              <w:pStyle w:val="a3"/>
              <w:spacing w:before="0" w:beforeAutospacing="0" w:after="0" w:afterAutospacing="0"/>
              <w:rPr>
                <w:sz w:val="20"/>
                <w:szCs w:val="20"/>
              </w:rPr>
            </w:pPr>
            <w:r>
              <w:rPr>
                <w:sz w:val="20"/>
                <w:szCs w:val="20"/>
              </w:rPr>
              <w:t> </w:t>
            </w:r>
          </w:p>
        </w:tc>
      </w:tr>
      <w:tr w:rsidR="00000000" w14:paraId="16E3FB14" w14:textId="77777777">
        <w:trPr>
          <w:trHeight w:val="200"/>
          <w:tblCellSpacing w:w="15" w:type="dxa"/>
        </w:trPr>
        <w:tc>
          <w:tcPr>
            <w:tcW w:w="0" w:type="auto"/>
            <w:hideMark/>
          </w:tcPr>
          <w:p w14:paraId="083EFEE3" w14:textId="77777777" w:rsidR="00000000" w:rsidRDefault="00832D71">
            <w:pPr>
              <w:pStyle w:val="a3"/>
              <w:spacing w:before="0" w:beforeAutospacing="0" w:after="0" w:afterAutospacing="0"/>
              <w:rPr>
                <w:sz w:val="20"/>
                <w:szCs w:val="20"/>
              </w:rPr>
            </w:pPr>
            <w:r>
              <w:rPr>
                <w:sz w:val="20"/>
                <w:szCs w:val="20"/>
              </w:rPr>
              <w:t>Self-insurance obligations (b</w:t>
            </w:r>
            <w:r>
              <w:rPr>
                <w:sz w:val="20"/>
                <w:szCs w:val="20"/>
              </w:rPr>
              <w:t>)</w:t>
            </w:r>
          </w:p>
        </w:tc>
        <w:tc>
          <w:tcPr>
            <w:tcW w:w="0" w:type="auto"/>
            <w:hideMark/>
          </w:tcPr>
          <w:p w14:paraId="73C5066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893A99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3DE99D2" w14:textId="77777777" w:rsidR="00000000" w:rsidRDefault="00832D71">
            <w:pPr>
              <w:pStyle w:val="a3"/>
              <w:spacing w:before="0" w:beforeAutospacing="0" w:after="0" w:afterAutospacing="0"/>
              <w:jc w:val="right"/>
              <w:rPr>
                <w:sz w:val="20"/>
                <w:szCs w:val="20"/>
              </w:rPr>
            </w:pPr>
            <w:r>
              <w:rPr>
                <w:sz w:val="20"/>
                <w:szCs w:val="20"/>
              </w:rPr>
              <w:t>15,58</w:t>
            </w:r>
            <w:r>
              <w:rPr>
                <w:sz w:val="20"/>
                <w:szCs w:val="20"/>
              </w:rPr>
              <w:t>6</w:t>
            </w:r>
          </w:p>
        </w:tc>
        <w:tc>
          <w:tcPr>
            <w:tcW w:w="0" w:type="auto"/>
            <w:noWrap/>
            <w:vAlign w:val="bottom"/>
            <w:hideMark/>
          </w:tcPr>
          <w:p w14:paraId="0DBFC01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039120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875E1B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D624D9A" w14:textId="77777777" w:rsidR="00000000" w:rsidRDefault="00832D71">
            <w:pPr>
              <w:pStyle w:val="a3"/>
              <w:spacing w:before="0" w:beforeAutospacing="0" w:after="0" w:afterAutospacing="0"/>
              <w:jc w:val="right"/>
              <w:rPr>
                <w:sz w:val="20"/>
                <w:szCs w:val="20"/>
              </w:rPr>
            </w:pPr>
            <w:r>
              <w:rPr>
                <w:sz w:val="20"/>
                <w:szCs w:val="20"/>
              </w:rPr>
              <w:t>11,90</w:t>
            </w:r>
            <w:r>
              <w:rPr>
                <w:sz w:val="20"/>
                <w:szCs w:val="20"/>
              </w:rPr>
              <w:t>9</w:t>
            </w:r>
          </w:p>
        </w:tc>
        <w:tc>
          <w:tcPr>
            <w:tcW w:w="0" w:type="auto"/>
            <w:noWrap/>
            <w:vAlign w:val="bottom"/>
            <w:hideMark/>
          </w:tcPr>
          <w:p w14:paraId="1F47F87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713E02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08BC3E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CE6B561" w14:textId="77777777" w:rsidR="00000000" w:rsidRDefault="00832D71">
            <w:pPr>
              <w:pStyle w:val="a3"/>
              <w:spacing w:before="0" w:beforeAutospacing="0" w:after="0" w:afterAutospacing="0"/>
              <w:jc w:val="right"/>
              <w:rPr>
                <w:sz w:val="20"/>
                <w:szCs w:val="20"/>
              </w:rPr>
            </w:pPr>
            <w:r>
              <w:rPr>
                <w:sz w:val="20"/>
                <w:szCs w:val="20"/>
              </w:rPr>
              <w:t>9,52</w:t>
            </w:r>
            <w:r>
              <w:rPr>
                <w:sz w:val="20"/>
                <w:szCs w:val="20"/>
              </w:rPr>
              <w:t>2</w:t>
            </w:r>
          </w:p>
        </w:tc>
        <w:tc>
          <w:tcPr>
            <w:tcW w:w="0" w:type="auto"/>
            <w:noWrap/>
            <w:vAlign w:val="bottom"/>
            <w:hideMark/>
          </w:tcPr>
          <w:p w14:paraId="49C922E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44BE70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EEA065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3018CBF" w14:textId="77777777" w:rsidR="00000000" w:rsidRDefault="00832D71">
            <w:pPr>
              <w:pStyle w:val="a3"/>
              <w:spacing w:before="0" w:beforeAutospacing="0" w:after="0" w:afterAutospacing="0"/>
              <w:jc w:val="right"/>
              <w:rPr>
                <w:sz w:val="20"/>
                <w:szCs w:val="20"/>
              </w:rPr>
            </w:pPr>
            <w:r>
              <w:rPr>
                <w:sz w:val="20"/>
                <w:szCs w:val="20"/>
              </w:rPr>
              <w:t>6,60</w:t>
            </w:r>
            <w:r>
              <w:rPr>
                <w:sz w:val="20"/>
                <w:szCs w:val="20"/>
              </w:rPr>
              <w:t>6</w:t>
            </w:r>
          </w:p>
        </w:tc>
        <w:tc>
          <w:tcPr>
            <w:tcW w:w="0" w:type="auto"/>
            <w:noWrap/>
            <w:vAlign w:val="bottom"/>
            <w:hideMark/>
          </w:tcPr>
          <w:p w14:paraId="4D81591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644DD04"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4ADFCBB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697805B" w14:textId="77777777" w:rsidR="00000000" w:rsidRDefault="00832D71">
            <w:pPr>
              <w:pStyle w:val="a3"/>
              <w:spacing w:before="0" w:beforeAutospacing="0" w:after="0" w:afterAutospacing="0"/>
              <w:jc w:val="right"/>
              <w:rPr>
                <w:sz w:val="20"/>
                <w:szCs w:val="20"/>
              </w:rPr>
            </w:pPr>
            <w:r>
              <w:rPr>
                <w:sz w:val="20"/>
                <w:szCs w:val="20"/>
              </w:rPr>
              <w:t>3,37</w:t>
            </w:r>
            <w:r>
              <w:rPr>
                <w:sz w:val="20"/>
                <w:szCs w:val="20"/>
              </w:rPr>
              <w:t>6</w:t>
            </w:r>
          </w:p>
        </w:tc>
        <w:tc>
          <w:tcPr>
            <w:tcW w:w="0" w:type="auto"/>
            <w:noWrap/>
            <w:vAlign w:val="bottom"/>
            <w:hideMark/>
          </w:tcPr>
          <w:p w14:paraId="7D23D81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32674B9"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5558D33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BABE868" w14:textId="77777777" w:rsidR="00000000" w:rsidRDefault="00832D71">
            <w:pPr>
              <w:pStyle w:val="a3"/>
              <w:spacing w:before="0" w:beforeAutospacing="0" w:after="0" w:afterAutospacing="0"/>
              <w:jc w:val="right"/>
              <w:rPr>
                <w:sz w:val="20"/>
                <w:szCs w:val="20"/>
              </w:rPr>
            </w:pPr>
            <w:r>
              <w:rPr>
                <w:sz w:val="20"/>
                <w:szCs w:val="20"/>
              </w:rPr>
              <w:t>16,65</w:t>
            </w:r>
            <w:r>
              <w:rPr>
                <w:sz w:val="20"/>
                <w:szCs w:val="20"/>
              </w:rPr>
              <w:t>1</w:t>
            </w:r>
          </w:p>
        </w:tc>
        <w:tc>
          <w:tcPr>
            <w:tcW w:w="0" w:type="auto"/>
            <w:noWrap/>
            <w:vAlign w:val="bottom"/>
            <w:hideMark/>
          </w:tcPr>
          <w:p w14:paraId="1CFFA830" w14:textId="77777777" w:rsidR="00000000" w:rsidRDefault="00832D71">
            <w:pPr>
              <w:pStyle w:val="a3"/>
              <w:spacing w:before="0" w:beforeAutospacing="0" w:after="0" w:afterAutospacing="0"/>
              <w:rPr>
                <w:sz w:val="20"/>
                <w:szCs w:val="20"/>
              </w:rPr>
            </w:pPr>
            <w:r>
              <w:rPr>
                <w:sz w:val="20"/>
                <w:szCs w:val="20"/>
              </w:rPr>
              <w:t> </w:t>
            </w:r>
          </w:p>
        </w:tc>
      </w:tr>
      <w:tr w:rsidR="00000000" w14:paraId="1837F488" w14:textId="77777777">
        <w:trPr>
          <w:trHeight w:val="200"/>
          <w:tblCellSpacing w:w="15" w:type="dxa"/>
        </w:trPr>
        <w:tc>
          <w:tcPr>
            <w:tcW w:w="0" w:type="auto"/>
            <w:hideMark/>
          </w:tcPr>
          <w:p w14:paraId="4323E63D" w14:textId="77777777" w:rsidR="00000000" w:rsidRDefault="00832D71">
            <w:pPr>
              <w:pStyle w:val="a3"/>
              <w:spacing w:before="0" w:beforeAutospacing="0" w:after="0" w:afterAutospacing="0"/>
              <w:rPr>
                <w:sz w:val="20"/>
                <w:szCs w:val="20"/>
              </w:rPr>
            </w:pPr>
            <w:r>
              <w:rPr>
                <w:sz w:val="20"/>
                <w:szCs w:val="20"/>
              </w:rPr>
              <w:t>Pension contributions (c</w:t>
            </w:r>
            <w:r>
              <w:rPr>
                <w:sz w:val="20"/>
                <w:szCs w:val="20"/>
              </w:rPr>
              <w:t>)</w:t>
            </w:r>
          </w:p>
        </w:tc>
        <w:tc>
          <w:tcPr>
            <w:tcW w:w="0" w:type="auto"/>
            <w:hideMark/>
          </w:tcPr>
          <w:p w14:paraId="53447FE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5ECE27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BB9E07A"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54E586F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477285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A545CF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17E4545" w14:textId="77777777" w:rsidR="00000000" w:rsidRDefault="00832D71">
            <w:pPr>
              <w:pStyle w:val="a3"/>
              <w:spacing w:before="0" w:beforeAutospacing="0" w:after="0" w:afterAutospacing="0"/>
              <w:jc w:val="right"/>
              <w:rPr>
                <w:sz w:val="20"/>
                <w:szCs w:val="20"/>
              </w:rPr>
            </w:pPr>
            <w:r>
              <w:rPr>
                <w:sz w:val="20"/>
                <w:szCs w:val="20"/>
              </w:rPr>
              <w:t>3,33</w:t>
            </w:r>
            <w:r>
              <w:rPr>
                <w:sz w:val="20"/>
                <w:szCs w:val="20"/>
              </w:rPr>
              <w:t>0</w:t>
            </w:r>
          </w:p>
        </w:tc>
        <w:tc>
          <w:tcPr>
            <w:tcW w:w="0" w:type="auto"/>
            <w:noWrap/>
            <w:vAlign w:val="bottom"/>
            <w:hideMark/>
          </w:tcPr>
          <w:p w14:paraId="243438F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27B225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8E15B0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86E7D02" w14:textId="77777777" w:rsidR="00000000" w:rsidRDefault="00832D71">
            <w:pPr>
              <w:pStyle w:val="a3"/>
              <w:spacing w:before="0" w:beforeAutospacing="0" w:after="0" w:afterAutospacing="0"/>
              <w:jc w:val="right"/>
              <w:rPr>
                <w:sz w:val="20"/>
                <w:szCs w:val="20"/>
              </w:rPr>
            </w:pPr>
            <w:r>
              <w:rPr>
                <w:sz w:val="20"/>
                <w:szCs w:val="20"/>
              </w:rPr>
              <w:t>3,33</w:t>
            </w:r>
            <w:r>
              <w:rPr>
                <w:sz w:val="20"/>
                <w:szCs w:val="20"/>
              </w:rPr>
              <w:t>0</w:t>
            </w:r>
          </w:p>
        </w:tc>
        <w:tc>
          <w:tcPr>
            <w:tcW w:w="0" w:type="auto"/>
            <w:noWrap/>
            <w:vAlign w:val="bottom"/>
            <w:hideMark/>
          </w:tcPr>
          <w:p w14:paraId="11BE6F3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1BCB73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FCDA1F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ECAF9D7" w14:textId="77777777" w:rsidR="00000000" w:rsidRDefault="00832D71">
            <w:pPr>
              <w:pStyle w:val="a3"/>
              <w:spacing w:before="0" w:beforeAutospacing="0" w:after="0" w:afterAutospacing="0"/>
              <w:jc w:val="right"/>
              <w:rPr>
                <w:sz w:val="20"/>
                <w:szCs w:val="20"/>
              </w:rPr>
            </w:pPr>
            <w:r>
              <w:rPr>
                <w:sz w:val="20"/>
                <w:szCs w:val="20"/>
              </w:rPr>
              <w:t>3,33</w:t>
            </w:r>
            <w:r>
              <w:rPr>
                <w:sz w:val="20"/>
                <w:szCs w:val="20"/>
              </w:rPr>
              <w:t>0</w:t>
            </w:r>
          </w:p>
        </w:tc>
        <w:tc>
          <w:tcPr>
            <w:tcW w:w="0" w:type="auto"/>
            <w:noWrap/>
            <w:vAlign w:val="bottom"/>
            <w:hideMark/>
          </w:tcPr>
          <w:p w14:paraId="6BDF6BA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53272A8"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2B659AD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3F1A455" w14:textId="77777777" w:rsidR="00000000" w:rsidRDefault="00832D71">
            <w:pPr>
              <w:pStyle w:val="a3"/>
              <w:spacing w:before="0" w:beforeAutospacing="0" w:after="0" w:afterAutospacing="0"/>
              <w:jc w:val="right"/>
              <w:rPr>
                <w:sz w:val="20"/>
                <w:szCs w:val="20"/>
              </w:rPr>
            </w:pPr>
            <w:r>
              <w:rPr>
                <w:sz w:val="20"/>
                <w:szCs w:val="20"/>
              </w:rPr>
              <w:t>3,70</w:t>
            </w:r>
            <w:r>
              <w:rPr>
                <w:sz w:val="20"/>
                <w:szCs w:val="20"/>
              </w:rPr>
              <w:t>0</w:t>
            </w:r>
          </w:p>
        </w:tc>
        <w:tc>
          <w:tcPr>
            <w:tcW w:w="0" w:type="auto"/>
            <w:noWrap/>
            <w:vAlign w:val="bottom"/>
            <w:hideMark/>
          </w:tcPr>
          <w:p w14:paraId="183A519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059838C"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55185C5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29B3E37" w14:textId="77777777" w:rsidR="00000000" w:rsidRDefault="00832D71">
            <w:pPr>
              <w:pStyle w:val="a3"/>
              <w:spacing w:before="0" w:beforeAutospacing="0" w:after="0" w:afterAutospacing="0"/>
              <w:jc w:val="right"/>
              <w:rPr>
                <w:sz w:val="20"/>
                <w:szCs w:val="20"/>
              </w:rPr>
            </w:pPr>
            <w:r>
              <w:rPr>
                <w:sz w:val="20"/>
                <w:szCs w:val="20"/>
              </w:rPr>
              <w:t>26,10</w:t>
            </w:r>
            <w:r>
              <w:rPr>
                <w:sz w:val="20"/>
                <w:szCs w:val="20"/>
              </w:rPr>
              <w:t>0</w:t>
            </w:r>
          </w:p>
        </w:tc>
        <w:tc>
          <w:tcPr>
            <w:tcW w:w="0" w:type="auto"/>
            <w:noWrap/>
            <w:vAlign w:val="bottom"/>
            <w:hideMark/>
          </w:tcPr>
          <w:p w14:paraId="38AE77D5" w14:textId="77777777" w:rsidR="00000000" w:rsidRDefault="00832D71">
            <w:pPr>
              <w:pStyle w:val="a3"/>
              <w:spacing w:before="0" w:beforeAutospacing="0" w:after="0" w:afterAutospacing="0"/>
              <w:rPr>
                <w:sz w:val="20"/>
                <w:szCs w:val="20"/>
              </w:rPr>
            </w:pPr>
            <w:r>
              <w:rPr>
                <w:sz w:val="20"/>
                <w:szCs w:val="20"/>
              </w:rPr>
              <w:t> </w:t>
            </w:r>
          </w:p>
        </w:tc>
      </w:tr>
      <w:tr w:rsidR="00000000" w14:paraId="241568C2" w14:textId="77777777">
        <w:trPr>
          <w:trHeight w:val="200"/>
          <w:tblCellSpacing w:w="15" w:type="dxa"/>
        </w:trPr>
        <w:tc>
          <w:tcPr>
            <w:tcW w:w="0" w:type="auto"/>
            <w:hideMark/>
          </w:tcPr>
          <w:p w14:paraId="35ACCA31" w14:textId="77777777" w:rsidR="00000000" w:rsidRDefault="00832D71">
            <w:pPr>
              <w:pStyle w:val="a3"/>
              <w:spacing w:before="0" w:beforeAutospacing="0" w:after="0" w:afterAutospacing="0"/>
              <w:rPr>
                <w:sz w:val="20"/>
                <w:szCs w:val="20"/>
              </w:rPr>
            </w:pPr>
            <w:r>
              <w:rPr>
                <w:sz w:val="20"/>
                <w:szCs w:val="20"/>
              </w:rPr>
              <w:t>Other obligations (d</w:t>
            </w:r>
            <w:r>
              <w:rPr>
                <w:sz w:val="20"/>
                <w:szCs w:val="20"/>
              </w:rPr>
              <w:t>)</w:t>
            </w:r>
          </w:p>
        </w:tc>
        <w:tc>
          <w:tcPr>
            <w:tcW w:w="0" w:type="auto"/>
            <w:hideMark/>
          </w:tcPr>
          <w:p w14:paraId="40D589E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B181D1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71FC6DA" w14:textId="77777777" w:rsidR="00000000" w:rsidRDefault="00832D71">
            <w:pPr>
              <w:pStyle w:val="a3"/>
              <w:spacing w:before="0" w:beforeAutospacing="0" w:after="0" w:afterAutospacing="0"/>
              <w:jc w:val="right"/>
              <w:rPr>
                <w:sz w:val="20"/>
                <w:szCs w:val="20"/>
              </w:rPr>
            </w:pPr>
            <w:r>
              <w:rPr>
                <w:sz w:val="20"/>
                <w:szCs w:val="20"/>
              </w:rPr>
              <w:t>27,63</w:t>
            </w:r>
            <w:r>
              <w:rPr>
                <w:sz w:val="20"/>
                <w:szCs w:val="20"/>
              </w:rPr>
              <w:t>5</w:t>
            </w:r>
          </w:p>
        </w:tc>
        <w:tc>
          <w:tcPr>
            <w:tcW w:w="0" w:type="auto"/>
            <w:noWrap/>
            <w:vAlign w:val="bottom"/>
            <w:hideMark/>
          </w:tcPr>
          <w:p w14:paraId="291C837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5EB759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50C19F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C4E1F2E" w14:textId="77777777" w:rsidR="00000000" w:rsidRDefault="00832D71">
            <w:pPr>
              <w:pStyle w:val="a3"/>
              <w:spacing w:before="0" w:beforeAutospacing="0" w:after="0" w:afterAutospacing="0"/>
              <w:jc w:val="right"/>
              <w:rPr>
                <w:sz w:val="20"/>
                <w:szCs w:val="20"/>
              </w:rPr>
            </w:pPr>
            <w:r>
              <w:rPr>
                <w:sz w:val="20"/>
                <w:szCs w:val="20"/>
              </w:rPr>
              <w:t>8,00</w:t>
            </w:r>
            <w:r>
              <w:rPr>
                <w:sz w:val="20"/>
                <w:szCs w:val="20"/>
              </w:rPr>
              <w:t>4</w:t>
            </w:r>
          </w:p>
        </w:tc>
        <w:tc>
          <w:tcPr>
            <w:tcW w:w="0" w:type="auto"/>
            <w:noWrap/>
            <w:vAlign w:val="bottom"/>
            <w:hideMark/>
          </w:tcPr>
          <w:p w14:paraId="0C0F15E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9C92CC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5C83FB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E410C66" w14:textId="77777777" w:rsidR="00000000" w:rsidRDefault="00832D71">
            <w:pPr>
              <w:pStyle w:val="a3"/>
              <w:spacing w:before="0" w:beforeAutospacing="0" w:after="0" w:afterAutospacing="0"/>
              <w:jc w:val="right"/>
              <w:rPr>
                <w:sz w:val="20"/>
                <w:szCs w:val="20"/>
              </w:rPr>
            </w:pPr>
            <w:r>
              <w:rPr>
                <w:sz w:val="20"/>
                <w:szCs w:val="20"/>
              </w:rPr>
              <w:t>7,00</w:t>
            </w:r>
            <w:r>
              <w:rPr>
                <w:sz w:val="20"/>
                <w:szCs w:val="20"/>
              </w:rPr>
              <w:t>0</w:t>
            </w:r>
          </w:p>
        </w:tc>
        <w:tc>
          <w:tcPr>
            <w:tcW w:w="0" w:type="auto"/>
            <w:noWrap/>
            <w:vAlign w:val="bottom"/>
            <w:hideMark/>
          </w:tcPr>
          <w:p w14:paraId="4085727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A84BE5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18695D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32E9C6B" w14:textId="77777777" w:rsidR="00000000" w:rsidRDefault="00832D71">
            <w:pPr>
              <w:pStyle w:val="a3"/>
              <w:spacing w:before="0" w:beforeAutospacing="0" w:after="0" w:afterAutospacing="0"/>
              <w:jc w:val="right"/>
              <w:rPr>
                <w:sz w:val="20"/>
                <w:szCs w:val="20"/>
              </w:rPr>
            </w:pPr>
            <w:r>
              <w:rPr>
                <w:sz w:val="20"/>
                <w:szCs w:val="20"/>
              </w:rPr>
              <w:t>2,27</w:t>
            </w:r>
            <w:r>
              <w:rPr>
                <w:sz w:val="20"/>
                <w:szCs w:val="20"/>
              </w:rPr>
              <w:t>5</w:t>
            </w:r>
          </w:p>
        </w:tc>
        <w:tc>
          <w:tcPr>
            <w:tcW w:w="0" w:type="auto"/>
            <w:noWrap/>
            <w:vAlign w:val="bottom"/>
            <w:hideMark/>
          </w:tcPr>
          <w:p w14:paraId="7E33636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479388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97AE2F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A621FF5" w14:textId="77777777" w:rsidR="00000000" w:rsidRDefault="00832D71">
            <w:pPr>
              <w:pStyle w:val="a3"/>
              <w:spacing w:before="0" w:beforeAutospacing="0" w:after="0" w:afterAutospacing="0"/>
              <w:jc w:val="right"/>
              <w:rPr>
                <w:sz w:val="20"/>
                <w:szCs w:val="20"/>
              </w:rPr>
            </w:pPr>
            <w:r>
              <w:rPr>
                <w:sz w:val="20"/>
                <w:szCs w:val="20"/>
              </w:rPr>
              <w:t>1,96</w:t>
            </w:r>
            <w:r>
              <w:rPr>
                <w:sz w:val="20"/>
                <w:szCs w:val="20"/>
              </w:rPr>
              <w:t>7</w:t>
            </w:r>
          </w:p>
        </w:tc>
        <w:tc>
          <w:tcPr>
            <w:tcW w:w="0" w:type="auto"/>
            <w:noWrap/>
            <w:vAlign w:val="bottom"/>
            <w:hideMark/>
          </w:tcPr>
          <w:p w14:paraId="3170C80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EB5AB9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A83FEB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4D09EC9" w14:textId="77777777" w:rsidR="00000000" w:rsidRDefault="00832D71">
            <w:pPr>
              <w:pStyle w:val="a3"/>
              <w:spacing w:before="0" w:beforeAutospacing="0" w:after="0" w:afterAutospacing="0"/>
              <w:jc w:val="right"/>
              <w:rPr>
                <w:sz w:val="20"/>
                <w:szCs w:val="20"/>
              </w:rPr>
            </w:pPr>
            <w:r>
              <w:rPr>
                <w:sz w:val="20"/>
                <w:szCs w:val="20"/>
              </w:rPr>
              <w:t>20,06</w:t>
            </w:r>
            <w:r>
              <w:rPr>
                <w:sz w:val="20"/>
                <w:szCs w:val="20"/>
              </w:rPr>
              <w:t>8</w:t>
            </w:r>
          </w:p>
        </w:tc>
        <w:tc>
          <w:tcPr>
            <w:tcW w:w="0" w:type="auto"/>
            <w:noWrap/>
            <w:vAlign w:val="bottom"/>
            <w:hideMark/>
          </w:tcPr>
          <w:p w14:paraId="72683DBD" w14:textId="77777777" w:rsidR="00000000" w:rsidRDefault="00832D71">
            <w:pPr>
              <w:pStyle w:val="a3"/>
              <w:spacing w:before="0" w:beforeAutospacing="0" w:after="0" w:afterAutospacing="0"/>
              <w:rPr>
                <w:sz w:val="20"/>
                <w:szCs w:val="20"/>
              </w:rPr>
            </w:pPr>
            <w:r>
              <w:rPr>
                <w:sz w:val="20"/>
                <w:szCs w:val="20"/>
              </w:rPr>
              <w:t> </w:t>
            </w:r>
          </w:p>
        </w:tc>
      </w:tr>
      <w:tr w:rsidR="00000000" w14:paraId="055087D3" w14:textId="77777777">
        <w:trPr>
          <w:trHeight w:val="200"/>
          <w:tblCellSpacing w:w="15" w:type="dxa"/>
        </w:trPr>
        <w:tc>
          <w:tcPr>
            <w:tcW w:w="0" w:type="auto"/>
            <w:hideMark/>
          </w:tcPr>
          <w:p w14:paraId="64609FEF" w14:textId="77777777" w:rsidR="00000000" w:rsidRDefault="00832D71">
            <w:pPr>
              <w:pStyle w:val="a3"/>
              <w:spacing w:before="0" w:beforeAutospacing="0" w:after="0" w:afterAutospacing="0"/>
              <w:ind w:left="200"/>
              <w:rPr>
                <w:sz w:val="20"/>
                <w:szCs w:val="20"/>
              </w:rPr>
            </w:pPr>
            <w:r>
              <w:rPr>
                <w:sz w:val="20"/>
                <w:szCs w:val="20"/>
              </w:rPr>
              <w:t>Tota</w:t>
            </w:r>
            <w:r>
              <w:rPr>
                <w:sz w:val="20"/>
                <w:szCs w:val="20"/>
              </w:rPr>
              <w:t>l</w:t>
            </w:r>
          </w:p>
        </w:tc>
        <w:tc>
          <w:tcPr>
            <w:tcW w:w="0" w:type="auto"/>
            <w:hideMark/>
          </w:tcPr>
          <w:p w14:paraId="69E47C4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D806B3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29DD208" w14:textId="77777777" w:rsidR="00000000" w:rsidRDefault="00832D71">
            <w:pPr>
              <w:pStyle w:val="a3"/>
              <w:spacing w:before="0" w:beforeAutospacing="0" w:after="0" w:afterAutospacing="0"/>
              <w:jc w:val="right"/>
              <w:rPr>
                <w:sz w:val="20"/>
                <w:szCs w:val="20"/>
              </w:rPr>
            </w:pPr>
            <w:r>
              <w:rPr>
                <w:sz w:val="20"/>
                <w:szCs w:val="20"/>
              </w:rPr>
              <w:t>144,01</w:t>
            </w:r>
            <w:r>
              <w:rPr>
                <w:sz w:val="20"/>
                <w:szCs w:val="20"/>
              </w:rPr>
              <w:t>0</w:t>
            </w:r>
          </w:p>
        </w:tc>
        <w:tc>
          <w:tcPr>
            <w:tcW w:w="0" w:type="auto"/>
            <w:noWrap/>
            <w:vAlign w:val="bottom"/>
            <w:hideMark/>
          </w:tcPr>
          <w:p w14:paraId="3B8F477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2B5497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FCF4A2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E5C3BF8" w14:textId="77777777" w:rsidR="00000000" w:rsidRDefault="00832D71">
            <w:pPr>
              <w:pStyle w:val="a3"/>
              <w:spacing w:before="0" w:beforeAutospacing="0" w:after="0" w:afterAutospacing="0"/>
              <w:jc w:val="right"/>
              <w:rPr>
                <w:sz w:val="20"/>
                <w:szCs w:val="20"/>
              </w:rPr>
            </w:pPr>
            <w:r>
              <w:rPr>
                <w:sz w:val="20"/>
                <w:szCs w:val="20"/>
              </w:rPr>
              <w:t>114,93</w:t>
            </w:r>
            <w:r>
              <w:rPr>
                <w:sz w:val="20"/>
                <w:szCs w:val="20"/>
              </w:rPr>
              <w:t>7</w:t>
            </w:r>
          </w:p>
        </w:tc>
        <w:tc>
          <w:tcPr>
            <w:tcW w:w="0" w:type="auto"/>
            <w:noWrap/>
            <w:vAlign w:val="bottom"/>
            <w:hideMark/>
          </w:tcPr>
          <w:p w14:paraId="4375716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B8D8F1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0B6F7B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649EE37" w14:textId="77777777" w:rsidR="00000000" w:rsidRDefault="00832D71">
            <w:pPr>
              <w:pStyle w:val="a3"/>
              <w:spacing w:before="0" w:beforeAutospacing="0" w:after="0" w:afterAutospacing="0"/>
              <w:jc w:val="right"/>
              <w:rPr>
                <w:sz w:val="20"/>
                <w:szCs w:val="20"/>
              </w:rPr>
            </w:pPr>
            <w:r>
              <w:rPr>
                <w:sz w:val="20"/>
                <w:szCs w:val="20"/>
              </w:rPr>
              <w:t>193,15</w:t>
            </w:r>
            <w:r>
              <w:rPr>
                <w:sz w:val="20"/>
                <w:szCs w:val="20"/>
              </w:rPr>
              <w:t>6</w:t>
            </w:r>
          </w:p>
        </w:tc>
        <w:tc>
          <w:tcPr>
            <w:tcW w:w="0" w:type="auto"/>
            <w:noWrap/>
            <w:vAlign w:val="bottom"/>
            <w:hideMark/>
          </w:tcPr>
          <w:p w14:paraId="2D44797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6F3A62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C396E7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250D98E" w14:textId="77777777" w:rsidR="00000000" w:rsidRDefault="00832D71">
            <w:pPr>
              <w:pStyle w:val="a3"/>
              <w:spacing w:before="0" w:beforeAutospacing="0" w:after="0" w:afterAutospacing="0"/>
              <w:jc w:val="right"/>
              <w:rPr>
                <w:sz w:val="20"/>
                <w:szCs w:val="20"/>
              </w:rPr>
            </w:pPr>
            <w:r>
              <w:rPr>
                <w:sz w:val="20"/>
                <w:szCs w:val="20"/>
              </w:rPr>
              <w:t>88,13</w:t>
            </w:r>
            <w:r>
              <w:rPr>
                <w:sz w:val="20"/>
                <w:szCs w:val="20"/>
              </w:rPr>
              <w:t>6</w:t>
            </w:r>
          </w:p>
        </w:tc>
        <w:tc>
          <w:tcPr>
            <w:tcW w:w="0" w:type="auto"/>
            <w:noWrap/>
            <w:vAlign w:val="bottom"/>
            <w:hideMark/>
          </w:tcPr>
          <w:p w14:paraId="72B6C0C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80E61D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ACD6ED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6213AB8" w14:textId="77777777" w:rsidR="00000000" w:rsidRDefault="00832D71">
            <w:pPr>
              <w:pStyle w:val="a3"/>
              <w:spacing w:before="0" w:beforeAutospacing="0" w:after="0" w:afterAutospacing="0"/>
              <w:jc w:val="right"/>
              <w:rPr>
                <w:sz w:val="20"/>
                <w:szCs w:val="20"/>
              </w:rPr>
            </w:pPr>
            <w:r>
              <w:rPr>
                <w:sz w:val="20"/>
                <w:szCs w:val="20"/>
              </w:rPr>
              <w:t>414,81</w:t>
            </w:r>
            <w:r>
              <w:rPr>
                <w:sz w:val="20"/>
                <w:szCs w:val="20"/>
              </w:rPr>
              <w:t>4</w:t>
            </w:r>
          </w:p>
        </w:tc>
        <w:tc>
          <w:tcPr>
            <w:tcW w:w="0" w:type="auto"/>
            <w:noWrap/>
            <w:vAlign w:val="bottom"/>
            <w:hideMark/>
          </w:tcPr>
          <w:p w14:paraId="43D662C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299815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60457F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FAEE198" w14:textId="77777777" w:rsidR="00000000" w:rsidRDefault="00832D71">
            <w:pPr>
              <w:pStyle w:val="a3"/>
              <w:spacing w:before="0" w:beforeAutospacing="0" w:after="0" w:afterAutospacing="0"/>
              <w:jc w:val="right"/>
              <w:rPr>
                <w:sz w:val="20"/>
                <w:szCs w:val="20"/>
              </w:rPr>
            </w:pPr>
            <w:r>
              <w:rPr>
                <w:sz w:val="20"/>
                <w:szCs w:val="20"/>
              </w:rPr>
              <w:t>867,37</w:t>
            </w:r>
            <w:r>
              <w:rPr>
                <w:sz w:val="20"/>
                <w:szCs w:val="20"/>
              </w:rPr>
              <w:t>2</w:t>
            </w:r>
          </w:p>
        </w:tc>
        <w:tc>
          <w:tcPr>
            <w:tcW w:w="0" w:type="auto"/>
            <w:noWrap/>
            <w:vAlign w:val="bottom"/>
            <w:hideMark/>
          </w:tcPr>
          <w:p w14:paraId="43112F4D" w14:textId="77777777" w:rsidR="00000000" w:rsidRDefault="00832D71">
            <w:pPr>
              <w:pStyle w:val="a3"/>
              <w:spacing w:before="0" w:beforeAutospacing="0" w:after="0" w:afterAutospacing="0"/>
              <w:rPr>
                <w:sz w:val="20"/>
                <w:szCs w:val="20"/>
              </w:rPr>
            </w:pPr>
            <w:r>
              <w:rPr>
                <w:sz w:val="20"/>
                <w:szCs w:val="20"/>
              </w:rPr>
              <w:t> </w:t>
            </w:r>
          </w:p>
        </w:tc>
      </w:tr>
    </w:tbl>
    <w:p w14:paraId="7D775DE0" w14:textId="77777777" w:rsidR="00000000" w:rsidRDefault="00832D71">
      <w:pPr>
        <w:jc w:val="both"/>
        <w:divId w:val="2028558142"/>
        <w:rPr>
          <w:rFonts w:eastAsia="Times New Roman"/>
        </w:rPr>
      </w:pPr>
      <w:r>
        <w:rPr>
          <w:rFonts w:eastAsia="Times New Roman"/>
          <w:sz w:val="20"/>
          <w:szCs w:val="20"/>
        </w:rPr>
        <w:t>(a</w:t>
      </w:r>
      <w:r>
        <w:rPr>
          <w:rFonts w:eastAsia="Times New Roman"/>
          <w:sz w:val="20"/>
          <w:szCs w:val="20"/>
        </w:rPr>
        <w:t>)</w:t>
      </w:r>
    </w:p>
    <w:p w14:paraId="67594B5D" w14:textId="77777777" w:rsidR="00000000" w:rsidRDefault="00832D71">
      <w:pPr>
        <w:jc w:val="both"/>
        <w:divId w:val="282544593"/>
        <w:rPr>
          <w:rFonts w:eastAsia="Times New Roman"/>
        </w:rPr>
      </w:pPr>
      <w:r>
        <w:rPr>
          <w:rFonts w:eastAsia="Times New Roman"/>
          <w:sz w:val="20"/>
          <w:szCs w:val="20"/>
        </w:rPr>
        <w:t>Payments exclude costs associated with insurance, taxes and maintenance, which are not material to the operating lease obligations</w:t>
      </w:r>
      <w:r>
        <w:rPr>
          <w:rFonts w:eastAsia="Times New Roman"/>
          <w:sz w:val="20"/>
          <w:szCs w:val="20"/>
        </w:rPr>
        <w:t>.</w:t>
      </w:r>
    </w:p>
    <w:p w14:paraId="67AD2BB0" w14:textId="77777777" w:rsidR="00000000" w:rsidRDefault="00832D71">
      <w:pPr>
        <w:jc w:val="both"/>
        <w:rPr>
          <w:rFonts w:eastAsia="Times New Roman"/>
        </w:rPr>
      </w:pPr>
      <w:r>
        <w:rPr>
          <w:rFonts w:eastAsia="Times New Roman"/>
          <w:sz w:val="20"/>
          <w:szCs w:val="20"/>
        </w:rPr>
        <w:t>(b</w:t>
      </w:r>
      <w:r>
        <w:rPr>
          <w:rFonts w:eastAsia="Times New Roman"/>
          <w:sz w:val="20"/>
          <w:szCs w:val="20"/>
        </w:rPr>
        <w:t>)</w:t>
      </w:r>
    </w:p>
    <w:p w14:paraId="7971F745" w14:textId="77777777" w:rsidR="00000000" w:rsidRDefault="00832D71">
      <w:pPr>
        <w:jc w:val="both"/>
        <w:divId w:val="2081173499"/>
        <w:rPr>
          <w:rFonts w:eastAsia="Times New Roman"/>
        </w:rPr>
      </w:pPr>
      <w:r>
        <w:rPr>
          <w:rFonts w:eastAsia="Times New Roman"/>
          <w:sz w:val="20"/>
          <w:szCs w:val="20"/>
        </w:rPr>
        <w:t xml:space="preserve">The timing of when payments are due for our self-insurance obligations is based on estimates that may differ from when actual payments are made. In addition, the payments do not reflect amounts to be recovered from our insurance providers, which amount to </w:t>
      </w:r>
      <w:r>
        <w:rPr>
          <w:rFonts w:eastAsia="Times New Roman"/>
          <w:sz w:val="20"/>
          <w:szCs w:val="20"/>
        </w:rPr>
        <w:t>$3.5 million, $2.9 million, $2.5 million, $1.7 million, $0.8 million and $4.2 million for each of the next five fiscal years and thereafter, respectively, and are included in other assets on the consolidated balance sheet</w:t>
      </w:r>
      <w:r>
        <w:rPr>
          <w:rFonts w:eastAsia="Times New Roman"/>
          <w:sz w:val="20"/>
          <w:szCs w:val="20"/>
        </w:rPr>
        <w:t>.</w:t>
      </w:r>
    </w:p>
    <w:p w14:paraId="24280755" w14:textId="77777777" w:rsidR="00000000" w:rsidRDefault="00832D71">
      <w:pPr>
        <w:jc w:val="both"/>
        <w:rPr>
          <w:rFonts w:eastAsia="Times New Roman"/>
        </w:rPr>
      </w:pPr>
      <w:r>
        <w:rPr>
          <w:rFonts w:eastAsia="Times New Roman"/>
          <w:sz w:val="20"/>
          <w:szCs w:val="20"/>
        </w:rPr>
        <w:t>(c</w:t>
      </w:r>
      <w:r>
        <w:rPr>
          <w:rFonts w:eastAsia="Times New Roman"/>
          <w:sz w:val="20"/>
          <w:szCs w:val="20"/>
        </w:rPr>
        <w:t>)</w:t>
      </w:r>
    </w:p>
    <w:p w14:paraId="2EAE05B2" w14:textId="77777777" w:rsidR="00000000" w:rsidRDefault="00832D71">
      <w:pPr>
        <w:jc w:val="both"/>
        <w:divId w:val="1465736165"/>
        <w:rPr>
          <w:rFonts w:eastAsia="Times New Roman"/>
        </w:rPr>
      </w:pPr>
      <w:r>
        <w:rPr>
          <w:rFonts w:eastAsia="Times New Roman"/>
          <w:sz w:val="20"/>
          <w:szCs w:val="20"/>
        </w:rPr>
        <w:t>Amounts represent estimated m</w:t>
      </w:r>
      <w:r>
        <w:rPr>
          <w:rFonts w:eastAsia="Times New Roman"/>
          <w:sz w:val="20"/>
          <w:szCs w:val="20"/>
        </w:rPr>
        <w:t>inimum funding requirements for our pension plan</w:t>
      </w:r>
      <w:r>
        <w:rPr>
          <w:rFonts w:eastAsia="Times New Roman"/>
          <w:sz w:val="20"/>
          <w:szCs w:val="20"/>
        </w:rPr>
        <w:t>.</w:t>
      </w:r>
    </w:p>
    <w:p w14:paraId="651D51E2" w14:textId="77777777" w:rsidR="00000000" w:rsidRDefault="00832D71">
      <w:pPr>
        <w:jc w:val="both"/>
        <w:rPr>
          <w:rFonts w:eastAsia="Times New Roman"/>
        </w:rPr>
      </w:pPr>
      <w:r>
        <w:rPr>
          <w:rFonts w:eastAsia="Times New Roman"/>
          <w:sz w:val="20"/>
          <w:szCs w:val="20"/>
        </w:rPr>
        <w:t>(d</w:t>
      </w:r>
      <w:r>
        <w:rPr>
          <w:rFonts w:eastAsia="Times New Roman"/>
          <w:sz w:val="20"/>
          <w:szCs w:val="20"/>
        </w:rPr>
        <w:t>)</w:t>
      </w:r>
    </w:p>
    <w:p w14:paraId="30DB2B3C" w14:textId="77777777" w:rsidR="00000000" w:rsidRDefault="00832D71">
      <w:pPr>
        <w:jc w:val="both"/>
        <w:divId w:val="219562502"/>
        <w:rPr>
          <w:rFonts w:eastAsia="Times New Roman"/>
        </w:rPr>
      </w:pPr>
      <w:r>
        <w:rPr>
          <w:rFonts w:eastAsia="Times New Roman"/>
          <w:sz w:val="20"/>
          <w:szCs w:val="20"/>
        </w:rPr>
        <w:t>These amounts are included in our consolidated balance sheet and primarily include payments for postretirement and incentive benefits, as well as other contractual obligations</w:t>
      </w:r>
      <w:r>
        <w:rPr>
          <w:rFonts w:eastAsia="Times New Roman"/>
          <w:sz w:val="20"/>
          <w:szCs w:val="20"/>
        </w:rPr>
        <w:t>.</w:t>
      </w:r>
    </w:p>
    <w:p w14:paraId="6316785C" w14:textId="77777777" w:rsidR="00000000" w:rsidRDefault="00832D71">
      <w:pPr>
        <w:pStyle w:val="a3"/>
        <w:spacing w:before="240" w:beforeAutospacing="0" w:after="0" w:afterAutospacing="0"/>
        <w:ind w:firstLine="555"/>
        <w:jc w:val="both"/>
        <w:rPr>
          <w:sz w:val="20"/>
          <w:szCs w:val="20"/>
        </w:rPr>
      </w:pPr>
      <w:r>
        <w:rPr>
          <w:sz w:val="20"/>
          <w:szCs w:val="20"/>
        </w:rPr>
        <w:t>Additionally, we have sta</w:t>
      </w:r>
      <w:r>
        <w:rPr>
          <w:sz w:val="20"/>
          <w:szCs w:val="20"/>
        </w:rPr>
        <w:t>ndby letters of credit in the aggregate amount of $48.9 million, in support of retention levels under our casualty insurance programs and certain lease obligations, which expire periodically through April 30, 2023</w:t>
      </w:r>
      <w:r>
        <w:rPr>
          <w:sz w:val="20"/>
          <w:szCs w:val="20"/>
        </w:rPr>
        <w:t>.</w:t>
      </w:r>
    </w:p>
    <w:p w14:paraId="701439E9" w14:textId="77777777" w:rsidR="00000000" w:rsidRDefault="00832D71">
      <w:pPr>
        <w:pStyle w:val="a3"/>
        <w:spacing w:before="360" w:beforeAutospacing="0" w:after="0" w:afterAutospacing="0"/>
        <w:jc w:val="both"/>
        <w:rPr>
          <w:sz w:val="20"/>
          <w:szCs w:val="20"/>
        </w:rPr>
      </w:pPr>
      <w:r>
        <w:rPr>
          <w:i/>
          <w:iCs/>
          <w:sz w:val="20"/>
          <w:szCs w:val="20"/>
        </w:rPr>
        <w:t>Operating Lease</w:t>
      </w:r>
      <w:r>
        <w:rPr>
          <w:i/>
          <w:iCs/>
          <w:sz w:val="20"/>
          <w:szCs w:val="20"/>
        </w:rPr>
        <w:t>s</w:t>
      </w:r>
    </w:p>
    <w:p w14:paraId="52FE8D57" w14:textId="77777777" w:rsidR="00000000" w:rsidRDefault="00832D71">
      <w:pPr>
        <w:pStyle w:val="a3"/>
        <w:spacing w:before="120" w:beforeAutospacing="0" w:after="0" w:afterAutospacing="0"/>
        <w:ind w:firstLine="555"/>
        <w:jc w:val="both"/>
        <w:rPr>
          <w:sz w:val="20"/>
          <w:szCs w:val="20"/>
        </w:rPr>
      </w:pPr>
      <w:r>
        <w:rPr>
          <w:sz w:val="20"/>
          <w:szCs w:val="20"/>
        </w:rPr>
        <w:t>We lease certain propert</w:t>
      </w:r>
      <w:r>
        <w:rPr>
          <w:sz w:val="20"/>
          <w:szCs w:val="20"/>
        </w:rPr>
        <w:t xml:space="preserve">y, plant and equipment for various periods under noncancelable operating leases, including 84% of our vehicle fleet, approximately 27% of our customer service centers and portions of our information systems equipment. Rental expense under operating leases </w:t>
      </w:r>
      <w:r>
        <w:rPr>
          <w:sz w:val="20"/>
          <w:szCs w:val="20"/>
        </w:rPr>
        <w:t>was $41.0 million, $37.8 million and $31.9 million for fiscal 2022, 2021 and 2019, respectively. Future minimum rental commitments under noncancelable operating lease agreements as of September 24, 2022 are presented in the table above</w:t>
      </w:r>
      <w:r>
        <w:rPr>
          <w:sz w:val="20"/>
          <w:szCs w:val="20"/>
        </w:rPr>
        <w:t>.</w:t>
      </w:r>
    </w:p>
    <w:p w14:paraId="0A811973" w14:textId="77777777" w:rsidR="00000000" w:rsidRDefault="00832D71">
      <w:pPr>
        <w:pStyle w:val="a3"/>
        <w:spacing w:before="360" w:beforeAutospacing="0" w:after="0" w:afterAutospacing="0"/>
        <w:jc w:val="both"/>
        <w:rPr>
          <w:sz w:val="20"/>
          <w:szCs w:val="20"/>
        </w:rPr>
      </w:pPr>
      <w:r>
        <w:rPr>
          <w:i/>
          <w:iCs/>
          <w:sz w:val="20"/>
          <w:szCs w:val="20"/>
        </w:rPr>
        <w:t>Guarantee</w:t>
      </w:r>
      <w:r>
        <w:rPr>
          <w:i/>
          <w:iCs/>
          <w:sz w:val="20"/>
          <w:szCs w:val="20"/>
        </w:rPr>
        <w:t>s</w:t>
      </w:r>
    </w:p>
    <w:p w14:paraId="15BA1843" w14:textId="77777777" w:rsidR="00000000" w:rsidRDefault="00832D71">
      <w:pPr>
        <w:pStyle w:val="a3"/>
        <w:spacing w:before="120" w:beforeAutospacing="0" w:after="0" w:afterAutospacing="0"/>
        <w:ind w:firstLine="555"/>
        <w:jc w:val="both"/>
        <w:rPr>
          <w:sz w:val="20"/>
          <w:szCs w:val="20"/>
        </w:rPr>
      </w:pPr>
      <w:r>
        <w:rPr>
          <w:sz w:val="20"/>
          <w:szCs w:val="20"/>
        </w:rPr>
        <w:t xml:space="preserve">Certain </w:t>
      </w:r>
      <w:r>
        <w:rPr>
          <w:sz w:val="20"/>
          <w:szCs w:val="20"/>
        </w:rPr>
        <w:t>of our operating leases, primarily those for transportation equipment with remaining lease periods scheduled to expire periodically through fiscal 2032, contain residual value guarantee provisions. Under those provisions, we guarantee that the fair value o</w:t>
      </w:r>
      <w:r>
        <w:rPr>
          <w:sz w:val="20"/>
          <w:szCs w:val="20"/>
        </w:rPr>
        <w:t>f the equipment will equal or exceed the guaranteed amount upon completion of the lease period, or we will pay the lessor the difference between fair value and the guaranteed amount. Although the fair value of equipment at the end of its lease term has his</w:t>
      </w:r>
      <w:r>
        <w:rPr>
          <w:sz w:val="20"/>
          <w:szCs w:val="20"/>
        </w:rPr>
        <w:t>torically exceeded the guaranteed amounts, the maximum potential amount of aggregate future payments we could be required to make under these leasing arrangements, assuming the equipment is deemed worthless at the end of the lease term, was approximately $</w:t>
      </w:r>
      <w:r>
        <w:rPr>
          <w:sz w:val="20"/>
          <w:szCs w:val="20"/>
        </w:rPr>
        <w:t>34.0 million. The fair value of residual value guarantees for outstanding operating leases was de minimis as of September 24, 2022 and September 25, 2021</w:t>
      </w:r>
      <w:r>
        <w:rPr>
          <w:sz w:val="20"/>
          <w:szCs w:val="20"/>
        </w:rPr>
        <w:t>.</w:t>
      </w:r>
    </w:p>
    <w:p w14:paraId="1F4180C2" w14:textId="77777777" w:rsidR="00000000" w:rsidRDefault="00832D71">
      <w:pPr>
        <w:pStyle w:val="a3"/>
        <w:spacing w:before="360" w:beforeAutospacing="0" w:after="0" w:afterAutospacing="0"/>
        <w:jc w:val="both"/>
        <w:rPr>
          <w:sz w:val="20"/>
          <w:szCs w:val="20"/>
        </w:rPr>
      </w:pPr>
      <w:r>
        <w:rPr>
          <w:b/>
          <w:bCs/>
          <w:sz w:val="20"/>
          <w:szCs w:val="20"/>
        </w:rPr>
        <w:t>Recently Issued/Adopted Accounting Pronouncement</w:t>
      </w:r>
      <w:r>
        <w:rPr>
          <w:b/>
          <w:bCs/>
          <w:sz w:val="20"/>
          <w:szCs w:val="20"/>
        </w:rPr>
        <w:t>s</w:t>
      </w:r>
    </w:p>
    <w:p w14:paraId="2EF551B8" w14:textId="77777777" w:rsidR="00000000" w:rsidRDefault="00832D71">
      <w:pPr>
        <w:pStyle w:val="a3"/>
        <w:spacing w:before="120" w:beforeAutospacing="0" w:after="0" w:afterAutospacing="0"/>
        <w:ind w:firstLine="555"/>
        <w:jc w:val="both"/>
        <w:rPr>
          <w:sz w:val="20"/>
          <w:szCs w:val="20"/>
        </w:rPr>
      </w:pPr>
      <w:r>
        <w:rPr>
          <w:sz w:val="20"/>
          <w:szCs w:val="20"/>
        </w:rPr>
        <w:t>See Part IV, Note 2 of this Annual Report</w:t>
      </w:r>
      <w:r>
        <w:rPr>
          <w:sz w:val="20"/>
          <w:szCs w:val="20"/>
        </w:rPr>
        <w:t>.</w:t>
      </w:r>
    </w:p>
    <w:p w14:paraId="144CBF03" w14:textId="77777777" w:rsidR="00000000" w:rsidRDefault="00832D71">
      <w:pPr>
        <w:pStyle w:val="a3"/>
        <w:spacing w:before="0" w:beforeAutospacing="0" w:after="0" w:afterAutospacing="0"/>
        <w:jc w:val="center"/>
        <w:rPr>
          <w:sz w:val="20"/>
          <w:szCs w:val="20"/>
        </w:rPr>
      </w:pPr>
      <w:r>
        <w:rPr>
          <w:sz w:val="20"/>
          <w:szCs w:val="20"/>
        </w:rPr>
        <w:t> </w:t>
      </w:r>
    </w:p>
    <w:p w14:paraId="5F488E49" w14:textId="77777777" w:rsidR="00000000" w:rsidRDefault="00832D71">
      <w:pPr>
        <w:pStyle w:val="a3"/>
        <w:spacing w:before="0" w:beforeAutospacing="0" w:after="0" w:afterAutospacing="0"/>
        <w:jc w:val="center"/>
        <w:rPr>
          <w:sz w:val="20"/>
          <w:szCs w:val="20"/>
        </w:rPr>
      </w:pPr>
      <w:r>
        <w:rPr>
          <w:sz w:val="20"/>
          <w:szCs w:val="20"/>
        </w:rPr>
        <w:t>3</w:t>
      </w:r>
      <w:r>
        <w:rPr>
          <w:sz w:val="20"/>
          <w:szCs w:val="20"/>
        </w:rPr>
        <w:t>9</w:t>
      </w:r>
    </w:p>
    <w:p w14:paraId="7D876932" w14:textId="77777777" w:rsidR="00000000" w:rsidRDefault="00832D71">
      <w:pPr>
        <w:rPr>
          <w:rFonts w:eastAsia="Times New Roman"/>
        </w:rPr>
      </w:pPr>
      <w:r>
        <w:rPr>
          <w:rFonts w:eastAsia="Times New Roman"/>
        </w:rPr>
        <w:pict w14:anchorId="3A748DBD">
          <v:rect id="_x0000_i1066" style="width:0;height:1.5pt" o:hralign="center" o:hrstd="t" o:hr="t" fillcolor="#a0a0a0" stroked="f"/>
        </w:pict>
      </w:r>
    </w:p>
    <w:p w14:paraId="4EDBABD5"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5C5BF034" w14:textId="77777777" w:rsidR="00000000" w:rsidRDefault="00832D71">
      <w:pPr>
        <w:pStyle w:val="a3"/>
        <w:spacing w:before="360" w:beforeAutospacing="0" w:after="0" w:afterAutospacing="0"/>
        <w:ind w:hanging="1400"/>
        <w:jc w:val="both"/>
        <w:rPr>
          <w:sz w:val="20"/>
          <w:szCs w:val="20"/>
        </w:rPr>
      </w:pPr>
      <w:r>
        <w:rPr>
          <w:b/>
          <w:bCs/>
          <w:sz w:val="20"/>
          <w:szCs w:val="20"/>
        </w:rPr>
        <w:t>ITEM 7A. QUANTITATIVE AND QUALITA</w:t>
      </w:r>
      <w:r>
        <w:rPr>
          <w:b/>
          <w:bCs/>
          <w:sz w:val="20"/>
          <w:szCs w:val="20"/>
        </w:rPr>
        <w:t>T</w:t>
      </w:r>
      <w:r>
        <w:rPr>
          <w:b/>
          <w:bCs/>
          <w:sz w:val="20"/>
          <w:szCs w:val="20"/>
        </w:rPr>
        <w:t>IVE DISCLOSURES ABOUT MARKET RIS</w:t>
      </w:r>
      <w:r>
        <w:rPr>
          <w:b/>
          <w:bCs/>
          <w:sz w:val="20"/>
          <w:szCs w:val="20"/>
        </w:rPr>
        <w:t>K</w:t>
      </w:r>
    </w:p>
    <w:p w14:paraId="4E1AF553" w14:textId="77777777" w:rsidR="00000000" w:rsidRDefault="00832D71">
      <w:pPr>
        <w:pStyle w:val="a3"/>
        <w:spacing w:before="120" w:beforeAutospacing="0" w:after="0" w:afterAutospacing="0"/>
        <w:jc w:val="both"/>
        <w:rPr>
          <w:sz w:val="20"/>
          <w:szCs w:val="20"/>
        </w:rPr>
      </w:pPr>
      <w:r>
        <w:rPr>
          <w:b/>
          <w:bCs/>
          <w:sz w:val="20"/>
          <w:szCs w:val="20"/>
        </w:rPr>
        <w:t>Commodity Price Ris</w:t>
      </w:r>
      <w:r>
        <w:rPr>
          <w:b/>
          <w:bCs/>
          <w:sz w:val="20"/>
          <w:szCs w:val="20"/>
        </w:rPr>
        <w:t>k</w:t>
      </w:r>
    </w:p>
    <w:p w14:paraId="7B424358" w14:textId="77777777" w:rsidR="00000000" w:rsidRDefault="00832D71">
      <w:pPr>
        <w:pStyle w:val="a3"/>
        <w:spacing w:before="120" w:beforeAutospacing="0" w:after="0" w:afterAutospacing="0"/>
        <w:ind w:firstLine="555"/>
        <w:jc w:val="both"/>
        <w:rPr>
          <w:sz w:val="20"/>
          <w:szCs w:val="20"/>
        </w:rPr>
      </w:pPr>
      <w:r>
        <w:rPr>
          <w:sz w:val="20"/>
          <w:szCs w:val="20"/>
        </w:rPr>
        <w:t>We enter into product supply contracts that are generally one-year agreements subject to annual renewal, and also purchase product on the open market. Our propane supply contracts typically provide for pricing based upon index formulas using the posted pri</w:t>
      </w:r>
      <w:r>
        <w:rPr>
          <w:sz w:val="20"/>
          <w:szCs w:val="20"/>
        </w:rPr>
        <w:t>ces established at major supply points such as Mont Belvieu, Texas, or Conway, Kansas (plus transportation costs) at the time of delivery. In addition, to supplement our annual purchase requirements, we may utilize forward fixed price purchase contracts to</w:t>
      </w:r>
      <w:r>
        <w:rPr>
          <w:sz w:val="20"/>
          <w:szCs w:val="20"/>
        </w:rPr>
        <w:t xml:space="preserve"> acquire a portion of the propane that we resell to our customers, which allows us to manage our exposure to unfavorable changes in commodity prices and to ensure adequate physical supply. The percentage of contract purchases, and the amount of supply cont</w:t>
      </w:r>
      <w:r>
        <w:rPr>
          <w:sz w:val="20"/>
          <w:szCs w:val="20"/>
        </w:rPr>
        <w:t>racted for under forward contracts at fixed prices, will vary from year to year based on market conditions. In certain instances, and when market conditions are favorable, we are able to purchase product under our supply arrangements at a discount to the m</w:t>
      </w:r>
      <w:r>
        <w:rPr>
          <w:sz w:val="20"/>
          <w:szCs w:val="20"/>
        </w:rPr>
        <w:t>arket</w:t>
      </w:r>
      <w:r>
        <w:rPr>
          <w:sz w:val="20"/>
          <w:szCs w:val="20"/>
        </w:rPr>
        <w:t>.</w:t>
      </w:r>
    </w:p>
    <w:p w14:paraId="381E9123" w14:textId="77777777" w:rsidR="00000000" w:rsidRDefault="00832D71">
      <w:pPr>
        <w:pStyle w:val="a3"/>
        <w:spacing w:before="240" w:beforeAutospacing="0" w:after="0" w:afterAutospacing="0"/>
        <w:ind w:firstLine="555"/>
        <w:jc w:val="both"/>
        <w:rPr>
          <w:sz w:val="20"/>
          <w:szCs w:val="20"/>
        </w:rPr>
      </w:pPr>
      <w:r>
        <w:rPr>
          <w:sz w:val="20"/>
          <w:szCs w:val="20"/>
        </w:rPr>
        <w:t>Product cost changes can occur rapidly over a short period of time and can impact profitability. We attempt to reduce commodity price risk by pricing product on a short-term basis. The level of priced, physical product maintained in storage faciliti</w:t>
      </w:r>
      <w:r>
        <w:rPr>
          <w:sz w:val="20"/>
          <w:szCs w:val="20"/>
        </w:rPr>
        <w:t>es and at our customer service centers for immediate sale to our customers will vary depending on several factors, including, but not limited to, price, supply and demand dynamics for a given time of the year. Typically, our on hand priced position does no</w:t>
      </w:r>
      <w:r>
        <w:rPr>
          <w:sz w:val="20"/>
          <w:szCs w:val="20"/>
        </w:rPr>
        <w:t xml:space="preserve">t exceed more than four to eight weeks of our supply needs, depending on the time of the year. In the course of normal operations, we routinely enter into contracts such as forward priced physical contracts for the purchase or sale of propane and fuel oil </w:t>
      </w:r>
      <w:r>
        <w:rPr>
          <w:sz w:val="20"/>
          <w:szCs w:val="20"/>
        </w:rPr>
        <w:t xml:space="preserve">that, under accounting rules for derivative instruments and hedging activities, qualify for and are designated as normal purchase or normal sale contracts. Such contracts are exempted from fair value accounting and are accounted for at the time product is </w:t>
      </w:r>
      <w:r>
        <w:rPr>
          <w:sz w:val="20"/>
          <w:szCs w:val="20"/>
        </w:rPr>
        <w:t>purchased or sold under the related contract</w:t>
      </w:r>
      <w:r>
        <w:rPr>
          <w:sz w:val="20"/>
          <w:szCs w:val="20"/>
        </w:rPr>
        <w:t>.</w:t>
      </w:r>
    </w:p>
    <w:p w14:paraId="07B2C376" w14:textId="77777777" w:rsidR="00000000" w:rsidRDefault="00832D71">
      <w:pPr>
        <w:pStyle w:val="a3"/>
        <w:spacing w:before="240" w:beforeAutospacing="0" w:after="0" w:afterAutospacing="0"/>
        <w:ind w:firstLine="555"/>
        <w:jc w:val="both"/>
        <w:rPr>
          <w:sz w:val="20"/>
          <w:szCs w:val="20"/>
        </w:rPr>
      </w:pPr>
      <w:r>
        <w:rPr>
          <w:sz w:val="20"/>
          <w:szCs w:val="20"/>
        </w:rPr>
        <w:t>Under our hedging and risk management strategies, we enter into a combination of exchange-traded futures and options contracts and, in certain instances, over-the-counter options and swap contracts (collectivel</w:t>
      </w:r>
      <w:r>
        <w:rPr>
          <w:sz w:val="20"/>
          <w:szCs w:val="20"/>
        </w:rPr>
        <w:t>y, “derivative instruments”) to manage the price risk associated with physical product and with future purchases of the commodities used in our operations, principally propane and fuel oil, as well as to help ensure the availability of product during perio</w:t>
      </w:r>
      <w:r>
        <w:rPr>
          <w:sz w:val="20"/>
          <w:szCs w:val="20"/>
        </w:rPr>
        <w:t xml:space="preserve">ds of high demand. In addition, we sell propane and fuel oil to customers at fixed prices, and enter into derivative instruments to hedge a portion of our exposure to fluctuations in commodity prices as a result of selling the fixed price contracts. We do </w:t>
      </w:r>
      <w:r>
        <w:rPr>
          <w:sz w:val="20"/>
          <w:szCs w:val="20"/>
        </w:rPr>
        <w:t>not use derivative instruments for speculative or trading purposes. Futures and swap contracts require that we sell or acquire propane or fuel oil at a fixed price for delivery at fixed future dates. An option contract allows, but does not require, its hol</w:t>
      </w:r>
      <w:r>
        <w:rPr>
          <w:sz w:val="20"/>
          <w:szCs w:val="20"/>
        </w:rPr>
        <w:t>der to buy or sell propane or fuel oil at a specified price during a specified time period. However, the writer of an option contract must fulfill the obligation of the option contract, should the holder choose to exercise the option. At expiration, the co</w:t>
      </w:r>
      <w:r>
        <w:rPr>
          <w:sz w:val="20"/>
          <w:szCs w:val="20"/>
        </w:rPr>
        <w:t>ntracts are settled by the delivery of the product to the respective party or are settled by the payment of a net amount equal to the difference between the then market price and the fixed contract price or option exercise price. To the extent that we util</w:t>
      </w:r>
      <w:r>
        <w:rPr>
          <w:sz w:val="20"/>
          <w:szCs w:val="20"/>
        </w:rPr>
        <w:t>ize derivative instruments to manage exposure to commodity price risk and commodity prices move adversely in relation to the contracts, we could suffer losses on those derivative instruments when settled. Conversely, if prices move favorably, we could real</w:t>
      </w:r>
      <w:r>
        <w:rPr>
          <w:sz w:val="20"/>
          <w:szCs w:val="20"/>
        </w:rPr>
        <w:t xml:space="preserve">ize gains. Under our hedging and risk management strategy, realized gains or losses on derivative instruments will typically offset losses or gains on the physical inventory once the product is sold to customers at market prices, or delivered to customers </w:t>
      </w:r>
      <w:r>
        <w:rPr>
          <w:sz w:val="20"/>
          <w:szCs w:val="20"/>
        </w:rPr>
        <w:t>as it pertains to fixed price contracts</w:t>
      </w:r>
      <w:r>
        <w:rPr>
          <w:sz w:val="20"/>
          <w:szCs w:val="20"/>
        </w:rPr>
        <w:t>.</w:t>
      </w:r>
    </w:p>
    <w:p w14:paraId="70012DE0" w14:textId="77777777" w:rsidR="00000000" w:rsidRDefault="00832D71">
      <w:pPr>
        <w:pStyle w:val="a3"/>
        <w:spacing w:before="240" w:beforeAutospacing="0" w:after="0" w:afterAutospacing="0"/>
        <w:ind w:firstLine="555"/>
        <w:jc w:val="both"/>
        <w:rPr>
          <w:sz w:val="20"/>
          <w:szCs w:val="20"/>
        </w:rPr>
      </w:pPr>
      <w:r>
        <w:rPr>
          <w:sz w:val="20"/>
          <w:szCs w:val="20"/>
        </w:rPr>
        <w:t>Futures are traded with brokers of the NYMEX and require daily cash settlements in margin accounts. Forward contracts are generally settled at the expiration of the contract term by physical delivery, and swap and o</w:t>
      </w:r>
      <w:r>
        <w:rPr>
          <w:sz w:val="20"/>
          <w:szCs w:val="20"/>
        </w:rPr>
        <w:t>ptions contracts are generally settled at expiration through a net settlement mechanism. Market risks associated with our derivative instruments are monitored daily for compliance with our Hedging and Risk Management Policy which includes volume limits for</w:t>
      </w:r>
      <w:r>
        <w:rPr>
          <w:sz w:val="20"/>
          <w:szCs w:val="20"/>
        </w:rPr>
        <w:t xml:space="preserve"> open positions. Open inventory positions are reviewed and managed daily as to exposures to changing market prices</w:t>
      </w:r>
      <w:r>
        <w:rPr>
          <w:sz w:val="20"/>
          <w:szCs w:val="20"/>
        </w:rPr>
        <w:t>.</w:t>
      </w:r>
    </w:p>
    <w:p w14:paraId="7849EA6D" w14:textId="77777777" w:rsidR="00000000" w:rsidRDefault="00832D71">
      <w:pPr>
        <w:pStyle w:val="a3"/>
        <w:spacing w:before="360" w:beforeAutospacing="0" w:after="0" w:afterAutospacing="0"/>
        <w:jc w:val="both"/>
        <w:rPr>
          <w:sz w:val="20"/>
          <w:szCs w:val="20"/>
        </w:rPr>
      </w:pPr>
      <w:r>
        <w:rPr>
          <w:b/>
          <w:bCs/>
          <w:sz w:val="20"/>
          <w:szCs w:val="20"/>
        </w:rPr>
        <w:t>Credit Ris</w:t>
      </w:r>
      <w:r>
        <w:rPr>
          <w:b/>
          <w:bCs/>
          <w:sz w:val="20"/>
          <w:szCs w:val="20"/>
        </w:rPr>
        <w:t>k</w:t>
      </w:r>
    </w:p>
    <w:p w14:paraId="46B341C5" w14:textId="77777777" w:rsidR="00000000" w:rsidRDefault="00832D71">
      <w:pPr>
        <w:pStyle w:val="a3"/>
        <w:spacing w:before="120" w:beforeAutospacing="0" w:after="0" w:afterAutospacing="0"/>
        <w:ind w:firstLine="555"/>
        <w:jc w:val="both"/>
        <w:rPr>
          <w:sz w:val="20"/>
          <w:szCs w:val="20"/>
        </w:rPr>
      </w:pPr>
      <w:r>
        <w:rPr>
          <w:sz w:val="20"/>
          <w:szCs w:val="20"/>
        </w:rPr>
        <w:t>Exchange-traded futures and options contracts are guaranteed by the NYMEX and, as a result, have minimal credit risk. We are subject to credit risk with over-the-counter forward, swap and options contracts to the extent the counterparties do not perform. W</w:t>
      </w:r>
      <w:r>
        <w:rPr>
          <w:sz w:val="20"/>
          <w:szCs w:val="20"/>
        </w:rPr>
        <w:t>e evaluate the financial condition of each counterparty with which we conduct business and establish credit limits to reduce exposure to the risk of non-performance by our counterparties</w:t>
      </w:r>
      <w:r>
        <w:rPr>
          <w:sz w:val="20"/>
          <w:szCs w:val="20"/>
        </w:rPr>
        <w:t>.</w:t>
      </w:r>
    </w:p>
    <w:p w14:paraId="65EF0B3D" w14:textId="77777777" w:rsidR="00000000" w:rsidRDefault="00832D71">
      <w:pPr>
        <w:pStyle w:val="a3"/>
        <w:spacing w:before="360" w:beforeAutospacing="0" w:after="0" w:afterAutospacing="0"/>
        <w:jc w:val="both"/>
        <w:rPr>
          <w:sz w:val="20"/>
          <w:szCs w:val="20"/>
        </w:rPr>
      </w:pPr>
      <w:r>
        <w:rPr>
          <w:b/>
          <w:bCs/>
          <w:sz w:val="20"/>
          <w:szCs w:val="20"/>
        </w:rPr>
        <w:t>Interest Rate Ris</w:t>
      </w:r>
      <w:r>
        <w:rPr>
          <w:b/>
          <w:bCs/>
          <w:sz w:val="20"/>
          <w:szCs w:val="20"/>
        </w:rPr>
        <w:t>k</w:t>
      </w:r>
    </w:p>
    <w:p w14:paraId="1E8F19D9" w14:textId="77777777" w:rsidR="00000000" w:rsidRDefault="00832D71">
      <w:pPr>
        <w:pStyle w:val="a3"/>
        <w:spacing w:before="120" w:beforeAutospacing="0" w:after="0" w:afterAutospacing="0"/>
        <w:ind w:firstLine="555"/>
        <w:jc w:val="both"/>
        <w:rPr>
          <w:sz w:val="20"/>
          <w:szCs w:val="20"/>
        </w:rPr>
      </w:pPr>
      <w:r>
        <w:rPr>
          <w:sz w:val="20"/>
          <w:szCs w:val="20"/>
        </w:rPr>
        <w:t>A portion of our borrowings bear interest at prev</w:t>
      </w:r>
      <w:r>
        <w:rPr>
          <w:sz w:val="20"/>
          <w:szCs w:val="20"/>
        </w:rPr>
        <w:t>ailing interest rates based upon, at the Operating Partnership’s option, LIBOR, plus an applicable margin or the base rate, defined as the higher of the Federal Funds Rate plus ½ of 1% or the agent bank’s prime rate, or LIBOR plus 1%, plus the applicable m</w:t>
      </w:r>
      <w:r>
        <w:rPr>
          <w:sz w:val="20"/>
          <w:szCs w:val="20"/>
        </w:rPr>
        <w:t>argin. The applicable margin is dependent on the level of our total consolidated leverage (the total ratio of debt to consolidated EBITDA). Therefore, we are subject to interest rate risk on the variable component of the interest rate. From time to time, w</w:t>
      </w:r>
      <w:r>
        <w:rPr>
          <w:sz w:val="20"/>
          <w:szCs w:val="20"/>
        </w:rPr>
        <w:t>e enter into interest rate swap agreements to manage a part of our variable interest rate risk. The interest rate swaps are designated as cash flow hedges. Changes in the fair value of the interest rate swaps are recognized in other comprehensive income (“</w:t>
      </w:r>
      <w:r>
        <w:rPr>
          <w:sz w:val="20"/>
          <w:szCs w:val="20"/>
        </w:rPr>
        <w:t>OCI”) until the hedged item is recognized in earnings. At September 24, 2022, we were not party to any interest rate swap agreement</w:t>
      </w:r>
      <w:r>
        <w:rPr>
          <w:sz w:val="20"/>
          <w:szCs w:val="20"/>
        </w:rPr>
        <w:t>.</w:t>
      </w:r>
    </w:p>
    <w:p w14:paraId="72DF68E1" w14:textId="77777777" w:rsidR="00000000" w:rsidRDefault="00832D71">
      <w:pPr>
        <w:pStyle w:val="a3"/>
        <w:spacing w:before="0" w:beforeAutospacing="0" w:after="0" w:afterAutospacing="0"/>
        <w:jc w:val="center"/>
        <w:rPr>
          <w:sz w:val="20"/>
          <w:szCs w:val="20"/>
        </w:rPr>
      </w:pPr>
      <w:r>
        <w:rPr>
          <w:sz w:val="20"/>
          <w:szCs w:val="20"/>
        </w:rPr>
        <w:t> </w:t>
      </w:r>
    </w:p>
    <w:p w14:paraId="7FC771C7" w14:textId="77777777" w:rsidR="00000000" w:rsidRDefault="00832D71">
      <w:pPr>
        <w:pStyle w:val="a3"/>
        <w:spacing w:before="0" w:beforeAutospacing="0" w:after="0" w:afterAutospacing="0"/>
        <w:jc w:val="center"/>
        <w:rPr>
          <w:sz w:val="20"/>
          <w:szCs w:val="20"/>
        </w:rPr>
      </w:pPr>
      <w:r>
        <w:rPr>
          <w:sz w:val="20"/>
          <w:szCs w:val="20"/>
        </w:rPr>
        <w:t>4</w:t>
      </w:r>
      <w:r>
        <w:rPr>
          <w:sz w:val="20"/>
          <w:szCs w:val="20"/>
        </w:rPr>
        <w:t>0</w:t>
      </w:r>
    </w:p>
    <w:p w14:paraId="2164CAD1" w14:textId="77777777" w:rsidR="00000000" w:rsidRDefault="00832D71">
      <w:pPr>
        <w:rPr>
          <w:rFonts w:eastAsia="Times New Roman"/>
        </w:rPr>
      </w:pPr>
      <w:r>
        <w:rPr>
          <w:rFonts w:eastAsia="Times New Roman"/>
        </w:rPr>
        <w:pict w14:anchorId="246E4C1A">
          <v:rect id="_x0000_i1067" style="width:0;height:1.5pt" o:hralign="center" o:hrstd="t" o:hr="t" fillcolor="#a0a0a0" stroked="f"/>
        </w:pict>
      </w:r>
    </w:p>
    <w:p w14:paraId="32C58094"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5DE280A3" w14:textId="77777777" w:rsidR="00000000" w:rsidRDefault="00832D71">
      <w:pPr>
        <w:pStyle w:val="a3"/>
        <w:spacing w:before="360" w:beforeAutospacing="0" w:after="0" w:afterAutospacing="0"/>
        <w:jc w:val="both"/>
        <w:rPr>
          <w:sz w:val="20"/>
          <w:szCs w:val="20"/>
        </w:rPr>
      </w:pPr>
      <w:r>
        <w:rPr>
          <w:b/>
          <w:bCs/>
          <w:sz w:val="20"/>
          <w:szCs w:val="20"/>
        </w:rPr>
        <w:t>Derivative Instruments a</w:t>
      </w:r>
      <w:r>
        <w:rPr>
          <w:b/>
          <w:bCs/>
          <w:sz w:val="20"/>
          <w:szCs w:val="20"/>
        </w:rPr>
        <w:t>nd Hedging Activitie</w:t>
      </w:r>
      <w:r>
        <w:rPr>
          <w:b/>
          <w:bCs/>
          <w:sz w:val="20"/>
          <w:szCs w:val="20"/>
        </w:rPr>
        <w:t>s</w:t>
      </w:r>
    </w:p>
    <w:p w14:paraId="556DC302" w14:textId="77777777" w:rsidR="00000000" w:rsidRDefault="00832D71">
      <w:pPr>
        <w:pStyle w:val="a3"/>
        <w:spacing w:before="120" w:beforeAutospacing="0" w:after="0" w:afterAutospacing="0"/>
        <w:ind w:firstLine="555"/>
        <w:jc w:val="both"/>
        <w:rPr>
          <w:sz w:val="20"/>
          <w:szCs w:val="20"/>
        </w:rPr>
      </w:pPr>
      <w:r>
        <w:rPr>
          <w:sz w:val="20"/>
          <w:szCs w:val="20"/>
        </w:rPr>
        <w:t>All of our derivative instruments are reported on the balance sheet at their fair values. On the date that derivative instruments are entered into, we make a determination as to whether the derivative instrument qualifies for designat</w:t>
      </w:r>
      <w:r>
        <w:rPr>
          <w:sz w:val="20"/>
          <w:szCs w:val="20"/>
        </w:rPr>
        <w:t xml:space="preserve">ion as a hedge. Changes in the fair value of derivative instruments are recorded each period in current period earnings or OCI, depending on whether a derivative instrument is designated as a hedge and, if so, the type of hedge. For derivative instruments </w:t>
      </w:r>
      <w:r>
        <w:rPr>
          <w:sz w:val="20"/>
          <w:szCs w:val="20"/>
        </w:rPr>
        <w:t xml:space="preserve">designated as cash flow hedges, we formally assess, both at the hedge contract’s inception and on an ongoing basis, whether the hedge contract is highly effective in offsetting changes in cash flows of hedged items. Changes in the fair value of derivative </w:t>
      </w:r>
      <w:r>
        <w:rPr>
          <w:sz w:val="20"/>
          <w:szCs w:val="20"/>
        </w:rPr>
        <w:t xml:space="preserve">instruments designated as cash flow hedges are reported in OCI to the extent effective and reclassified into earnings during the same period in which the hedged item affects earnings. The mark-to-market gains or losses on ineffective portions of cash flow </w:t>
      </w:r>
      <w:r>
        <w:rPr>
          <w:sz w:val="20"/>
          <w:szCs w:val="20"/>
        </w:rPr>
        <w:t>hedges are immediately recognized in earnings. Changes in the fair value of derivative instruments that are not designated as cash flow hedges, and that do not meet the normal purchase and normal sale exemption, are recorded in earnings as they occur. Cash</w:t>
      </w:r>
      <w:r>
        <w:rPr>
          <w:sz w:val="20"/>
          <w:szCs w:val="20"/>
        </w:rPr>
        <w:t xml:space="preserve"> flows associated with derivative instruments are reported as operating activities within the consolidated statement of cash flows</w:t>
      </w:r>
      <w:r>
        <w:rPr>
          <w:sz w:val="20"/>
          <w:szCs w:val="20"/>
        </w:rPr>
        <w:t>.</w:t>
      </w:r>
    </w:p>
    <w:p w14:paraId="6EDEFCBD" w14:textId="77777777" w:rsidR="00000000" w:rsidRDefault="00832D71">
      <w:pPr>
        <w:pStyle w:val="a3"/>
        <w:spacing w:before="360" w:beforeAutospacing="0" w:after="0" w:afterAutospacing="0"/>
        <w:jc w:val="both"/>
        <w:rPr>
          <w:sz w:val="20"/>
          <w:szCs w:val="20"/>
        </w:rPr>
      </w:pPr>
      <w:r>
        <w:rPr>
          <w:b/>
          <w:bCs/>
          <w:sz w:val="20"/>
          <w:szCs w:val="20"/>
        </w:rPr>
        <w:t>Sensitivity Analysi</w:t>
      </w:r>
      <w:r>
        <w:rPr>
          <w:b/>
          <w:bCs/>
          <w:sz w:val="20"/>
          <w:szCs w:val="20"/>
        </w:rPr>
        <w:t>s</w:t>
      </w:r>
    </w:p>
    <w:p w14:paraId="7B92D6C4" w14:textId="77777777" w:rsidR="00000000" w:rsidRDefault="00832D71">
      <w:pPr>
        <w:pStyle w:val="a3"/>
        <w:spacing w:before="120" w:beforeAutospacing="0" w:after="0" w:afterAutospacing="0"/>
        <w:ind w:firstLine="555"/>
        <w:jc w:val="both"/>
        <w:rPr>
          <w:sz w:val="20"/>
          <w:szCs w:val="20"/>
        </w:rPr>
      </w:pPr>
      <w:r>
        <w:rPr>
          <w:sz w:val="20"/>
          <w:szCs w:val="20"/>
        </w:rPr>
        <w:t>In an effort to estimate our exposure to unfavorable market price changes in commodities related to our</w:t>
      </w:r>
      <w:r>
        <w:rPr>
          <w:sz w:val="20"/>
          <w:szCs w:val="20"/>
        </w:rPr>
        <w:t xml:space="preserve"> open positions under derivative instruments, we developed a model that incorporates the following data and assumptions</w:t>
      </w:r>
      <w:r>
        <w:rPr>
          <w:sz w:val="20"/>
          <w:szCs w:val="20"/>
        </w:rPr>
        <w:t>:</w:t>
      </w:r>
    </w:p>
    <w:p w14:paraId="4B462400" w14:textId="77777777" w:rsidR="00000000" w:rsidRDefault="00832D71">
      <w:pPr>
        <w:jc w:val="both"/>
        <w:divId w:val="857814181"/>
        <w:rPr>
          <w:rFonts w:eastAsia="Times New Roman"/>
        </w:rPr>
      </w:pPr>
      <w:r>
        <w:rPr>
          <w:rFonts w:eastAsia="Times New Roman"/>
          <w:caps/>
          <w:sz w:val="20"/>
          <w:szCs w:val="20"/>
        </w:rPr>
        <w:t>a</w:t>
      </w:r>
      <w:r>
        <w:rPr>
          <w:rFonts w:eastAsia="Times New Roman"/>
          <w:caps/>
          <w:sz w:val="20"/>
          <w:szCs w:val="20"/>
        </w:rPr>
        <w:t>.</w:t>
      </w:r>
    </w:p>
    <w:p w14:paraId="5CDFE525" w14:textId="77777777" w:rsidR="00000000" w:rsidRDefault="00832D71">
      <w:pPr>
        <w:jc w:val="both"/>
        <w:divId w:val="2059351482"/>
        <w:rPr>
          <w:rFonts w:eastAsia="Times New Roman"/>
        </w:rPr>
      </w:pPr>
      <w:r>
        <w:rPr>
          <w:rFonts w:eastAsia="Times New Roman"/>
          <w:sz w:val="20"/>
          <w:szCs w:val="20"/>
        </w:rPr>
        <w:t>The fair value of open positions as of September 24, 2022</w:t>
      </w:r>
      <w:r>
        <w:rPr>
          <w:rFonts w:eastAsia="Times New Roman"/>
          <w:sz w:val="20"/>
          <w:szCs w:val="20"/>
        </w:rPr>
        <w:t>.</w:t>
      </w:r>
    </w:p>
    <w:p w14:paraId="1466B1C8" w14:textId="77777777" w:rsidR="00000000" w:rsidRDefault="00832D71">
      <w:pPr>
        <w:jc w:val="both"/>
        <w:divId w:val="308020489"/>
        <w:rPr>
          <w:rFonts w:eastAsia="Times New Roman"/>
        </w:rPr>
      </w:pPr>
      <w:r>
        <w:rPr>
          <w:rFonts w:eastAsia="Times New Roman"/>
          <w:caps/>
          <w:sz w:val="20"/>
          <w:szCs w:val="20"/>
        </w:rPr>
        <w:t>b</w:t>
      </w:r>
      <w:r>
        <w:rPr>
          <w:rFonts w:eastAsia="Times New Roman"/>
          <w:caps/>
          <w:sz w:val="20"/>
          <w:szCs w:val="20"/>
        </w:rPr>
        <w:t>.</w:t>
      </w:r>
    </w:p>
    <w:p w14:paraId="42BF0A5E" w14:textId="77777777" w:rsidR="00000000" w:rsidRDefault="00832D71">
      <w:pPr>
        <w:jc w:val="both"/>
        <w:divId w:val="930238190"/>
        <w:rPr>
          <w:rFonts w:eastAsia="Times New Roman"/>
        </w:rPr>
      </w:pPr>
      <w:r>
        <w:rPr>
          <w:rFonts w:eastAsia="Times New Roman"/>
          <w:sz w:val="20"/>
          <w:szCs w:val="20"/>
        </w:rPr>
        <w:t>The market prices for the underlying commodities used to determine A. above were adjusted adversely by a hypothetical 10% change and compared to the fair value amounts in A. above to project the potential negative impact on earnings that would be recognize</w:t>
      </w:r>
      <w:r>
        <w:rPr>
          <w:rFonts w:eastAsia="Times New Roman"/>
          <w:sz w:val="20"/>
          <w:szCs w:val="20"/>
        </w:rPr>
        <w:t>d for the respective scenario</w:t>
      </w:r>
      <w:r>
        <w:rPr>
          <w:rFonts w:eastAsia="Times New Roman"/>
          <w:sz w:val="20"/>
          <w:szCs w:val="20"/>
        </w:rPr>
        <w:t>.</w:t>
      </w:r>
    </w:p>
    <w:p w14:paraId="35FD8148" w14:textId="77777777" w:rsidR="00000000" w:rsidRDefault="00832D71">
      <w:pPr>
        <w:pStyle w:val="a3"/>
        <w:spacing w:before="240" w:beforeAutospacing="0" w:after="0" w:afterAutospacing="0"/>
        <w:ind w:firstLine="555"/>
        <w:jc w:val="both"/>
        <w:rPr>
          <w:sz w:val="20"/>
          <w:szCs w:val="20"/>
        </w:rPr>
      </w:pPr>
      <w:r>
        <w:rPr>
          <w:sz w:val="20"/>
          <w:szCs w:val="20"/>
        </w:rPr>
        <w:t>Based on the sensitivity analysis described above, the hypothetical 10% adverse change in market prices for open derivative instruments as of September 24, 2022 indicates a decrease in potential future net gains of $11.1 mill</w:t>
      </w:r>
      <w:r>
        <w:rPr>
          <w:sz w:val="20"/>
          <w:szCs w:val="20"/>
        </w:rPr>
        <w:t>ion. See also Item 7A of this Annual Report. The above hypothetical change does not reflect the worst case scenario. Actual results may be significantly different depending on market conditions and the composition of the open position portfolio</w:t>
      </w:r>
      <w:r>
        <w:rPr>
          <w:sz w:val="20"/>
          <w:szCs w:val="20"/>
        </w:rPr>
        <w:t>.</w:t>
      </w:r>
    </w:p>
    <w:p w14:paraId="5955656C" w14:textId="77777777" w:rsidR="00000000" w:rsidRDefault="00832D71">
      <w:pPr>
        <w:pStyle w:val="a3"/>
        <w:spacing w:before="0" w:beforeAutospacing="0" w:after="0" w:afterAutospacing="0"/>
        <w:jc w:val="center"/>
        <w:rPr>
          <w:sz w:val="20"/>
          <w:szCs w:val="20"/>
        </w:rPr>
      </w:pPr>
      <w:r>
        <w:rPr>
          <w:sz w:val="20"/>
          <w:szCs w:val="20"/>
        </w:rPr>
        <w:t> </w:t>
      </w:r>
    </w:p>
    <w:p w14:paraId="3C20B7E7" w14:textId="77777777" w:rsidR="00000000" w:rsidRDefault="00832D71">
      <w:pPr>
        <w:pStyle w:val="a3"/>
        <w:spacing w:before="0" w:beforeAutospacing="0" w:after="0" w:afterAutospacing="0"/>
        <w:jc w:val="center"/>
        <w:rPr>
          <w:sz w:val="20"/>
          <w:szCs w:val="20"/>
        </w:rPr>
      </w:pPr>
      <w:r>
        <w:rPr>
          <w:sz w:val="20"/>
          <w:szCs w:val="20"/>
        </w:rPr>
        <w:t>4</w:t>
      </w:r>
      <w:r>
        <w:rPr>
          <w:sz w:val="20"/>
          <w:szCs w:val="20"/>
        </w:rPr>
        <w:t>1</w:t>
      </w:r>
    </w:p>
    <w:p w14:paraId="4E3BE053" w14:textId="77777777" w:rsidR="00000000" w:rsidRDefault="00832D71">
      <w:pPr>
        <w:rPr>
          <w:rFonts w:eastAsia="Times New Roman"/>
        </w:rPr>
      </w:pPr>
      <w:r>
        <w:rPr>
          <w:rFonts w:eastAsia="Times New Roman"/>
        </w:rPr>
        <w:pict w14:anchorId="366A3D04">
          <v:rect id="_x0000_i1068" style="width:0;height:1.5pt" o:hralign="center" o:hrstd="t" o:hr="t" fillcolor="#a0a0a0" stroked="f"/>
        </w:pict>
      </w:r>
    </w:p>
    <w:p w14:paraId="6A19ADF6"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7633A017" w14:textId="77777777" w:rsidR="00000000" w:rsidRDefault="00832D71">
      <w:pPr>
        <w:pStyle w:val="a3"/>
        <w:spacing w:before="0" w:beforeAutospacing="0" w:after="0" w:afterAutospacing="0"/>
        <w:ind w:hanging="1400"/>
        <w:jc w:val="both"/>
        <w:rPr>
          <w:sz w:val="20"/>
          <w:szCs w:val="20"/>
        </w:rPr>
      </w:pPr>
      <w:r>
        <w:rPr>
          <w:b/>
          <w:bCs/>
          <w:sz w:val="20"/>
          <w:szCs w:val="20"/>
        </w:rPr>
        <w:t>ITEM 8. FINANCIAL STATEME</w:t>
      </w:r>
      <w:r>
        <w:rPr>
          <w:b/>
          <w:bCs/>
          <w:sz w:val="20"/>
          <w:szCs w:val="20"/>
        </w:rPr>
        <w:t>N</w:t>
      </w:r>
      <w:r>
        <w:rPr>
          <w:b/>
          <w:bCs/>
          <w:sz w:val="20"/>
          <w:szCs w:val="20"/>
        </w:rPr>
        <w:t>TS AND SUPPLEMENTARY DAT</w:t>
      </w:r>
      <w:r>
        <w:rPr>
          <w:b/>
          <w:bCs/>
          <w:sz w:val="20"/>
          <w:szCs w:val="20"/>
        </w:rPr>
        <w:t>A</w:t>
      </w:r>
    </w:p>
    <w:p w14:paraId="35917782" w14:textId="77777777" w:rsidR="00000000" w:rsidRDefault="00832D71">
      <w:pPr>
        <w:pStyle w:val="a3"/>
        <w:spacing w:before="120" w:beforeAutospacing="0" w:after="0" w:afterAutospacing="0"/>
        <w:ind w:firstLine="555"/>
        <w:jc w:val="both"/>
        <w:rPr>
          <w:sz w:val="20"/>
          <w:szCs w:val="20"/>
        </w:rPr>
      </w:pPr>
      <w:r>
        <w:rPr>
          <w:sz w:val="20"/>
          <w:szCs w:val="20"/>
        </w:rPr>
        <w:t>Our Consolidated Financial Statements and the Report of Independent Registered Public Accounting Firm thereon list</w:t>
      </w:r>
      <w:r>
        <w:rPr>
          <w:sz w:val="20"/>
          <w:szCs w:val="20"/>
        </w:rPr>
        <w:t>ed on the accompanying Index to Financial Statements in Part IV, Item 15 (see page F-1) and the Supplemental Financial Information listed on the accompanying Index to Financial Statement Schedule in Part IV, Item 15 (see page S-1) are included herein</w:t>
      </w:r>
      <w:r>
        <w:rPr>
          <w:sz w:val="20"/>
          <w:szCs w:val="20"/>
        </w:rPr>
        <w:t>.</w:t>
      </w:r>
    </w:p>
    <w:p w14:paraId="28A29876" w14:textId="77777777" w:rsidR="00000000" w:rsidRDefault="00832D71">
      <w:pPr>
        <w:pStyle w:val="a3"/>
        <w:spacing w:before="360" w:beforeAutospacing="0" w:after="0" w:afterAutospacing="0"/>
        <w:jc w:val="both"/>
        <w:rPr>
          <w:sz w:val="20"/>
          <w:szCs w:val="20"/>
        </w:rPr>
      </w:pPr>
      <w:r>
        <w:rPr>
          <w:b/>
          <w:bCs/>
          <w:sz w:val="20"/>
          <w:szCs w:val="20"/>
        </w:rPr>
        <w:t>Sele</w:t>
      </w:r>
      <w:r>
        <w:rPr>
          <w:b/>
          <w:bCs/>
          <w:sz w:val="20"/>
          <w:szCs w:val="20"/>
        </w:rPr>
        <w:t>cted Quarterly Financial Dat</w:t>
      </w:r>
      <w:r>
        <w:rPr>
          <w:b/>
          <w:bCs/>
          <w:sz w:val="20"/>
          <w:szCs w:val="20"/>
        </w:rPr>
        <w:t>a</w:t>
      </w:r>
    </w:p>
    <w:p w14:paraId="00BF9F5E" w14:textId="77777777" w:rsidR="00000000" w:rsidRDefault="00832D71">
      <w:pPr>
        <w:pStyle w:val="a3"/>
        <w:spacing w:before="120" w:beforeAutospacing="0" w:after="0" w:afterAutospacing="0"/>
        <w:ind w:firstLine="555"/>
        <w:jc w:val="both"/>
        <w:rPr>
          <w:sz w:val="20"/>
          <w:szCs w:val="20"/>
        </w:rPr>
      </w:pPr>
      <w:r>
        <w:rPr>
          <w:sz w:val="20"/>
          <w:szCs w:val="20"/>
        </w:rPr>
        <w:t>Due to the seasonality of the retail propane, fuel oil and other refined fuel and natural gas businesses, our first and second quarter revenues and earnings are consistently greater than third and fourth quarter results. The f</w:t>
      </w:r>
      <w:r>
        <w:rPr>
          <w:sz w:val="20"/>
          <w:szCs w:val="20"/>
        </w:rPr>
        <w:t>ollowing presents our selected quarterly financial data for the last two fiscal years (unaudited; in thousands, except per unit amounts)</w:t>
      </w:r>
      <w:r>
        <w:rPr>
          <w:sz w:val="20"/>
          <w:szCs w:val="20"/>
        </w:rPr>
        <w:t>.</w:t>
      </w:r>
    </w:p>
    <w:p w14:paraId="52518AFA" w14:textId="77777777" w:rsidR="00000000" w:rsidRDefault="00832D7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06"/>
        <w:gridCol w:w="110"/>
        <w:gridCol w:w="160"/>
        <w:gridCol w:w="710"/>
        <w:gridCol w:w="127"/>
        <w:gridCol w:w="110"/>
        <w:gridCol w:w="160"/>
        <w:gridCol w:w="710"/>
        <w:gridCol w:w="127"/>
        <w:gridCol w:w="110"/>
        <w:gridCol w:w="160"/>
        <w:gridCol w:w="710"/>
        <w:gridCol w:w="127"/>
        <w:gridCol w:w="110"/>
        <w:gridCol w:w="160"/>
        <w:gridCol w:w="710"/>
        <w:gridCol w:w="127"/>
        <w:gridCol w:w="110"/>
        <w:gridCol w:w="160"/>
        <w:gridCol w:w="860"/>
        <w:gridCol w:w="142"/>
      </w:tblGrid>
      <w:tr w:rsidR="00000000" w14:paraId="6488D3F0" w14:textId="77777777">
        <w:trPr>
          <w:tblCellSpacing w:w="15" w:type="dxa"/>
        </w:trPr>
        <w:tc>
          <w:tcPr>
            <w:tcW w:w="1838" w:type="pct"/>
            <w:vAlign w:val="center"/>
            <w:hideMark/>
          </w:tcPr>
          <w:p w14:paraId="1D4D6AA5" w14:textId="77777777" w:rsidR="00000000" w:rsidRDefault="00832D71">
            <w:pPr>
              <w:rPr>
                <w:sz w:val="20"/>
                <w:szCs w:val="20"/>
              </w:rPr>
            </w:pPr>
          </w:p>
        </w:tc>
        <w:tc>
          <w:tcPr>
            <w:tcW w:w="61" w:type="pct"/>
            <w:vAlign w:val="center"/>
            <w:hideMark/>
          </w:tcPr>
          <w:p w14:paraId="3E01085E" w14:textId="77777777" w:rsidR="00000000" w:rsidRDefault="00832D71">
            <w:pPr>
              <w:rPr>
                <w:rFonts w:eastAsia="Times New Roman"/>
                <w:sz w:val="20"/>
                <w:szCs w:val="20"/>
              </w:rPr>
            </w:pPr>
          </w:p>
        </w:tc>
        <w:tc>
          <w:tcPr>
            <w:tcW w:w="50" w:type="pct"/>
            <w:vAlign w:val="center"/>
            <w:hideMark/>
          </w:tcPr>
          <w:p w14:paraId="48AAE27A" w14:textId="77777777" w:rsidR="00000000" w:rsidRDefault="00832D71">
            <w:pPr>
              <w:rPr>
                <w:rFonts w:eastAsia="Times New Roman"/>
                <w:sz w:val="20"/>
                <w:szCs w:val="20"/>
              </w:rPr>
            </w:pPr>
          </w:p>
        </w:tc>
        <w:tc>
          <w:tcPr>
            <w:tcW w:w="470" w:type="pct"/>
            <w:vAlign w:val="center"/>
            <w:hideMark/>
          </w:tcPr>
          <w:p w14:paraId="5EBF447A" w14:textId="77777777" w:rsidR="00000000" w:rsidRDefault="00832D71">
            <w:pPr>
              <w:rPr>
                <w:rFonts w:eastAsia="Times New Roman"/>
                <w:sz w:val="20"/>
                <w:szCs w:val="20"/>
              </w:rPr>
            </w:pPr>
          </w:p>
        </w:tc>
        <w:tc>
          <w:tcPr>
            <w:tcW w:w="50" w:type="pct"/>
            <w:vAlign w:val="center"/>
            <w:hideMark/>
          </w:tcPr>
          <w:p w14:paraId="6AB2D435" w14:textId="77777777" w:rsidR="00000000" w:rsidRDefault="00832D71">
            <w:pPr>
              <w:rPr>
                <w:rFonts w:eastAsia="Times New Roman"/>
                <w:sz w:val="20"/>
                <w:szCs w:val="20"/>
              </w:rPr>
            </w:pPr>
          </w:p>
        </w:tc>
        <w:tc>
          <w:tcPr>
            <w:tcW w:w="62" w:type="pct"/>
            <w:vAlign w:val="center"/>
            <w:hideMark/>
          </w:tcPr>
          <w:p w14:paraId="6983F7ED" w14:textId="77777777" w:rsidR="00000000" w:rsidRDefault="00832D71">
            <w:pPr>
              <w:rPr>
                <w:rFonts w:eastAsia="Times New Roman"/>
                <w:sz w:val="20"/>
                <w:szCs w:val="20"/>
              </w:rPr>
            </w:pPr>
          </w:p>
        </w:tc>
        <w:tc>
          <w:tcPr>
            <w:tcW w:w="50" w:type="pct"/>
            <w:vAlign w:val="center"/>
            <w:hideMark/>
          </w:tcPr>
          <w:p w14:paraId="06CB36E9" w14:textId="77777777" w:rsidR="00000000" w:rsidRDefault="00832D71">
            <w:pPr>
              <w:rPr>
                <w:rFonts w:eastAsia="Times New Roman"/>
                <w:sz w:val="20"/>
                <w:szCs w:val="20"/>
              </w:rPr>
            </w:pPr>
          </w:p>
        </w:tc>
        <w:tc>
          <w:tcPr>
            <w:tcW w:w="470" w:type="pct"/>
            <w:vAlign w:val="center"/>
            <w:hideMark/>
          </w:tcPr>
          <w:p w14:paraId="3D064D21" w14:textId="77777777" w:rsidR="00000000" w:rsidRDefault="00832D71">
            <w:pPr>
              <w:rPr>
                <w:rFonts w:eastAsia="Times New Roman"/>
                <w:sz w:val="20"/>
                <w:szCs w:val="20"/>
              </w:rPr>
            </w:pPr>
          </w:p>
        </w:tc>
        <w:tc>
          <w:tcPr>
            <w:tcW w:w="50" w:type="pct"/>
            <w:vAlign w:val="center"/>
            <w:hideMark/>
          </w:tcPr>
          <w:p w14:paraId="35C9C594" w14:textId="77777777" w:rsidR="00000000" w:rsidRDefault="00832D71">
            <w:pPr>
              <w:rPr>
                <w:rFonts w:eastAsia="Times New Roman"/>
                <w:sz w:val="20"/>
                <w:szCs w:val="20"/>
              </w:rPr>
            </w:pPr>
          </w:p>
        </w:tc>
        <w:tc>
          <w:tcPr>
            <w:tcW w:w="62" w:type="pct"/>
            <w:vAlign w:val="center"/>
            <w:hideMark/>
          </w:tcPr>
          <w:p w14:paraId="18AD8966" w14:textId="77777777" w:rsidR="00000000" w:rsidRDefault="00832D71">
            <w:pPr>
              <w:rPr>
                <w:rFonts w:eastAsia="Times New Roman"/>
                <w:sz w:val="20"/>
                <w:szCs w:val="20"/>
              </w:rPr>
            </w:pPr>
          </w:p>
        </w:tc>
        <w:tc>
          <w:tcPr>
            <w:tcW w:w="50" w:type="pct"/>
            <w:vAlign w:val="center"/>
            <w:hideMark/>
          </w:tcPr>
          <w:p w14:paraId="547CBE3C" w14:textId="77777777" w:rsidR="00000000" w:rsidRDefault="00832D71">
            <w:pPr>
              <w:rPr>
                <w:rFonts w:eastAsia="Times New Roman"/>
                <w:sz w:val="20"/>
                <w:szCs w:val="20"/>
              </w:rPr>
            </w:pPr>
          </w:p>
        </w:tc>
        <w:tc>
          <w:tcPr>
            <w:tcW w:w="470" w:type="pct"/>
            <w:vAlign w:val="center"/>
            <w:hideMark/>
          </w:tcPr>
          <w:p w14:paraId="509AD5C5" w14:textId="77777777" w:rsidR="00000000" w:rsidRDefault="00832D71">
            <w:pPr>
              <w:rPr>
                <w:rFonts w:eastAsia="Times New Roman"/>
                <w:sz w:val="20"/>
                <w:szCs w:val="20"/>
              </w:rPr>
            </w:pPr>
          </w:p>
        </w:tc>
        <w:tc>
          <w:tcPr>
            <w:tcW w:w="50" w:type="pct"/>
            <w:vAlign w:val="center"/>
            <w:hideMark/>
          </w:tcPr>
          <w:p w14:paraId="5F07B577" w14:textId="77777777" w:rsidR="00000000" w:rsidRDefault="00832D71">
            <w:pPr>
              <w:rPr>
                <w:rFonts w:eastAsia="Times New Roman"/>
                <w:sz w:val="20"/>
                <w:szCs w:val="20"/>
              </w:rPr>
            </w:pPr>
          </w:p>
        </w:tc>
        <w:tc>
          <w:tcPr>
            <w:tcW w:w="62" w:type="pct"/>
            <w:vAlign w:val="center"/>
            <w:hideMark/>
          </w:tcPr>
          <w:p w14:paraId="45C97A56" w14:textId="77777777" w:rsidR="00000000" w:rsidRDefault="00832D71">
            <w:pPr>
              <w:rPr>
                <w:rFonts w:eastAsia="Times New Roman"/>
                <w:sz w:val="20"/>
                <w:szCs w:val="20"/>
              </w:rPr>
            </w:pPr>
          </w:p>
        </w:tc>
        <w:tc>
          <w:tcPr>
            <w:tcW w:w="50" w:type="pct"/>
            <w:vAlign w:val="center"/>
            <w:hideMark/>
          </w:tcPr>
          <w:p w14:paraId="5D67027E" w14:textId="77777777" w:rsidR="00000000" w:rsidRDefault="00832D71">
            <w:pPr>
              <w:rPr>
                <w:rFonts w:eastAsia="Times New Roman"/>
                <w:sz w:val="20"/>
                <w:szCs w:val="20"/>
              </w:rPr>
            </w:pPr>
          </w:p>
        </w:tc>
        <w:tc>
          <w:tcPr>
            <w:tcW w:w="470" w:type="pct"/>
            <w:vAlign w:val="center"/>
            <w:hideMark/>
          </w:tcPr>
          <w:p w14:paraId="53D78007" w14:textId="77777777" w:rsidR="00000000" w:rsidRDefault="00832D71">
            <w:pPr>
              <w:rPr>
                <w:rFonts w:eastAsia="Times New Roman"/>
                <w:sz w:val="20"/>
                <w:szCs w:val="20"/>
              </w:rPr>
            </w:pPr>
          </w:p>
        </w:tc>
        <w:tc>
          <w:tcPr>
            <w:tcW w:w="50" w:type="pct"/>
            <w:vAlign w:val="center"/>
            <w:hideMark/>
          </w:tcPr>
          <w:p w14:paraId="0D5767BC" w14:textId="77777777" w:rsidR="00000000" w:rsidRDefault="00832D71">
            <w:pPr>
              <w:rPr>
                <w:rFonts w:eastAsia="Times New Roman"/>
                <w:sz w:val="20"/>
                <w:szCs w:val="20"/>
              </w:rPr>
            </w:pPr>
          </w:p>
        </w:tc>
        <w:tc>
          <w:tcPr>
            <w:tcW w:w="62" w:type="pct"/>
            <w:vAlign w:val="center"/>
            <w:hideMark/>
          </w:tcPr>
          <w:p w14:paraId="6D334CF1" w14:textId="77777777" w:rsidR="00000000" w:rsidRDefault="00832D71">
            <w:pPr>
              <w:rPr>
                <w:rFonts w:eastAsia="Times New Roman"/>
                <w:sz w:val="20"/>
                <w:szCs w:val="20"/>
              </w:rPr>
            </w:pPr>
          </w:p>
        </w:tc>
        <w:tc>
          <w:tcPr>
            <w:tcW w:w="50" w:type="pct"/>
            <w:vAlign w:val="center"/>
            <w:hideMark/>
          </w:tcPr>
          <w:p w14:paraId="641BBBD9" w14:textId="77777777" w:rsidR="00000000" w:rsidRDefault="00832D71">
            <w:pPr>
              <w:rPr>
                <w:rFonts w:eastAsia="Times New Roman"/>
                <w:sz w:val="20"/>
                <w:szCs w:val="20"/>
              </w:rPr>
            </w:pPr>
          </w:p>
        </w:tc>
        <w:tc>
          <w:tcPr>
            <w:tcW w:w="470" w:type="pct"/>
            <w:vAlign w:val="center"/>
            <w:hideMark/>
          </w:tcPr>
          <w:p w14:paraId="17026F3E" w14:textId="77777777" w:rsidR="00000000" w:rsidRDefault="00832D71">
            <w:pPr>
              <w:rPr>
                <w:rFonts w:eastAsia="Times New Roman"/>
                <w:sz w:val="20"/>
                <w:szCs w:val="20"/>
              </w:rPr>
            </w:pPr>
          </w:p>
        </w:tc>
        <w:tc>
          <w:tcPr>
            <w:tcW w:w="50" w:type="pct"/>
            <w:vAlign w:val="center"/>
            <w:hideMark/>
          </w:tcPr>
          <w:p w14:paraId="53725738" w14:textId="77777777" w:rsidR="00000000" w:rsidRDefault="00832D71">
            <w:pPr>
              <w:rPr>
                <w:rFonts w:eastAsia="Times New Roman"/>
                <w:sz w:val="20"/>
                <w:szCs w:val="20"/>
              </w:rPr>
            </w:pPr>
          </w:p>
        </w:tc>
      </w:tr>
      <w:tr w:rsidR="00000000" w14:paraId="7DDE09F8" w14:textId="77777777">
        <w:trPr>
          <w:trHeight w:val="160"/>
          <w:tblCellSpacing w:w="15" w:type="dxa"/>
        </w:trPr>
        <w:tc>
          <w:tcPr>
            <w:tcW w:w="0" w:type="auto"/>
            <w:vAlign w:val="bottom"/>
            <w:hideMark/>
          </w:tcPr>
          <w:p w14:paraId="70377AC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B6ED16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05654367" w14:textId="77777777" w:rsidR="00000000" w:rsidRDefault="00832D71">
            <w:pPr>
              <w:pStyle w:val="a3"/>
              <w:spacing w:before="0" w:beforeAutospacing="0" w:after="0" w:afterAutospacing="0"/>
              <w:jc w:val="center"/>
              <w:rPr>
                <w:sz w:val="16"/>
                <w:szCs w:val="16"/>
              </w:rPr>
            </w:pPr>
            <w:r>
              <w:rPr>
                <w:b/>
                <w:bCs/>
                <w:sz w:val="16"/>
                <w:szCs w:val="16"/>
              </w:rPr>
              <w:t>First</w:t>
            </w:r>
            <w:r>
              <w:rPr>
                <w:b/>
                <w:bCs/>
                <w:sz w:val="16"/>
                <w:szCs w:val="16"/>
              </w:rPr>
              <w:br/>
              <w:t>Quarte</w:t>
            </w:r>
            <w:r>
              <w:rPr>
                <w:b/>
                <w:bCs/>
                <w:sz w:val="16"/>
                <w:szCs w:val="16"/>
              </w:rPr>
              <w:t>r</w:t>
            </w:r>
          </w:p>
        </w:tc>
        <w:tc>
          <w:tcPr>
            <w:tcW w:w="0" w:type="auto"/>
            <w:vAlign w:val="center"/>
            <w:hideMark/>
          </w:tcPr>
          <w:p w14:paraId="18D7831D"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ECDA7F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52B1333A" w14:textId="77777777" w:rsidR="00000000" w:rsidRDefault="00832D71">
            <w:pPr>
              <w:pStyle w:val="a3"/>
              <w:spacing w:before="0" w:beforeAutospacing="0" w:after="0" w:afterAutospacing="0"/>
              <w:jc w:val="center"/>
              <w:rPr>
                <w:sz w:val="16"/>
                <w:szCs w:val="16"/>
              </w:rPr>
            </w:pPr>
            <w:r>
              <w:rPr>
                <w:b/>
                <w:bCs/>
                <w:sz w:val="16"/>
                <w:szCs w:val="16"/>
              </w:rPr>
              <w:t>Second</w:t>
            </w:r>
            <w:r>
              <w:rPr>
                <w:b/>
                <w:bCs/>
                <w:sz w:val="16"/>
                <w:szCs w:val="16"/>
              </w:rPr>
              <w:br/>
              <w:t>Quarte</w:t>
            </w:r>
            <w:r>
              <w:rPr>
                <w:b/>
                <w:bCs/>
                <w:sz w:val="16"/>
                <w:szCs w:val="16"/>
              </w:rPr>
              <w:t>r</w:t>
            </w:r>
          </w:p>
        </w:tc>
        <w:tc>
          <w:tcPr>
            <w:tcW w:w="0" w:type="auto"/>
            <w:vAlign w:val="center"/>
            <w:hideMark/>
          </w:tcPr>
          <w:p w14:paraId="73070E03"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0B1700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62241FA6" w14:textId="77777777" w:rsidR="00000000" w:rsidRDefault="00832D71">
            <w:pPr>
              <w:pStyle w:val="a3"/>
              <w:spacing w:before="0" w:beforeAutospacing="0" w:after="0" w:afterAutospacing="0"/>
              <w:jc w:val="center"/>
              <w:rPr>
                <w:sz w:val="16"/>
                <w:szCs w:val="16"/>
              </w:rPr>
            </w:pPr>
            <w:r>
              <w:rPr>
                <w:b/>
                <w:bCs/>
                <w:sz w:val="16"/>
                <w:szCs w:val="16"/>
              </w:rPr>
              <w:t>Third</w:t>
            </w:r>
            <w:r>
              <w:rPr>
                <w:b/>
                <w:bCs/>
                <w:sz w:val="16"/>
                <w:szCs w:val="16"/>
              </w:rPr>
              <w:br/>
              <w:t>Quarte</w:t>
            </w:r>
            <w:r>
              <w:rPr>
                <w:b/>
                <w:bCs/>
                <w:sz w:val="16"/>
                <w:szCs w:val="16"/>
              </w:rPr>
              <w:t>r</w:t>
            </w:r>
          </w:p>
        </w:tc>
        <w:tc>
          <w:tcPr>
            <w:tcW w:w="0" w:type="auto"/>
            <w:vAlign w:val="center"/>
            <w:hideMark/>
          </w:tcPr>
          <w:p w14:paraId="1EDF126D"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ED2A16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218618E0" w14:textId="77777777" w:rsidR="00000000" w:rsidRDefault="00832D71">
            <w:pPr>
              <w:pStyle w:val="a3"/>
              <w:spacing w:before="0" w:beforeAutospacing="0" w:after="0" w:afterAutospacing="0"/>
              <w:jc w:val="center"/>
              <w:rPr>
                <w:sz w:val="16"/>
                <w:szCs w:val="16"/>
              </w:rPr>
            </w:pPr>
            <w:r>
              <w:rPr>
                <w:b/>
                <w:bCs/>
                <w:sz w:val="16"/>
                <w:szCs w:val="16"/>
              </w:rPr>
              <w:t>Fourth</w:t>
            </w:r>
            <w:r>
              <w:rPr>
                <w:b/>
                <w:bCs/>
                <w:sz w:val="16"/>
                <w:szCs w:val="16"/>
              </w:rPr>
              <w:br/>
              <w:t>Quarte</w:t>
            </w:r>
            <w:r>
              <w:rPr>
                <w:b/>
                <w:bCs/>
                <w:sz w:val="16"/>
                <w:szCs w:val="16"/>
              </w:rPr>
              <w:t>r</w:t>
            </w:r>
          </w:p>
        </w:tc>
        <w:tc>
          <w:tcPr>
            <w:tcW w:w="0" w:type="auto"/>
            <w:vAlign w:val="center"/>
            <w:hideMark/>
          </w:tcPr>
          <w:p w14:paraId="30750EF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5CCA99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67921F94" w14:textId="77777777" w:rsidR="00000000" w:rsidRDefault="00832D71">
            <w:pPr>
              <w:pStyle w:val="a3"/>
              <w:spacing w:before="0" w:beforeAutospacing="0" w:after="0" w:afterAutospacing="0"/>
              <w:jc w:val="center"/>
              <w:rPr>
                <w:sz w:val="16"/>
                <w:szCs w:val="16"/>
              </w:rPr>
            </w:pPr>
            <w:r>
              <w:rPr>
                <w:b/>
                <w:bCs/>
                <w:sz w:val="16"/>
                <w:szCs w:val="16"/>
              </w:rPr>
              <w:t>Total</w:t>
            </w:r>
            <w:r>
              <w:rPr>
                <w:b/>
                <w:bCs/>
                <w:sz w:val="16"/>
                <w:szCs w:val="16"/>
              </w:rPr>
              <w:br/>
            </w:r>
            <w:r>
              <w:rPr>
                <w:b/>
                <w:bCs/>
                <w:sz w:val="16"/>
                <w:szCs w:val="16"/>
              </w:rPr>
              <w:t>Yea</w:t>
            </w:r>
            <w:r>
              <w:rPr>
                <w:b/>
                <w:bCs/>
                <w:sz w:val="16"/>
                <w:szCs w:val="16"/>
              </w:rPr>
              <w:t>r</w:t>
            </w:r>
          </w:p>
        </w:tc>
        <w:tc>
          <w:tcPr>
            <w:tcW w:w="0" w:type="auto"/>
            <w:vAlign w:val="center"/>
            <w:hideMark/>
          </w:tcPr>
          <w:p w14:paraId="6BD24CED"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BE6231D" w14:textId="77777777">
        <w:trPr>
          <w:trHeight w:val="200"/>
          <w:tblCellSpacing w:w="15" w:type="dxa"/>
        </w:trPr>
        <w:tc>
          <w:tcPr>
            <w:tcW w:w="0" w:type="auto"/>
            <w:hideMark/>
          </w:tcPr>
          <w:p w14:paraId="4A316242" w14:textId="77777777" w:rsidR="00000000" w:rsidRDefault="00832D71">
            <w:pPr>
              <w:pStyle w:val="a3"/>
              <w:spacing w:before="0" w:beforeAutospacing="0" w:after="0" w:afterAutospacing="0"/>
              <w:rPr>
                <w:sz w:val="20"/>
                <w:szCs w:val="20"/>
              </w:rPr>
            </w:pPr>
            <w:r>
              <w:rPr>
                <w:b/>
                <w:bCs/>
                <w:sz w:val="20"/>
                <w:szCs w:val="20"/>
                <w:u w:val="single"/>
              </w:rPr>
              <w:t>Fiscal 202</w:t>
            </w:r>
            <w:r>
              <w:rPr>
                <w:b/>
                <w:bCs/>
                <w:sz w:val="20"/>
                <w:szCs w:val="20"/>
                <w:u w:val="single"/>
              </w:rPr>
              <w:t>2</w:t>
            </w:r>
          </w:p>
        </w:tc>
        <w:tc>
          <w:tcPr>
            <w:tcW w:w="0" w:type="auto"/>
            <w:vAlign w:val="bottom"/>
            <w:hideMark/>
          </w:tcPr>
          <w:p w14:paraId="63935EDB"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7AAF27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423AEB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7F1ADB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DA32C0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7DC4EB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9C3FA2C"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E615F5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892B80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FAA223C"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CF014C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15A5DA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2C89CF4"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539EDB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A619034" w14:textId="77777777" w:rsidR="00000000" w:rsidRDefault="00832D71">
            <w:pPr>
              <w:pStyle w:val="a3"/>
              <w:spacing w:before="0" w:beforeAutospacing="0" w:after="0" w:afterAutospacing="0"/>
              <w:rPr>
                <w:sz w:val="20"/>
                <w:szCs w:val="20"/>
              </w:rPr>
            </w:pPr>
            <w:r>
              <w:rPr>
                <w:sz w:val="20"/>
                <w:szCs w:val="20"/>
              </w:rPr>
              <w:t> </w:t>
            </w:r>
          </w:p>
        </w:tc>
      </w:tr>
      <w:tr w:rsidR="00000000" w14:paraId="7FD46A2C" w14:textId="77777777">
        <w:trPr>
          <w:trHeight w:val="200"/>
          <w:tblCellSpacing w:w="15" w:type="dxa"/>
        </w:trPr>
        <w:tc>
          <w:tcPr>
            <w:tcW w:w="0" w:type="auto"/>
            <w:hideMark/>
          </w:tcPr>
          <w:p w14:paraId="16DDCBB5" w14:textId="77777777" w:rsidR="00000000" w:rsidRDefault="00832D71">
            <w:pPr>
              <w:pStyle w:val="a3"/>
              <w:spacing w:before="0" w:beforeAutospacing="0" w:after="0" w:afterAutospacing="0"/>
              <w:rPr>
                <w:sz w:val="20"/>
                <w:szCs w:val="20"/>
              </w:rPr>
            </w:pPr>
            <w:r>
              <w:rPr>
                <w:sz w:val="20"/>
                <w:szCs w:val="20"/>
              </w:rPr>
              <w:t>Revenue</w:t>
            </w:r>
            <w:r>
              <w:rPr>
                <w:sz w:val="20"/>
                <w:szCs w:val="20"/>
              </w:rPr>
              <w:t>s</w:t>
            </w:r>
          </w:p>
        </w:tc>
        <w:tc>
          <w:tcPr>
            <w:tcW w:w="0" w:type="auto"/>
            <w:vAlign w:val="bottom"/>
            <w:hideMark/>
          </w:tcPr>
          <w:p w14:paraId="55DC8CC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910DC8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6E9BA2D" w14:textId="77777777" w:rsidR="00000000" w:rsidRDefault="00832D71">
            <w:pPr>
              <w:pStyle w:val="a3"/>
              <w:spacing w:before="0" w:beforeAutospacing="0" w:after="0" w:afterAutospacing="0"/>
              <w:jc w:val="right"/>
              <w:rPr>
                <w:sz w:val="20"/>
                <w:szCs w:val="20"/>
              </w:rPr>
            </w:pPr>
            <w:r>
              <w:rPr>
                <w:sz w:val="20"/>
                <w:szCs w:val="20"/>
              </w:rPr>
              <w:t>375,40</w:t>
            </w:r>
            <w:r>
              <w:rPr>
                <w:sz w:val="20"/>
                <w:szCs w:val="20"/>
              </w:rPr>
              <w:t>7</w:t>
            </w:r>
          </w:p>
        </w:tc>
        <w:tc>
          <w:tcPr>
            <w:tcW w:w="0" w:type="auto"/>
            <w:noWrap/>
            <w:vAlign w:val="bottom"/>
            <w:hideMark/>
          </w:tcPr>
          <w:p w14:paraId="2F984FF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14003E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FE3957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8E974BC" w14:textId="77777777" w:rsidR="00000000" w:rsidRDefault="00832D71">
            <w:pPr>
              <w:pStyle w:val="a3"/>
              <w:spacing w:before="0" w:beforeAutospacing="0" w:after="0" w:afterAutospacing="0"/>
              <w:jc w:val="right"/>
              <w:rPr>
                <w:sz w:val="20"/>
                <w:szCs w:val="20"/>
              </w:rPr>
            </w:pPr>
            <w:r>
              <w:rPr>
                <w:sz w:val="20"/>
                <w:szCs w:val="20"/>
              </w:rPr>
              <w:t>588,09</w:t>
            </w:r>
            <w:r>
              <w:rPr>
                <w:sz w:val="20"/>
                <w:szCs w:val="20"/>
              </w:rPr>
              <w:t>5</w:t>
            </w:r>
          </w:p>
        </w:tc>
        <w:tc>
          <w:tcPr>
            <w:tcW w:w="0" w:type="auto"/>
            <w:noWrap/>
            <w:vAlign w:val="bottom"/>
            <w:hideMark/>
          </w:tcPr>
          <w:p w14:paraId="1F301D5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3E3387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EF8F30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F8EFBB5" w14:textId="77777777" w:rsidR="00000000" w:rsidRDefault="00832D71">
            <w:pPr>
              <w:pStyle w:val="a3"/>
              <w:spacing w:before="0" w:beforeAutospacing="0" w:after="0" w:afterAutospacing="0"/>
              <w:jc w:val="right"/>
              <w:rPr>
                <w:sz w:val="20"/>
                <w:szCs w:val="20"/>
              </w:rPr>
            </w:pPr>
            <w:r>
              <w:rPr>
                <w:sz w:val="20"/>
                <w:szCs w:val="20"/>
              </w:rPr>
              <w:t>300,33</w:t>
            </w:r>
            <w:r>
              <w:rPr>
                <w:sz w:val="20"/>
                <w:szCs w:val="20"/>
              </w:rPr>
              <w:t>2</w:t>
            </w:r>
          </w:p>
        </w:tc>
        <w:tc>
          <w:tcPr>
            <w:tcW w:w="0" w:type="auto"/>
            <w:noWrap/>
            <w:vAlign w:val="bottom"/>
            <w:hideMark/>
          </w:tcPr>
          <w:p w14:paraId="2B5B59D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A931BF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8A4EB2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9DD62B9" w14:textId="77777777" w:rsidR="00000000" w:rsidRDefault="00832D71">
            <w:pPr>
              <w:pStyle w:val="a3"/>
              <w:spacing w:before="0" w:beforeAutospacing="0" w:after="0" w:afterAutospacing="0"/>
              <w:jc w:val="right"/>
              <w:rPr>
                <w:sz w:val="20"/>
                <w:szCs w:val="20"/>
              </w:rPr>
            </w:pPr>
            <w:r>
              <w:rPr>
                <w:sz w:val="20"/>
                <w:szCs w:val="20"/>
              </w:rPr>
              <w:t>237,63</w:t>
            </w:r>
            <w:r>
              <w:rPr>
                <w:sz w:val="20"/>
                <w:szCs w:val="20"/>
              </w:rPr>
              <w:t>1</w:t>
            </w:r>
          </w:p>
        </w:tc>
        <w:tc>
          <w:tcPr>
            <w:tcW w:w="0" w:type="auto"/>
            <w:noWrap/>
            <w:vAlign w:val="bottom"/>
            <w:hideMark/>
          </w:tcPr>
          <w:p w14:paraId="1D21383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E7643C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A12690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F532B0B" w14:textId="77777777" w:rsidR="00000000" w:rsidRDefault="00832D71">
            <w:pPr>
              <w:pStyle w:val="a3"/>
              <w:spacing w:before="0" w:beforeAutospacing="0" w:after="0" w:afterAutospacing="0"/>
              <w:jc w:val="right"/>
              <w:rPr>
                <w:sz w:val="20"/>
                <w:szCs w:val="20"/>
              </w:rPr>
            </w:pPr>
            <w:r>
              <w:rPr>
                <w:sz w:val="20"/>
                <w:szCs w:val="20"/>
              </w:rPr>
              <w:t>1,501,46</w:t>
            </w:r>
            <w:r>
              <w:rPr>
                <w:sz w:val="20"/>
                <w:szCs w:val="20"/>
              </w:rPr>
              <w:t>5</w:t>
            </w:r>
          </w:p>
        </w:tc>
        <w:tc>
          <w:tcPr>
            <w:tcW w:w="0" w:type="auto"/>
            <w:noWrap/>
            <w:vAlign w:val="bottom"/>
            <w:hideMark/>
          </w:tcPr>
          <w:p w14:paraId="64A74379" w14:textId="77777777" w:rsidR="00000000" w:rsidRDefault="00832D71">
            <w:pPr>
              <w:pStyle w:val="a3"/>
              <w:spacing w:before="0" w:beforeAutospacing="0" w:after="0" w:afterAutospacing="0"/>
              <w:rPr>
                <w:sz w:val="20"/>
                <w:szCs w:val="20"/>
              </w:rPr>
            </w:pPr>
            <w:r>
              <w:rPr>
                <w:sz w:val="20"/>
                <w:szCs w:val="20"/>
              </w:rPr>
              <w:t> </w:t>
            </w:r>
          </w:p>
        </w:tc>
      </w:tr>
      <w:tr w:rsidR="00000000" w14:paraId="7FE1184E" w14:textId="77777777">
        <w:trPr>
          <w:trHeight w:val="200"/>
          <w:tblCellSpacing w:w="15" w:type="dxa"/>
        </w:trPr>
        <w:tc>
          <w:tcPr>
            <w:tcW w:w="0" w:type="auto"/>
            <w:hideMark/>
          </w:tcPr>
          <w:p w14:paraId="12FA056F" w14:textId="77777777" w:rsidR="00000000" w:rsidRDefault="00832D71">
            <w:pPr>
              <w:pStyle w:val="a3"/>
              <w:spacing w:before="0" w:beforeAutospacing="0" w:after="0" w:afterAutospacing="0"/>
              <w:rPr>
                <w:sz w:val="20"/>
                <w:szCs w:val="20"/>
              </w:rPr>
            </w:pPr>
            <w:r>
              <w:rPr>
                <w:sz w:val="20"/>
                <w:szCs w:val="20"/>
              </w:rPr>
              <w:t>Costs of products sol</w:t>
            </w:r>
            <w:r>
              <w:rPr>
                <w:sz w:val="20"/>
                <w:szCs w:val="20"/>
              </w:rPr>
              <w:t>d</w:t>
            </w:r>
          </w:p>
        </w:tc>
        <w:tc>
          <w:tcPr>
            <w:tcW w:w="0" w:type="auto"/>
            <w:vAlign w:val="bottom"/>
            <w:hideMark/>
          </w:tcPr>
          <w:p w14:paraId="1CAF391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92DB89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A0F4A27" w14:textId="77777777" w:rsidR="00000000" w:rsidRDefault="00832D71">
            <w:pPr>
              <w:pStyle w:val="a3"/>
              <w:spacing w:before="0" w:beforeAutospacing="0" w:after="0" w:afterAutospacing="0"/>
              <w:jc w:val="right"/>
              <w:rPr>
                <w:sz w:val="20"/>
                <w:szCs w:val="20"/>
              </w:rPr>
            </w:pPr>
            <w:r>
              <w:rPr>
                <w:sz w:val="20"/>
                <w:szCs w:val="20"/>
              </w:rPr>
              <w:t>196,33</w:t>
            </w:r>
            <w:r>
              <w:rPr>
                <w:sz w:val="20"/>
                <w:szCs w:val="20"/>
              </w:rPr>
              <w:t>8</w:t>
            </w:r>
          </w:p>
        </w:tc>
        <w:tc>
          <w:tcPr>
            <w:tcW w:w="0" w:type="auto"/>
            <w:noWrap/>
            <w:vAlign w:val="bottom"/>
            <w:hideMark/>
          </w:tcPr>
          <w:p w14:paraId="779C971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D5CBD1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9CF320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CBF67D3" w14:textId="77777777" w:rsidR="00000000" w:rsidRDefault="00832D71">
            <w:pPr>
              <w:pStyle w:val="a3"/>
              <w:spacing w:before="0" w:beforeAutospacing="0" w:after="0" w:afterAutospacing="0"/>
              <w:jc w:val="right"/>
              <w:rPr>
                <w:sz w:val="20"/>
                <w:szCs w:val="20"/>
              </w:rPr>
            </w:pPr>
            <w:r>
              <w:rPr>
                <w:sz w:val="20"/>
                <w:szCs w:val="20"/>
              </w:rPr>
              <w:t>239,03</w:t>
            </w:r>
            <w:r>
              <w:rPr>
                <w:sz w:val="20"/>
                <w:szCs w:val="20"/>
              </w:rPr>
              <w:t>1</w:t>
            </w:r>
          </w:p>
        </w:tc>
        <w:tc>
          <w:tcPr>
            <w:tcW w:w="0" w:type="auto"/>
            <w:noWrap/>
            <w:vAlign w:val="bottom"/>
            <w:hideMark/>
          </w:tcPr>
          <w:p w14:paraId="75FEDA7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D1139F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8E98E1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2FC4479" w14:textId="77777777" w:rsidR="00000000" w:rsidRDefault="00832D71">
            <w:pPr>
              <w:pStyle w:val="a3"/>
              <w:spacing w:before="0" w:beforeAutospacing="0" w:after="0" w:afterAutospacing="0"/>
              <w:jc w:val="right"/>
              <w:rPr>
                <w:sz w:val="20"/>
                <w:szCs w:val="20"/>
              </w:rPr>
            </w:pPr>
            <w:r>
              <w:rPr>
                <w:sz w:val="20"/>
                <w:szCs w:val="20"/>
              </w:rPr>
              <w:t>140,93</w:t>
            </w:r>
            <w:r>
              <w:rPr>
                <w:sz w:val="20"/>
                <w:szCs w:val="20"/>
              </w:rPr>
              <w:t>0</w:t>
            </w:r>
          </w:p>
        </w:tc>
        <w:tc>
          <w:tcPr>
            <w:tcW w:w="0" w:type="auto"/>
            <w:noWrap/>
            <w:vAlign w:val="bottom"/>
            <w:hideMark/>
          </w:tcPr>
          <w:p w14:paraId="42DB9A1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DB25C4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E8B3BC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E802FDB" w14:textId="77777777" w:rsidR="00000000" w:rsidRDefault="00832D71">
            <w:pPr>
              <w:pStyle w:val="a3"/>
              <w:spacing w:before="0" w:beforeAutospacing="0" w:after="0" w:afterAutospacing="0"/>
              <w:jc w:val="right"/>
              <w:rPr>
                <w:sz w:val="20"/>
                <w:szCs w:val="20"/>
              </w:rPr>
            </w:pPr>
            <w:r>
              <w:rPr>
                <w:sz w:val="20"/>
                <w:szCs w:val="20"/>
              </w:rPr>
              <w:t>135,82</w:t>
            </w:r>
            <w:r>
              <w:rPr>
                <w:sz w:val="20"/>
                <w:szCs w:val="20"/>
              </w:rPr>
              <w:t>4</w:t>
            </w:r>
          </w:p>
        </w:tc>
        <w:tc>
          <w:tcPr>
            <w:tcW w:w="0" w:type="auto"/>
            <w:noWrap/>
            <w:vAlign w:val="bottom"/>
            <w:hideMark/>
          </w:tcPr>
          <w:p w14:paraId="16B8CF1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AEE240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CE9565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EA15498" w14:textId="77777777" w:rsidR="00000000" w:rsidRDefault="00832D71">
            <w:pPr>
              <w:pStyle w:val="a3"/>
              <w:spacing w:before="0" w:beforeAutospacing="0" w:after="0" w:afterAutospacing="0"/>
              <w:jc w:val="right"/>
              <w:rPr>
                <w:sz w:val="20"/>
                <w:szCs w:val="20"/>
              </w:rPr>
            </w:pPr>
            <w:r>
              <w:rPr>
                <w:sz w:val="20"/>
                <w:szCs w:val="20"/>
              </w:rPr>
              <w:t>712,12</w:t>
            </w:r>
            <w:r>
              <w:rPr>
                <w:sz w:val="20"/>
                <w:szCs w:val="20"/>
              </w:rPr>
              <w:t>3</w:t>
            </w:r>
          </w:p>
        </w:tc>
        <w:tc>
          <w:tcPr>
            <w:tcW w:w="0" w:type="auto"/>
            <w:noWrap/>
            <w:vAlign w:val="bottom"/>
            <w:hideMark/>
          </w:tcPr>
          <w:p w14:paraId="5E3705A9" w14:textId="77777777" w:rsidR="00000000" w:rsidRDefault="00832D71">
            <w:pPr>
              <w:pStyle w:val="a3"/>
              <w:spacing w:before="0" w:beforeAutospacing="0" w:after="0" w:afterAutospacing="0"/>
              <w:rPr>
                <w:sz w:val="20"/>
                <w:szCs w:val="20"/>
              </w:rPr>
            </w:pPr>
            <w:r>
              <w:rPr>
                <w:sz w:val="20"/>
                <w:szCs w:val="20"/>
              </w:rPr>
              <w:t> </w:t>
            </w:r>
          </w:p>
        </w:tc>
      </w:tr>
      <w:tr w:rsidR="00000000" w14:paraId="0956CA1E" w14:textId="77777777">
        <w:trPr>
          <w:trHeight w:val="200"/>
          <w:tblCellSpacing w:w="15" w:type="dxa"/>
        </w:trPr>
        <w:tc>
          <w:tcPr>
            <w:tcW w:w="0" w:type="auto"/>
            <w:hideMark/>
          </w:tcPr>
          <w:p w14:paraId="796E6876" w14:textId="77777777" w:rsidR="00000000" w:rsidRDefault="00832D71">
            <w:pPr>
              <w:pStyle w:val="a3"/>
              <w:spacing w:before="0" w:beforeAutospacing="0" w:after="0" w:afterAutospacing="0"/>
              <w:rPr>
                <w:sz w:val="20"/>
                <w:szCs w:val="20"/>
              </w:rPr>
            </w:pPr>
            <w:r>
              <w:rPr>
                <w:sz w:val="20"/>
                <w:szCs w:val="20"/>
              </w:rPr>
              <w:t>Operating income (loss</w:t>
            </w:r>
            <w:r>
              <w:rPr>
                <w:sz w:val="20"/>
                <w:szCs w:val="20"/>
              </w:rPr>
              <w:t>)</w:t>
            </w:r>
          </w:p>
        </w:tc>
        <w:tc>
          <w:tcPr>
            <w:tcW w:w="0" w:type="auto"/>
            <w:vAlign w:val="bottom"/>
            <w:hideMark/>
          </w:tcPr>
          <w:p w14:paraId="1BAA681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367D92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20279BE" w14:textId="77777777" w:rsidR="00000000" w:rsidRDefault="00832D71">
            <w:pPr>
              <w:pStyle w:val="a3"/>
              <w:spacing w:before="0" w:beforeAutospacing="0" w:after="0" w:afterAutospacing="0"/>
              <w:jc w:val="right"/>
              <w:rPr>
                <w:sz w:val="20"/>
                <w:szCs w:val="20"/>
              </w:rPr>
            </w:pPr>
            <w:r>
              <w:rPr>
                <w:sz w:val="20"/>
                <w:szCs w:val="20"/>
              </w:rPr>
              <w:t>37,25</w:t>
            </w:r>
            <w:r>
              <w:rPr>
                <w:sz w:val="20"/>
                <w:szCs w:val="20"/>
              </w:rPr>
              <w:t>6</w:t>
            </w:r>
          </w:p>
        </w:tc>
        <w:tc>
          <w:tcPr>
            <w:tcW w:w="0" w:type="auto"/>
            <w:noWrap/>
            <w:vAlign w:val="bottom"/>
            <w:hideMark/>
          </w:tcPr>
          <w:p w14:paraId="6405607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D51909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D25AE6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9A07751" w14:textId="77777777" w:rsidR="00000000" w:rsidRDefault="00832D71">
            <w:pPr>
              <w:pStyle w:val="a3"/>
              <w:spacing w:before="0" w:beforeAutospacing="0" w:after="0" w:afterAutospacing="0"/>
              <w:jc w:val="right"/>
              <w:rPr>
                <w:sz w:val="20"/>
                <w:szCs w:val="20"/>
              </w:rPr>
            </w:pPr>
            <w:r>
              <w:rPr>
                <w:sz w:val="20"/>
                <w:szCs w:val="20"/>
              </w:rPr>
              <w:t>191,96</w:t>
            </w:r>
            <w:r>
              <w:rPr>
                <w:sz w:val="20"/>
                <w:szCs w:val="20"/>
              </w:rPr>
              <w:t>1</w:t>
            </w:r>
          </w:p>
        </w:tc>
        <w:tc>
          <w:tcPr>
            <w:tcW w:w="0" w:type="auto"/>
            <w:noWrap/>
            <w:vAlign w:val="bottom"/>
            <w:hideMark/>
          </w:tcPr>
          <w:p w14:paraId="0C0E266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5E5392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5CE7C4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D82E4AC" w14:textId="77777777" w:rsidR="00000000" w:rsidRDefault="00832D71">
            <w:pPr>
              <w:pStyle w:val="a3"/>
              <w:spacing w:before="0" w:beforeAutospacing="0" w:after="0" w:afterAutospacing="0"/>
              <w:jc w:val="right"/>
              <w:rPr>
                <w:sz w:val="20"/>
                <w:szCs w:val="20"/>
              </w:rPr>
            </w:pPr>
            <w:r>
              <w:rPr>
                <w:sz w:val="20"/>
                <w:szCs w:val="20"/>
              </w:rPr>
              <w:t>14,77</w:t>
            </w:r>
            <w:r>
              <w:rPr>
                <w:sz w:val="20"/>
                <w:szCs w:val="20"/>
              </w:rPr>
              <w:t>1</w:t>
            </w:r>
          </w:p>
        </w:tc>
        <w:tc>
          <w:tcPr>
            <w:tcW w:w="0" w:type="auto"/>
            <w:noWrap/>
            <w:vAlign w:val="bottom"/>
            <w:hideMark/>
          </w:tcPr>
          <w:p w14:paraId="118B606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AFDC83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4F7222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7E50348" w14:textId="77777777" w:rsidR="00000000" w:rsidRDefault="00832D71">
            <w:pPr>
              <w:pStyle w:val="a3"/>
              <w:spacing w:before="0" w:beforeAutospacing="0" w:after="0" w:afterAutospacing="0"/>
              <w:jc w:val="right"/>
              <w:rPr>
                <w:sz w:val="20"/>
                <w:szCs w:val="20"/>
              </w:rPr>
            </w:pPr>
            <w:r>
              <w:rPr>
                <w:sz w:val="20"/>
                <w:szCs w:val="20"/>
              </w:rPr>
              <w:t>(37,66</w:t>
            </w:r>
            <w:r>
              <w:rPr>
                <w:sz w:val="20"/>
                <w:szCs w:val="20"/>
              </w:rPr>
              <w:t>1</w:t>
            </w:r>
          </w:p>
        </w:tc>
        <w:tc>
          <w:tcPr>
            <w:tcW w:w="0" w:type="auto"/>
            <w:noWrap/>
            <w:vAlign w:val="bottom"/>
            <w:hideMark/>
          </w:tcPr>
          <w:p w14:paraId="27BBE34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E0C14C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0870B2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7C3118F" w14:textId="77777777" w:rsidR="00000000" w:rsidRDefault="00832D71">
            <w:pPr>
              <w:pStyle w:val="a3"/>
              <w:spacing w:before="0" w:beforeAutospacing="0" w:after="0" w:afterAutospacing="0"/>
              <w:jc w:val="right"/>
              <w:rPr>
                <w:sz w:val="20"/>
                <w:szCs w:val="20"/>
              </w:rPr>
            </w:pPr>
            <w:r>
              <w:rPr>
                <w:sz w:val="20"/>
                <w:szCs w:val="20"/>
              </w:rPr>
              <w:t>206,32</w:t>
            </w:r>
            <w:r>
              <w:rPr>
                <w:sz w:val="20"/>
                <w:szCs w:val="20"/>
              </w:rPr>
              <w:t>7</w:t>
            </w:r>
          </w:p>
        </w:tc>
        <w:tc>
          <w:tcPr>
            <w:tcW w:w="0" w:type="auto"/>
            <w:noWrap/>
            <w:vAlign w:val="bottom"/>
            <w:hideMark/>
          </w:tcPr>
          <w:p w14:paraId="51857E9A" w14:textId="77777777" w:rsidR="00000000" w:rsidRDefault="00832D71">
            <w:pPr>
              <w:pStyle w:val="a3"/>
              <w:spacing w:before="0" w:beforeAutospacing="0" w:after="0" w:afterAutospacing="0"/>
              <w:rPr>
                <w:sz w:val="20"/>
                <w:szCs w:val="20"/>
              </w:rPr>
            </w:pPr>
            <w:r>
              <w:rPr>
                <w:sz w:val="20"/>
                <w:szCs w:val="20"/>
              </w:rPr>
              <w:t> </w:t>
            </w:r>
          </w:p>
        </w:tc>
      </w:tr>
      <w:tr w:rsidR="00000000" w14:paraId="5FBA33B4" w14:textId="77777777">
        <w:trPr>
          <w:trHeight w:val="200"/>
          <w:tblCellSpacing w:w="15" w:type="dxa"/>
        </w:trPr>
        <w:tc>
          <w:tcPr>
            <w:tcW w:w="0" w:type="auto"/>
            <w:hideMark/>
          </w:tcPr>
          <w:p w14:paraId="61949127" w14:textId="77777777" w:rsidR="00000000" w:rsidRDefault="00832D71">
            <w:pPr>
              <w:pStyle w:val="a3"/>
              <w:spacing w:before="0" w:beforeAutospacing="0" w:after="0" w:afterAutospacing="0"/>
              <w:rPr>
                <w:sz w:val="20"/>
                <w:szCs w:val="20"/>
              </w:rPr>
            </w:pPr>
            <w:r>
              <w:rPr>
                <w:sz w:val="20"/>
                <w:szCs w:val="20"/>
              </w:rPr>
              <w:t>Net income (loss</w:t>
            </w:r>
            <w:r>
              <w:rPr>
                <w:sz w:val="20"/>
                <w:szCs w:val="20"/>
              </w:rPr>
              <w:t>)</w:t>
            </w:r>
          </w:p>
        </w:tc>
        <w:tc>
          <w:tcPr>
            <w:tcW w:w="0" w:type="auto"/>
            <w:vAlign w:val="bottom"/>
            <w:hideMark/>
          </w:tcPr>
          <w:p w14:paraId="1B915E1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2D422F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F4DA8C2" w14:textId="77777777" w:rsidR="00000000" w:rsidRDefault="00832D71">
            <w:pPr>
              <w:pStyle w:val="a3"/>
              <w:spacing w:before="0" w:beforeAutospacing="0" w:after="0" w:afterAutospacing="0"/>
              <w:jc w:val="right"/>
              <w:rPr>
                <w:sz w:val="20"/>
                <w:szCs w:val="20"/>
              </w:rPr>
            </w:pPr>
            <w:r>
              <w:rPr>
                <w:sz w:val="20"/>
                <w:szCs w:val="20"/>
              </w:rPr>
              <w:t>21,29</w:t>
            </w:r>
            <w:r>
              <w:rPr>
                <w:sz w:val="20"/>
                <w:szCs w:val="20"/>
              </w:rPr>
              <w:t>8</w:t>
            </w:r>
          </w:p>
        </w:tc>
        <w:tc>
          <w:tcPr>
            <w:tcW w:w="0" w:type="auto"/>
            <w:noWrap/>
            <w:vAlign w:val="bottom"/>
            <w:hideMark/>
          </w:tcPr>
          <w:p w14:paraId="314FE43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0F294E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5473EF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947ED97" w14:textId="77777777" w:rsidR="00000000" w:rsidRDefault="00832D71">
            <w:pPr>
              <w:pStyle w:val="a3"/>
              <w:spacing w:before="0" w:beforeAutospacing="0" w:after="0" w:afterAutospacing="0"/>
              <w:jc w:val="right"/>
              <w:rPr>
                <w:sz w:val="20"/>
                <w:szCs w:val="20"/>
              </w:rPr>
            </w:pPr>
            <w:r>
              <w:rPr>
                <w:sz w:val="20"/>
                <w:szCs w:val="20"/>
              </w:rPr>
              <w:t>175,10</w:t>
            </w:r>
            <w:r>
              <w:rPr>
                <w:sz w:val="20"/>
                <w:szCs w:val="20"/>
              </w:rPr>
              <w:t>2</w:t>
            </w:r>
          </w:p>
        </w:tc>
        <w:tc>
          <w:tcPr>
            <w:tcW w:w="0" w:type="auto"/>
            <w:noWrap/>
            <w:vAlign w:val="bottom"/>
            <w:hideMark/>
          </w:tcPr>
          <w:p w14:paraId="47727B7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DF86F1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ECB52F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939FC96" w14:textId="77777777" w:rsidR="00000000" w:rsidRDefault="00832D71">
            <w:pPr>
              <w:pStyle w:val="a3"/>
              <w:spacing w:before="0" w:beforeAutospacing="0" w:after="0" w:afterAutospacing="0"/>
              <w:jc w:val="right"/>
              <w:rPr>
                <w:sz w:val="20"/>
                <w:szCs w:val="20"/>
              </w:rPr>
            </w:pPr>
            <w:r>
              <w:rPr>
                <w:sz w:val="20"/>
                <w:szCs w:val="20"/>
              </w:rPr>
              <w:t>(2,53</w:t>
            </w:r>
            <w:r>
              <w:rPr>
                <w:sz w:val="20"/>
                <w:szCs w:val="20"/>
              </w:rPr>
              <w:t>5</w:t>
            </w:r>
          </w:p>
        </w:tc>
        <w:tc>
          <w:tcPr>
            <w:tcW w:w="0" w:type="auto"/>
            <w:noWrap/>
            <w:vAlign w:val="bottom"/>
            <w:hideMark/>
          </w:tcPr>
          <w:p w14:paraId="309BC4D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2DAFE0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64FA2B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8230AD9" w14:textId="77777777" w:rsidR="00000000" w:rsidRDefault="00832D71">
            <w:pPr>
              <w:pStyle w:val="a3"/>
              <w:spacing w:before="0" w:beforeAutospacing="0" w:after="0" w:afterAutospacing="0"/>
              <w:jc w:val="right"/>
              <w:rPr>
                <w:sz w:val="20"/>
                <w:szCs w:val="20"/>
              </w:rPr>
            </w:pPr>
            <w:r>
              <w:rPr>
                <w:sz w:val="20"/>
                <w:szCs w:val="20"/>
              </w:rPr>
              <w:t>(54,15</w:t>
            </w:r>
            <w:r>
              <w:rPr>
                <w:sz w:val="20"/>
                <w:szCs w:val="20"/>
              </w:rPr>
              <w:t>7</w:t>
            </w:r>
          </w:p>
        </w:tc>
        <w:tc>
          <w:tcPr>
            <w:tcW w:w="0" w:type="auto"/>
            <w:noWrap/>
            <w:vAlign w:val="bottom"/>
            <w:hideMark/>
          </w:tcPr>
          <w:p w14:paraId="3363E6A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A95250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6BA87D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CFAE89A" w14:textId="77777777" w:rsidR="00000000" w:rsidRDefault="00832D71">
            <w:pPr>
              <w:pStyle w:val="a3"/>
              <w:spacing w:before="0" w:beforeAutospacing="0" w:after="0" w:afterAutospacing="0"/>
              <w:jc w:val="right"/>
              <w:rPr>
                <w:sz w:val="20"/>
                <w:szCs w:val="20"/>
              </w:rPr>
            </w:pPr>
            <w:r>
              <w:rPr>
                <w:sz w:val="20"/>
                <w:szCs w:val="20"/>
              </w:rPr>
              <w:t>139,70</w:t>
            </w:r>
            <w:r>
              <w:rPr>
                <w:sz w:val="20"/>
                <w:szCs w:val="20"/>
              </w:rPr>
              <w:t>8</w:t>
            </w:r>
          </w:p>
        </w:tc>
        <w:tc>
          <w:tcPr>
            <w:tcW w:w="0" w:type="auto"/>
            <w:noWrap/>
            <w:vAlign w:val="bottom"/>
            <w:hideMark/>
          </w:tcPr>
          <w:p w14:paraId="60BA2214" w14:textId="77777777" w:rsidR="00000000" w:rsidRDefault="00832D71">
            <w:pPr>
              <w:pStyle w:val="a3"/>
              <w:spacing w:before="0" w:beforeAutospacing="0" w:after="0" w:afterAutospacing="0"/>
              <w:rPr>
                <w:sz w:val="20"/>
                <w:szCs w:val="20"/>
              </w:rPr>
            </w:pPr>
            <w:r>
              <w:rPr>
                <w:sz w:val="20"/>
                <w:szCs w:val="20"/>
              </w:rPr>
              <w:t> </w:t>
            </w:r>
          </w:p>
        </w:tc>
      </w:tr>
      <w:tr w:rsidR="00000000" w14:paraId="20CF9EEA" w14:textId="77777777">
        <w:trPr>
          <w:trHeight w:val="200"/>
          <w:tblCellSpacing w:w="15" w:type="dxa"/>
        </w:trPr>
        <w:tc>
          <w:tcPr>
            <w:tcW w:w="0" w:type="auto"/>
            <w:hideMark/>
          </w:tcPr>
          <w:p w14:paraId="055E6373" w14:textId="77777777" w:rsidR="00000000" w:rsidRDefault="00832D71">
            <w:pPr>
              <w:pStyle w:val="a3"/>
              <w:spacing w:before="0" w:beforeAutospacing="0" w:after="0" w:afterAutospacing="0"/>
              <w:rPr>
                <w:sz w:val="20"/>
                <w:szCs w:val="20"/>
              </w:rPr>
            </w:pPr>
            <w:r>
              <w:rPr>
                <w:sz w:val="20"/>
                <w:szCs w:val="20"/>
              </w:rPr>
              <w:t>Net income (loss) per Common Unit - basic (a</w:t>
            </w:r>
            <w:r>
              <w:rPr>
                <w:sz w:val="20"/>
                <w:szCs w:val="20"/>
              </w:rPr>
              <w:t>)</w:t>
            </w:r>
          </w:p>
        </w:tc>
        <w:tc>
          <w:tcPr>
            <w:tcW w:w="0" w:type="auto"/>
            <w:vAlign w:val="bottom"/>
            <w:hideMark/>
          </w:tcPr>
          <w:p w14:paraId="1119EB3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A60D4C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FCE9FB1" w14:textId="77777777" w:rsidR="00000000" w:rsidRDefault="00832D71">
            <w:pPr>
              <w:pStyle w:val="a3"/>
              <w:spacing w:before="0" w:beforeAutospacing="0" w:after="0" w:afterAutospacing="0"/>
              <w:jc w:val="right"/>
              <w:rPr>
                <w:sz w:val="20"/>
                <w:szCs w:val="20"/>
              </w:rPr>
            </w:pPr>
            <w:r>
              <w:rPr>
                <w:sz w:val="20"/>
                <w:szCs w:val="20"/>
              </w:rPr>
              <w:t>0.3</w:t>
            </w:r>
            <w:r>
              <w:rPr>
                <w:sz w:val="20"/>
                <w:szCs w:val="20"/>
              </w:rPr>
              <w:t>4</w:t>
            </w:r>
          </w:p>
        </w:tc>
        <w:tc>
          <w:tcPr>
            <w:tcW w:w="0" w:type="auto"/>
            <w:noWrap/>
            <w:vAlign w:val="bottom"/>
            <w:hideMark/>
          </w:tcPr>
          <w:p w14:paraId="14D1304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834F71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2F91B0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98DDECB" w14:textId="77777777" w:rsidR="00000000" w:rsidRDefault="00832D71">
            <w:pPr>
              <w:pStyle w:val="a3"/>
              <w:spacing w:before="0" w:beforeAutospacing="0" w:after="0" w:afterAutospacing="0"/>
              <w:jc w:val="right"/>
              <w:rPr>
                <w:sz w:val="20"/>
                <w:szCs w:val="20"/>
              </w:rPr>
            </w:pPr>
            <w:r>
              <w:rPr>
                <w:sz w:val="20"/>
                <w:szCs w:val="20"/>
              </w:rPr>
              <w:t>2.7</w:t>
            </w:r>
            <w:r>
              <w:rPr>
                <w:sz w:val="20"/>
                <w:szCs w:val="20"/>
              </w:rPr>
              <w:t>7</w:t>
            </w:r>
          </w:p>
        </w:tc>
        <w:tc>
          <w:tcPr>
            <w:tcW w:w="0" w:type="auto"/>
            <w:noWrap/>
            <w:vAlign w:val="bottom"/>
            <w:hideMark/>
          </w:tcPr>
          <w:p w14:paraId="22A8B4A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D27A9F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5B011C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EA760E7" w14:textId="77777777" w:rsidR="00000000" w:rsidRDefault="00832D71">
            <w:pPr>
              <w:pStyle w:val="a3"/>
              <w:spacing w:before="0" w:beforeAutospacing="0" w:after="0" w:afterAutospacing="0"/>
              <w:jc w:val="right"/>
              <w:rPr>
                <w:sz w:val="20"/>
                <w:szCs w:val="20"/>
              </w:rPr>
            </w:pPr>
            <w:r>
              <w:rPr>
                <w:sz w:val="20"/>
                <w:szCs w:val="20"/>
              </w:rPr>
              <w:t>(0.0</w:t>
            </w:r>
            <w:r>
              <w:rPr>
                <w:sz w:val="20"/>
                <w:szCs w:val="20"/>
              </w:rPr>
              <w:t>4</w:t>
            </w:r>
          </w:p>
        </w:tc>
        <w:tc>
          <w:tcPr>
            <w:tcW w:w="0" w:type="auto"/>
            <w:noWrap/>
            <w:vAlign w:val="bottom"/>
            <w:hideMark/>
          </w:tcPr>
          <w:p w14:paraId="363D54B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9E6A47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03FB8A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79CAA14" w14:textId="77777777" w:rsidR="00000000" w:rsidRDefault="00832D71">
            <w:pPr>
              <w:pStyle w:val="a3"/>
              <w:spacing w:before="0" w:beforeAutospacing="0" w:after="0" w:afterAutospacing="0"/>
              <w:jc w:val="right"/>
              <w:rPr>
                <w:sz w:val="20"/>
                <w:szCs w:val="20"/>
              </w:rPr>
            </w:pPr>
            <w:r>
              <w:rPr>
                <w:sz w:val="20"/>
                <w:szCs w:val="20"/>
              </w:rPr>
              <w:t>(0.8</w:t>
            </w:r>
            <w:r>
              <w:rPr>
                <w:sz w:val="20"/>
                <w:szCs w:val="20"/>
              </w:rPr>
              <w:t>6</w:t>
            </w:r>
          </w:p>
        </w:tc>
        <w:tc>
          <w:tcPr>
            <w:tcW w:w="0" w:type="auto"/>
            <w:noWrap/>
            <w:vAlign w:val="bottom"/>
            <w:hideMark/>
          </w:tcPr>
          <w:p w14:paraId="103583F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013F47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89573D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88A8C79" w14:textId="77777777" w:rsidR="00000000" w:rsidRDefault="00832D71">
            <w:pPr>
              <w:pStyle w:val="a3"/>
              <w:spacing w:before="0" w:beforeAutospacing="0" w:after="0" w:afterAutospacing="0"/>
              <w:jc w:val="right"/>
              <w:rPr>
                <w:sz w:val="20"/>
                <w:szCs w:val="20"/>
              </w:rPr>
            </w:pPr>
            <w:r>
              <w:rPr>
                <w:sz w:val="20"/>
                <w:szCs w:val="20"/>
              </w:rPr>
              <w:t>2.2</w:t>
            </w:r>
            <w:r>
              <w:rPr>
                <w:sz w:val="20"/>
                <w:szCs w:val="20"/>
              </w:rPr>
              <w:t>1</w:t>
            </w:r>
          </w:p>
        </w:tc>
        <w:tc>
          <w:tcPr>
            <w:tcW w:w="0" w:type="auto"/>
            <w:noWrap/>
            <w:vAlign w:val="bottom"/>
            <w:hideMark/>
          </w:tcPr>
          <w:p w14:paraId="663BD7B8" w14:textId="77777777" w:rsidR="00000000" w:rsidRDefault="00832D71">
            <w:pPr>
              <w:pStyle w:val="a3"/>
              <w:spacing w:before="0" w:beforeAutospacing="0" w:after="0" w:afterAutospacing="0"/>
              <w:rPr>
                <w:sz w:val="20"/>
                <w:szCs w:val="20"/>
              </w:rPr>
            </w:pPr>
            <w:r>
              <w:rPr>
                <w:sz w:val="20"/>
                <w:szCs w:val="20"/>
              </w:rPr>
              <w:t> </w:t>
            </w:r>
          </w:p>
        </w:tc>
      </w:tr>
      <w:tr w:rsidR="00000000" w14:paraId="437FCAB7" w14:textId="77777777">
        <w:trPr>
          <w:trHeight w:val="200"/>
          <w:tblCellSpacing w:w="15" w:type="dxa"/>
        </w:trPr>
        <w:tc>
          <w:tcPr>
            <w:tcW w:w="0" w:type="auto"/>
            <w:hideMark/>
          </w:tcPr>
          <w:p w14:paraId="58102E27" w14:textId="77777777" w:rsidR="00000000" w:rsidRDefault="00832D71">
            <w:pPr>
              <w:pStyle w:val="a3"/>
              <w:spacing w:before="0" w:beforeAutospacing="0" w:after="0" w:afterAutospacing="0"/>
              <w:rPr>
                <w:sz w:val="20"/>
                <w:szCs w:val="20"/>
              </w:rPr>
            </w:pPr>
            <w:r>
              <w:rPr>
                <w:sz w:val="20"/>
                <w:szCs w:val="20"/>
              </w:rPr>
              <w:t>Net income (loss) per Common Unit - diluted (a</w:t>
            </w:r>
            <w:r>
              <w:rPr>
                <w:sz w:val="20"/>
                <w:szCs w:val="20"/>
              </w:rPr>
              <w:t>)</w:t>
            </w:r>
          </w:p>
        </w:tc>
        <w:tc>
          <w:tcPr>
            <w:tcW w:w="0" w:type="auto"/>
            <w:vAlign w:val="bottom"/>
            <w:hideMark/>
          </w:tcPr>
          <w:p w14:paraId="7FC7826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3E1B8E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57E4A1C" w14:textId="77777777" w:rsidR="00000000" w:rsidRDefault="00832D71">
            <w:pPr>
              <w:pStyle w:val="a3"/>
              <w:spacing w:before="0" w:beforeAutospacing="0" w:after="0" w:afterAutospacing="0"/>
              <w:jc w:val="right"/>
              <w:rPr>
                <w:sz w:val="20"/>
                <w:szCs w:val="20"/>
              </w:rPr>
            </w:pPr>
            <w:r>
              <w:rPr>
                <w:sz w:val="20"/>
                <w:szCs w:val="20"/>
              </w:rPr>
              <w:t>0.3</w:t>
            </w:r>
            <w:r>
              <w:rPr>
                <w:sz w:val="20"/>
                <w:szCs w:val="20"/>
              </w:rPr>
              <w:t>4</w:t>
            </w:r>
          </w:p>
        </w:tc>
        <w:tc>
          <w:tcPr>
            <w:tcW w:w="0" w:type="auto"/>
            <w:noWrap/>
            <w:vAlign w:val="bottom"/>
            <w:hideMark/>
          </w:tcPr>
          <w:p w14:paraId="78EDDAC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7EDFBF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FE9566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5A4956C" w14:textId="77777777" w:rsidR="00000000" w:rsidRDefault="00832D71">
            <w:pPr>
              <w:pStyle w:val="a3"/>
              <w:spacing w:before="0" w:beforeAutospacing="0" w:after="0" w:afterAutospacing="0"/>
              <w:jc w:val="right"/>
              <w:rPr>
                <w:sz w:val="20"/>
                <w:szCs w:val="20"/>
              </w:rPr>
            </w:pPr>
            <w:r>
              <w:rPr>
                <w:sz w:val="20"/>
                <w:szCs w:val="20"/>
              </w:rPr>
              <w:t>2.7</w:t>
            </w:r>
            <w:r>
              <w:rPr>
                <w:sz w:val="20"/>
                <w:szCs w:val="20"/>
              </w:rPr>
              <w:t>4</w:t>
            </w:r>
          </w:p>
        </w:tc>
        <w:tc>
          <w:tcPr>
            <w:tcW w:w="0" w:type="auto"/>
            <w:noWrap/>
            <w:vAlign w:val="bottom"/>
            <w:hideMark/>
          </w:tcPr>
          <w:p w14:paraId="6605083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A18A70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ECCA63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C114A53" w14:textId="77777777" w:rsidR="00000000" w:rsidRDefault="00832D71">
            <w:pPr>
              <w:pStyle w:val="a3"/>
              <w:spacing w:before="0" w:beforeAutospacing="0" w:after="0" w:afterAutospacing="0"/>
              <w:jc w:val="right"/>
              <w:rPr>
                <w:sz w:val="20"/>
                <w:szCs w:val="20"/>
              </w:rPr>
            </w:pPr>
            <w:r>
              <w:rPr>
                <w:sz w:val="20"/>
                <w:szCs w:val="20"/>
              </w:rPr>
              <w:t>(0.0</w:t>
            </w:r>
            <w:r>
              <w:rPr>
                <w:sz w:val="20"/>
                <w:szCs w:val="20"/>
              </w:rPr>
              <w:t>4</w:t>
            </w:r>
          </w:p>
        </w:tc>
        <w:tc>
          <w:tcPr>
            <w:tcW w:w="0" w:type="auto"/>
            <w:noWrap/>
            <w:vAlign w:val="bottom"/>
            <w:hideMark/>
          </w:tcPr>
          <w:p w14:paraId="5E5D0A6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265BAE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3BF4E4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D2B2CB8" w14:textId="77777777" w:rsidR="00000000" w:rsidRDefault="00832D71">
            <w:pPr>
              <w:pStyle w:val="a3"/>
              <w:spacing w:before="0" w:beforeAutospacing="0" w:after="0" w:afterAutospacing="0"/>
              <w:jc w:val="right"/>
              <w:rPr>
                <w:sz w:val="20"/>
                <w:szCs w:val="20"/>
              </w:rPr>
            </w:pPr>
            <w:r>
              <w:rPr>
                <w:sz w:val="20"/>
                <w:szCs w:val="20"/>
              </w:rPr>
              <w:t>(0.8</w:t>
            </w:r>
            <w:r>
              <w:rPr>
                <w:sz w:val="20"/>
                <w:szCs w:val="20"/>
              </w:rPr>
              <w:t>6</w:t>
            </w:r>
          </w:p>
        </w:tc>
        <w:tc>
          <w:tcPr>
            <w:tcW w:w="0" w:type="auto"/>
            <w:noWrap/>
            <w:vAlign w:val="bottom"/>
            <w:hideMark/>
          </w:tcPr>
          <w:p w14:paraId="5C5F85C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79B211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5506ED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9B98DB1" w14:textId="77777777" w:rsidR="00000000" w:rsidRDefault="00832D71">
            <w:pPr>
              <w:pStyle w:val="a3"/>
              <w:spacing w:before="0" w:beforeAutospacing="0" w:after="0" w:afterAutospacing="0"/>
              <w:jc w:val="right"/>
              <w:rPr>
                <w:sz w:val="20"/>
                <w:szCs w:val="20"/>
              </w:rPr>
            </w:pPr>
            <w:r>
              <w:rPr>
                <w:sz w:val="20"/>
                <w:szCs w:val="20"/>
              </w:rPr>
              <w:t>2.1</w:t>
            </w:r>
            <w:r>
              <w:rPr>
                <w:sz w:val="20"/>
                <w:szCs w:val="20"/>
              </w:rPr>
              <w:t>8</w:t>
            </w:r>
          </w:p>
        </w:tc>
        <w:tc>
          <w:tcPr>
            <w:tcW w:w="0" w:type="auto"/>
            <w:noWrap/>
            <w:vAlign w:val="bottom"/>
            <w:hideMark/>
          </w:tcPr>
          <w:p w14:paraId="4E7D99BD" w14:textId="77777777" w:rsidR="00000000" w:rsidRDefault="00832D71">
            <w:pPr>
              <w:pStyle w:val="a3"/>
              <w:spacing w:before="0" w:beforeAutospacing="0" w:after="0" w:afterAutospacing="0"/>
              <w:rPr>
                <w:sz w:val="20"/>
                <w:szCs w:val="20"/>
              </w:rPr>
            </w:pPr>
            <w:r>
              <w:rPr>
                <w:sz w:val="20"/>
                <w:szCs w:val="20"/>
              </w:rPr>
              <w:t> </w:t>
            </w:r>
          </w:p>
        </w:tc>
      </w:tr>
      <w:tr w:rsidR="00000000" w14:paraId="30DE385A" w14:textId="77777777">
        <w:trPr>
          <w:tblCellSpacing w:w="15" w:type="dxa"/>
        </w:trPr>
        <w:tc>
          <w:tcPr>
            <w:tcW w:w="0" w:type="auto"/>
            <w:hideMark/>
          </w:tcPr>
          <w:p w14:paraId="1890AD4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153DAE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9028C0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1C3429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ADE497F"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CB67CE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FE3909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82F2B2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49659E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70375E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ACF760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3F023F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EA1904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727E44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06E644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6088B8C" w14:textId="77777777" w:rsidR="00000000" w:rsidRDefault="00832D71">
            <w:pPr>
              <w:pStyle w:val="a3"/>
              <w:spacing w:before="0" w:beforeAutospacing="0" w:after="0" w:afterAutospacing="0"/>
              <w:jc w:val="right"/>
              <w:rPr>
                <w:sz w:val="20"/>
                <w:szCs w:val="20"/>
              </w:rPr>
            </w:pPr>
            <w:r>
              <w:rPr>
                <w:sz w:val="20"/>
                <w:szCs w:val="20"/>
              </w:rPr>
              <w:t> </w:t>
            </w:r>
          </w:p>
        </w:tc>
      </w:tr>
      <w:tr w:rsidR="00000000" w14:paraId="01FD2F1E" w14:textId="77777777">
        <w:trPr>
          <w:trHeight w:val="200"/>
          <w:tblCellSpacing w:w="15" w:type="dxa"/>
        </w:trPr>
        <w:tc>
          <w:tcPr>
            <w:tcW w:w="0" w:type="auto"/>
            <w:hideMark/>
          </w:tcPr>
          <w:p w14:paraId="5824A667" w14:textId="77777777" w:rsidR="00000000" w:rsidRDefault="00832D71">
            <w:pPr>
              <w:pStyle w:val="a3"/>
              <w:spacing w:before="0" w:beforeAutospacing="0" w:after="0" w:afterAutospacing="0"/>
              <w:rPr>
                <w:sz w:val="20"/>
                <w:szCs w:val="20"/>
              </w:rPr>
            </w:pPr>
            <w:r>
              <w:rPr>
                <w:sz w:val="20"/>
                <w:szCs w:val="20"/>
              </w:rPr>
              <w:t>Cash provided by (used in)</w:t>
            </w:r>
            <w:r>
              <w:rPr>
                <w:sz w:val="20"/>
                <w:szCs w:val="20"/>
              </w:rPr>
              <w:t>:</w:t>
            </w:r>
          </w:p>
        </w:tc>
        <w:tc>
          <w:tcPr>
            <w:tcW w:w="0" w:type="auto"/>
            <w:vAlign w:val="bottom"/>
            <w:hideMark/>
          </w:tcPr>
          <w:p w14:paraId="1110AD7A"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7DBDA4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8513E5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FD16F10"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09EA26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0C8872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7F6DA0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4175B7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F1BE58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C413FF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E3FAAF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B8F97F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EC568FF"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659D40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F28F9A0" w14:textId="77777777" w:rsidR="00000000" w:rsidRDefault="00832D71">
            <w:pPr>
              <w:pStyle w:val="a3"/>
              <w:spacing w:before="0" w:beforeAutospacing="0" w:after="0" w:afterAutospacing="0"/>
              <w:jc w:val="right"/>
              <w:rPr>
                <w:sz w:val="20"/>
                <w:szCs w:val="20"/>
              </w:rPr>
            </w:pPr>
            <w:r>
              <w:rPr>
                <w:sz w:val="20"/>
                <w:szCs w:val="20"/>
              </w:rPr>
              <w:t> </w:t>
            </w:r>
          </w:p>
        </w:tc>
      </w:tr>
      <w:tr w:rsidR="00000000" w14:paraId="3712019E" w14:textId="77777777">
        <w:trPr>
          <w:trHeight w:val="200"/>
          <w:tblCellSpacing w:w="15" w:type="dxa"/>
        </w:trPr>
        <w:tc>
          <w:tcPr>
            <w:tcW w:w="0" w:type="auto"/>
            <w:hideMark/>
          </w:tcPr>
          <w:p w14:paraId="69054A04" w14:textId="77777777" w:rsidR="00000000" w:rsidRDefault="00832D71">
            <w:pPr>
              <w:pStyle w:val="a3"/>
              <w:spacing w:before="0" w:beforeAutospacing="0" w:after="0" w:afterAutospacing="0"/>
              <w:ind w:left="200"/>
              <w:rPr>
                <w:sz w:val="20"/>
                <w:szCs w:val="20"/>
              </w:rPr>
            </w:pPr>
            <w:r>
              <w:rPr>
                <w:sz w:val="20"/>
                <w:szCs w:val="20"/>
              </w:rPr>
              <w:t>Operating activitie</w:t>
            </w:r>
            <w:r>
              <w:rPr>
                <w:sz w:val="20"/>
                <w:szCs w:val="20"/>
              </w:rPr>
              <w:t>s</w:t>
            </w:r>
          </w:p>
        </w:tc>
        <w:tc>
          <w:tcPr>
            <w:tcW w:w="0" w:type="auto"/>
            <w:vAlign w:val="bottom"/>
            <w:hideMark/>
          </w:tcPr>
          <w:p w14:paraId="0AF57D8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6DDA17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F887B57" w14:textId="77777777" w:rsidR="00000000" w:rsidRDefault="00832D71">
            <w:pPr>
              <w:pStyle w:val="a3"/>
              <w:spacing w:before="0" w:beforeAutospacing="0" w:after="0" w:afterAutospacing="0"/>
              <w:jc w:val="right"/>
              <w:rPr>
                <w:sz w:val="20"/>
                <w:szCs w:val="20"/>
              </w:rPr>
            </w:pPr>
            <w:r>
              <w:rPr>
                <w:sz w:val="20"/>
                <w:szCs w:val="20"/>
              </w:rPr>
              <w:t>(13,33</w:t>
            </w:r>
            <w:r>
              <w:rPr>
                <w:sz w:val="20"/>
                <w:szCs w:val="20"/>
              </w:rPr>
              <w:t>5</w:t>
            </w:r>
          </w:p>
        </w:tc>
        <w:tc>
          <w:tcPr>
            <w:tcW w:w="0" w:type="auto"/>
            <w:noWrap/>
            <w:vAlign w:val="bottom"/>
            <w:hideMark/>
          </w:tcPr>
          <w:p w14:paraId="31F0B76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AB8115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27D9E7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8359BF1" w14:textId="77777777" w:rsidR="00000000" w:rsidRDefault="00832D71">
            <w:pPr>
              <w:pStyle w:val="a3"/>
              <w:spacing w:before="0" w:beforeAutospacing="0" w:after="0" w:afterAutospacing="0"/>
              <w:jc w:val="right"/>
              <w:rPr>
                <w:sz w:val="20"/>
                <w:szCs w:val="20"/>
              </w:rPr>
            </w:pPr>
            <w:r>
              <w:rPr>
                <w:sz w:val="20"/>
                <w:szCs w:val="20"/>
              </w:rPr>
              <w:t>108,87</w:t>
            </w:r>
            <w:r>
              <w:rPr>
                <w:sz w:val="20"/>
                <w:szCs w:val="20"/>
              </w:rPr>
              <w:t>4</w:t>
            </w:r>
          </w:p>
        </w:tc>
        <w:tc>
          <w:tcPr>
            <w:tcW w:w="0" w:type="auto"/>
            <w:noWrap/>
            <w:vAlign w:val="bottom"/>
            <w:hideMark/>
          </w:tcPr>
          <w:p w14:paraId="2BAC3C6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997043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1891A3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3C00D06" w14:textId="77777777" w:rsidR="00000000" w:rsidRDefault="00832D71">
            <w:pPr>
              <w:pStyle w:val="a3"/>
              <w:spacing w:before="0" w:beforeAutospacing="0" w:after="0" w:afterAutospacing="0"/>
              <w:jc w:val="right"/>
              <w:rPr>
                <w:sz w:val="20"/>
                <w:szCs w:val="20"/>
              </w:rPr>
            </w:pPr>
            <w:r>
              <w:rPr>
                <w:sz w:val="20"/>
                <w:szCs w:val="20"/>
              </w:rPr>
              <w:t>75,59</w:t>
            </w:r>
            <w:r>
              <w:rPr>
                <w:sz w:val="20"/>
                <w:szCs w:val="20"/>
              </w:rPr>
              <w:t>7</w:t>
            </w:r>
          </w:p>
        </w:tc>
        <w:tc>
          <w:tcPr>
            <w:tcW w:w="0" w:type="auto"/>
            <w:noWrap/>
            <w:vAlign w:val="bottom"/>
            <w:hideMark/>
          </w:tcPr>
          <w:p w14:paraId="79C04C8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1441EC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D5E9DE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1DD65D1" w14:textId="77777777" w:rsidR="00000000" w:rsidRDefault="00832D71">
            <w:pPr>
              <w:pStyle w:val="a3"/>
              <w:spacing w:before="0" w:beforeAutospacing="0" w:after="0" w:afterAutospacing="0"/>
              <w:jc w:val="right"/>
              <w:rPr>
                <w:sz w:val="20"/>
                <w:szCs w:val="20"/>
              </w:rPr>
            </w:pPr>
            <w:r>
              <w:rPr>
                <w:sz w:val="20"/>
                <w:szCs w:val="20"/>
              </w:rPr>
              <w:t>49,41</w:t>
            </w:r>
            <w:r>
              <w:rPr>
                <w:sz w:val="20"/>
                <w:szCs w:val="20"/>
              </w:rPr>
              <w:t>1</w:t>
            </w:r>
          </w:p>
        </w:tc>
        <w:tc>
          <w:tcPr>
            <w:tcW w:w="0" w:type="auto"/>
            <w:noWrap/>
            <w:vAlign w:val="bottom"/>
            <w:hideMark/>
          </w:tcPr>
          <w:p w14:paraId="2597B8C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8995AF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E43224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085C266" w14:textId="77777777" w:rsidR="00000000" w:rsidRDefault="00832D71">
            <w:pPr>
              <w:pStyle w:val="a3"/>
              <w:spacing w:before="0" w:beforeAutospacing="0" w:after="0" w:afterAutospacing="0"/>
              <w:jc w:val="right"/>
              <w:rPr>
                <w:sz w:val="20"/>
                <w:szCs w:val="20"/>
              </w:rPr>
            </w:pPr>
            <w:r>
              <w:rPr>
                <w:sz w:val="20"/>
                <w:szCs w:val="20"/>
              </w:rPr>
              <w:t>220,54</w:t>
            </w:r>
            <w:r>
              <w:rPr>
                <w:sz w:val="20"/>
                <w:szCs w:val="20"/>
              </w:rPr>
              <w:t>7</w:t>
            </w:r>
          </w:p>
        </w:tc>
        <w:tc>
          <w:tcPr>
            <w:tcW w:w="0" w:type="auto"/>
            <w:noWrap/>
            <w:vAlign w:val="bottom"/>
            <w:hideMark/>
          </w:tcPr>
          <w:p w14:paraId="167F9208" w14:textId="77777777" w:rsidR="00000000" w:rsidRDefault="00832D71">
            <w:pPr>
              <w:pStyle w:val="a3"/>
              <w:spacing w:before="0" w:beforeAutospacing="0" w:after="0" w:afterAutospacing="0"/>
              <w:rPr>
                <w:sz w:val="20"/>
                <w:szCs w:val="20"/>
              </w:rPr>
            </w:pPr>
            <w:r>
              <w:rPr>
                <w:sz w:val="20"/>
                <w:szCs w:val="20"/>
              </w:rPr>
              <w:t> </w:t>
            </w:r>
          </w:p>
        </w:tc>
      </w:tr>
      <w:tr w:rsidR="00000000" w14:paraId="22689F96" w14:textId="77777777">
        <w:trPr>
          <w:trHeight w:val="200"/>
          <w:tblCellSpacing w:w="15" w:type="dxa"/>
        </w:trPr>
        <w:tc>
          <w:tcPr>
            <w:tcW w:w="0" w:type="auto"/>
            <w:hideMark/>
          </w:tcPr>
          <w:p w14:paraId="48D4D387" w14:textId="77777777" w:rsidR="00000000" w:rsidRDefault="00832D71">
            <w:pPr>
              <w:pStyle w:val="a3"/>
              <w:spacing w:before="0" w:beforeAutospacing="0" w:after="0" w:afterAutospacing="0"/>
              <w:ind w:left="200"/>
              <w:rPr>
                <w:sz w:val="20"/>
                <w:szCs w:val="20"/>
              </w:rPr>
            </w:pPr>
            <w:r>
              <w:rPr>
                <w:sz w:val="20"/>
                <w:szCs w:val="20"/>
              </w:rPr>
              <w:t>Investing activitie</w:t>
            </w:r>
            <w:r>
              <w:rPr>
                <w:sz w:val="20"/>
                <w:szCs w:val="20"/>
              </w:rPr>
              <w:t>s</w:t>
            </w:r>
          </w:p>
        </w:tc>
        <w:tc>
          <w:tcPr>
            <w:tcW w:w="0" w:type="auto"/>
            <w:vAlign w:val="bottom"/>
            <w:hideMark/>
          </w:tcPr>
          <w:p w14:paraId="27C3C6A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CA98C2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F727B93" w14:textId="77777777" w:rsidR="00000000" w:rsidRDefault="00832D71">
            <w:pPr>
              <w:pStyle w:val="a3"/>
              <w:spacing w:before="0" w:beforeAutospacing="0" w:after="0" w:afterAutospacing="0"/>
              <w:jc w:val="right"/>
              <w:rPr>
                <w:sz w:val="20"/>
                <w:szCs w:val="20"/>
              </w:rPr>
            </w:pPr>
            <w:r>
              <w:rPr>
                <w:sz w:val="20"/>
                <w:szCs w:val="20"/>
              </w:rPr>
              <w:t>(10,37</w:t>
            </w:r>
            <w:r>
              <w:rPr>
                <w:sz w:val="20"/>
                <w:szCs w:val="20"/>
              </w:rPr>
              <w:t>1</w:t>
            </w:r>
          </w:p>
        </w:tc>
        <w:tc>
          <w:tcPr>
            <w:tcW w:w="0" w:type="auto"/>
            <w:noWrap/>
            <w:vAlign w:val="bottom"/>
            <w:hideMark/>
          </w:tcPr>
          <w:p w14:paraId="55FB943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F71C55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AAC7FC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6AE1790" w14:textId="77777777" w:rsidR="00000000" w:rsidRDefault="00832D71">
            <w:pPr>
              <w:pStyle w:val="a3"/>
              <w:spacing w:before="0" w:beforeAutospacing="0" w:after="0" w:afterAutospacing="0"/>
              <w:jc w:val="right"/>
              <w:rPr>
                <w:sz w:val="20"/>
                <w:szCs w:val="20"/>
              </w:rPr>
            </w:pPr>
            <w:r>
              <w:rPr>
                <w:sz w:val="20"/>
                <w:szCs w:val="20"/>
              </w:rPr>
              <w:t>(42,68</w:t>
            </w:r>
            <w:r>
              <w:rPr>
                <w:sz w:val="20"/>
                <w:szCs w:val="20"/>
              </w:rPr>
              <w:t>1</w:t>
            </w:r>
          </w:p>
        </w:tc>
        <w:tc>
          <w:tcPr>
            <w:tcW w:w="0" w:type="auto"/>
            <w:noWrap/>
            <w:vAlign w:val="bottom"/>
            <w:hideMark/>
          </w:tcPr>
          <w:p w14:paraId="5FCA99D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A7DE07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A18467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054F192" w14:textId="77777777" w:rsidR="00000000" w:rsidRDefault="00832D71">
            <w:pPr>
              <w:pStyle w:val="a3"/>
              <w:spacing w:before="0" w:beforeAutospacing="0" w:after="0" w:afterAutospacing="0"/>
              <w:jc w:val="right"/>
              <w:rPr>
                <w:sz w:val="20"/>
                <w:szCs w:val="20"/>
              </w:rPr>
            </w:pPr>
            <w:r>
              <w:rPr>
                <w:sz w:val="20"/>
                <w:szCs w:val="20"/>
              </w:rPr>
              <w:t>(11,27</w:t>
            </w:r>
            <w:r>
              <w:rPr>
                <w:sz w:val="20"/>
                <w:szCs w:val="20"/>
              </w:rPr>
              <w:t>6</w:t>
            </w:r>
          </w:p>
        </w:tc>
        <w:tc>
          <w:tcPr>
            <w:tcW w:w="0" w:type="auto"/>
            <w:noWrap/>
            <w:vAlign w:val="bottom"/>
            <w:hideMark/>
          </w:tcPr>
          <w:p w14:paraId="75C41E7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FD0BBE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5C65C1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5C70AD0" w14:textId="77777777" w:rsidR="00000000" w:rsidRDefault="00832D71">
            <w:pPr>
              <w:pStyle w:val="a3"/>
              <w:spacing w:before="0" w:beforeAutospacing="0" w:after="0" w:afterAutospacing="0"/>
              <w:jc w:val="right"/>
              <w:rPr>
                <w:sz w:val="20"/>
                <w:szCs w:val="20"/>
              </w:rPr>
            </w:pPr>
            <w:r>
              <w:rPr>
                <w:sz w:val="20"/>
                <w:szCs w:val="20"/>
              </w:rPr>
              <w:t>(30,10</w:t>
            </w:r>
            <w:r>
              <w:rPr>
                <w:sz w:val="20"/>
                <w:szCs w:val="20"/>
              </w:rPr>
              <w:t>7</w:t>
            </w:r>
          </w:p>
        </w:tc>
        <w:tc>
          <w:tcPr>
            <w:tcW w:w="0" w:type="auto"/>
            <w:noWrap/>
            <w:vAlign w:val="bottom"/>
            <w:hideMark/>
          </w:tcPr>
          <w:p w14:paraId="5FF6931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175EF2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463EF5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8E311AA" w14:textId="77777777" w:rsidR="00000000" w:rsidRDefault="00832D71">
            <w:pPr>
              <w:pStyle w:val="a3"/>
              <w:spacing w:before="0" w:beforeAutospacing="0" w:after="0" w:afterAutospacing="0"/>
              <w:jc w:val="right"/>
              <w:rPr>
                <w:sz w:val="20"/>
                <w:szCs w:val="20"/>
              </w:rPr>
            </w:pPr>
            <w:r>
              <w:rPr>
                <w:sz w:val="20"/>
                <w:szCs w:val="20"/>
              </w:rPr>
              <w:t>(94,43</w:t>
            </w:r>
            <w:r>
              <w:rPr>
                <w:sz w:val="20"/>
                <w:szCs w:val="20"/>
              </w:rPr>
              <w:t>5</w:t>
            </w:r>
          </w:p>
        </w:tc>
        <w:tc>
          <w:tcPr>
            <w:tcW w:w="0" w:type="auto"/>
            <w:noWrap/>
            <w:vAlign w:val="bottom"/>
            <w:hideMark/>
          </w:tcPr>
          <w:p w14:paraId="7A296DDD" w14:textId="77777777" w:rsidR="00000000" w:rsidRDefault="00832D71">
            <w:pPr>
              <w:pStyle w:val="a3"/>
              <w:spacing w:before="0" w:beforeAutospacing="0" w:after="0" w:afterAutospacing="0"/>
              <w:rPr>
                <w:sz w:val="20"/>
                <w:szCs w:val="20"/>
              </w:rPr>
            </w:pPr>
            <w:r>
              <w:rPr>
                <w:sz w:val="20"/>
                <w:szCs w:val="20"/>
              </w:rPr>
              <w:t>)</w:t>
            </w:r>
          </w:p>
        </w:tc>
      </w:tr>
      <w:tr w:rsidR="00000000" w14:paraId="24D71166" w14:textId="77777777">
        <w:trPr>
          <w:trHeight w:val="200"/>
          <w:tblCellSpacing w:w="15" w:type="dxa"/>
        </w:trPr>
        <w:tc>
          <w:tcPr>
            <w:tcW w:w="0" w:type="auto"/>
            <w:hideMark/>
          </w:tcPr>
          <w:p w14:paraId="22BF1157" w14:textId="77777777" w:rsidR="00000000" w:rsidRDefault="00832D71">
            <w:pPr>
              <w:pStyle w:val="a3"/>
              <w:spacing w:before="0" w:beforeAutospacing="0" w:after="0" w:afterAutospacing="0"/>
              <w:ind w:left="200"/>
              <w:rPr>
                <w:sz w:val="20"/>
                <w:szCs w:val="20"/>
              </w:rPr>
            </w:pPr>
            <w:r>
              <w:rPr>
                <w:sz w:val="20"/>
                <w:szCs w:val="20"/>
              </w:rPr>
              <w:t>Financing activitie</w:t>
            </w:r>
            <w:r>
              <w:rPr>
                <w:sz w:val="20"/>
                <w:szCs w:val="20"/>
              </w:rPr>
              <w:t>s</w:t>
            </w:r>
          </w:p>
        </w:tc>
        <w:tc>
          <w:tcPr>
            <w:tcW w:w="0" w:type="auto"/>
            <w:vAlign w:val="bottom"/>
            <w:hideMark/>
          </w:tcPr>
          <w:p w14:paraId="1708F3E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D81885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D590809" w14:textId="77777777" w:rsidR="00000000" w:rsidRDefault="00832D71">
            <w:pPr>
              <w:pStyle w:val="a3"/>
              <w:spacing w:before="0" w:beforeAutospacing="0" w:after="0" w:afterAutospacing="0"/>
              <w:jc w:val="right"/>
              <w:rPr>
                <w:sz w:val="20"/>
                <w:szCs w:val="20"/>
              </w:rPr>
            </w:pPr>
            <w:r>
              <w:rPr>
                <w:sz w:val="20"/>
                <w:szCs w:val="20"/>
              </w:rPr>
              <w:t>21,42</w:t>
            </w:r>
            <w:r>
              <w:rPr>
                <w:sz w:val="20"/>
                <w:szCs w:val="20"/>
              </w:rPr>
              <w:t>6</w:t>
            </w:r>
          </w:p>
        </w:tc>
        <w:tc>
          <w:tcPr>
            <w:tcW w:w="0" w:type="auto"/>
            <w:noWrap/>
            <w:vAlign w:val="bottom"/>
            <w:hideMark/>
          </w:tcPr>
          <w:p w14:paraId="5B96409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E38124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821331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CB0B26B" w14:textId="77777777" w:rsidR="00000000" w:rsidRDefault="00832D71">
            <w:pPr>
              <w:pStyle w:val="a3"/>
              <w:spacing w:before="0" w:beforeAutospacing="0" w:after="0" w:afterAutospacing="0"/>
              <w:jc w:val="right"/>
              <w:rPr>
                <w:sz w:val="20"/>
                <w:szCs w:val="20"/>
              </w:rPr>
            </w:pPr>
            <w:r>
              <w:rPr>
                <w:sz w:val="20"/>
                <w:szCs w:val="20"/>
              </w:rPr>
              <w:t>(62,89</w:t>
            </w:r>
            <w:r>
              <w:rPr>
                <w:sz w:val="20"/>
                <w:szCs w:val="20"/>
              </w:rPr>
              <w:t>5</w:t>
            </w:r>
          </w:p>
        </w:tc>
        <w:tc>
          <w:tcPr>
            <w:tcW w:w="0" w:type="auto"/>
            <w:noWrap/>
            <w:vAlign w:val="bottom"/>
            <w:hideMark/>
          </w:tcPr>
          <w:p w14:paraId="51B9A94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A9F228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5FBFE1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F508869" w14:textId="77777777" w:rsidR="00000000" w:rsidRDefault="00832D71">
            <w:pPr>
              <w:pStyle w:val="a3"/>
              <w:spacing w:before="0" w:beforeAutospacing="0" w:after="0" w:afterAutospacing="0"/>
              <w:jc w:val="right"/>
              <w:rPr>
                <w:sz w:val="20"/>
                <w:szCs w:val="20"/>
              </w:rPr>
            </w:pPr>
            <w:r>
              <w:rPr>
                <w:sz w:val="20"/>
                <w:szCs w:val="20"/>
              </w:rPr>
              <w:t>(64,08</w:t>
            </w:r>
            <w:r>
              <w:rPr>
                <w:sz w:val="20"/>
                <w:szCs w:val="20"/>
              </w:rPr>
              <w:t>1</w:t>
            </w:r>
          </w:p>
        </w:tc>
        <w:tc>
          <w:tcPr>
            <w:tcW w:w="0" w:type="auto"/>
            <w:noWrap/>
            <w:vAlign w:val="bottom"/>
            <w:hideMark/>
          </w:tcPr>
          <w:p w14:paraId="5F8DF0D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35E74D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9B5A0D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7E93E0B" w14:textId="77777777" w:rsidR="00000000" w:rsidRDefault="00832D71">
            <w:pPr>
              <w:pStyle w:val="a3"/>
              <w:spacing w:before="0" w:beforeAutospacing="0" w:after="0" w:afterAutospacing="0"/>
              <w:jc w:val="right"/>
              <w:rPr>
                <w:sz w:val="20"/>
                <w:szCs w:val="20"/>
              </w:rPr>
            </w:pPr>
            <w:r>
              <w:rPr>
                <w:sz w:val="20"/>
                <w:szCs w:val="20"/>
              </w:rPr>
              <w:t>(22,27</w:t>
            </w:r>
            <w:r>
              <w:rPr>
                <w:sz w:val="20"/>
                <w:szCs w:val="20"/>
              </w:rPr>
              <w:t>0</w:t>
            </w:r>
          </w:p>
        </w:tc>
        <w:tc>
          <w:tcPr>
            <w:tcW w:w="0" w:type="auto"/>
            <w:noWrap/>
            <w:vAlign w:val="bottom"/>
            <w:hideMark/>
          </w:tcPr>
          <w:p w14:paraId="19FDD3D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9B56AA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FCA3AD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C3F918A" w14:textId="77777777" w:rsidR="00000000" w:rsidRDefault="00832D71">
            <w:pPr>
              <w:pStyle w:val="a3"/>
              <w:spacing w:before="0" w:beforeAutospacing="0" w:after="0" w:afterAutospacing="0"/>
              <w:jc w:val="right"/>
              <w:rPr>
                <w:sz w:val="20"/>
                <w:szCs w:val="20"/>
              </w:rPr>
            </w:pPr>
            <w:r>
              <w:rPr>
                <w:sz w:val="20"/>
                <w:szCs w:val="20"/>
              </w:rPr>
              <w:t>(127,82</w:t>
            </w:r>
            <w:r>
              <w:rPr>
                <w:sz w:val="20"/>
                <w:szCs w:val="20"/>
              </w:rPr>
              <w:t>0</w:t>
            </w:r>
          </w:p>
        </w:tc>
        <w:tc>
          <w:tcPr>
            <w:tcW w:w="0" w:type="auto"/>
            <w:noWrap/>
            <w:vAlign w:val="bottom"/>
            <w:hideMark/>
          </w:tcPr>
          <w:p w14:paraId="7DBF095C" w14:textId="77777777" w:rsidR="00000000" w:rsidRDefault="00832D71">
            <w:pPr>
              <w:pStyle w:val="a3"/>
              <w:spacing w:before="0" w:beforeAutospacing="0" w:after="0" w:afterAutospacing="0"/>
              <w:rPr>
                <w:sz w:val="20"/>
                <w:szCs w:val="20"/>
              </w:rPr>
            </w:pPr>
            <w:r>
              <w:rPr>
                <w:sz w:val="20"/>
                <w:szCs w:val="20"/>
              </w:rPr>
              <w:t>)</w:t>
            </w:r>
          </w:p>
        </w:tc>
      </w:tr>
      <w:tr w:rsidR="00000000" w14:paraId="16BAAD78" w14:textId="77777777">
        <w:trPr>
          <w:trHeight w:val="200"/>
          <w:tblCellSpacing w:w="15" w:type="dxa"/>
        </w:trPr>
        <w:tc>
          <w:tcPr>
            <w:tcW w:w="0" w:type="auto"/>
            <w:hideMark/>
          </w:tcPr>
          <w:p w14:paraId="69C33D02" w14:textId="77777777" w:rsidR="00000000" w:rsidRDefault="00832D71">
            <w:pPr>
              <w:pStyle w:val="a3"/>
              <w:spacing w:before="0" w:beforeAutospacing="0" w:after="0" w:afterAutospacing="0"/>
              <w:rPr>
                <w:sz w:val="20"/>
                <w:szCs w:val="20"/>
              </w:rPr>
            </w:pPr>
            <w:r>
              <w:rPr>
                <w:sz w:val="20"/>
                <w:szCs w:val="20"/>
              </w:rPr>
              <w:t>EBITDA (c</w:t>
            </w:r>
            <w:r>
              <w:rPr>
                <w:sz w:val="20"/>
                <w:szCs w:val="20"/>
              </w:rPr>
              <w:t>)</w:t>
            </w:r>
          </w:p>
        </w:tc>
        <w:tc>
          <w:tcPr>
            <w:tcW w:w="0" w:type="auto"/>
            <w:vAlign w:val="bottom"/>
            <w:hideMark/>
          </w:tcPr>
          <w:p w14:paraId="0208767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9B51C3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408BFFA" w14:textId="77777777" w:rsidR="00000000" w:rsidRDefault="00832D71">
            <w:pPr>
              <w:pStyle w:val="a3"/>
              <w:spacing w:before="0" w:beforeAutospacing="0" w:after="0" w:afterAutospacing="0"/>
              <w:jc w:val="right"/>
              <w:rPr>
                <w:sz w:val="20"/>
                <w:szCs w:val="20"/>
              </w:rPr>
            </w:pPr>
            <w:r>
              <w:rPr>
                <w:sz w:val="20"/>
                <w:szCs w:val="20"/>
              </w:rPr>
              <w:t>52,41</w:t>
            </w:r>
            <w:r>
              <w:rPr>
                <w:sz w:val="20"/>
                <w:szCs w:val="20"/>
              </w:rPr>
              <w:t>1</w:t>
            </w:r>
          </w:p>
        </w:tc>
        <w:tc>
          <w:tcPr>
            <w:tcW w:w="0" w:type="auto"/>
            <w:noWrap/>
            <w:vAlign w:val="bottom"/>
            <w:hideMark/>
          </w:tcPr>
          <w:p w14:paraId="6EB9C1A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747B3E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4CCBB3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D363BAF" w14:textId="77777777" w:rsidR="00000000" w:rsidRDefault="00832D71">
            <w:pPr>
              <w:pStyle w:val="a3"/>
              <w:spacing w:before="0" w:beforeAutospacing="0" w:after="0" w:afterAutospacing="0"/>
              <w:jc w:val="right"/>
              <w:rPr>
                <w:sz w:val="20"/>
                <w:szCs w:val="20"/>
              </w:rPr>
            </w:pPr>
            <w:r>
              <w:rPr>
                <w:sz w:val="20"/>
                <w:szCs w:val="20"/>
              </w:rPr>
              <w:t>204,78</w:t>
            </w:r>
            <w:r>
              <w:rPr>
                <w:sz w:val="20"/>
                <w:szCs w:val="20"/>
              </w:rPr>
              <w:t>9</w:t>
            </w:r>
          </w:p>
        </w:tc>
        <w:tc>
          <w:tcPr>
            <w:tcW w:w="0" w:type="auto"/>
            <w:noWrap/>
            <w:vAlign w:val="bottom"/>
            <w:hideMark/>
          </w:tcPr>
          <w:p w14:paraId="249CB69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B14943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F87F7D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E3D0EB0" w14:textId="77777777" w:rsidR="00000000" w:rsidRDefault="00832D71">
            <w:pPr>
              <w:pStyle w:val="a3"/>
              <w:spacing w:before="0" w:beforeAutospacing="0" w:after="0" w:afterAutospacing="0"/>
              <w:jc w:val="right"/>
              <w:rPr>
                <w:sz w:val="20"/>
                <w:szCs w:val="20"/>
              </w:rPr>
            </w:pPr>
            <w:r>
              <w:rPr>
                <w:sz w:val="20"/>
                <w:szCs w:val="20"/>
              </w:rPr>
              <w:t>26,74</w:t>
            </w:r>
            <w:r>
              <w:rPr>
                <w:sz w:val="20"/>
                <w:szCs w:val="20"/>
              </w:rPr>
              <w:t>9</w:t>
            </w:r>
          </w:p>
        </w:tc>
        <w:tc>
          <w:tcPr>
            <w:tcW w:w="0" w:type="auto"/>
            <w:noWrap/>
            <w:vAlign w:val="bottom"/>
            <w:hideMark/>
          </w:tcPr>
          <w:p w14:paraId="7769464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CB9476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AF4931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3BB589B" w14:textId="77777777" w:rsidR="00000000" w:rsidRDefault="00832D71">
            <w:pPr>
              <w:pStyle w:val="a3"/>
              <w:spacing w:before="0" w:beforeAutospacing="0" w:after="0" w:afterAutospacing="0"/>
              <w:jc w:val="right"/>
              <w:rPr>
                <w:sz w:val="20"/>
                <w:szCs w:val="20"/>
              </w:rPr>
            </w:pPr>
            <w:r>
              <w:rPr>
                <w:sz w:val="20"/>
                <w:szCs w:val="20"/>
              </w:rPr>
              <w:t>(24,30</w:t>
            </w:r>
            <w:r>
              <w:rPr>
                <w:sz w:val="20"/>
                <w:szCs w:val="20"/>
              </w:rPr>
              <w:t>6</w:t>
            </w:r>
          </w:p>
        </w:tc>
        <w:tc>
          <w:tcPr>
            <w:tcW w:w="0" w:type="auto"/>
            <w:noWrap/>
            <w:vAlign w:val="bottom"/>
            <w:hideMark/>
          </w:tcPr>
          <w:p w14:paraId="2543133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944135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3A6066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3519B66" w14:textId="77777777" w:rsidR="00000000" w:rsidRDefault="00832D71">
            <w:pPr>
              <w:pStyle w:val="a3"/>
              <w:spacing w:before="0" w:beforeAutospacing="0" w:after="0" w:afterAutospacing="0"/>
              <w:jc w:val="right"/>
              <w:rPr>
                <w:sz w:val="20"/>
                <w:szCs w:val="20"/>
              </w:rPr>
            </w:pPr>
            <w:r>
              <w:rPr>
                <w:sz w:val="20"/>
                <w:szCs w:val="20"/>
              </w:rPr>
              <w:t>259,64</w:t>
            </w:r>
            <w:r>
              <w:rPr>
                <w:sz w:val="20"/>
                <w:szCs w:val="20"/>
              </w:rPr>
              <w:t>3</w:t>
            </w:r>
          </w:p>
        </w:tc>
        <w:tc>
          <w:tcPr>
            <w:tcW w:w="0" w:type="auto"/>
            <w:noWrap/>
            <w:vAlign w:val="bottom"/>
            <w:hideMark/>
          </w:tcPr>
          <w:p w14:paraId="1CC39869" w14:textId="77777777" w:rsidR="00000000" w:rsidRDefault="00832D71">
            <w:pPr>
              <w:pStyle w:val="a3"/>
              <w:spacing w:before="0" w:beforeAutospacing="0" w:after="0" w:afterAutospacing="0"/>
              <w:rPr>
                <w:sz w:val="20"/>
                <w:szCs w:val="20"/>
              </w:rPr>
            </w:pPr>
            <w:r>
              <w:rPr>
                <w:sz w:val="20"/>
                <w:szCs w:val="20"/>
              </w:rPr>
              <w:t> </w:t>
            </w:r>
          </w:p>
        </w:tc>
      </w:tr>
      <w:tr w:rsidR="00000000" w14:paraId="18827F63" w14:textId="77777777">
        <w:trPr>
          <w:trHeight w:val="200"/>
          <w:tblCellSpacing w:w="15" w:type="dxa"/>
        </w:trPr>
        <w:tc>
          <w:tcPr>
            <w:tcW w:w="0" w:type="auto"/>
            <w:hideMark/>
          </w:tcPr>
          <w:p w14:paraId="129D8659" w14:textId="77777777" w:rsidR="00000000" w:rsidRDefault="00832D71">
            <w:pPr>
              <w:pStyle w:val="a3"/>
              <w:spacing w:before="0" w:beforeAutospacing="0" w:after="0" w:afterAutospacing="0"/>
              <w:rPr>
                <w:sz w:val="20"/>
                <w:szCs w:val="20"/>
              </w:rPr>
            </w:pPr>
            <w:r>
              <w:rPr>
                <w:sz w:val="20"/>
                <w:szCs w:val="20"/>
              </w:rPr>
              <w:t>Adjusted EBITDA (c</w:t>
            </w:r>
            <w:r>
              <w:rPr>
                <w:sz w:val="20"/>
                <w:szCs w:val="20"/>
              </w:rPr>
              <w:t>)</w:t>
            </w:r>
          </w:p>
        </w:tc>
        <w:tc>
          <w:tcPr>
            <w:tcW w:w="0" w:type="auto"/>
            <w:vAlign w:val="bottom"/>
            <w:hideMark/>
          </w:tcPr>
          <w:p w14:paraId="4037CF3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814298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889BF49" w14:textId="77777777" w:rsidR="00000000" w:rsidRDefault="00832D71">
            <w:pPr>
              <w:pStyle w:val="a3"/>
              <w:spacing w:before="0" w:beforeAutospacing="0" w:after="0" w:afterAutospacing="0"/>
              <w:jc w:val="right"/>
              <w:rPr>
                <w:sz w:val="20"/>
                <w:szCs w:val="20"/>
              </w:rPr>
            </w:pPr>
            <w:r>
              <w:rPr>
                <w:sz w:val="20"/>
                <w:szCs w:val="20"/>
              </w:rPr>
              <w:t>86,52</w:t>
            </w:r>
            <w:r>
              <w:rPr>
                <w:sz w:val="20"/>
                <w:szCs w:val="20"/>
              </w:rPr>
              <w:t>6</w:t>
            </w:r>
          </w:p>
        </w:tc>
        <w:tc>
          <w:tcPr>
            <w:tcW w:w="0" w:type="auto"/>
            <w:noWrap/>
            <w:vAlign w:val="bottom"/>
            <w:hideMark/>
          </w:tcPr>
          <w:p w14:paraId="577C49E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62C22D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640AE7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A715BA7" w14:textId="77777777" w:rsidR="00000000" w:rsidRDefault="00832D71">
            <w:pPr>
              <w:pStyle w:val="a3"/>
              <w:spacing w:before="0" w:beforeAutospacing="0" w:after="0" w:afterAutospacing="0"/>
              <w:jc w:val="right"/>
              <w:rPr>
                <w:sz w:val="20"/>
                <w:szCs w:val="20"/>
              </w:rPr>
            </w:pPr>
            <w:r>
              <w:rPr>
                <w:sz w:val="20"/>
                <w:szCs w:val="20"/>
              </w:rPr>
              <w:t>172,52</w:t>
            </w:r>
            <w:r>
              <w:rPr>
                <w:sz w:val="20"/>
                <w:szCs w:val="20"/>
              </w:rPr>
              <w:t>0</w:t>
            </w:r>
          </w:p>
        </w:tc>
        <w:tc>
          <w:tcPr>
            <w:tcW w:w="0" w:type="auto"/>
            <w:noWrap/>
            <w:vAlign w:val="bottom"/>
            <w:hideMark/>
          </w:tcPr>
          <w:p w14:paraId="59D5E27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D5DF66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8C29AF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CBFF5EE" w14:textId="77777777" w:rsidR="00000000" w:rsidRDefault="00832D71">
            <w:pPr>
              <w:pStyle w:val="a3"/>
              <w:spacing w:before="0" w:beforeAutospacing="0" w:after="0" w:afterAutospacing="0"/>
              <w:jc w:val="right"/>
              <w:rPr>
                <w:sz w:val="20"/>
                <w:szCs w:val="20"/>
              </w:rPr>
            </w:pPr>
            <w:r>
              <w:rPr>
                <w:sz w:val="20"/>
                <w:szCs w:val="20"/>
              </w:rPr>
              <w:t>29,18</w:t>
            </w:r>
            <w:r>
              <w:rPr>
                <w:sz w:val="20"/>
                <w:szCs w:val="20"/>
              </w:rPr>
              <w:t>1</w:t>
            </w:r>
          </w:p>
        </w:tc>
        <w:tc>
          <w:tcPr>
            <w:tcW w:w="0" w:type="auto"/>
            <w:noWrap/>
            <w:vAlign w:val="bottom"/>
            <w:hideMark/>
          </w:tcPr>
          <w:p w14:paraId="6B4AA37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96F18A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612811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EEEF379" w14:textId="77777777" w:rsidR="00000000" w:rsidRDefault="00832D71">
            <w:pPr>
              <w:pStyle w:val="a3"/>
              <w:spacing w:before="0" w:beforeAutospacing="0" w:after="0" w:afterAutospacing="0"/>
              <w:jc w:val="right"/>
              <w:rPr>
                <w:sz w:val="20"/>
                <w:szCs w:val="20"/>
              </w:rPr>
            </w:pPr>
            <w:r>
              <w:rPr>
                <w:sz w:val="20"/>
                <w:szCs w:val="20"/>
              </w:rPr>
              <w:t>2,79</w:t>
            </w:r>
            <w:r>
              <w:rPr>
                <w:sz w:val="20"/>
                <w:szCs w:val="20"/>
              </w:rPr>
              <w:t>9</w:t>
            </w:r>
          </w:p>
        </w:tc>
        <w:tc>
          <w:tcPr>
            <w:tcW w:w="0" w:type="auto"/>
            <w:noWrap/>
            <w:vAlign w:val="bottom"/>
            <w:hideMark/>
          </w:tcPr>
          <w:p w14:paraId="1FFF319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C1D3B8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881783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9ECDAF4" w14:textId="77777777" w:rsidR="00000000" w:rsidRDefault="00832D71">
            <w:pPr>
              <w:pStyle w:val="a3"/>
              <w:spacing w:before="0" w:beforeAutospacing="0" w:after="0" w:afterAutospacing="0"/>
              <w:jc w:val="right"/>
              <w:rPr>
                <w:sz w:val="20"/>
                <w:szCs w:val="20"/>
              </w:rPr>
            </w:pPr>
            <w:r>
              <w:rPr>
                <w:sz w:val="20"/>
                <w:szCs w:val="20"/>
              </w:rPr>
              <w:t>291,02</w:t>
            </w:r>
            <w:r>
              <w:rPr>
                <w:sz w:val="20"/>
                <w:szCs w:val="20"/>
              </w:rPr>
              <w:t>6</w:t>
            </w:r>
          </w:p>
        </w:tc>
        <w:tc>
          <w:tcPr>
            <w:tcW w:w="0" w:type="auto"/>
            <w:noWrap/>
            <w:vAlign w:val="bottom"/>
            <w:hideMark/>
          </w:tcPr>
          <w:p w14:paraId="5E986C60" w14:textId="77777777" w:rsidR="00000000" w:rsidRDefault="00832D71">
            <w:pPr>
              <w:pStyle w:val="a3"/>
              <w:spacing w:before="0" w:beforeAutospacing="0" w:after="0" w:afterAutospacing="0"/>
              <w:rPr>
                <w:sz w:val="20"/>
                <w:szCs w:val="20"/>
              </w:rPr>
            </w:pPr>
            <w:r>
              <w:rPr>
                <w:sz w:val="20"/>
                <w:szCs w:val="20"/>
              </w:rPr>
              <w:t> </w:t>
            </w:r>
          </w:p>
        </w:tc>
      </w:tr>
      <w:tr w:rsidR="00000000" w14:paraId="04BED0E0" w14:textId="77777777">
        <w:trPr>
          <w:trHeight w:val="200"/>
          <w:tblCellSpacing w:w="15" w:type="dxa"/>
        </w:trPr>
        <w:tc>
          <w:tcPr>
            <w:tcW w:w="0" w:type="auto"/>
            <w:hideMark/>
          </w:tcPr>
          <w:p w14:paraId="615DAAA4" w14:textId="77777777" w:rsidR="00000000" w:rsidRDefault="00832D71">
            <w:pPr>
              <w:pStyle w:val="a3"/>
              <w:spacing w:before="0" w:beforeAutospacing="0" w:after="0" w:afterAutospacing="0"/>
              <w:rPr>
                <w:sz w:val="20"/>
                <w:szCs w:val="20"/>
              </w:rPr>
            </w:pPr>
            <w:r>
              <w:rPr>
                <w:sz w:val="20"/>
                <w:szCs w:val="20"/>
              </w:rPr>
              <w:t>Retail gallons sol</w:t>
            </w:r>
            <w:r>
              <w:rPr>
                <w:sz w:val="20"/>
                <w:szCs w:val="20"/>
              </w:rPr>
              <w:t>d</w:t>
            </w:r>
          </w:p>
        </w:tc>
        <w:tc>
          <w:tcPr>
            <w:tcW w:w="0" w:type="auto"/>
            <w:vAlign w:val="bottom"/>
            <w:hideMark/>
          </w:tcPr>
          <w:p w14:paraId="61683FD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765713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9B55CF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DBB5D1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7EF4FD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2D7AB9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6DDFB86"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D07045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13E747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405F00A"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2D6731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8093F4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5CE249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05DC65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88EAE3B" w14:textId="77777777" w:rsidR="00000000" w:rsidRDefault="00832D71">
            <w:pPr>
              <w:pStyle w:val="a3"/>
              <w:spacing w:before="0" w:beforeAutospacing="0" w:after="0" w:afterAutospacing="0"/>
              <w:jc w:val="right"/>
              <w:rPr>
                <w:sz w:val="20"/>
                <w:szCs w:val="20"/>
              </w:rPr>
            </w:pPr>
            <w:r>
              <w:rPr>
                <w:sz w:val="20"/>
                <w:szCs w:val="20"/>
              </w:rPr>
              <w:t> </w:t>
            </w:r>
          </w:p>
        </w:tc>
      </w:tr>
      <w:tr w:rsidR="00000000" w14:paraId="262D2EF3" w14:textId="77777777">
        <w:trPr>
          <w:trHeight w:val="200"/>
          <w:tblCellSpacing w:w="15" w:type="dxa"/>
        </w:trPr>
        <w:tc>
          <w:tcPr>
            <w:tcW w:w="0" w:type="auto"/>
            <w:hideMark/>
          </w:tcPr>
          <w:p w14:paraId="275FCF28" w14:textId="77777777" w:rsidR="00000000" w:rsidRDefault="00832D71">
            <w:pPr>
              <w:pStyle w:val="a3"/>
              <w:spacing w:before="0" w:beforeAutospacing="0" w:after="0" w:afterAutospacing="0"/>
              <w:ind w:left="200"/>
              <w:rPr>
                <w:sz w:val="20"/>
                <w:szCs w:val="20"/>
              </w:rPr>
            </w:pPr>
            <w:r>
              <w:rPr>
                <w:sz w:val="20"/>
                <w:szCs w:val="20"/>
              </w:rPr>
              <w:t>Propan</w:t>
            </w:r>
            <w:r>
              <w:rPr>
                <w:sz w:val="20"/>
                <w:szCs w:val="20"/>
              </w:rPr>
              <w:t>e</w:t>
            </w:r>
          </w:p>
        </w:tc>
        <w:tc>
          <w:tcPr>
            <w:tcW w:w="0" w:type="auto"/>
            <w:vAlign w:val="bottom"/>
            <w:hideMark/>
          </w:tcPr>
          <w:p w14:paraId="219B0AB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3F62E5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65CE473" w14:textId="77777777" w:rsidR="00000000" w:rsidRDefault="00832D71">
            <w:pPr>
              <w:pStyle w:val="a3"/>
              <w:spacing w:before="0" w:beforeAutospacing="0" w:after="0" w:afterAutospacing="0"/>
              <w:jc w:val="right"/>
              <w:rPr>
                <w:sz w:val="20"/>
                <w:szCs w:val="20"/>
              </w:rPr>
            </w:pPr>
            <w:r>
              <w:rPr>
                <w:sz w:val="20"/>
                <w:szCs w:val="20"/>
              </w:rPr>
              <w:t>105,26</w:t>
            </w:r>
            <w:r>
              <w:rPr>
                <w:sz w:val="20"/>
                <w:szCs w:val="20"/>
              </w:rPr>
              <w:t>5</w:t>
            </w:r>
          </w:p>
        </w:tc>
        <w:tc>
          <w:tcPr>
            <w:tcW w:w="0" w:type="auto"/>
            <w:noWrap/>
            <w:vAlign w:val="bottom"/>
            <w:hideMark/>
          </w:tcPr>
          <w:p w14:paraId="54B4DAA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9343DF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438E5C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5D49322" w14:textId="77777777" w:rsidR="00000000" w:rsidRDefault="00832D71">
            <w:pPr>
              <w:pStyle w:val="a3"/>
              <w:spacing w:before="0" w:beforeAutospacing="0" w:after="0" w:afterAutospacing="0"/>
              <w:jc w:val="right"/>
              <w:rPr>
                <w:sz w:val="20"/>
                <w:szCs w:val="20"/>
              </w:rPr>
            </w:pPr>
            <w:r>
              <w:rPr>
                <w:sz w:val="20"/>
                <w:szCs w:val="20"/>
              </w:rPr>
              <w:t>159,17</w:t>
            </w:r>
            <w:r>
              <w:rPr>
                <w:sz w:val="20"/>
                <w:szCs w:val="20"/>
              </w:rPr>
              <w:t>9</w:t>
            </w:r>
          </w:p>
        </w:tc>
        <w:tc>
          <w:tcPr>
            <w:tcW w:w="0" w:type="auto"/>
            <w:noWrap/>
            <w:vAlign w:val="bottom"/>
            <w:hideMark/>
          </w:tcPr>
          <w:p w14:paraId="371D58E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BE7FEF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E2E19C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9A000D3" w14:textId="77777777" w:rsidR="00000000" w:rsidRDefault="00832D71">
            <w:pPr>
              <w:pStyle w:val="a3"/>
              <w:spacing w:before="0" w:beforeAutospacing="0" w:after="0" w:afterAutospacing="0"/>
              <w:jc w:val="right"/>
              <w:rPr>
                <w:sz w:val="20"/>
                <w:szCs w:val="20"/>
              </w:rPr>
            </w:pPr>
            <w:r>
              <w:rPr>
                <w:sz w:val="20"/>
                <w:szCs w:val="20"/>
              </w:rPr>
              <w:t>75,51</w:t>
            </w:r>
            <w:r>
              <w:rPr>
                <w:sz w:val="20"/>
                <w:szCs w:val="20"/>
              </w:rPr>
              <w:t>0</w:t>
            </w:r>
          </w:p>
        </w:tc>
        <w:tc>
          <w:tcPr>
            <w:tcW w:w="0" w:type="auto"/>
            <w:noWrap/>
            <w:vAlign w:val="bottom"/>
            <w:hideMark/>
          </w:tcPr>
          <w:p w14:paraId="2A4C591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E02E1A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F96DD9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9C0C11A" w14:textId="77777777" w:rsidR="00000000" w:rsidRDefault="00832D71">
            <w:pPr>
              <w:pStyle w:val="a3"/>
              <w:spacing w:before="0" w:beforeAutospacing="0" w:after="0" w:afterAutospacing="0"/>
              <w:jc w:val="right"/>
              <w:rPr>
                <w:sz w:val="20"/>
                <w:szCs w:val="20"/>
              </w:rPr>
            </w:pPr>
            <w:r>
              <w:rPr>
                <w:sz w:val="20"/>
                <w:szCs w:val="20"/>
              </w:rPr>
              <w:t>61,36</w:t>
            </w:r>
            <w:r>
              <w:rPr>
                <w:sz w:val="20"/>
                <w:szCs w:val="20"/>
              </w:rPr>
              <w:t>8</w:t>
            </w:r>
          </w:p>
        </w:tc>
        <w:tc>
          <w:tcPr>
            <w:tcW w:w="0" w:type="auto"/>
            <w:noWrap/>
            <w:vAlign w:val="bottom"/>
            <w:hideMark/>
          </w:tcPr>
          <w:p w14:paraId="32BCDFF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2E887D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DB0ABD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DBCEAF5" w14:textId="77777777" w:rsidR="00000000" w:rsidRDefault="00832D71">
            <w:pPr>
              <w:pStyle w:val="a3"/>
              <w:spacing w:before="0" w:beforeAutospacing="0" w:after="0" w:afterAutospacing="0"/>
              <w:jc w:val="right"/>
              <w:rPr>
                <w:sz w:val="20"/>
                <w:szCs w:val="20"/>
              </w:rPr>
            </w:pPr>
            <w:r>
              <w:rPr>
                <w:sz w:val="20"/>
                <w:szCs w:val="20"/>
              </w:rPr>
              <w:t>401,32</w:t>
            </w:r>
            <w:r>
              <w:rPr>
                <w:sz w:val="20"/>
                <w:szCs w:val="20"/>
              </w:rPr>
              <w:t>2</w:t>
            </w:r>
          </w:p>
        </w:tc>
        <w:tc>
          <w:tcPr>
            <w:tcW w:w="0" w:type="auto"/>
            <w:noWrap/>
            <w:vAlign w:val="bottom"/>
            <w:hideMark/>
          </w:tcPr>
          <w:p w14:paraId="538EBE73" w14:textId="77777777" w:rsidR="00000000" w:rsidRDefault="00832D71">
            <w:pPr>
              <w:pStyle w:val="a3"/>
              <w:spacing w:before="0" w:beforeAutospacing="0" w:after="0" w:afterAutospacing="0"/>
              <w:rPr>
                <w:sz w:val="20"/>
                <w:szCs w:val="20"/>
              </w:rPr>
            </w:pPr>
            <w:r>
              <w:rPr>
                <w:sz w:val="20"/>
                <w:szCs w:val="20"/>
              </w:rPr>
              <w:t> </w:t>
            </w:r>
          </w:p>
        </w:tc>
      </w:tr>
      <w:tr w:rsidR="00000000" w14:paraId="767ABAA5" w14:textId="77777777">
        <w:trPr>
          <w:trHeight w:val="200"/>
          <w:tblCellSpacing w:w="15" w:type="dxa"/>
        </w:trPr>
        <w:tc>
          <w:tcPr>
            <w:tcW w:w="0" w:type="auto"/>
            <w:hideMark/>
          </w:tcPr>
          <w:p w14:paraId="2E6EECB5" w14:textId="77777777" w:rsidR="00000000" w:rsidRDefault="00832D71">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vAlign w:val="bottom"/>
            <w:hideMark/>
          </w:tcPr>
          <w:p w14:paraId="707B99B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0C50A0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21D7A0B" w14:textId="77777777" w:rsidR="00000000" w:rsidRDefault="00832D71">
            <w:pPr>
              <w:pStyle w:val="a3"/>
              <w:spacing w:before="0" w:beforeAutospacing="0" w:after="0" w:afterAutospacing="0"/>
              <w:jc w:val="right"/>
              <w:rPr>
                <w:sz w:val="20"/>
                <w:szCs w:val="20"/>
              </w:rPr>
            </w:pPr>
            <w:r>
              <w:rPr>
                <w:sz w:val="20"/>
                <w:szCs w:val="20"/>
              </w:rPr>
              <w:t>6,13</w:t>
            </w:r>
            <w:r>
              <w:rPr>
                <w:sz w:val="20"/>
                <w:szCs w:val="20"/>
              </w:rPr>
              <w:t>4</w:t>
            </w:r>
          </w:p>
        </w:tc>
        <w:tc>
          <w:tcPr>
            <w:tcW w:w="0" w:type="auto"/>
            <w:noWrap/>
            <w:vAlign w:val="bottom"/>
            <w:hideMark/>
          </w:tcPr>
          <w:p w14:paraId="2FDFBBE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537964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08E19E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685B95E" w14:textId="77777777" w:rsidR="00000000" w:rsidRDefault="00832D71">
            <w:pPr>
              <w:pStyle w:val="a3"/>
              <w:spacing w:before="0" w:beforeAutospacing="0" w:after="0" w:afterAutospacing="0"/>
              <w:jc w:val="right"/>
              <w:rPr>
                <w:sz w:val="20"/>
                <w:szCs w:val="20"/>
              </w:rPr>
            </w:pPr>
            <w:r>
              <w:rPr>
                <w:sz w:val="20"/>
                <w:szCs w:val="20"/>
              </w:rPr>
              <w:t>10,71</w:t>
            </w:r>
            <w:r>
              <w:rPr>
                <w:sz w:val="20"/>
                <w:szCs w:val="20"/>
              </w:rPr>
              <w:t>5</w:t>
            </w:r>
          </w:p>
        </w:tc>
        <w:tc>
          <w:tcPr>
            <w:tcW w:w="0" w:type="auto"/>
            <w:noWrap/>
            <w:vAlign w:val="bottom"/>
            <w:hideMark/>
          </w:tcPr>
          <w:p w14:paraId="6325394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613CC8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09A78E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11C837E" w14:textId="77777777" w:rsidR="00000000" w:rsidRDefault="00832D71">
            <w:pPr>
              <w:pStyle w:val="a3"/>
              <w:spacing w:before="0" w:beforeAutospacing="0" w:after="0" w:afterAutospacing="0"/>
              <w:jc w:val="right"/>
              <w:rPr>
                <w:sz w:val="20"/>
                <w:szCs w:val="20"/>
              </w:rPr>
            </w:pPr>
            <w:r>
              <w:rPr>
                <w:sz w:val="20"/>
                <w:szCs w:val="20"/>
              </w:rPr>
              <w:t>3,62</w:t>
            </w:r>
            <w:r>
              <w:rPr>
                <w:sz w:val="20"/>
                <w:szCs w:val="20"/>
              </w:rPr>
              <w:t>9</w:t>
            </w:r>
          </w:p>
        </w:tc>
        <w:tc>
          <w:tcPr>
            <w:tcW w:w="0" w:type="auto"/>
            <w:noWrap/>
            <w:vAlign w:val="bottom"/>
            <w:hideMark/>
          </w:tcPr>
          <w:p w14:paraId="5DED493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31FD2D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6E99ED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B7E5752" w14:textId="77777777" w:rsidR="00000000" w:rsidRDefault="00832D71">
            <w:pPr>
              <w:pStyle w:val="a3"/>
              <w:spacing w:before="0" w:beforeAutospacing="0" w:after="0" w:afterAutospacing="0"/>
              <w:jc w:val="right"/>
              <w:rPr>
                <w:sz w:val="20"/>
                <w:szCs w:val="20"/>
              </w:rPr>
            </w:pPr>
            <w:r>
              <w:rPr>
                <w:sz w:val="20"/>
                <w:szCs w:val="20"/>
              </w:rPr>
              <w:t>2,28</w:t>
            </w:r>
            <w:r>
              <w:rPr>
                <w:sz w:val="20"/>
                <w:szCs w:val="20"/>
              </w:rPr>
              <w:t>9</w:t>
            </w:r>
          </w:p>
        </w:tc>
        <w:tc>
          <w:tcPr>
            <w:tcW w:w="0" w:type="auto"/>
            <w:noWrap/>
            <w:vAlign w:val="bottom"/>
            <w:hideMark/>
          </w:tcPr>
          <w:p w14:paraId="68E8C2B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484113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994960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44BCBAD" w14:textId="77777777" w:rsidR="00000000" w:rsidRDefault="00832D71">
            <w:pPr>
              <w:pStyle w:val="a3"/>
              <w:spacing w:before="0" w:beforeAutospacing="0" w:after="0" w:afterAutospacing="0"/>
              <w:jc w:val="right"/>
              <w:rPr>
                <w:sz w:val="20"/>
                <w:szCs w:val="20"/>
              </w:rPr>
            </w:pPr>
            <w:r>
              <w:rPr>
                <w:sz w:val="20"/>
                <w:szCs w:val="20"/>
              </w:rPr>
              <w:t>22,76</w:t>
            </w:r>
            <w:r>
              <w:rPr>
                <w:sz w:val="20"/>
                <w:szCs w:val="20"/>
              </w:rPr>
              <w:t>7</w:t>
            </w:r>
          </w:p>
        </w:tc>
        <w:tc>
          <w:tcPr>
            <w:tcW w:w="0" w:type="auto"/>
            <w:noWrap/>
            <w:vAlign w:val="bottom"/>
            <w:hideMark/>
          </w:tcPr>
          <w:p w14:paraId="1AD19CD8" w14:textId="77777777" w:rsidR="00000000" w:rsidRDefault="00832D71">
            <w:pPr>
              <w:pStyle w:val="a3"/>
              <w:spacing w:before="0" w:beforeAutospacing="0" w:after="0" w:afterAutospacing="0"/>
              <w:rPr>
                <w:sz w:val="20"/>
                <w:szCs w:val="20"/>
              </w:rPr>
            </w:pPr>
            <w:r>
              <w:rPr>
                <w:sz w:val="20"/>
                <w:szCs w:val="20"/>
              </w:rPr>
              <w:t> </w:t>
            </w:r>
          </w:p>
        </w:tc>
      </w:tr>
      <w:tr w:rsidR="00000000" w14:paraId="41523DA7" w14:textId="77777777">
        <w:trPr>
          <w:tblCellSpacing w:w="15" w:type="dxa"/>
        </w:trPr>
        <w:tc>
          <w:tcPr>
            <w:tcW w:w="0" w:type="auto"/>
            <w:hideMark/>
          </w:tcPr>
          <w:p w14:paraId="5D574446" w14:textId="77777777" w:rsidR="00000000" w:rsidRDefault="00832D71">
            <w:pPr>
              <w:pStyle w:val="a3"/>
              <w:spacing w:before="0" w:beforeAutospacing="0" w:after="0" w:afterAutospacing="0"/>
              <w:ind w:left="100"/>
              <w:rPr>
                <w:sz w:val="20"/>
                <w:szCs w:val="20"/>
              </w:rPr>
            </w:pPr>
            <w:r>
              <w:rPr>
                <w:sz w:val="20"/>
                <w:szCs w:val="20"/>
              </w:rPr>
              <w:t> </w:t>
            </w:r>
          </w:p>
        </w:tc>
        <w:tc>
          <w:tcPr>
            <w:tcW w:w="0" w:type="auto"/>
            <w:vAlign w:val="bottom"/>
            <w:hideMark/>
          </w:tcPr>
          <w:p w14:paraId="77E326D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055F82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D1D8EF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202664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11BB09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E52DDD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C161990"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6DF7E9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707E8B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578162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AF726F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69FC11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9BFF2B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3CE278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6CF1480" w14:textId="77777777" w:rsidR="00000000" w:rsidRDefault="00832D71">
            <w:pPr>
              <w:pStyle w:val="a3"/>
              <w:spacing w:before="0" w:beforeAutospacing="0" w:after="0" w:afterAutospacing="0"/>
              <w:jc w:val="right"/>
              <w:rPr>
                <w:sz w:val="20"/>
                <w:szCs w:val="20"/>
              </w:rPr>
            </w:pPr>
            <w:r>
              <w:rPr>
                <w:sz w:val="20"/>
                <w:szCs w:val="20"/>
              </w:rPr>
              <w:t> </w:t>
            </w:r>
          </w:p>
        </w:tc>
      </w:tr>
      <w:tr w:rsidR="00000000" w14:paraId="1D1394E2" w14:textId="77777777">
        <w:trPr>
          <w:trHeight w:val="200"/>
          <w:tblCellSpacing w:w="15" w:type="dxa"/>
        </w:trPr>
        <w:tc>
          <w:tcPr>
            <w:tcW w:w="0" w:type="auto"/>
            <w:hideMark/>
          </w:tcPr>
          <w:p w14:paraId="0B1410A1" w14:textId="77777777" w:rsidR="00000000" w:rsidRDefault="00832D71">
            <w:pPr>
              <w:pStyle w:val="a3"/>
              <w:spacing w:before="0" w:beforeAutospacing="0" w:after="0" w:afterAutospacing="0"/>
              <w:rPr>
                <w:sz w:val="20"/>
                <w:szCs w:val="20"/>
              </w:rPr>
            </w:pPr>
            <w:r>
              <w:rPr>
                <w:b/>
                <w:bCs/>
                <w:sz w:val="20"/>
                <w:szCs w:val="20"/>
                <w:u w:val="single"/>
              </w:rPr>
              <w:t>Fiscal 202</w:t>
            </w:r>
            <w:r>
              <w:rPr>
                <w:b/>
                <w:bCs/>
                <w:sz w:val="20"/>
                <w:szCs w:val="20"/>
                <w:u w:val="single"/>
              </w:rPr>
              <w:t>1</w:t>
            </w:r>
          </w:p>
        </w:tc>
        <w:tc>
          <w:tcPr>
            <w:tcW w:w="0" w:type="auto"/>
            <w:vAlign w:val="bottom"/>
            <w:hideMark/>
          </w:tcPr>
          <w:p w14:paraId="1BCEA59D"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1B4498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C76BE6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2734BE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C330E7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DBEE49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F553EC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455B5F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7330A5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C1F9EB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419A64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70CE80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52E468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B53CDA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904829D" w14:textId="77777777" w:rsidR="00000000" w:rsidRDefault="00832D71">
            <w:pPr>
              <w:pStyle w:val="a3"/>
              <w:spacing w:before="0" w:beforeAutospacing="0" w:after="0" w:afterAutospacing="0"/>
              <w:rPr>
                <w:sz w:val="20"/>
                <w:szCs w:val="20"/>
              </w:rPr>
            </w:pPr>
            <w:r>
              <w:rPr>
                <w:sz w:val="20"/>
                <w:szCs w:val="20"/>
              </w:rPr>
              <w:t> </w:t>
            </w:r>
          </w:p>
        </w:tc>
      </w:tr>
      <w:tr w:rsidR="00000000" w14:paraId="3646DC31" w14:textId="77777777">
        <w:trPr>
          <w:trHeight w:val="200"/>
          <w:tblCellSpacing w:w="15" w:type="dxa"/>
        </w:trPr>
        <w:tc>
          <w:tcPr>
            <w:tcW w:w="0" w:type="auto"/>
            <w:hideMark/>
          </w:tcPr>
          <w:p w14:paraId="13435F65" w14:textId="77777777" w:rsidR="00000000" w:rsidRDefault="00832D71">
            <w:pPr>
              <w:pStyle w:val="a3"/>
              <w:spacing w:before="0" w:beforeAutospacing="0" w:after="0" w:afterAutospacing="0"/>
              <w:rPr>
                <w:sz w:val="20"/>
                <w:szCs w:val="20"/>
              </w:rPr>
            </w:pPr>
            <w:r>
              <w:rPr>
                <w:sz w:val="20"/>
                <w:szCs w:val="20"/>
              </w:rPr>
              <w:t>Revenue</w:t>
            </w:r>
            <w:r>
              <w:rPr>
                <w:sz w:val="20"/>
                <w:szCs w:val="20"/>
              </w:rPr>
              <w:t>s</w:t>
            </w:r>
          </w:p>
        </w:tc>
        <w:tc>
          <w:tcPr>
            <w:tcW w:w="0" w:type="auto"/>
            <w:vAlign w:val="bottom"/>
            <w:hideMark/>
          </w:tcPr>
          <w:p w14:paraId="1AAF6F8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75531C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A62920D" w14:textId="77777777" w:rsidR="00000000" w:rsidRDefault="00832D71">
            <w:pPr>
              <w:pStyle w:val="a3"/>
              <w:spacing w:before="0" w:beforeAutospacing="0" w:after="0" w:afterAutospacing="0"/>
              <w:jc w:val="right"/>
              <w:rPr>
                <w:sz w:val="20"/>
                <w:szCs w:val="20"/>
              </w:rPr>
            </w:pPr>
            <w:r>
              <w:rPr>
                <w:sz w:val="20"/>
                <w:szCs w:val="20"/>
              </w:rPr>
              <w:t>305,19</w:t>
            </w:r>
            <w:r>
              <w:rPr>
                <w:sz w:val="20"/>
                <w:szCs w:val="20"/>
              </w:rPr>
              <w:t>1</w:t>
            </w:r>
          </w:p>
        </w:tc>
        <w:tc>
          <w:tcPr>
            <w:tcW w:w="0" w:type="auto"/>
            <w:noWrap/>
            <w:vAlign w:val="bottom"/>
            <w:hideMark/>
          </w:tcPr>
          <w:p w14:paraId="3289EDD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0771BE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476B7A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9712F67" w14:textId="77777777" w:rsidR="00000000" w:rsidRDefault="00832D71">
            <w:pPr>
              <w:pStyle w:val="a3"/>
              <w:spacing w:before="0" w:beforeAutospacing="0" w:after="0" w:afterAutospacing="0"/>
              <w:jc w:val="right"/>
              <w:rPr>
                <w:sz w:val="20"/>
                <w:szCs w:val="20"/>
              </w:rPr>
            </w:pPr>
            <w:r>
              <w:rPr>
                <w:sz w:val="20"/>
                <w:szCs w:val="20"/>
              </w:rPr>
              <w:t>537,23</w:t>
            </w:r>
            <w:r>
              <w:rPr>
                <w:sz w:val="20"/>
                <w:szCs w:val="20"/>
              </w:rPr>
              <w:t>8</w:t>
            </w:r>
          </w:p>
        </w:tc>
        <w:tc>
          <w:tcPr>
            <w:tcW w:w="0" w:type="auto"/>
            <w:noWrap/>
            <w:vAlign w:val="bottom"/>
            <w:hideMark/>
          </w:tcPr>
          <w:p w14:paraId="06346E2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47322E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00E524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0784D21" w14:textId="77777777" w:rsidR="00000000" w:rsidRDefault="00832D71">
            <w:pPr>
              <w:pStyle w:val="a3"/>
              <w:spacing w:before="0" w:beforeAutospacing="0" w:after="0" w:afterAutospacing="0"/>
              <w:jc w:val="right"/>
              <w:rPr>
                <w:sz w:val="20"/>
                <w:szCs w:val="20"/>
              </w:rPr>
            </w:pPr>
            <w:r>
              <w:rPr>
                <w:sz w:val="20"/>
                <w:szCs w:val="20"/>
              </w:rPr>
              <w:t>238,08</w:t>
            </w:r>
            <w:r>
              <w:rPr>
                <w:sz w:val="20"/>
                <w:szCs w:val="20"/>
              </w:rPr>
              <w:t>5</w:t>
            </w:r>
          </w:p>
        </w:tc>
        <w:tc>
          <w:tcPr>
            <w:tcW w:w="0" w:type="auto"/>
            <w:noWrap/>
            <w:vAlign w:val="bottom"/>
            <w:hideMark/>
          </w:tcPr>
          <w:p w14:paraId="5233E04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B2EDB6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FA4DF2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312C7D8" w14:textId="77777777" w:rsidR="00000000" w:rsidRDefault="00832D71">
            <w:pPr>
              <w:pStyle w:val="a3"/>
              <w:spacing w:before="0" w:beforeAutospacing="0" w:after="0" w:afterAutospacing="0"/>
              <w:jc w:val="right"/>
              <w:rPr>
                <w:sz w:val="20"/>
                <w:szCs w:val="20"/>
              </w:rPr>
            </w:pPr>
            <w:r>
              <w:rPr>
                <w:sz w:val="20"/>
                <w:szCs w:val="20"/>
              </w:rPr>
              <w:t>208,24</w:t>
            </w:r>
            <w:r>
              <w:rPr>
                <w:sz w:val="20"/>
                <w:szCs w:val="20"/>
              </w:rPr>
              <w:t>1</w:t>
            </w:r>
          </w:p>
        </w:tc>
        <w:tc>
          <w:tcPr>
            <w:tcW w:w="0" w:type="auto"/>
            <w:noWrap/>
            <w:vAlign w:val="bottom"/>
            <w:hideMark/>
          </w:tcPr>
          <w:p w14:paraId="7289850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0C15C6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5027C7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B6D98AE" w14:textId="77777777" w:rsidR="00000000" w:rsidRDefault="00832D71">
            <w:pPr>
              <w:pStyle w:val="a3"/>
              <w:spacing w:before="0" w:beforeAutospacing="0" w:after="0" w:afterAutospacing="0"/>
              <w:jc w:val="right"/>
              <w:rPr>
                <w:sz w:val="20"/>
                <w:szCs w:val="20"/>
              </w:rPr>
            </w:pPr>
            <w:r>
              <w:rPr>
                <w:sz w:val="20"/>
                <w:szCs w:val="20"/>
              </w:rPr>
              <w:t>1,288,75</w:t>
            </w:r>
            <w:r>
              <w:rPr>
                <w:sz w:val="20"/>
                <w:szCs w:val="20"/>
              </w:rPr>
              <w:t>5</w:t>
            </w:r>
          </w:p>
        </w:tc>
        <w:tc>
          <w:tcPr>
            <w:tcW w:w="0" w:type="auto"/>
            <w:noWrap/>
            <w:vAlign w:val="bottom"/>
            <w:hideMark/>
          </w:tcPr>
          <w:p w14:paraId="76870E92" w14:textId="77777777" w:rsidR="00000000" w:rsidRDefault="00832D71">
            <w:pPr>
              <w:pStyle w:val="a3"/>
              <w:spacing w:before="0" w:beforeAutospacing="0" w:after="0" w:afterAutospacing="0"/>
              <w:rPr>
                <w:sz w:val="20"/>
                <w:szCs w:val="20"/>
              </w:rPr>
            </w:pPr>
            <w:r>
              <w:rPr>
                <w:sz w:val="20"/>
                <w:szCs w:val="20"/>
              </w:rPr>
              <w:t> </w:t>
            </w:r>
          </w:p>
        </w:tc>
      </w:tr>
      <w:tr w:rsidR="00000000" w14:paraId="355A24BB" w14:textId="77777777">
        <w:trPr>
          <w:trHeight w:val="200"/>
          <w:tblCellSpacing w:w="15" w:type="dxa"/>
        </w:trPr>
        <w:tc>
          <w:tcPr>
            <w:tcW w:w="0" w:type="auto"/>
            <w:hideMark/>
          </w:tcPr>
          <w:p w14:paraId="577A2608" w14:textId="77777777" w:rsidR="00000000" w:rsidRDefault="00832D71">
            <w:pPr>
              <w:pStyle w:val="a3"/>
              <w:spacing w:before="0" w:beforeAutospacing="0" w:after="0" w:afterAutospacing="0"/>
              <w:rPr>
                <w:sz w:val="20"/>
                <w:szCs w:val="20"/>
              </w:rPr>
            </w:pPr>
            <w:r>
              <w:rPr>
                <w:sz w:val="20"/>
                <w:szCs w:val="20"/>
              </w:rPr>
              <w:t>Costs of products sol</w:t>
            </w:r>
            <w:r>
              <w:rPr>
                <w:sz w:val="20"/>
                <w:szCs w:val="20"/>
              </w:rPr>
              <w:t>d</w:t>
            </w:r>
          </w:p>
        </w:tc>
        <w:tc>
          <w:tcPr>
            <w:tcW w:w="0" w:type="auto"/>
            <w:vAlign w:val="bottom"/>
            <w:hideMark/>
          </w:tcPr>
          <w:p w14:paraId="0411DFC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CC23A6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2470684" w14:textId="77777777" w:rsidR="00000000" w:rsidRDefault="00832D71">
            <w:pPr>
              <w:pStyle w:val="a3"/>
              <w:spacing w:before="0" w:beforeAutospacing="0" w:after="0" w:afterAutospacing="0"/>
              <w:jc w:val="right"/>
              <w:rPr>
                <w:sz w:val="20"/>
                <w:szCs w:val="20"/>
              </w:rPr>
            </w:pPr>
            <w:r>
              <w:rPr>
                <w:sz w:val="20"/>
                <w:szCs w:val="20"/>
              </w:rPr>
              <w:t>103,37</w:t>
            </w:r>
            <w:r>
              <w:rPr>
                <w:sz w:val="20"/>
                <w:szCs w:val="20"/>
              </w:rPr>
              <w:t>9</w:t>
            </w:r>
          </w:p>
        </w:tc>
        <w:tc>
          <w:tcPr>
            <w:tcW w:w="0" w:type="auto"/>
            <w:noWrap/>
            <w:vAlign w:val="bottom"/>
            <w:hideMark/>
          </w:tcPr>
          <w:p w14:paraId="79D1B6E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D631B5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E1D55A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66B377E" w14:textId="77777777" w:rsidR="00000000" w:rsidRDefault="00832D71">
            <w:pPr>
              <w:pStyle w:val="a3"/>
              <w:spacing w:before="0" w:beforeAutospacing="0" w:after="0" w:afterAutospacing="0"/>
              <w:jc w:val="right"/>
              <w:rPr>
                <w:sz w:val="20"/>
                <w:szCs w:val="20"/>
              </w:rPr>
            </w:pPr>
            <w:r>
              <w:rPr>
                <w:sz w:val="20"/>
                <w:szCs w:val="20"/>
              </w:rPr>
              <w:t>231,56</w:t>
            </w:r>
            <w:r>
              <w:rPr>
                <w:sz w:val="20"/>
                <w:szCs w:val="20"/>
              </w:rPr>
              <w:t>7</w:t>
            </w:r>
          </w:p>
        </w:tc>
        <w:tc>
          <w:tcPr>
            <w:tcW w:w="0" w:type="auto"/>
            <w:noWrap/>
            <w:vAlign w:val="bottom"/>
            <w:hideMark/>
          </w:tcPr>
          <w:p w14:paraId="7A3C981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1A48B5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0827DB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91DD203" w14:textId="77777777" w:rsidR="00000000" w:rsidRDefault="00832D71">
            <w:pPr>
              <w:pStyle w:val="a3"/>
              <w:spacing w:before="0" w:beforeAutospacing="0" w:after="0" w:afterAutospacing="0"/>
              <w:jc w:val="right"/>
              <w:rPr>
                <w:sz w:val="20"/>
                <w:szCs w:val="20"/>
              </w:rPr>
            </w:pPr>
            <w:r>
              <w:rPr>
                <w:sz w:val="20"/>
                <w:szCs w:val="20"/>
              </w:rPr>
              <w:t>83,05</w:t>
            </w:r>
            <w:r>
              <w:rPr>
                <w:sz w:val="20"/>
                <w:szCs w:val="20"/>
              </w:rPr>
              <w:t>6</w:t>
            </w:r>
          </w:p>
        </w:tc>
        <w:tc>
          <w:tcPr>
            <w:tcW w:w="0" w:type="auto"/>
            <w:noWrap/>
            <w:vAlign w:val="bottom"/>
            <w:hideMark/>
          </w:tcPr>
          <w:p w14:paraId="180E9E1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3D37DD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38EB43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4A53E8E" w14:textId="77777777" w:rsidR="00000000" w:rsidRDefault="00832D71">
            <w:pPr>
              <w:pStyle w:val="a3"/>
              <w:spacing w:before="0" w:beforeAutospacing="0" w:after="0" w:afterAutospacing="0"/>
              <w:jc w:val="right"/>
              <w:rPr>
                <w:sz w:val="20"/>
                <w:szCs w:val="20"/>
              </w:rPr>
            </w:pPr>
            <w:r>
              <w:rPr>
                <w:sz w:val="20"/>
                <w:szCs w:val="20"/>
              </w:rPr>
              <w:t>67,47</w:t>
            </w:r>
            <w:r>
              <w:rPr>
                <w:sz w:val="20"/>
                <w:szCs w:val="20"/>
              </w:rPr>
              <w:t>6</w:t>
            </w:r>
          </w:p>
        </w:tc>
        <w:tc>
          <w:tcPr>
            <w:tcW w:w="0" w:type="auto"/>
            <w:noWrap/>
            <w:vAlign w:val="bottom"/>
            <w:hideMark/>
          </w:tcPr>
          <w:p w14:paraId="025DC8D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2EED8A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FFAD59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4DFE40E" w14:textId="77777777" w:rsidR="00000000" w:rsidRDefault="00832D71">
            <w:pPr>
              <w:pStyle w:val="a3"/>
              <w:spacing w:before="0" w:beforeAutospacing="0" w:after="0" w:afterAutospacing="0"/>
              <w:jc w:val="right"/>
              <w:rPr>
                <w:sz w:val="20"/>
                <w:szCs w:val="20"/>
              </w:rPr>
            </w:pPr>
            <w:r>
              <w:rPr>
                <w:sz w:val="20"/>
                <w:szCs w:val="20"/>
              </w:rPr>
              <w:t>485,47</w:t>
            </w:r>
            <w:r>
              <w:rPr>
                <w:sz w:val="20"/>
                <w:szCs w:val="20"/>
              </w:rPr>
              <w:t>8</w:t>
            </w:r>
          </w:p>
        </w:tc>
        <w:tc>
          <w:tcPr>
            <w:tcW w:w="0" w:type="auto"/>
            <w:noWrap/>
            <w:vAlign w:val="bottom"/>
            <w:hideMark/>
          </w:tcPr>
          <w:p w14:paraId="2C3CD8E9" w14:textId="77777777" w:rsidR="00000000" w:rsidRDefault="00832D71">
            <w:pPr>
              <w:pStyle w:val="a3"/>
              <w:spacing w:before="0" w:beforeAutospacing="0" w:after="0" w:afterAutospacing="0"/>
              <w:rPr>
                <w:sz w:val="20"/>
                <w:szCs w:val="20"/>
              </w:rPr>
            </w:pPr>
            <w:r>
              <w:rPr>
                <w:sz w:val="20"/>
                <w:szCs w:val="20"/>
              </w:rPr>
              <w:t> </w:t>
            </w:r>
          </w:p>
        </w:tc>
      </w:tr>
      <w:tr w:rsidR="00000000" w14:paraId="15527ACC" w14:textId="77777777">
        <w:trPr>
          <w:trHeight w:val="200"/>
          <w:tblCellSpacing w:w="15" w:type="dxa"/>
        </w:trPr>
        <w:tc>
          <w:tcPr>
            <w:tcW w:w="0" w:type="auto"/>
            <w:hideMark/>
          </w:tcPr>
          <w:p w14:paraId="5E3FFBB7" w14:textId="77777777" w:rsidR="00000000" w:rsidRDefault="00832D71">
            <w:pPr>
              <w:pStyle w:val="a3"/>
              <w:spacing w:before="0" w:beforeAutospacing="0" w:after="0" w:afterAutospacing="0"/>
              <w:rPr>
                <w:sz w:val="20"/>
                <w:szCs w:val="20"/>
              </w:rPr>
            </w:pPr>
            <w:r>
              <w:rPr>
                <w:sz w:val="20"/>
                <w:szCs w:val="20"/>
              </w:rPr>
              <w:t>Operating incom</w:t>
            </w:r>
            <w:r>
              <w:rPr>
                <w:sz w:val="20"/>
                <w:szCs w:val="20"/>
              </w:rPr>
              <w:t>e</w:t>
            </w:r>
          </w:p>
        </w:tc>
        <w:tc>
          <w:tcPr>
            <w:tcW w:w="0" w:type="auto"/>
            <w:vAlign w:val="bottom"/>
            <w:hideMark/>
          </w:tcPr>
          <w:p w14:paraId="57A876E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4E5F9B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5AAE3F6" w14:textId="77777777" w:rsidR="00000000" w:rsidRDefault="00832D71">
            <w:pPr>
              <w:pStyle w:val="a3"/>
              <w:spacing w:before="0" w:beforeAutospacing="0" w:after="0" w:afterAutospacing="0"/>
              <w:jc w:val="right"/>
              <w:rPr>
                <w:sz w:val="20"/>
                <w:szCs w:val="20"/>
              </w:rPr>
            </w:pPr>
            <w:r>
              <w:rPr>
                <w:sz w:val="20"/>
                <w:szCs w:val="20"/>
              </w:rPr>
              <w:t>57,68</w:t>
            </w:r>
            <w:r>
              <w:rPr>
                <w:sz w:val="20"/>
                <w:szCs w:val="20"/>
              </w:rPr>
              <w:t>6</w:t>
            </w:r>
          </w:p>
        </w:tc>
        <w:tc>
          <w:tcPr>
            <w:tcW w:w="0" w:type="auto"/>
            <w:noWrap/>
            <w:vAlign w:val="bottom"/>
            <w:hideMark/>
          </w:tcPr>
          <w:p w14:paraId="77F82A9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6877F2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7251AE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58540A6" w14:textId="77777777" w:rsidR="00000000" w:rsidRDefault="00832D71">
            <w:pPr>
              <w:pStyle w:val="a3"/>
              <w:spacing w:before="0" w:beforeAutospacing="0" w:after="0" w:afterAutospacing="0"/>
              <w:jc w:val="right"/>
              <w:rPr>
                <w:sz w:val="20"/>
                <w:szCs w:val="20"/>
              </w:rPr>
            </w:pPr>
            <w:r>
              <w:rPr>
                <w:sz w:val="20"/>
                <w:szCs w:val="20"/>
              </w:rPr>
              <w:t>147,15</w:t>
            </w:r>
            <w:r>
              <w:rPr>
                <w:sz w:val="20"/>
                <w:szCs w:val="20"/>
              </w:rPr>
              <w:t>7</w:t>
            </w:r>
          </w:p>
        </w:tc>
        <w:tc>
          <w:tcPr>
            <w:tcW w:w="0" w:type="auto"/>
            <w:noWrap/>
            <w:vAlign w:val="bottom"/>
            <w:hideMark/>
          </w:tcPr>
          <w:p w14:paraId="640DCD0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07FBCF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F8142B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CEA6C42" w14:textId="77777777" w:rsidR="00000000" w:rsidRDefault="00832D71">
            <w:pPr>
              <w:pStyle w:val="a3"/>
              <w:spacing w:before="0" w:beforeAutospacing="0" w:after="0" w:afterAutospacing="0"/>
              <w:jc w:val="right"/>
              <w:rPr>
                <w:sz w:val="20"/>
                <w:szCs w:val="20"/>
              </w:rPr>
            </w:pPr>
            <w:r>
              <w:rPr>
                <w:sz w:val="20"/>
                <w:szCs w:val="20"/>
              </w:rPr>
              <w:t>8,00</w:t>
            </w:r>
            <w:r>
              <w:rPr>
                <w:sz w:val="20"/>
                <w:szCs w:val="20"/>
              </w:rPr>
              <w:t>3</w:t>
            </w:r>
          </w:p>
        </w:tc>
        <w:tc>
          <w:tcPr>
            <w:tcW w:w="0" w:type="auto"/>
            <w:noWrap/>
            <w:vAlign w:val="bottom"/>
            <w:hideMark/>
          </w:tcPr>
          <w:p w14:paraId="2848013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D642BC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6F0F22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48668C1" w14:textId="77777777" w:rsidR="00000000" w:rsidRDefault="00832D71">
            <w:pPr>
              <w:pStyle w:val="a3"/>
              <w:spacing w:before="0" w:beforeAutospacing="0" w:after="0" w:afterAutospacing="0"/>
              <w:jc w:val="right"/>
              <w:rPr>
                <w:sz w:val="20"/>
                <w:szCs w:val="20"/>
              </w:rPr>
            </w:pPr>
            <w:r>
              <w:rPr>
                <w:sz w:val="20"/>
                <w:szCs w:val="20"/>
              </w:rPr>
              <w:t>39</w:t>
            </w:r>
            <w:r>
              <w:rPr>
                <w:sz w:val="20"/>
                <w:szCs w:val="20"/>
              </w:rPr>
              <w:t>0</w:t>
            </w:r>
          </w:p>
        </w:tc>
        <w:tc>
          <w:tcPr>
            <w:tcW w:w="0" w:type="auto"/>
            <w:noWrap/>
            <w:vAlign w:val="bottom"/>
            <w:hideMark/>
          </w:tcPr>
          <w:p w14:paraId="436DA2D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00D973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46F8CF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67F09F0" w14:textId="77777777" w:rsidR="00000000" w:rsidRDefault="00832D71">
            <w:pPr>
              <w:pStyle w:val="a3"/>
              <w:spacing w:before="0" w:beforeAutospacing="0" w:after="0" w:afterAutospacing="0"/>
              <w:jc w:val="right"/>
              <w:rPr>
                <w:sz w:val="20"/>
                <w:szCs w:val="20"/>
              </w:rPr>
            </w:pPr>
            <w:r>
              <w:rPr>
                <w:sz w:val="20"/>
                <w:szCs w:val="20"/>
              </w:rPr>
              <w:t>213,23</w:t>
            </w:r>
            <w:r>
              <w:rPr>
                <w:sz w:val="20"/>
                <w:szCs w:val="20"/>
              </w:rPr>
              <w:t>6</w:t>
            </w:r>
          </w:p>
        </w:tc>
        <w:tc>
          <w:tcPr>
            <w:tcW w:w="0" w:type="auto"/>
            <w:noWrap/>
            <w:vAlign w:val="bottom"/>
            <w:hideMark/>
          </w:tcPr>
          <w:p w14:paraId="12AD16DB" w14:textId="77777777" w:rsidR="00000000" w:rsidRDefault="00832D71">
            <w:pPr>
              <w:pStyle w:val="a3"/>
              <w:spacing w:before="0" w:beforeAutospacing="0" w:after="0" w:afterAutospacing="0"/>
              <w:rPr>
                <w:sz w:val="20"/>
                <w:szCs w:val="20"/>
              </w:rPr>
            </w:pPr>
            <w:r>
              <w:rPr>
                <w:sz w:val="20"/>
                <w:szCs w:val="20"/>
              </w:rPr>
              <w:t> </w:t>
            </w:r>
          </w:p>
        </w:tc>
      </w:tr>
      <w:tr w:rsidR="00000000" w14:paraId="43988687" w14:textId="77777777">
        <w:trPr>
          <w:trHeight w:val="200"/>
          <w:tblCellSpacing w:w="15" w:type="dxa"/>
        </w:trPr>
        <w:tc>
          <w:tcPr>
            <w:tcW w:w="0" w:type="auto"/>
            <w:hideMark/>
          </w:tcPr>
          <w:p w14:paraId="183D902C" w14:textId="77777777" w:rsidR="00000000" w:rsidRDefault="00832D71">
            <w:pPr>
              <w:pStyle w:val="a3"/>
              <w:spacing w:before="0" w:beforeAutospacing="0" w:after="0" w:afterAutospacing="0"/>
              <w:rPr>
                <w:sz w:val="20"/>
                <w:szCs w:val="20"/>
              </w:rPr>
            </w:pPr>
            <w:r>
              <w:rPr>
                <w:sz w:val="20"/>
                <w:szCs w:val="20"/>
              </w:rPr>
              <w:t>Loss on debt extinguishment (b</w:t>
            </w:r>
            <w:r>
              <w:rPr>
                <w:sz w:val="20"/>
                <w:szCs w:val="20"/>
              </w:rPr>
              <w:t>)</w:t>
            </w:r>
          </w:p>
        </w:tc>
        <w:tc>
          <w:tcPr>
            <w:tcW w:w="0" w:type="auto"/>
            <w:vAlign w:val="bottom"/>
            <w:hideMark/>
          </w:tcPr>
          <w:p w14:paraId="0CD093F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8C95C7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FED5D75"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702720A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81B932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4E866A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2B7E732"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42D35A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570A60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D9F451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22B8E87" w14:textId="77777777" w:rsidR="00000000" w:rsidRDefault="00832D71">
            <w:pPr>
              <w:pStyle w:val="a3"/>
              <w:spacing w:before="0" w:beforeAutospacing="0" w:after="0" w:afterAutospacing="0"/>
              <w:jc w:val="right"/>
              <w:rPr>
                <w:sz w:val="20"/>
                <w:szCs w:val="20"/>
              </w:rPr>
            </w:pPr>
            <w:r>
              <w:rPr>
                <w:sz w:val="20"/>
                <w:szCs w:val="20"/>
              </w:rPr>
              <w:t>16,02</w:t>
            </w:r>
            <w:r>
              <w:rPr>
                <w:sz w:val="20"/>
                <w:szCs w:val="20"/>
              </w:rPr>
              <w:t>9</w:t>
            </w:r>
          </w:p>
        </w:tc>
        <w:tc>
          <w:tcPr>
            <w:tcW w:w="0" w:type="auto"/>
            <w:noWrap/>
            <w:vAlign w:val="bottom"/>
            <w:hideMark/>
          </w:tcPr>
          <w:p w14:paraId="1C07A9D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D0B339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1C6C7D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1EDBF41"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38CED7E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23DE16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AFE265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3125265" w14:textId="77777777" w:rsidR="00000000" w:rsidRDefault="00832D71">
            <w:pPr>
              <w:pStyle w:val="a3"/>
              <w:spacing w:before="0" w:beforeAutospacing="0" w:after="0" w:afterAutospacing="0"/>
              <w:jc w:val="right"/>
              <w:rPr>
                <w:sz w:val="20"/>
                <w:szCs w:val="20"/>
              </w:rPr>
            </w:pPr>
            <w:r>
              <w:rPr>
                <w:sz w:val="20"/>
                <w:szCs w:val="20"/>
              </w:rPr>
              <w:t>16,02</w:t>
            </w:r>
            <w:r>
              <w:rPr>
                <w:sz w:val="20"/>
                <w:szCs w:val="20"/>
              </w:rPr>
              <w:t>9</w:t>
            </w:r>
          </w:p>
        </w:tc>
        <w:tc>
          <w:tcPr>
            <w:tcW w:w="0" w:type="auto"/>
            <w:noWrap/>
            <w:vAlign w:val="bottom"/>
            <w:hideMark/>
          </w:tcPr>
          <w:p w14:paraId="40EF9E4B" w14:textId="77777777" w:rsidR="00000000" w:rsidRDefault="00832D71">
            <w:pPr>
              <w:pStyle w:val="a3"/>
              <w:spacing w:before="0" w:beforeAutospacing="0" w:after="0" w:afterAutospacing="0"/>
              <w:rPr>
                <w:sz w:val="20"/>
                <w:szCs w:val="20"/>
              </w:rPr>
            </w:pPr>
            <w:r>
              <w:rPr>
                <w:sz w:val="20"/>
                <w:szCs w:val="20"/>
              </w:rPr>
              <w:t> </w:t>
            </w:r>
          </w:p>
        </w:tc>
      </w:tr>
      <w:tr w:rsidR="00000000" w14:paraId="2D486B3B" w14:textId="77777777">
        <w:trPr>
          <w:trHeight w:val="200"/>
          <w:tblCellSpacing w:w="15" w:type="dxa"/>
        </w:trPr>
        <w:tc>
          <w:tcPr>
            <w:tcW w:w="0" w:type="auto"/>
            <w:hideMark/>
          </w:tcPr>
          <w:p w14:paraId="4D6DB65E" w14:textId="77777777" w:rsidR="00000000" w:rsidRDefault="00832D71">
            <w:pPr>
              <w:pStyle w:val="a3"/>
              <w:spacing w:before="0" w:beforeAutospacing="0" w:after="0" w:afterAutospacing="0"/>
              <w:rPr>
                <w:sz w:val="20"/>
                <w:szCs w:val="20"/>
              </w:rPr>
            </w:pPr>
            <w:r>
              <w:rPr>
                <w:sz w:val="20"/>
                <w:szCs w:val="20"/>
              </w:rPr>
              <w:t>Net income (loss</w:t>
            </w:r>
            <w:r>
              <w:rPr>
                <w:sz w:val="20"/>
                <w:szCs w:val="20"/>
              </w:rPr>
              <w:t>)</w:t>
            </w:r>
          </w:p>
        </w:tc>
        <w:tc>
          <w:tcPr>
            <w:tcW w:w="0" w:type="auto"/>
            <w:vAlign w:val="bottom"/>
            <w:hideMark/>
          </w:tcPr>
          <w:p w14:paraId="04FA1F6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A92569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B104827" w14:textId="77777777" w:rsidR="00000000" w:rsidRDefault="00832D71">
            <w:pPr>
              <w:pStyle w:val="a3"/>
              <w:spacing w:before="0" w:beforeAutospacing="0" w:after="0" w:afterAutospacing="0"/>
              <w:jc w:val="right"/>
              <w:rPr>
                <w:sz w:val="20"/>
                <w:szCs w:val="20"/>
              </w:rPr>
            </w:pPr>
            <w:r>
              <w:rPr>
                <w:sz w:val="20"/>
                <w:szCs w:val="20"/>
              </w:rPr>
              <w:t>37,97</w:t>
            </w:r>
            <w:r>
              <w:rPr>
                <w:sz w:val="20"/>
                <w:szCs w:val="20"/>
              </w:rPr>
              <w:t>7</w:t>
            </w:r>
          </w:p>
        </w:tc>
        <w:tc>
          <w:tcPr>
            <w:tcW w:w="0" w:type="auto"/>
            <w:noWrap/>
            <w:vAlign w:val="bottom"/>
            <w:hideMark/>
          </w:tcPr>
          <w:p w14:paraId="2AACD89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3FDB2D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6C3568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EDB19C9" w14:textId="77777777" w:rsidR="00000000" w:rsidRDefault="00832D71">
            <w:pPr>
              <w:pStyle w:val="a3"/>
              <w:spacing w:before="0" w:beforeAutospacing="0" w:after="0" w:afterAutospacing="0"/>
              <w:jc w:val="right"/>
              <w:rPr>
                <w:sz w:val="20"/>
                <w:szCs w:val="20"/>
              </w:rPr>
            </w:pPr>
            <w:r>
              <w:rPr>
                <w:sz w:val="20"/>
                <w:szCs w:val="20"/>
              </w:rPr>
              <w:t>127,21</w:t>
            </w:r>
            <w:r>
              <w:rPr>
                <w:sz w:val="20"/>
                <w:szCs w:val="20"/>
              </w:rPr>
              <w:t>6</w:t>
            </w:r>
          </w:p>
        </w:tc>
        <w:tc>
          <w:tcPr>
            <w:tcW w:w="0" w:type="auto"/>
            <w:noWrap/>
            <w:vAlign w:val="bottom"/>
            <w:hideMark/>
          </w:tcPr>
          <w:p w14:paraId="76791C6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F43298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E9C196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587283B" w14:textId="77777777" w:rsidR="00000000" w:rsidRDefault="00832D71">
            <w:pPr>
              <w:pStyle w:val="a3"/>
              <w:spacing w:before="0" w:beforeAutospacing="0" w:after="0" w:afterAutospacing="0"/>
              <w:jc w:val="right"/>
              <w:rPr>
                <w:sz w:val="20"/>
                <w:szCs w:val="20"/>
              </w:rPr>
            </w:pPr>
            <w:r>
              <w:rPr>
                <w:sz w:val="20"/>
                <w:szCs w:val="20"/>
              </w:rPr>
              <w:t>(26,02</w:t>
            </w:r>
            <w:r>
              <w:rPr>
                <w:sz w:val="20"/>
                <w:szCs w:val="20"/>
              </w:rPr>
              <w:t>1</w:t>
            </w:r>
          </w:p>
        </w:tc>
        <w:tc>
          <w:tcPr>
            <w:tcW w:w="0" w:type="auto"/>
            <w:noWrap/>
            <w:vAlign w:val="bottom"/>
            <w:hideMark/>
          </w:tcPr>
          <w:p w14:paraId="5D1F590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6A7CD5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E7D745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DE549D4" w14:textId="77777777" w:rsidR="00000000" w:rsidRDefault="00832D71">
            <w:pPr>
              <w:pStyle w:val="a3"/>
              <w:spacing w:before="0" w:beforeAutospacing="0" w:after="0" w:afterAutospacing="0"/>
              <w:jc w:val="right"/>
              <w:rPr>
                <w:sz w:val="20"/>
                <w:szCs w:val="20"/>
              </w:rPr>
            </w:pPr>
            <w:r>
              <w:rPr>
                <w:sz w:val="20"/>
                <w:szCs w:val="20"/>
              </w:rPr>
              <w:t>(16,37</w:t>
            </w:r>
            <w:r>
              <w:rPr>
                <w:sz w:val="20"/>
                <w:szCs w:val="20"/>
              </w:rPr>
              <w:t>9</w:t>
            </w:r>
          </w:p>
        </w:tc>
        <w:tc>
          <w:tcPr>
            <w:tcW w:w="0" w:type="auto"/>
            <w:noWrap/>
            <w:vAlign w:val="bottom"/>
            <w:hideMark/>
          </w:tcPr>
          <w:p w14:paraId="104E3F8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4E70A8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E8B047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637A1B3" w14:textId="77777777" w:rsidR="00000000" w:rsidRDefault="00832D71">
            <w:pPr>
              <w:pStyle w:val="a3"/>
              <w:spacing w:before="0" w:beforeAutospacing="0" w:after="0" w:afterAutospacing="0"/>
              <w:jc w:val="right"/>
              <w:rPr>
                <w:sz w:val="20"/>
                <w:szCs w:val="20"/>
              </w:rPr>
            </w:pPr>
            <w:r>
              <w:rPr>
                <w:sz w:val="20"/>
                <w:szCs w:val="20"/>
              </w:rPr>
              <w:t>122,79</w:t>
            </w:r>
            <w:r>
              <w:rPr>
                <w:sz w:val="20"/>
                <w:szCs w:val="20"/>
              </w:rPr>
              <w:t>3</w:t>
            </w:r>
          </w:p>
        </w:tc>
        <w:tc>
          <w:tcPr>
            <w:tcW w:w="0" w:type="auto"/>
            <w:noWrap/>
            <w:vAlign w:val="bottom"/>
            <w:hideMark/>
          </w:tcPr>
          <w:p w14:paraId="5F4320A6" w14:textId="77777777" w:rsidR="00000000" w:rsidRDefault="00832D71">
            <w:pPr>
              <w:pStyle w:val="a3"/>
              <w:spacing w:before="0" w:beforeAutospacing="0" w:after="0" w:afterAutospacing="0"/>
              <w:rPr>
                <w:sz w:val="20"/>
                <w:szCs w:val="20"/>
              </w:rPr>
            </w:pPr>
            <w:r>
              <w:rPr>
                <w:sz w:val="20"/>
                <w:szCs w:val="20"/>
              </w:rPr>
              <w:t> </w:t>
            </w:r>
          </w:p>
        </w:tc>
      </w:tr>
      <w:tr w:rsidR="00000000" w14:paraId="140BC06D" w14:textId="77777777">
        <w:trPr>
          <w:trHeight w:val="200"/>
          <w:tblCellSpacing w:w="15" w:type="dxa"/>
        </w:trPr>
        <w:tc>
          <w:tcPr>
            <w:tcW w:w="0" w:type="auto"/>
            <w:hideMark/>
          </w:tcPr>
          <w:p w14:paraId="4E4671A0" w14:textId="77777777" w:rsidR="00000000" w:rsidRDefault="00832D71">
            <w:pPr>
              <w:pStyle w:val="a3"/>
              <w:spacing w:before="0" w:beforeAutospacing="0" w:after="0" w:afterAutospacing="0"/>
              <w:rPr>
                <w:sz w:val="20"/>
                <w:szCs w:val="20"/>
              </w:rPr>
            </w:pPr>
            <w:r>
              <w:rPr>
                <w:sz w:val="20"/>
                <w:szCs w:val="20"/>
              </w:rPr>
              <w:t>Net income (loss) per Common Unit - basic (a</w:t>
            </w:r>
            <w:r>
              <w:rPr>
                <w:sz w:val="20"/>
                <w:szCs w:val="20"/>
              </w:rPr>
              <w:t>)</w:t>
            </w:r>
          </w:p>
        </w:tc>
        <w:tc>
          <w:tcPr>
            <w:tcW w:w="0" w:type="auto"/>
            <w:vAlign w:val="bottom"/>
            <w:hideMark/>
          </w:tcPr>
          <w:p w14:paraId="7F81F3F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77A548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B0A9A09" w14:textId="77777777" w:rsidR="00000000" w:rsidRDefault="00832D71">
            <w:pPr>
              <w:pStyle w:val="a3"/>
              <w:spacing w:before="0" w:beforeAutospacing="0" w:after="0" w:afterAutospacing="0"/>
              <w:jc w:val="right"/>
              <w:rPr>
                <w:sz w:val="20"/>
                <w:szCs w:val="20"/>
              </w:rPr>
            </w:pPr>
            <w:r>
              <w:rPr>
                <w:sz w:val="20"/>
                <w:szCs w:val="20"/>
              </w:rPr>
              <w:t>0.6</w:t>
            </w:r>
            <w:r>
              <w:rPr>
                <w:sz w:val="20"/>
                <w:szCs w:val="20"/>
              </w:rPr>
              <w:t>1</w:t>
            </w:r>
          </w:p>
        </w:tc>
        <w:tc>
          <w:tcPr>
            <w:tcW w:w="0" w:type="auto"/>
            <w:noWrap/>
            <w:vAlign w:val="bottom"/>
            <w:hideMark/>
          </w:tcPr>
          <w:p w14:paraId="10C42BE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0D6093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E2CBFA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5C12B61" w14:textId="77777777" w:rsidR="00000000" w:rsidRDefault="00832D71">
            <w:pPr>
              <w:pStyle w:val="a3"/>
              <w:spacing w:before="0" w:beforeAutospacing="0" w:after="0" w:afterAutospacing="0"/>
              <w:jc w:val="right"/>
              <w:rPr>
                <w:sz w:val="20"/>
                <w:szCs w:val="20"/>
              </w:rPr>
            </w:pPr>
            <w:r>
              <w:rPr>
                <w:sz w:val="20"/>
                <w:szCs w:val="20"/>
              </w:rPr>
              <w:t>2.0</w:t>
            </w:r>
            <w:r>
              <w:rPr>
                <w:sz w:val="20"/>
                <w:szCs w:val="20"/>
              </w:rPr>
              <w:t>3</w:t>
            </w:r>
          </w:p>
        </w:tc>
        <w:tc>
          <w:tcPr>
            <w:tcW w:w="0" w:type="auto"/>
            <w:noWrap/>
            <w:vAlign w:val="bottom"/>
            <w:hideMark/>
          </w:tcPr>
          <w:p w14:paraId="6EAA0D8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CD6572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5DA3BE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039B4E2" w14:textId="77777777" w:rsidR="00000000" w:rsidRDefault="00832D71">
            <w:pPr>
              <w:pStyle w:val="a3"/>
              <w:spacing w:before="0" w:beforeAutospacing="0" w:after="0" w:afterAutospacing="0"/>
              <w:jc w:val="right"/>
              <w:rPr>
                <w:sz w:val="20"/>
                <w:szCs w:val="20"/>
              </w:rPr>
            </w:pPr>
            <w:r>
              <w:rPr>
                <w:sz w:val="20"/>
                <w:szCs w:val="20"/>
              </w:rPr>
              <w:t>(0.4</w:t>
            </w:r>
            <w:r>
              <w:rPr>
                <w:sz w:val="20"/>
                <w:szCs w:val="20"/>
              </w:rPr>
              <w:t>1</w:t>
            </w:r>
          </w:p>
        </w:tc>
        <w:tc>
          <w:tcPr>
            <w:tcW w:w="0" w:type="auto"/>
            <w:noWrap/>
            <w:vAlign w:val="bottom"/>
            <w:hideMark/>
          </w:tcPr>
          <w:p w14:paraId="70DD2E5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048DE7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68C0B2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5946B06" w14:textId="77777777" w:rsidR="00000000" w:rsidRDefault="00832D71">
            <w:pPr>
              <w:pStyle w:val="a3"/>
              <w:spacing w:before="0" w:beforeAutospacing="0" w:after="0" w:afterAutospacing="0"/>
              <w:jc w:val="right"/>
              <w:rPr>
                <w:sz w:val="20"/>
                <w:szCs w:val="20"/>
              </w:rPr>
            </w:pPr>
            <w:r>
              <w:rPr>
                <w:sz w:val="20"/>
                <w:szCs w:val="20"/>
              </w:rPr>
              <w:t>(0.2</w:t>
            </w:r>
            <w:r>
              <w:rPr>
                <w:sz w:val="20"/>
                <w:szCs w:val="20"/>
              </w:rPr>
              <w:t>6</w:t>
            </w:r>
          </w:p>
        </w:tc>
        <w:tc>
          <w:tcPr>
            <w:tcW w:w="0" w:type="auto"/>
            <w:noWrap/>
            <w:vAlign w:val="bottom"/>
            <w:hideMark/>
          </w:tcPr>
          <w:p w14:paraId="19DAA43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3D9AB9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097A34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45EDCD6" w14:textId="77777777" w:rsidR="00000000" w:rsidRDefault="00832D71">
            <w:pPr>
              <w:pStyle w:val="a3"/>
              <w:spacing w:before="0" w:beforeAutospacing="0" w:after="0" w:afterAutospacing="0"/>
              <w:jc w:val="right"/>
              <w:rPr>
                <w:sz w:val="20"/>
                <w:szCs w:val="20"/>
              </w:rPr>
            </w:pPr>
            <w:r>
              <w:rPr>
                <w:sz w:val="20"/>
                <w:szCs w:val="20"/>
              </w:rPr>
              <w:t>1.9</w:t>
            </w:r>
            <w:r>
              <w:rPr>
                <w:sz w:val="20"/>
                <w:szCs w:val="20"/>
              </w:rPr>
              <w:t>6</w:t>
            </w:r>
          </w:p>
        </w:tc>
        <w:tc>
          <w:tcPr>
            <w:tcW w:w="0" w:type="auto"/>
            <w:noWrap/>
            <w:vAlign w:val="bottom"/>
            <w:hideMark/>
          </w:tcPr>
          <w:p w14:paraId="564AF0FB" w14:textId="77777777" w:rsidR="00000000" w:rsidRDefault="00832D71">
            <w:pPr>
              <w:pStyle w:val="a3"/>
              <w:spacing w:before="0" w:beforeAutospacing="0" w:after="0" w:afterAutospacing="0"/>
              <w:rPr>
                <w:sz w:val="20"/>
                <w:szCs w:val="20"/>
              </w:rPr>
            </w:pPr>
            <w:r>
              <w:rPr>
                <w:sz w:val="20"/>
                <w:szCs w:val="20"/>
              </w:rPr>
              <w:t> </w:t>
            </w:r>
          </w:p>
        </w:tc>
      </w:tr>
      <w:tr w:rsidR="00000000" w14:paraId="22D65F2C" w14:textId="77777777">
        <w:trPr>
          <w:trHeight w:val="200"/>
          <w:tblCellSpacing w:w="15" w:type="dxa"/>
        </w:trPr>
        <w:tc>
          <w:tcPr>
            <w:tcW w:w="0" w:type="auto"/>
            <w:hideMark/>
          </w:tcPr>
          <w:p w14:paraId="21E1D703" w14:textId="77777777" w:rsidR="00000000" w:rsidRDefault="00832D71">
            <w:pPr>
              <w:pStyle w:val="a3"/>
              <w:spacing w:before="0" w:beforeAutospacing="0" w:after="0" w:afterAutospacing="0"/>
              <w:rPr>
                <w:sz w:val="20"/>
                <w:szCs w:val="20"/>
              </w:rPr>
            </w:pPr>
            <w:r>
              <w:rPr>
                <w:sz w:val="20"/>
                <w:szCs w:val="20"/>
              </w:rPr>
              <w:t>Net income (loss) per Common Unit - diluted (a</w:t>
            </w:r>
            <w:r>
              <w:rPr>
                <w:sz w:val="20"/>
                <w:szCs w:val="20"/>
              </w:rPr>
              <w:t>)</w:t>
            </w:r>
          </w:p>
        </w:tc>
        <w:tc>
          <w:tcPr>
            <w:tcW w:w="0" w:type="auto"/>
            <w:vAlign w:val="bottom"/>
            <w:hideMark/>
          </w:tcPr>
          <w:p w14:paraId="7002578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4E4637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8C846C2" w14:textId="77777777" w:rsidR="00000000" w:rsidRDefault="00832D71">
            <w:pPr>
              <w:pStyle w:val="a3"/>
              <w:spacing w:before="0" w:beforeAutospacing="0" w:after="0" w:afterAutospacing="0"/>
              <w:jc w:val="right"/>
              <w:rPr>
                <w:sz w:val="20"/>
                <w:szCs w:val="20"/>
              </w:rPr>
            </w:pPr>
            <w:r>
              <w:rPr>
                <w:sz w:val="20"/>
                <w:szCs w:val="20"/>
              </w:rPr>
              <w:t>0.6</w:t>
            </w:r>
            <w:r>
              <w:rPr>
                <w:sz w:val="20"/>
                <w:szCs w:val="20"/>
              </w:rPr>
              <w:t>1</w:t>
            </w:r>
          </w:p>
        </w:tc>
        <w:tc>
          <w:tcPr>
            <w:tcW w:w="0" w:type="auto"/>
            <w:noWrap/>
            <w:vAlign w:val="bottom"/>
            <w:hideMark/>
          </w:tcPr>
          <w:p w14:paraId="664F76B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8A161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97E080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3070407" w14:textId="77777777" w:rsidR="00000000" w:rsidRDefault="00832D71">
            <w:pPr>
              <w:pStyle w:val="a3"/>
              <w:spacing w:before="0" w:beforeAutospacing="0" w:after="0" w:afterAutospacing="0"/>
              <w:jc w:val="right"/>
              <w:rPr>
                <w:sz w:val="20"/>
                <w:szCs w:val="20"/>
              </w:rPr>
            </w:pPr>
            <w:r>
              <w:rPr>
                <w:sz w:val="20"/>
                <w:szCs w:val="20"/>
              </w:rPr>
              <w:t>2.0</w:t>
            </w:r>
            <w:r>
              <w:rPr>
                <w:sz w:val="20"/>
                <w:szCs w:val="20"/>
              </w:rPr>
              <w:t>2</w:t>
            </w:r>
          </w:p>
        </w:tc>
        <w:tc>
          <w:tcPr>
            <w:tcW w:w="0" w:type="auto"/>
            <w:noWrap/>
            <w:vAlign w:val="bottom"/>
            <w:hideMark/>
          </w:tcPr>
          <w:p w14:paraId="6F327AC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E9BFB7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10B6E8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E9C30F1" w14:textId="77777777" w:rsidR="00000000" w:rsidRDefault="00832D71">
            <w:pPr>
              <w:pStyle w:val="a3"/>
              <w:spacing w:before="0" w:beforeAutospacing="0" w:after="0" w:afterAutospacing="0"/>
              <w:jc w:val="right"/>
              <w:rPr>
                <w:sz w:val="20"/>
                <w:szCs w:val="20"/>
              </w:rPr>
            </w:pPr>
            <w:r>
              <w:rPr>
                <w:sz w:val="20"/>
                <w:szCs w:val="20"/>
              </w:rPr>
              <w:t>(0.4</w:t>
            </w:r>
            <w:r>
              <w:rPr>
                <w:sz w:val="20"/>
                <w:szCs w:val="20"/>
              </w:rPr>
              <w:t>1</w:t>
            </w:r>
          </w:p>
        </w:tc>
        <w:tc>
          <w:tcPr>
            <w:tcW w:w="0" w:type="auto"/>
            <w:noWrap/>
            <w:vAlign w:val="bottom"/>
            <w:hideMark/>
          </w:tcPr>
          <w:p w14:paraId="790E901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EBA12E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374E8D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715324F" w14:textId="77777777" w:rsidR="00000000" w:rsidRDefault="00832D71">
            <w:pPr>
              <w:pStyle w:val="a3"/>
              <w:spacing w:before="0" w:beforeAutospacing="0" w:after="0" w:afterAutospacing="0"/>
              <w:jc w:val="right"/>
              <w:rPr>
                <w:sz w:val="20"/>
                <w:szCs w:val="20"/>
              </w:rPr>
            </w:pPr>
            <w:r>
              <w:rPr>
                <w:sz w:val="20"/>
                <w:szCs w:val="20"/>
              </w:rPr>
              <w:t>(0.2</w:t>
            </w:r>
            <w:r>
              <w:rPr>
                <w:sz w:val="20"/>
                <w:szCs w:val="20"/>
              </w:rPr>
              <w:t>6</w:t>
            </w:r>
          </w:p>
        </w:tc>
        <w:tc>
          <w:tcPr>
            <w:tcW w:w="0" w:type="auto"/>
            <w:noWrap/>
            <w:vAlign w:val="bottom"/>
            <w:hideMark/>
          </w:tcPr>
          <w:p w14:paraId="4337CF0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F0D05B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1A1521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4D61111" w14:textId="77777777" w:rsidR="00000000" w:rsidRDefault="00832D71">
            <w:pPr>
              <w:pStyle w:val="a3"/>
              <w:spacing w:before="0" w:beforeAutospacing="0" w:after="0" w:afterAutospacing="0"/>
              <w:jc w:val="right"/>
              <w:rPr>
                <w:sz w:val="20"/>
                <w:szCs w:val="20"/>
              </w:rPr>
            </w:pPr>
            <w:r>
              <w:rPr>
                <w:sz w:val="20"/>
                <w:szCs w:val="20"/>
              </w:rPr>
              <w:t>1.9</w:t>
            </w:r>
            <w:r>
              <w:rPr>
                <w:sz w:val="20"/>
                <w:szCs w:val="20"/>
              </w:rPr>
              <w:t>4</w:t>
            </w:r>
          </w:p>
        </w:tc>
        <w:tc>
          <w:tcPr>
            <w:tcW w:w="0" w:type="auto"/>
            <w:noWrap/>
            <w:vAlign w:val="bottom"/>
            <w:hideMark/>
          </w:tcPr>
          <w:p w14:paraId="0359B08A" w14:textId="77777777" w:rsidR="00000000" w:rsidRDefault="00832D71">
            <w:pPr>
              <w:pStyle w:val="a3"/>
              <w:spacing w:before="0" w:beforeAutospacing="0" w:after="0" w:afterAutospacing="0"/>
              <w:rPr>
                <w:sz w:val="20"/>
                <w:szCs w:val="20"/>
              </w:rPr>
            </w:pPr>
            <w:r>
              <w:rPr>
                <w:sz w:val="20"/>
                <w:szCs w:val="20"/>
              </w:rPr>
              <w:t> </w:t>
            </w:r>
          </w:p>
        </w:tc>
      </w:tr>
      <w:tr w:rsidR="00000000" w14:paraId="05B23316" w14:textId="77777777">
        <w:trPr>
          <w:tblCellSpacing w:w="15" w:type="dxa"/>
        </w:trPr>
        <w:tc>
          <w:tcPr>
            <w:tcW w:w="0" w:type="auto"/>
            <w:hideMark/>
          </w:tcPr>
          <w:p w14:paraId="150DE7F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187AA9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CA7685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D5AF8D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609607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0C79C6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4C9464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89A3104"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E573FC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4362FD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DD5818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2D6E3A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8E8155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A87BA1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3FAFE7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F01DE18" w14:textId="77777777" w:rsidR="00000000" w:rsidRDefault="00832D71">
            <w:pPr>
              <w:pStyle w:val="a3"/>
              <w:spacing w:before="0" w:beforeAutospacing="0" w:after="0" w:afterAutospacing="0"/>
              <w:jc w:val="right"/>
              <w:rPr>
                <w:sz w:val="20"/>
                <w:szCs w:val="20"/>
              </w:rPr>
            </w:pPr>
            <w:r>
              <w:rPr>
                <w:sz w:val="20"/>
                <w:szCs w:val="20"/>
              </w:rPr>
              <w:t> </w:t>
            </w:r>
          </w:p>
        </w:tc>
      </w:tr>
      <w:tr w:rsidR="00000000" w14:paraId="090187B7" w14:textId="77777777">
        <w:trPr>
          <w:trHeight w:val="200"/>
          <w:tblCellSpacing w:w="15" w:type="dxa"/>
        </w:trPr>
        <w:tc>
          <w:tcPr>
            <w:tcW w:w="0" w:type="auto"/>
            <w:hideMark/>
          </w:tcPr>
          <w:p w14:paraId="205E89EB" w14:textId="77777777" w:rsidR="00000000" w:rsidRDefault="00832D71">
            <w:pPr>
              <w:pStyle w:val="a3"/>
              <w:spacing w:before="0" w:beforeAutospacing="0" w:after="0" w:afterAutospacing="0"/>
              <w:rPr>
                <w:sz w:val="20"/>
                <w:szCs w:val="20"/>
              </w:rPr>
            </w:pPr>
            <w:r>
              <w:rPr>
                <w:sz w:val="20"/>
                <w:szCs w:val="20"/>
              </w:rPr>
              <w:t>Cash provided by (used in)</w:t>
            </w:r>
            <w:r>
              <w:rPr>
                <w:sz w:val="20"/>
                <w:szCs w:val="20"/>
              </w:rPr>
              <w:t>:</w:t>
            </w:r>
          </w:p>
        </w:tc>
        <w:tc>
          <w:tcPr>
            <w:tcW w:w="0" w:type="auto"/>
            <w:vAlign w:val="bottom"/>
            <w:hideMark/>
          </w:tcPr>
          <w:p w14:paraId="65DDB55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581C01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DB2054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18111A5"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F8E97C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C62311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E014FB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35BE09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6C3FB2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786585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7F7C74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7A538E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883BECB"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13B4E4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B370681" w14:textId="77777777" w:rsidR="00000000" w:rsidRDefault="00832D71">
            <w:pPr>
              <w:pStyle w:val="a3"/>
              <w:spacing w:before="0" w:beforeAutospacing="0" w:after="0" w:afterAutospacing="0"/>
              <w:jc w:val="right"/>
              <w:rPr>
                <w:sz w:val="20"/>
                <w:szCs w:val="20"/>
              </w:rPr>
            </w:pPr>
            <w:r>
              <w:rPr>
                <w:sz w:val="20"/>
                <w:szCs w:val="20"/>
              </w:rPr>
              <w:t> </w:t>
            </w:r>
          </w:p>
        </w:tc>
      </w:tr>
      <w:tr w:rsidR="00000000" w14:paraId="7C86B37E" w14:textId="77777777">
        <w:trPr>
          <w:trHeight w:val="200"/>
          <w:tblCellSpacing w:w="15" w:type="dxa"/>
        </w:trPr>
        <w:tc>
          <w:tcPr>
            <w:tcW w:w="0" w:type="auto"/>
            <w:hideMark/>
          </w:tcPr>
          <w:p w14:paraId="1AC02CE8" w14:textId="77777777" w:rsidR="00000000" w:rsidRDefault="00832D71">
            <w:pPr>
              <w:pStyle w:val="a3"/>
              <w:spacing w:before="0" w:beforeAutospacing="0" w:after="0" w:afterAutospacing="0"/>
              <w:ind w:left="200"/>
              <w:rPr>
                <w:sz w:val="20"/>
                <w:szCs w:val="20"/>
              </w:rPr>
            </w:pPr>
            <w:r>
              <w:rPr>
                <w:sz w:val="20"/>
                <w:szCs w:val="20"/>
              </w:rPr>
              <w:t>Operating activitie</w:t>
            </w:r>
            <w:r>
              <w:rPr>
                <w:sz w:val="20"/>
                <w:szCs w:val="20"/>
              </w:rPr>
              <w:t>s</w:t>
            </w:r>
          </w:p>
        </w:tc>
        <w:tc>
          <w:tcPr>
            <w:tcW w:w="0" w:type="auto"/>
            <w:vAlign w:val="bottom"/>
            <w:hideMark/>
          </w:tcPr>
          <w:p w14:paraId="5987875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F5EE96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72C9FA8" w14:textId="77777777" w:rsidR="00000000" w:rsidRDefault="00832D71">
            <w:pPr>
              <w:pStyle w:val="a3"/>
              <w:spacing w:before="0" w:beforeAutospacing="0" w:after="0" w:afterAutospacing="0"/>
              <w:jc w:val="right"/>
              <w:rPr>
                <w:sz w:val="20"/>
                <w:szCs w:val="20"/>
              </w:rPr>
            </w:pPr>
            <w:r>
              <w:rPr>
                <w:sz w:val="20"/>
                <w:szCs w:val="20"/>
              </w:rPr>
              <w:t>4,23</w:t>
            </w:r>
            <w:r>
              <w:rPr>
                <w:sz w:val="20"/>
                <w:szCs w:val="20"/>
              </w:rPr>
              <w:t>4</w:t>
            </w:r>
          </w:p>
        </w:tc>
        <w:tc>
          <w:tcPr>
            <w:tcW w:w="0" w:type="auto"/>
            <w:noWrap/>
            <w:vAlign w:val="bottom"/>
            <w:hideMark/>
          </w:tcPr>
          <w:p w14:paraId="45F5D35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2B8716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8E2CE2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00CDE82" w14:textId="77777777" w:rsidR="00000000" w:rsidRDefault="00832D71">
            <w:pPr>
              <w:pStyle w:val="a3"/>
              <w:spacing w:before="0" w:beforeAutospacing="0" w:after="0" w:afterAutospacing="0"/>
              <w:jc w:val="right"/>
              <w:rPr>
                <w:sz w:val="20"/>
                <w:szCs w:val="20"/>
              </w:rPr>
            </w:pPr>
            <w:r>
              <w:rPr>
                <w:sz w:val="20"/>
                <w:szCs w:val="20"/>
              </w:rPr>
              <w:t>97,59</w:t>
            </w:r>
            <w:r>
              <w:rPr>
                <w:sz w:val="20"/>
                <w:szCs w:val="20"/>
              </w:rPr>
              <w:t>5</w:t>
            </w:r>
          </w:p>
        </w:tc>
        <w:tc>
          <w:tcPr>
            <w:tcW w:w="0" w:type="auto"/>
            <w:noWrap/>
            <w:vAlign w:val="bottom"/>
            <w:hideMark/>
          </w:tcPr>
          <w:p w14:paraId="78C0EE5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C83E2D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AA1E8D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06D2877" w14:textId="77777777" w:rsidR="00000000" w:rsidRDefault="00832D71">
            <w:pPr>
              <w:pStyle w:val="a3"/>
              <w:spacing w:before="0" w:beforeAutospacing="0" w:after="0" w:afterAutospacing="0"/>
              <w:jc w:val="right"/>
              <w:rPr>
                <w:sz w:val="20"/>
                <w:szCs w:val="20"/>
              </w:rPr>
            </w:pPr>
            <w:r>
              <w:rPr>
                <w:sz w:val="20"/>
                <w:szCs w:val="20"/>
              </w:rPr>
              <w:t>78,94</w:t>
            </w:r>
            <w:r>
              <w:rPr>
                <w:sz w:val="20"/>
                <w:szCs w:val="20"/>
              </w:rPr>
              <w:t>8</w:t>
            </w:r>
          </w:p>
        </w:tc>
        <w:tc>
          <w:tcPr>
            <w:tcW w:w="0" w:type="auto"/>
            <w:noWrap/>
            <w:vAlign w:val="bottom"/>
            <w:hideMark/>
          </w:tcPr>
          <w:p w14:paraId="76B619D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30A71A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2B6CE3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A10DBF5" w14:textId="77777777" w:rsidR="00000000" w:rsidRDefault="00832D71">
            <w:pPr>
              <w:pStyle w:val="a3"/>
              <w:spacing w:before="0" w:beforeAutospacing="0" w:after="0" w:afterAutospacing="0"/>
              <w:jc w:val="right"/>
              <w:rPr>
                <w:sz w:val="20"/>
                <w:szCs w:val="20"/>
              </w:rPr>
            </w:pPr>
            <w:r>
              <w:rPr>
                <w:sz w:val="20"/>
                <w:szCs w:val="20"/>
              </w:rPr>
              <w:t>45,77</w:t>
            </w:r>
            <w:r>
              <w:rPr>
                <w:sz w:val="20"/>
                <w:szCs w:val="20"/>
              </w:rPr>
              <w:t>5</w:t>
            </w:r>
          </w:p>
        </w:tc>
        <w:tc>
          <w:tcPr>
            <w:tcW w:w="0" w:type="auto"/>
            <w:noWrap/>
            <w:vAlign w:val="bottom"/>
            <w:hideMark/>
          </w:tcPr>
          <w:p w14:paraId="33D31BA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4D8916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34E53E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EF50BE6" w14:textId="77777777" w:rsidR="00000000" w:rsidRDefault="00832D71">
            <w:pPr>
              <w:pStyle w:val="a3"/>
              <w:spacing w:before="0" w:beforeAutospacing="0" w:after="0" w:afterAutospacing="0"/>
              <w:jc w:val="right"/>
              <w:rPr>
                <w:sz w:val="20"/>
                <w:szCs w:val="20"/>
              </w:rPr>
            </w:pPr>
            <w:r>
              <w:rPr>
                <w:sz w:val="20"/>
                <w:szCs w:val="20"/>
              </w:rPr>
              <w:t>226,55</w:t>
            </w:r>
            <w:r>
              <w:rPr>
                <w:sz w:val="20"/>
                <w:szCs w:val="20"/>
              </w:rPr>
              <w:t>2</w:t>
            </w:r>
          </w:p>
        </w:tc>
        <w:tc>
          <w:tcPr>
            <w:tcW w:w="0" w:type="auto"/>
            <w:noWrap/>
            <w:vAlign w:val="bottom"/>
            <w:hideMark/>
          </w:tcPr>
          <w:p w14:paraId="09D647A1" w14:textId="77777777" w:rsidR="00000000" w:rsidRDefault="00832D71">
            <w:pPr>
              <w:pStyle w:val="a3"/>
              <w:spacing w:before="0" w:beforeAutospacing="0" w:after="0" w:afterAutospacing="0"/>
              <w:rPr>
                <w:sz w:val="20"/>
                <w:szCs w:val="20"/>
              </w:rPr>
            </w:pPr>
            <w:r>
              <w:rPr>
                <w:sz w:val="20"/>
                <w:szCs w:val="20"/>
              </w:rPr>
              <w:t> </w:t>
            </w:r>
          </w:p>
        </w:tc>
      </w:tr>
      <w:tr w:rsidR="00000000" w14:paraId="5D9903E5" w14:textId="77777777">
        <w:trPr>
          <w:trHeight w:val="200"/>
          <w:tblCellSpacing w:w="15" w:type="dxa"/>
        </w:trPr>
        <w:tc>
          <w:tcPr>
            <w:tcW w:w="0" w:type="auto"/>
            <w:hideMark/>
          </w:tcPr>
          <w:p w14:paraId="56A0D7F7" w14:textId="77777777" w:rsidR="00000000" w:rsidRDefault="00832D71">
            <w:pPr>
              <w:pStyle w:val="a3"/>
              <w:spacing w:before="0" w:beforeAutospacing="0" w:after="0" w:afterAutospacing="0"/>
              <w:ind w:left="200"/>
              <w:rPr>
                <w:sz w:val="20"/>
                <w:szCs w:val="20"/>
              </w:rPr>
            </w:pPr>
            <w:r>
              <w:rPr>
                <w:sz w:val="20"/>
                <w:szCs w:val="20"/>
              </w:rPr>
              <w:t>Investing activitie</w:t>
            </w:r>
            <w:r>
              <w:rPr>
                <w:sz w:val="20"/>
                <w:szCs w:val="20"/>
              </w:rPr>
              <w:t>s</w:t>
            </w:r>
          </w:p>
        </w:tc>
        <w:tc>
          <w:tcPr>
            <w:tcW w:w="0" w:type="auto"/>
            <w:vAlign w:val="bottom"/>
            <w:hideMark/>
          </w:tcPr>
          <w:p w14:paraId="738A0DD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24225F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EB7FA9C" w14:textId="77777777" w:rsidR="00000000" w:rsidRDefault="00832D71">
            <w:pPr>
              <w:pStyle w:val="a3"/>
              <w:spacing w:before="0" w:beforeAutospacing="0" w:after="0" w:afterAutospacing="0"/>
              <w:jc w:val="right"/>
              <w:rPr>
                <w:sz w:val="20"/>
                <w:szCs w:val="20"/>
              </w:rPr>
            </w:pPr>
            <w:r>
              <w:rPr>
                <w:sz w:val="20"/>
                <w:szCs w:val="20"/>
              </w:rPr>
              <w:t>(11,21</w:t>
            </w:r>
            <w:r>
              <w:rPr>
                <w:sz w:val="20"/>
                <w:szCs w:val="20"/>
              </w:rPr>
              <w:t>4</w:t>
            </w:r>
          </w:p>
        </w:tc>
        <w:tc>
          <w:tcPr>
            <w:tcW w:w="0" w:type="auto"/>
            <w:noWrap/>
            <w:vAlign w:val="bottom"/>
            <w:hideMark/>
          </w:tcPr>
          <w:p w14:paraId="4315DFC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936BC7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3E9260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263C91C" w14:textId="77777777" w:rsidR="00000000" w:rsidRDefault="00832D71">
            <w:pPr>
              <w:pStyle w:val="a3"/>
              <w:spacing w:before="0" w:beforeAutospacing="0" w:after="0" w:afterAutospacing="0"/>
              <w:jc w:val="right"/>
              <w:rPr>
                <w:sz w:val="20"/>
                <w:szCs w:val="20"/>
              </w:rPr>
            </w:pPr>
            <w:r>
              <w:rPr>
                <w:sz w:val="20"/>
                <w:szCs w:val="20"/>
              </w:rPr>
              <w:t>(8,09</w:t>
            </w:r>
            <w:r>
              <w:rPr>
                <w:sz w:val="20"/>
                <w:szCs w:val="20"/>
              </w:rPr>
              <w:t>1</w:t>
            </w:r>
          </w:p>
        </w:tc>
        <w:tc>
          <w:tcPr>
            <w:tcW w:w="0" w:type="auto"/>
            <w:noWrap/>
            <w:vAlign w:val="bottom"/>
            <w:hideMark/>
          </w:tcPr>
          <w:p w14:paraId="6926FB5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785B72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FCF94D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98D5E0F" w14:textId="77777777" w:rsidR="00000000" w:rsidRDefault="00832D71">
            <w:pPr>
              <w:pStyle w:val="a3"/>
              <w:spacing w:before="0" w:beforeAutospacing="0" w:after="0" w:afterAutospacing="0"/>
              <w:jc w:val="right"/>
              <w:rPr>
                <w:sz w:val="20"/>
                <w:szCs w:val="20"/>
              </w:rPr>
            </w:pPr>
            <w:r>
              <w:rPr>
                <w:sz w:val="20"/>
                <w:szCs w:val="20"/>
              </w:rPr>
              <w:t>(8,50</w:t>
            </w:r>
            <w:r>
              <w:rPr>
                <w:sz w:val="20"/>
                <w:szCs w:val="20"/>
              </w:rPr>
              <w:t>3</w:t>
            </w:r>
          </w:p>
        </w:tc>
        <w:tc>
          <w:tcPr>
            <w:tcW w:w="0" w:type="auto"/>
            <w:noWrap/>
            <w:vAlign w:val="bottom"/>
            <w:hideMark/>
          </w:tcPr>
          <w:p w14:paraId="1F5E459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EA040B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4DE9EC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B7E9927" w14:textId="77777777" w:rsidR="00000000" w:rsidRDefault="00832D71">
            <w:pPr>
              <w:pStyle w:val="a3"/>
              <w:spacing w:before="0" w:beforeAutospacing="0" w:after="0" w:afterAutospacing="0"/>
              <w:jc w:val="right"/>
              <w:rPr>
                <w:sz w:val="20"/>
                <w:szCs w:val="20"/>
              </w:rPr>
            </w:pPr>
            <w:r>
              <w:rPr>
                <w:sz w:val="20"/>
                <w:szCs w:val="20"/>
              </w:rPr>
              <w:t>(6,26</w:t>
            </w:r>
            <w:r>
              <w:rPr>
                <w:sz w:val="20"/>
                <w:szCs w:val="20"/>
              </w:rPr>
              <w:t>7</w:t>
            </w:r>
          </w:p>
        </w:tc>
        <w:tc>
          <w:tcPr>
            <w:tcW w:w="0" w:type="auto"/>
            <w:noWrap/>
            <w:vAlign w:val="bottom"/>
            <w:hideMark/>
          </w:tcPr>
          <w:p w14:paraId="52C64AF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C37428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F00B3A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8F8C963" w14:textId="77777777" w:rsidR="00000000" w:rsidRDefault="00832D71">
            <w:pPr>
              <w:pStyle w:val="a3"/>
              <w:spacing w:before="0" w:beforeAutospacing="0" w:after="0" w:afterAutospacing="0"/>
              <w:jc w:val="right"/>
              <w:rPr>
                <w:sz w:val="20"/>
                <w:szCs w:val="20"/>
              </w:rPr>
            </w:pPr>
            <w:r>
              <w:rPr>
                <w:sz w:val="20"/>
                <w:szCs w:val="20"/>
              </w:rPr>
              <w:t>(34,07</w:t>
            </w:r>
            <w:r>
              <w:rPr>
                <w:sz w:val="20"/>
                <w:szCs w:val="20"/>
              </w:rPr>
              <w:t>5</w:t>
            </w:r>
          </w:p>
        </w:tc>
        <w:tc>
          <w:tcPr>
            <w:tcW w:w="0" w:type="auto"/>
            <w:noWrap/>
            <w:vAlign w:val="bottom"/>
            <w:hideMark/>
          </w:tcPr>
          <w:p w14:paraId="6B52ABE3" w14:textId="77777777" w:rsidR="00000000" w:rsidRDefault="00832D71">
            <w:pPr>
              <w:pStyle w:val="a3"/>
              <w:spacing w:before="0" w:beforeAutospacing="0" w:after="0" w:afterAutospacing="0"/>
              <w:rPr>
                <w:sz w:val="20"/>
                <w:szCs w:val="20"/>
              </w:rPr>
            </w:pPr>
            <w:r>
              <w:rPr>
                <w:sz w:val="20"/>
                <w:szCs w:val="20"/>
              </w:rPr>
              <w:t>)</w:t>
            </w:r>
          </w:p>
        </w:tc>
      </w:tr>
      <w:tr w:rsidR="00000000" w14:paraId="017031CE" w14:textId="77777777">
        <w:trPr>
          <w:trHeight w:val="200"/>
          <w:tblCellSpacing w:w="15" w:type="dxa"/>
        </w:trPr>
        <w:tc>
          <w:tcPr>
            <w:tcW w:w="0" w:type="auto"/>
            <w:hideMark/>
          </w:tcPr>
          <w:p w14:paraId="52375FB4" w14:textId="77777777" w:rsidR="00000000" w:rsidRDefault="00832D71">
            <w:pPr>
              <w:pStyle w:val="a3"/>
              <w:spacing w:before="0" w:beforeAutospacing="0" w:after="0" w:afterAutospacing="0"/>
              <w:ind w:left="200"/>
              <w:rPr>
                <w:sz w:val="20"/>
                <w:szCs w:val="20"/>
              </w:rPr>
            </w:pPr>
            <w:r>
              <w:rPr>
                <w:sz w:val="20"/>
                <w:szCs w:val="20"/>
              </w:rPr>
              <w:t>Financing activitie</w:t>
            </w:r>
            <w:r>
              <w:rPr>
                <w:sz w:val="20"/>
                <w:szCs w:val="20"/>
              </w:rPr>
              <w:t>s</w:t>
            </w:r>
          </w:p>
        </w:tc>
        <w:tc>
          <w:tcPr>
            <w:tcW w:w="0" w:type="auto"/>
            <w:vAlign w:val="bottom"/>
            <w:hideMark/>
          </w:tcPr>
          <w:p w14:paraId="315F4B5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FDB19D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37BD60E" w14:textId="77777777" w:rsidR="00000000" w:rsidRDefault="00832D71">
            <w:pPr>
              <w:pStyle w:val="a3"/>
              <w:spacing w:before="0" w:beforeAutospacing="0" w:after="0" w:afterAutospacing="0"/>
              <w:jc w:val="right"/>
              <w:rPr>
                <w:sz w:val="20"/>
                <w:szCs w:val="20"/>
              </w:rPr>
            </w:pPr>
            <w:r>
              <w:rPr>
                <w:sz w:val="20"/>
                <w:szCs w:val="20"/>
              </w:rPr>
              <w:t>9,15</w:t>
            </w:r>
            <w:r>
              <w:rPr>
                <w:sz w:val="20"/>
                <w:szCs w:val="20"/>
              </w:rPr>
              <w:t>3</w:t>
            </w:r>
          </w:p>
        </w:tc>
        <w:tc>
          <w:tcPr>
            <w:tcW w:w="0" w:type="auto"/>
            <w:noWrap/>
            <w:vAlign w:val="bottom"/>
            <w:hideMark/>
          </w:tcPr>
          <w:p w14:paraId="40CF955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6A1755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B20383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E188DB0" w14:textId="77777777" w:rsidR="00000000" w:rsidRDefault="00832D71">
            <w:pPr>
              <w:pStyle w:val="a3"/>
              <w:spacing w:before="0" w:beforeAutospacing="0" w:after="0" w:afterAutospacing="0"/>
              <w:jc w:val="right"/>
              <w:rPr>
                <w:sz w:val="20"/>
                <w:szCs w:val="20"/>
              </w:rPr>
            </w:pPr>
            <w:r>
              <w:rPr>
                <w:sz w:val="20"/>
                <w:szCs w:val="20"/>
              </w:rPr>
              <w:t>(88,08</w:t>
            </w:r>
            <w:r>
              <w:rPr>
                <w:sz w:val="20"/>
                <w:szCs w:val="20"/>
              </w:rPr>
              <w:t>8</w:t>
            </w:r>
          </w:p>
        </w:tc>
        <w:tc>
          <w:tcPr>
            <w:tcW w:w="0" w:type="auto"/>
            <w:noWrap/>
            <w:vAlign w:val="bottom"/>
            <w:hideMark/>
          </w:tcPr>
          <w:p w14:paraId="5F00634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CED08B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C74F6C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E2B1783" w14:textId="77777777" w:rsidR="00000000" w:rsidRDefault="00832D71">
            <w:pPr>
              <w:pStyle w:val="a3"/>
              <w:spacing w:before="0" w:beforeAutospacing="0" w:after="0" w:afterAutospacing="0"/>
              <w:jc w:val="right"/>
              <w:rPr>
                <w:sz w:val="20"/>
                <w:szCs w:val="20"/>
              </w:rPr>
            </w:pPr>
            <w:r>
              <w:rPr>
                <w:sz w:val="20"/>
                <w:szCs w:val="20"/>
              </w:rPr>
              <w:t>(71,16</w:t>
            </w:r>
            <w:r>
              <w:rPr>
                <w:sz w:val="20"/>
                <w:szCs w:val="20"/>
              </w:rPr>
              <w:t>9</w:t>
            </w:r>
          </w:p>
        </w:tc>
        <w:tc>
          <w:tcPr>
            <w:tcW w:w="0" w:type="auto"/>
            <w:noWrap/>
            <w:vAlign w:val="bottom"/>
            <w:hideMark/>
          </w:tcPr>
          <w:p w14:paraId="6631EEC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4A2419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FBB8DB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9382DA5" w14:textId="77777777" w:rsidR="00000000" w:rsidRDefault="00832D71">
            <w:pPr>
              <w:pStyle w:val="a3"/>
              <w:spacing w:before="0" w:beforeAutospacing="0" w:after="0" w:afterAutospacing="0"/>
              <w:jc w:val="right"/>
              <w:rPr>
                <w:sz w:val="20"/>
                <w:szCs w:val="20"/>
              </w:rPr>
            </w:pPr>
            <w:r>
              <w:rPr>
                <w:sz w:val="20"/>
                <w:szCs w:val="20"/>
              </w:rPr>
              <w:t>(39,70</w:t>
            </w:r>
            <w:r>
              <w:rPr>
                <w:sz w:val="20"/>
                <w:szCs w:val="20"/>
              </w:rPr>
              <w:t>5</w:t>
            </w:r>
          </w:p>
        </w:tc>
        <w:tc>
          <w:tcPr>
            <w:tcW w:w="0" w:type="auto"/>
            <w:noWrap/>
            <w:vAlign w:val="bottom"/>
            <w:hideMark/>
          </w:tcPr>
          <w:p w14:paraId="5B3C0B8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992114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3AEB51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0658EA4" w14:textId="77777777" w:rsidR="00000000" w:rsidRDefault="00832D71">
            <w:pPr>
              <w:pStyle w:val="a3"/>
              <w:spacing w:before="0" w:beforeAutospacing="0" w:after="0" w:afterAutospacing="0"/>
              <w:jc w:val="right"/>
              <w:rPr>
                <w:sz w:val="20"/>
                <w:szCs w:val="20"/>
              </w:rPr>
            </w:pPr>
            <w:r>
              <w:rPr>
                <w:sz w:val="20"/>
                <w:szCs w:val="20"/>
              </w:rPr>
              <w:t>(189,80</w:t>
            </w:r>
            <w:r>
              <w:rPr>
                <w:sz w:val="20"/>
                <w:szCs w:val="20"/>
              </w:rPr>
              <w:t>9</w:t>
            </w:r>
          </w:p>
        </w:tc>
        <w:tc>
          <w:tcPr>
            <w:tcW w:w="0" w:type="auto"/>
            <w:noWrap/>
            <w:vAlign w:val="bottom"/>
            <w:hideMark/>
          </w:tcPr>
          <w:p w14:paraId="131E0345" w14:textId="77777777" w:rsidR="00000000" w:rsidRDefault="00832D71">
            <w:pPr>
              <w:pStyle w:val="a3"/>
              <w:spacing w:before="0" w:beforeAutospacing="0" w:after="0" w:afterAutospacing="0"/>
              <w:rPr>
                <w:sz w:val="20"/>
                <w:szCs w:val="20"/>
              </w:rPr>
            </w:pPr>
            <w:r>
              <w:rPr>
                <w:sz w:val="20"/>
                <w:szCs w:val="20"/>
              </w:rPr>
              <w:t>)</w:t>
            </w:r>
          </w:p>
        </w:tc>
      </w:tr>
      <w:tr w:rsidR="00000000" w14:paraId="7DF487A8" w14:textId="77777777">
        <w:trPr>
          <w:trHeight w:val="200"/>
          <w:tblCellSpacing w:w="15" w:type="dxa"/>
        </w:trPr>
        <w:tc>
          <w:tcPr>
            <w:tcW w:w="0" w:type="auto"/>
            <w:hideMark/>
          </w:tcPr>
          <w:p w14:paraId="4833671B" w14:textId="77777777" w:rsidR="00000000" w:rsidRDefault="00832D71">
            <w:pPr>
              <w:pStyle w:val="a3"/>
              <w:spacing w:before="0" w:beforeAutospacing="0" w:after="0" w:afterAutospacing="0"/>
              <w:rPr>
                <w:sz w:val="20"/>
                <w:szCs w:val="20"/>
              </w:rPr>
            </w:pPr>
            <w:r>
              <w:rPr>
                <w:sz w:val="20"/>
                <w:szCs w:val="20"/>
              </w:rPr>
              <w:t>EBITDA (c</w:t>
            </w:r>
            <w:r>
              <w:rPr>
                <w:sz w:val="20"/>
                <w:szCs w:val="20"/>
              </w:rPr>
              <w:t>)</w:t>
            </w:r>
          </w:p>
        </w:tc>
        <w:tc>
          <w:tcPr>
            <w:tcW w:w="0" w:type="auto"/>
            <w:vAlign w:val="bottom"/>
            <w:hideMark/>
          </w:tcPr>
          <w:p w14:paraId="7707444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CD382C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94CF99E" w14:textId="77777777" w:rsidR="00000000" w:rsidRDefault="00832D71">
            <w:pPr>
              <w:pStyle w:val="a3"/>
              <w:spacing w:before="0" w:beforeAutospacing="0" w:after="0" w:afterAutospacing="0"/>
              <w:jc w:val="right"/>
              <w:rPr>
                <w:sz w:val="20"/>
                <w:szCs w:val="20"/>
              </w:rPr>
            </w:pPr>
            <w:r>
              <w:rPr>
                <w:sz w:val="20"/>
                <w:szCs w:val="20"/>
              </w:rPr>
              <w:t>84,62</w:t>
            </w:r>
            <w:r>
              <w:rPr>
                <w:sz w:val="20"/>
                <w:szCs w:val="20"/>
              </w:rPr>
              <w:t>5</w:t>
            </w:r>
          </w:p>
        </w:tc>
        <w:tc>
          <w:tcPr>
            <w:tcW w:w="0" w:type="auto"/>
            <w:noWrap/>
            <w:vAlign w:val="bottom"/>
            <w:hideMark/>
          </w:tcPr>
          <w:p w14:paraId="6910D67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600C30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64628E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C9AEA98" w14:textId="77777777" w:rsidR="00000000" w:rsidRDefault="00832D71">
            <w:pPr>
              <w:pStyle w:val="a3"/>
              <w:spacing w:before="0" w:beforeAutospacing="0" w:after="0" w:afterAutospacing="0"/>
              <w:jc w:val="right"/>
              <w:rPr>
                <w:sz w:val="20"/>
                <w:szCs w:val="20"/>
              </w:rPr>
            </w:pPr>
            <w:r>
              <w:rPr>
                <w:sz w:val="20"/>
                <w:szCs w:val="20"/>
              </w:rPr>
              <w:t>172,92</w:t>
            </w:r>
            <w:r>
              <w:rPr>
                <w:sz w:val="20"/>
                <w:szCs w:val="20"/>
              </w:rPr>
              <w:t>1</w:t>
            </w:r>
          </w:p>
        </w:tc>
        <w:tc>
          <w:tcPr>
            <w:tcW w:w="0" w:type="auto"/>
            <w:noWrap/>
            <w:vAlign w:val="bottom"/>
            <w:hideMark/>
          </w:tcPr>
          <w:p w14:paraId="0E26C58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0748CB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246CC3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115AA0F" w14:textId="77777777" w:rsidR="00000000" w:rsidRDefault="00832D71">
            <w:pPr>
              <w:pStyle w:val="a3"/>
              <w:spacing w:before="0" w:beforeAutospacing="0" w:after="0" w:afterAutospacing="0"/>
              <w:jc w:val="right"/>
              <w:rPr>
                <w:sz w:val="20"/>
                <w:szCs w:val="20"/>
              </w:rPr>
            </w:pPr>
            <w:r>
              <w:rPr>
                <w:sz w:val="20"/>
                <w:szCs w:val="20"/>
              </w:rPr>
              <w:t>18,14</w:t>
            </w:r>
            <w:r>
              <w:rPr>
                <w:sz w:val="20"/>
                <w:szCs w:val="20"/>
              </w:rPr>
              <w:t>3</w:t>
            </w:r>
          </w:p>
        </w:tc>
        <w:tc>
          <w:tcPr>
            <w:tcW w:w="0" w:type="auto"/>
            <w:noWrap/>
            <w:vAlign w:val="bottom"/>
            <w:hideMark/>
          </w:tcPr>
          <w:p w14:paraId="7729D06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A2C3A5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DC6BD1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C514957" w14:textId="77777777" w:rsidR="00000000" w:rsidRDefault="00832D71">
            <w:pPr>
              <w:pStyle w:val="a3"/>
              <w:spacing w:before="0" w:beforeAutospacing="0" w:after="0" w:afterAutospacing="0"/>
              <w:jc w:val="right"/>
              <w:rPr>
                <w:sz w:val="20"/>
                <w:szCs w:val="20"/>
              </w:rPr>
            </w:pPr>
            <w:r>
              <w:rPr>
                <w:sz w:val="20"/>
                <w:szCs w:val="20"/>
              </w:rPr>
              <w:t>20,90</w:t>
            </w:r>
            <w:r>
              <w:rPr>
                <w:sz w:val="20"/>
                <w:szCs w:val="20"/>
              </w:rPr>
              <w:t>1</w:t>
            </w:r>
          </w:p>
        </w:tc>
        <w:tc>
          <w:tcPr>
            <w:tcW w:w="0" w:type="auto"/>
            <w:noWrap/>
            <w:vAlign w:val="bottom"/>
            <w:hideMark/>
          </w:tcPr>
          <w:p w14:paraId="15775F9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F9B7E5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B4AE94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3E45DE6" w14:textId="77777777" w:rsidR="00000000" w:rsidRDefault="00832D71">
            <w:pPr>
              <w:pStyle w:val="a3"/>
              <w:spacing w:before="0" w:beforeAutospacing="0" w:after="0" w:afterAutospacing="0"/>
              <w:jc w:val="right"/>
              <w:rPr>
                <w:sz w:val="20"/>
                <w:szCs w:val="20"/>
              </w:rPr>
            </w:pPr>
            <w:r>
              <w:rPr>
                <w:sz w:val="20"/>
                <w:szCs w:val="20"/>
              </w:rPr>
              <w:t>296,59</w:t>
            </w:r>
            <w:r>
              <w:rPr>
                <w:sz w:val="20"/>
                <w:szCs w:val="20"/>
              </w:rPr>
              <w:t>0</w:t>
            </w:r>
          </w:p>
        </w:tc>
        <w:tc>
          <w:tcPr>
            <w:tcW w:w="0" w:type="auto"/>
            <w:noWrap/>
            <w:vAlign w:val="bottom"/>
            <w:hideMark/>
          </w:tcPr>
          <w:p w14:paraId="1AF32C3B" w14:textId="77777777" w:rsidR="00000000" w:rsidRDefault="00832D71">
            <w:pPr>
              <w:pStyle w:val="a3"/>
              <w:spacing w:before="0" w:beforeAutospacing="0" w:after="0" w:afterAutospacing="0"/>
              <w:rPr>
                <w:sz w:val="20"/>
                <w:szCs w:val="20"/>
              </w:rPr>
            </w:pPr>
            <w:r>
              <w:rPr>
                <w:sz w:val="20"/>
                <w:szCs w:val="20"/>
              </w:rPr>
              <w:t> </w:t>
            </w:r>
          </w:p>
        </w:tc>
      </w:tr>
      <w:tr w:rsidR="00000000" w14:paraId="0FD9A39D" w14:textId="77777777">
        <w:trPr>
          <w:trHeight w:val="200"/>
          <w:tblCellSpacing w:w="15" w:type="dxa"/>
        </w:trPr>
        <w:tc>
          <w:tcPr>
            <w:tcW w:w="0" w:type="auto"/>
            <w:hideMark/>
          </w:tcPr>
          <w:p w14:paraId="29052906" w14:textId="77777777" w:rsidR="00000000" w:rsidRDefault="00832D71">
            <w:pPr>
              <w:pStyle w:val="a3"/>
              <w:spacing w:before="0" w:beforeAutospacing="0" w:after="0" w:afterAutospacing="0"/>
              <w:rPr>
                <w:sz w:val="20"/>
                <w:szCs w:val="20"/>
              </w:rPr>
            </w:pPr>
            <w:r>
              <w:rPr>
                <w:sz w:val="20"/>
                <w:szCs w:val="20"/>
              </w:rPr>
              <w:t>Adjusted EBITDA (c</w:t>
            </w:r>
            <w:r>
              <w:rPr>
                <w:sz w:val="20"/>
                <w:szCs w:val="20"/>
              </w:rPr>
              <w:t>)</w:t>
            </w:r>
          </w:p>
        </w:tc>
        <w:tc>
          <w:tcPr>
            <w:tcW w:w="0" w:type="auto"/>
            <w:vAlign w:val="bottom"/>
            <w:hideMark/>
          </w:tcPr>
          <w:p w14:paraId="4603A1B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460082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3269B9C" w14:textId="77777777" w:rsidR="00000000" w:rsidRDefault="00832D71">
            <w:pPr>
              <w:pStyle w:val="a3"/>
              <w:spacing w:before="0" w:beforeAutospacing="0" w:after="0" w:afterAutospacing="0"/>
              <w:jc w:val="right"/>
              <w:rPr>
                <w:sz w:val="20"/>
                <w:szCs w:val="20"/>
              </w:rPr>
            </w:pPr>
            <w:r>
              <w:rPr>
                <w:sz w:val="20"/>
                <w:szCs w:val="20"/>
              </w:rPr>
              <w:t>80,02</w:t>
            </w:r>
            <w:r>
              <w:rPr>
                <w:sz w:val="20"/>
                <w:szCs w:val="20"/>
              </w:rPr>
              <w:t>1</w:t>
            </w:r>
          </w:p>
        </w:tc>
        <w:tc>
          <w:tcPr>
            <w:tcW w:w="0" w:type="auto"/>
            <w:noWrap/>
            <w:vAlign w:val="bottom"/>
            <w:hideMark/>
          </w:tcPr>
          <w:p w14:paraId="3B2C93C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82E068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8BDE6C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84A2EF1" w14:textId="77777777" w:rsidR="00000000" w:rsidRDefault="00832D71">
            <w:pPr>
              <w:pStyle w:val="a3"/>
              <w:spacing w:before="0" w:beforeAutospacing="0" w:after="0" w:afterAutospacing="0"/>
              <w:jc w:val="right"/>
              <w:rPr>
                <w:sz w:val="20"/>
                <w:szCs w:val="20"/>
              </w:rPr>
            </w:pPr>
            <w:r>
              <w:rPr>
                <w:sz w:val="20"/>
                <w:szCs w:val="20"/>
              </w:rPr>
              <w:t>172,03</w:t>
            </w:r>
            <w:r>
              <w:rPr>
                <w:sz w:val="20"/>
                <w:szCs w:val="20"/>
              </w:rPr>
              <w:t>8</w:t>
            </w:r>
          </w:p>
        </w:tc>
        <w:tc>
          <w:tcPr>
            <w:tcW w:w="0" w:type="auto"/>
            <w:noWrap/>
            <w:vAlign w:val="bottom"/>
            <w:hideMark/>
          </w:tcPr>
          <w:p w14:paraId="20F7893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357457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610BB3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AEA6C9E" w14:textId="77777777" w:rsidR="00000000" w:rsidRDefault="00832D71">
            <w:pPr>
              <w:pStyle w:val="a3"/>
              <w:spacing w:before="0" w:beforeAutospacing="0" w:after="0" w:afterAutospacing="0"/>
              <w:jc w:val="right"/>
              <w:rPr>
                <w:sz w:val="20"/>
                <w:szCs w:val="20"/>
              </w:rPr>
            </w:pPr>
            <w:r>
              <w:rPr>
                <w:sz w:val="20"/>
                <w:szCs w:val="20"/>
              </w:rPr>
              <w:t>23,29</w:t>
            </w:r>
            <w:r>
              <w:rPr>
                <w:sz w:val="20"/>
                <w:szCs w:val="20"/>
              </w:rPr>
              <w:t>1</w:t>
            </w:r>
          </w:p>
        </w:tc>
        <w:tc>
          <w:tcPr>
            <w:tcW w:w="0" w:type="auto"/>
            <w:noWrap/>
            <w:vAlign w:val="bottom"/>
            <w:hideMark/>
          </w:tcPr>
          <w:p w14:paraId="6E55C21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B04AEC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DB1AC7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432E0B3" w14:textId="77777777" w:rsidR="00000000" w:rsidRDefault="00832D71">
            <w:pPr>
              <w:pStyle w:val="a3"/>
              <w:spacing w:before="0" w:beforeAutospacing="0" w:after="0" w:afterAutospacing="0"/>
              <w:jc w:val="right"/>
              <w:rPr>
                <w:sz w:val="20"/>
                <w:szCs w:val="20"/>
              </w:rPr>
            </w:pPr>
            <w:r>
              <w:rPr>
                <w:sz w:val="20"/>
                <w:szCs w:val="20"/>
              </w:rPr>
              <w:t>33</w:t>
            </w:r>
            <w:r>
              <w:rPr>
                <w:sz w:val="20"/>
                <w:szCs w:val="20"/>
              </w:rPr>
              <w:t>0</w:t>
            </w:r>
          </w:p>
        </w:tc>
        <w:tc>
          <w:tcPr>
            <w:tcW w:w="0" w:type="auto"/>
            <w:noWrap/>
            <w:vAlign w:val="bottom"/>
            <w:hideMark/>
          </w:tcPr>
          <w:p w14:paraId="7EE2E9B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22D4EF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F3B8E8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AD7DCB6" w14:textId="77777777" w:rsidR="00000000" w:rsidRDefault="00832D71">
            <w:pPr>
              <w:pStyle w:val="a3"/>
              <w:spacing w:before="0" w:beforeAutospacing="0" w:after="0" w:afterAutospacing="0"/>
              <w:jc w:val="right"/>
              <w:rPr>
                <w:sz w:val="20"/>
                <w:szCs w:val="20"/>
              </w:rPr>
            </w:pPr>
            <w:r>
              <w:rPr>
                <w:sz w:val="20"/>
                <w:szCs w:val="20"/>
              </w:rPr>
              <w:t>275,68</w:t>
            </w:r>
            <w:r>
              <w:rPr>
                <w:sz w:val="20"/>
                <w:szCs w:val="20"/>
              </w:rPr>
              <w:t>0</w:t>
            </w:r>
          </w:p>
        </w:tc>
        <w:tc>
          <w:tcPr>
            <w:tcW w:w="0" w:type="auto"/>
            <w:noWrap/>
            <w:vAlign w:val="bottom"/>
            <w:hideMark/>
          </w:tcPr>
          <w:p w14:paraId="363AFBC6" w14:textId="77777777" w:rsidR="00000000" w:rsidRDefault="00832D71">
            <w:pPr>
              <w:pStyle w:val="a3"/>
              <w:spacing w:before="0" w:beforeAutospacing="0" w:after="0" w:afterAutospacing="0"/>
              <w:rPr>
                <w:sz w:val="20"/>
                <w:szCs w:val="20"/>
              </w:rPr>
            </w:pPr>
            <w:r>
              <w:rPr>
                <w:sz w:val="20"/>
                <w:szCs w:val="20"/>
              </w:rPr>
              <w:t> </w:t>
            </w:r>
          </w:p>
        </w:tc>
      </w:tr>
      <w:tr w:rsidR="00000000" w14:paraId="702B9483" w14:textId="77777777">
        <w:trPr>
          <w:trHeight w:val="200"/>
          <w:tblCellSpacing w:w="15" w:type="dxa"/>
        </w:trPr>
        <w:tc>
          <w:tcPr>
            <w:tcW w:w="0" w:type="auto"/>
            <w:hideMark/>
          </w:tcPr>
          <w:p w14:paraId="2B6678DB" w14:textId="77777777" w:rsidR="00000000" w:rsidRDefault="00832D71">
            <w:pPr>
              <w:pStyle w:val="a3"/>
              <w:spacing w:before="0" w:beforeAutospacing="0" w:after="0" w:afterAutospacing="0"/>
              <w:rPr>
                <w:sz w:val="20"/>
                <w:szCs w:val="20"/>
              </w:rPr>
            </w:pPr>
            <w:r>
              <w:rPr>
                <w:sz w:val="20"/>
                <w:szCs w:val="20"/>
              </w:rPr>
              <w:t>Retail gallons sol</w:t>
            </w:r>
            <w:r>
              <w:rPr>
                <w:sz w:val="20"/>
                <w:szCs w:val="20"/>
              </w:rPr>
              <w:t>d</w:t>
            </w:r>
          </w:p>
        </w:tc>
        <w:tc>
          <w:tcPr>
            <w:tcW w:w="0" w:type="auto"/>
            <w:vAlign w:val="bottom"/>
            <w:hideMark/>
          </w:tcPr>
          <w:p w14:paraId="1537339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1C2ED0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E0B7F0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A1521D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7BEF31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381957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D50190D"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4DDD63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D71168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679817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E67D4C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05B5C8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BFA107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355B7F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A801ED5" w14:textId="77777777" w:rsidR="00000000" w:rsidRDefault="00832D71">
            <w:pPr>
              <w:pStyle w:val="a3"/>
              <w:spacing w:before="0" w:beforeAutospacing="0" w:after="0" w:afterAutospacing="0"/>
              <w:jc w:val="right"/>
              <w:rPr>
                <w:sz w:val="20"/>
                <w:szCs w:val="20"/>
              </w:rPr>
            </w:pPr>
            <w:r>
              <w:rPr>
                <w:sz w:val="20"/>
                <w:szCs w:val="20"/>
              </w:rPr>
              <w:t> </w:t>
            </w:r>
          </w:p>
        </w:tc>
      </w:tr>
      <w:tr w:rsidR="00000000" w14:paraId="63A39395" w14:textId="77777777">
        <w:trPr>
          <w:trHeight w:val="200"/>
          <w:tblCellSpacing w:w="15" w:type="dxa"/>
        </w:trPr>
        <w:tc>
          <w:tcPr>
            <w:tcW w:w="0" w:type="auto"/>
            <w:hideMark/>
          </w:tcPr>
          <w:p w14:paraId="52ED5C33" w14:textId="77777777" w:rsidR="00000000" w:rsidRDefault="00832D71">
            <w:pPr>
              <w:pStyle w:val="a3"/>
              <w:spacing w:before="0" w:beforeAutospacing="0" w:after="0" w:afterAutospacing="0"/>
              <w:ind w:left="200"/>
              <w:rPr>
                <w:sz w:val="20"/>
                <w:szCs w:val="20"/>
              </w:rPr>
            </w:pPr>
            <w:r>
              <w:rPr>
                <w:sz w:val="20"/>
                <w:szCs w:val="20"/>
              </w:rPr>
              <w:t>Propan</w:t>
            </w:r>
            <w:r>
              <w:rPr>
                <w:sz w:val="20"/>
                <w:szCs w:val="20"/>
              </w:rPr>
              <w:t>e</w:t>
            </w:r>
          </w:p>
        </w:tc>
        <w:tc>
          <w:tcPr>
            <w:tcW w:w="0" w:type="auto"/>
            <w:vAlign w:val="bottom"/>
            <w:hideMark/>
          </w:tcPr>
          <w:p w14:paraId="76F6FF0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CA3461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EC620A7" w14:textId="77777777" w:rsidR="00000000" w:rsidRDefault="00832D71">
            <w:pPr>
              <w:pStyle w:val="a3"/>
              <w:spacing w:before="0" w:beforeAutospacing="0" w:after="0" w:afterAutospacing="0"/>
              <w:jc w:val="right"/>
              <w:rPr>
                <w:sz w:val="20"/>
                <w:szCs w:val="20"/>
              </w:rPr>
            </w:pPr>
            <w:r>
              <w:rPr>
                <w:sz w:val="20"/>
                <w:szCs w:val="20"/>
              </w:rPr>
              <w:t>111,68</w:t>
            </w:r>
            <w:r>
              <w:rPr>
                <w:sz w:val="20"/>
                <w:szCs w:val="20"/>
              </w:rPr>
              <w:t>3</w:t>
            </w:r>
          </w:p>
        </w:tc>
        <w:tc>
          <w:tcPr>
            <w:tcW w:w="0" w:type="auto"/>
            <w:noWrap/>
            <w:vAlign w:val="bottom"/>
            <w:hideMark/>
          </w:tcPr>
          <w:p w14:paraId="31DF773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4ED5CE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113228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61F74FF" w14:textId="77777777" w:rsidR="00000000" w:rsidRDefault="00832D71">
            <w:pPr>
              <w:pStyle w:val="a3"/>
              <w:spacing w:before="0" w:beforeAutospacing="0" w:after="0" w:afterAutospacing="0"/>
              <w:jc w:val="right"/>
              <w:rPr>
                <w:sz w:val="20"/>
                <w:szCs w:val="20"/>
              </w:rPr>
            </w:pPr>
            <w:r>
              <w:rPr>
                <w:sz w:val="20"/>
                <w:szCs w:val="20"/>
              </w:rPr>
              <w:t>169,05</w:t>
            </w:r>
            <w:r>
              <w:rPr>
                <w:sz w:val="20"/>
                <w:szCs w:val="20"/>
              </w:rPr>
              <w:t>8</w:t>
            </w:r>
          </w:p>
        </w:tc>
        <w:tc>
          <w:tcPr>
            <w:tcW w:w="0" w:type="auto"/>
            <w:noWrap/>
            <w:vAlign w:val="bottom"/>
            <w:hideMark/>
          </w:tcPr>
          <w:p w14:paraId="0FD8351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479086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244EE0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96B5D08" w14:textId="77777777" w:rsidR="00000000" w:rsidRDefault="00832D71">
            <w:pPr>
              <w:pStyle w:val="a3"/>
              <w:spacing w:before="0" w:beforeAutospacing="0" w:after="0" w:afterAutospacing="0"/>
              <w:jc w:val="right"/>
              <w:rPr>
                <w:sz w:val="20"/>
                <w:szCs w:val="20"/>
              </w:rPr>
            </w:pPr>
            <w:r>
              <w:rPr>
                <w:sz w:val="20"/>
                <w:szCs w:val="20"/>
              </w:rPr>
              <w:t>76,70</w:t>
            </w:r>
            <w:r>
              <w:rPr>
                <w:sz w:val="20"/>
                <w:szCs w:val="20"/>
              </w:rPr>
              <w:t>2</w:t>
            </w:r>
          </w:p>
        </w:tc>
        <w:tc>
          <w:tcPr>
            <w:tcW w:w="0" w:type="auto"/>
            <w:noWrap/>
            <w:vAlign w:val="bottom"/>
            <w:hideMark/>
          </w:tcPr>
          <w:p w14:paraId="76DCA60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9D9C47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251E69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B06EF0B" w14:textId="77777777" w:rsidR="00000000" w:rsidRDefault="00832D71">
            <w:pPr>
              <w:pStyle w:val="a3"/>
              <w:spacing w:before="0" w:beforeAutospacing="0" w:after="0" w:afterAutospacing="0"/>
              <w:jc w:val="right"/>
              <w:rPr>
                <w:sz w:val="20"/>
                <w:szCs w:val="20"/>
              </w:rPr>
            </w:pPr>
            <w:r>
              <w:rPr>
                <w:sz w:val="20"/>
                <w:szCs w:val="20"/>
              </w:rPr>
              <w:t>62,31</w:t>
            </w:r>
            <w:r>
              <w:rPr>
                <w:sz w:val="20"/>
                <w:szCs w:val="20"/>
              </w:rPr>
              <w:t>5</w:t>
            </w:r>
          </w:p>
        </w:tc>
        <w:tc>
          <w:tcPr>
            <w:tcW w:w="0" w:type="auto"/>
            <w:noWrap/>
            <w:vAlign w:val="bottom"/>
            <w:hideMark/>
          </w:tcPr>
          <w:p w14:paraId="740D2C7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87006A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CBB454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75C7E44" w14:textId="77777777" w:rsidR="00000000" w:rsidRDefault="00832D71">
            <w:pPr>
              <w:pStyle w:val="a3"/>
              <w:spacing w:before="0" w:beforeAutospacing="0" w:after="0" w:afterAutospacing="0"/>
              <w:jc w:val="right"/>
              <w:rPr>
                <w:sz w:val="20"/>
                <w:szCs w:val="20"/>
              </w:rPr>
            </w:pPr>
            <w:r>
              <w:rPr>
                <w:sz w:val="20"/>
                <w:szCs w:val="20"/>
              </w:rPr>
              <w:t>419,75</w:t>
            </w:r>
            <w:r>
              <w:rPr>
                <w:sz w:val="20"/>
                <w:szCs w:val="20"/>
              </w:rPr>
              <w:t>8</w:t>
            </w:r>
          </w:p>
        </w:tc>
        <w:tc>
          <w:tcPr>
            <w:tcW w:w="0" w:type="auto"/>
            <w:noWrap/>
            <w:vAlign w:val="bottom"/>
            <w:hideMark/>
          </w:tcPr>
          <w:p w14:paraId="3264E4A0" w14:textId="77777777" w:rsidR="00000000" w:rsidRDefault="00832D71">
            <w:pPr>
              <w:pStyle w:val="a3"/>
              <w:spacing w:before="0" w:beforeAutospacing="0" w:after="0" w:afterAutospacing="0"/>
              <w:rPr>
                <w:sz w:val="20"/>
                <w:szCs w:val="20"/>
              </w:rPr>
            </w:pPr>
            <w:r>
              <w:rPr>
                <w:sz w:val="20"/>
                <w:szCs w:val="20"/>
              </w:rPr>
              <w:t> </w:t>
            </w:r>
          </w:p>
        </w:tc>
      </w:tr>
      <w:tr w:rsidR="00000000" w14:paraId="020A4844" w14:textId="77777777">
        <w:trPr>
          <w:trHeight w:val="200"/>
          <w:tblCellSpacing w:w="15" w:type="dxa"/>
        </w:trPr>
        <w:tc>
          <w:tcPr>
            <w:tcW w:w="0" w:type="auto"/>
            <w:hideMark/>
          </w:tcPr>
          <w:p w14:paraId="1561A395" w14:textId="77777777" w:rsidR="00000000" w:rsidRDefault="00832D71">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vAlign w:val="bottom"/>
            <w:hideMark/>
          </w:tcPr>
          <w:p w14:paraId="5DCD468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718444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8FFFBFB" w14:textId="77777777" w:rsidR="00000000" w:rsidRDefault="00832D71">
            <w:pPr>
              <w:pStyle w:val="a3"/>
              <w:spacing w:before="0" w:beforeAutospacing="0" w:after="0" w:afterAutospacing="0"/>
              <w:jc w:val="right"/>
              <w:rPr>
                <w:sz w:val="20"/>
                <w:szCs w:val="20"/>
              </w:rPr>
            </w:pPr>
            <w:r>
              <w:rPr>
                <w:sz w:val="20"/>
                <w:szCs w:val="20"/>
              </w:rPr>
              <w:t>6,40</w:t>
            </w:r>
            <w:r>
              <w:rPr>
                <w:sz w:val="20"/>
                <w:szCs w:val="20"/>
              </w:rPr>
              <w:t>6</w:t>
            </w:r>
          </w:p>
        </w:tc>
        <w:tc>
          <w:tcPr>
            <w:tcW w:w="0" w:type="auto"/>
            <w:noWrap/>
            <w:vAlign w:val="bottom"/>
            <w:hideMark/>
          </w:tcPr>
          <w:p w14:paraId="3F72C21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08DF55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10A729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8DAA5C2" w14:textId="77777777" w:rsidR="00000000" w:rsidRDefault="00832D71">
            <w:pPr>
              <w:pStyle w:val="a3"/>
              <w:spacing w:before="0" w:beforeAutospacing="0" w:after="0" w:afterAutospacing="0"/>
              <w:jc w:val="right"/>
              <w:rPr>
                <w:sz w:val="20"/>
                <w:szCs w:val="20"/>
              </w:rPr>
            </w:pPr>
            <w:r>
              <w:rPr>
                <w:sz w:val="20"/>
                <w:szCs w:val="20"/>
              </w:rPr>
              <w:t>11,04</w:t>
            </w:r>
            <w:r>
              <w:rPr>
                <w:sz w:val="20"/>
                <w:szCs w:val="20"/>
              </w:rPr>
              <w:t>1</w:t>
            </w:r>
          </w:p>
        </w:tc>
        <w:tc>
          <w:tcPr>
            <w:tcW w:w="0" w:type="auto"/>
            <w:noWrap/>
            <w:vAlign w:val="bottom"/>
            <w:hideMark/>
          </w:tcPr>
          <w:p w14:paraId="1715BEF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84C127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96D98C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C89F40F" w14:textId="77777777" w:rsidR="00000000" w:rsidRDefault="00832D71">
            <w:pPr>
              <w:pStyle w:val="a3"/>
              <w:spacing w:before="0" w:beforeAutospacing="0" w:after="0" w:afterAutospacing="0"/>
              <w:jc w:val="right"/>
              <w:rPr>
                <w:sz w:val="20"/>
                <w:szCs w:val="20"/>
              </w:rPr>
            </w:pPr>
            <w:r>
              <w:rPr>
                <w:sz w:val="20"/>
                <w:szCs w:val="20"/>
              </w:rPr>
              <w:t>3,85</w:t>
            </w:r>
            <w:r>
              <w:rPr>
                <w:sz w:val="20"/>
                <w:szCs w:val="20"/>
              </w:rPr>
              <w:t>4</w:t>
            </w:r>
          </w:p>
        </w:tc>
        <w:tc>
          <w:tcPr>
            <w:tcW w:w="0" w:type="auto"/>
            <w:noWrap/>
            <w:vAlign w:val="bottom"/>
            <w:hideMark/>
          </w:tcPr>
          <w:p w14:paraId="3364DC6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F677BE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008769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FBAC231" w14:textId="77777777" w:rsidR="00000000" w:rsidRDefault="00832D71">
            <w:pPr>
              <w:pStyle w:val="a3"/>
              <w:spacing w:before="0" w:beforeAutospacing="0" w:after="0" w:afterAutospacing="0"/>
              <w:jc w:val="right"/>
              <w:rPr>
                <w:sz w:val="20"/>
                <w:szCs w:val="20"/>
              </w:rPr>
            </w:pPr>
            <w:r>
              <w:rPr>
                <w:sz w:val="20"/>
                <w:szCs w:val="20"/>
              </w:rPr>
              <w:t>2,73</w:t>
            </w:r>
            <w:r>
              <w:rPr>
                <w:sz w:val="20"/>
                <w:szCs w:val="20"/>
              </w:rPr>
              <w:t>8</w:t>
            </w:r>
          </w:p>
        </w:tc>
        <w:tc>
          <w:tcPr>
            <w:tcW w:w="0" w:type="auto"/>
            <w:noWrap/>
            <w:vAlign w:val="bottom"/>
            <w:hideMark/>
          </w:tcPr>
          <w:p w14:paraId="1AB8C04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CB40E5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2964D0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B1625AA" w14:textId="77777777" w:rsidR="00000000" w:rsidRDefault="00832D71">
            <w:pPr>
              <w:pStyle w:val="a3"/>
              <w:spacing w:before="0" w:beforeAutospacing="0" w:after="0" w:afterAutospacing="0"/>
              <w:jc w:val="right"/>
              <w:rPr>
                <w:sz w:val="20"/>
                <w:szCs w:val="20"/>
              </w:rPr>
            </w:pPr>
            <w:r>
              <w:rPr>
                <w:sz w:val="20"/>
                <w:szCs w:val="20"/>
              </w:rPr>
              <w:t>24,03</w:t>
            </w:r>
            <w:r>
              <w:rPr>
                <w:sz w:val="20"/>
                <w:szCs w:val="20"/>
              </w:rPr>
              <w:t>9</w:t>
            </w:r>
          </w:p>
        </w:tc>
        <w:tc>
          <w:tcPr>
            <w:tcW w:w="0" w:type="auto"/>
            <w:noWrap/>
            <w:vAlign w:val="bottom"/>
            <w:hideMark/>
          </w:tcPr>
          <w:p w14:paraId="5BAFCAF7" w14:textId="77777777" w:rsidR="00000000" w:rsidRDefault="00832D71">
            <w:pPr>
              <w:pStyle w:val="a3"/>
              <w:spacing w:before="0" w:beforeAutospacing="0" w:after="0" w:afterAutospacing="0"/>
              <w:rPr>
                <w:sz w:val="20"/>
                <w:szCs w:val="20"/>
              </w:rPr>
            </w:pPr>
            <w:r>
              <w:rPr>
                <w:sz w:val="20"/>
                <w:szCs w:val="20"/>
              </w:rPr>
              <w:t> </w:t>
            </w:r>
          </w:p>
        </w:tc>
      </w:tr>
    </w:tbl>
    <w:p w14:paraId="5F8306B5" w14:textId="77777777" w:rsidR="00000000" w:rsidRDefault="00832D71">
      <w:pPr>
        <w:pStyle w:val="a3"/>
        <w:spacing w:before="0" w:beforeAutospacing="0" w:after="0" w:afterAutospacing="0"/>
        <w:rPr>
          <w:sz w:val="20"/>
          <w:szCs w:val="20"/>
        </w:rPr>
      </w:pPr>
      <w:r>
        <w:rPr>
          <w:sz w:val="20"/>
          <w:szCs w:val="20"/>
        </w:rPr>
        <w:t> </w:t>
      </w:r>
    </w:p>
    <w:p w14:paraId="40A53BD4" w14:textId="77777777" w:rsidR="00000000" w:rsidRDefault="00832D71">
      <w:pPr>
        <w:jc w:val="both"/>
        <w:divId w:val="237591687"/>
        <w:rPr>
          <w:rFonts w:eastAsia="Times New Roman"/>
        </w:rPr>
      </w:pPr>
      <w:r>
        <w:rPr>
          <w:rFonts w:eastAsia="Times New Roman"/>
          <w:sz w:val="20"/>
          <w:szCs w:val="20"/>
        </w:rPr>
        <w:t>(a</w:t>
      </w:r>
      <w:r>
        <w:rPr>
          <w:rFonts w:eastAsia="Times New Roman"/>
          <w:sz w:val="20"/>
          <w:szCs w:val="20"/>
        </w:rPr>
        <w:t>)</w:t>
      </w:r>
    </w:p>
    <w:p w14:paraId="1DF4F7FA" w14:textId="77777777" w:rsidR="00000000" w:rsidRDefault="00832D71">
      <w:pPr>
        <w:jc w:val="both"/>
        <w:divId w:val="1416592033"/>
        <w:rPr>
          <w:rFonts w:eastAsia="Times New Roman"/>
        </w:rPr>
      </w:pPr>
      <w:r>
        <w:rPr>
          <w:rFonts w:eastAsia="Times New Roman"/>
          <w:sz w:val="20"/>
          <w:szCs w:val="20"/>
        </w:rPr>
        <w:t>Basic net income (loss) per Common Unit is computed by dividing net income (loss) by the weighted average number of outstanding Common Units, and restricted units granted under the Restricted Unit Plans to retirement-eligible grantees. Computations of dilu</w:t>
      </w:r>
      <w:r>
        <w:rPr>
          <w:rFonts w:eastAsia="Times New Roman"/>
          <w:sz w:val="20"/>
          <w:szCs w:val="20"/>
        </w:rPr>
        <w:t>ted net income per Common Unit are performed by dividing net income by the weighted average number of outstanding Common Units and unvested restricted units granted under our Restricted Unit Plans. Diluted loss per Common Unit for the periods where a net l</w:t>
      </w:r>
      <w:r>
        <w:rPr>
          <w:rFonts w:eastAsia="Times New Roman"/>
          <w:sz w:val="20"/>
          <w:szCs w:val="20"/>
        </w:rPr>
        <w:t>oss was reported does not include unvested restricted units granted under our Restricted Unit Plans as their effect would be anti-dilutive</w:t>
      </w:r>
      <w:r>
        <w:rPr>
          <w:rFonts w:eastAsia="Times New Roman"/>
          <w:sz w:val="20"/>
          <w:szCs w:val="20"/>
        </w:rPr>
        <w:t>.</w:t>
      </w:r>
    </w:p>
    <w:p w14:paraId="59DA01FE" w14:textId="77777777" w:rsidR="00000000" w:rsidRDefault="00832D71">
      <w:pPr>
        <w:pStyle w:val="a3"/>
        <w:spacing w:before="0" w:beforeAutospacing="0" w:after="0" w:afterAutospacing="0"/>
        <w:jc w:val="center"/>
        <w:rPr>
          <w:sz w:val="20"/>
          <w:szCs w:val="20"/>
        </w:rPr>
      </w:pPr>
      <w:r>
        <w:rPr>
          <w:sz w:val="20"/>
          <w:szCs w:val="20"/>
        </w:rPr>
        <w:t> </w:t>
      </w:r>
    </w:p>
    <w:p w14:paraId="1B8B54C1" w14:textId="77777777" w:rsidR="00000000" w:rsidRDefault="00832D71">
      <w:pPr>
        <w:pStyle w:val="a3"/>
        <w:spacing w:before="0" w:beforeAutospacing="0" w:after="0" w:afterAutospacing="0"/>
        <w:jc w:val="center"/>
        <w:rPr>
          <w:sz w:val="20"/>
          <w:szCs w:val="20"/>
        </w:rPr>
      </w:pPr>
      <w:r>
        <w:rPr>
          <w:sz w:val="20"/>
          <w:szCs w:val="20"/>
        </w:rPr>
        <w:t>4</w:t>
      </w:r>
      <w:r>
        <w:rPr>
          <w:sz w:val="20"/>
          <w:szCs w:val="20"/>
        </w:rPr>
        <w:t>2</w:t>
      </w:r>
    </w:p>
    <w:p w14:paraId="4B3F1DAB" w14:textId="77777777" w:rsidR="00000000" w:rsidRDefault="00832D71">
      <w:pPr>
        <w:rPr>
          <w:rFonts w:eastAsia="Times New Roman"/>
        </w:rPr>
      </w:pPr>
      <w:r>
        <w:rPr>
          <w:rFonts w:eastAsia="Times New Roman"/>
        </w:rPr>
        <w:pict w14:anchorId="24B38571">
          <v:rect id="_x0000_i1069" style="width:0;height:1.5pt" o:hralign="center" o:hrstd="t" o:hr="t" fillcolor="#a0a0a0" stroked="f"/>
        </w:pict>
      </w:r>
    </w:p>
    <w:p w14:paraId="4F6213BE"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009C4C13" w14:textId="77777777" w:rsidR="00000000" w:rsidRDefault="00832D71">
      <w:pPr>
        <w:jc w:val="both"/>
        <w:divId w:val="1102146954"/>
        <w:rPr>
          <w:rFonts w:eastAsia="Times New Roman"/>
        </w:rPr>
      </w:pPr>
      <w:r>
        <w:rPr>
          <w:rFonts w:eastAsia="Times New Roman"/>
          <w:sz w:val="20"/>
          <w:szCs w:val="20"/>
        </w:rPr>
        <w:t>(b</w:t>
      </w:r>
      <w:r>
        <w:rPr>
          <w:rFonts w:eastAsia="Times New Roman"/>
          <w:sz w:val="20"/>
          <w:szCs w:val="20"/>
        </w:rPr>
        <w:t>)</w:t>
      </w:r>
    </w:p>
    <w:p w14:paraId="071F2589" w14:textId="77777777" w:rsidR="00000000" w:rsidRDefault="00832D71">
      <w:pPr>
        <w:jc w:val="both"/>
        <w:divId w:val="1114640236"/>
        <w:rPr>
          <w:rFonts w:eastAsia="Times New Roman"/>
        </w:rPr>
      </w:pPr>
      <w:r>
        <w:rPr>
          <w:rFonts w:eastAsia="Times New Roman"/>
          <w:sz w:val="20"/>
          <w:szCs w:val="20"/>
        </w:rPr>
        <w:t>During the t</w:t>
      </w:r>
      <w:r>
        <w:rPr>
          <w:rFonts w:eastAsia="Times New Roman"/>
          <w:sz w:val="20"/>
          <w:szCs w:val="20"/>
        </w:rPr>
        <w:t>hird quarter of fiscal 2021, we repurchased, satisfied and discharged all of our previously outstanding 2024 Senior Notes and 2025 Senior Notes with net proceeds from the issuance of the 2031 Senior Notes, and borrowings under the Revolving Credit Facility</w:t>
      </w:r>
      <w:r>
        <w:rPr>
          <w:rFonts w:eastAsia="Times New Roman"/>
          <w:sz w:val="20"/>
          <w:szCs w:val="20"/>
        </w:rPr>
        <w:t>. In connection with this tender offer and redemption, we recognized a loss on the extinguishment of debt of $16.0 million consisting of $6.2 million and $5.2 million for the redemption premium and related fees for the 2024 Senior Notes and 2025 Senior Not</w:t>
      </w:r>
      <w:r>
        <w:rPr>
          <w:rFonts w:eastAsia="Times New Roman"/>
          <w:sz w:val="20"/>
          <w:szCs w:val="20"/>
        </w:rPr>
        <w:t>es, respectively, as well as the write-off of $2.9 million and $1.7 million in unamortized debt origination costs for the 2024 Senior Notes and 2025 Senior Notes, respectively</w:t>
      </w:r>
      <w:r>
        <w:rPr>
          <w:rFonts w:eastAsia="Times New Roman"/>
          <w:sz w:val="20"/>
          <w:szCs w:val="20"/>
        </w:rPr>
        <w:t>.</w:t>
      </w:r>
    </w:p>
    <w:p w14:paraId="50EFA7D3" w14:textId="77777777" w:rsidR="00000000" w:rsidRDefault="00832D71">
      <w:pPr>
        <w:jc w:val="both"/>
        <w:divId w:val="494877304"/>
        <w:rPr>
          <w:rFonts w:eastAsia="Times New Roman"/>
        </w:rPr>
      </w:pPr>
      <w:r>
        <w:rPr>
          <w:rFonts w:eastAsia="Times New Roman"/>
          <w:sz w:val="20"/>
          <w:szCs w:val="20"/>
        </w:rPr>
        <w:t>(c</w:t>
      </w:r>
      <w:r>
        <w:rPr>
          <w:rFonts w:eastAsia="Times New Roman"/>
          <w:sz w:val="20"/>
          <w:szCs w:val="20"/>
        </w:rPr>
        <w:t>)</w:t>
      </w:r>
    </w:p>
    <w:p w14:paraId="150631B1" w14:textId="77777777" w:rsidR="00000000" w:rsidRDefault="00832D71">
      <w:pPr>
        <w:jc w:val="both"/>
        <w:divId w:val="1609967883"/>
        <w:rPr>
          <w:rFonts w:eastAsia="Times New Roman"/>
        </w:rPr>
      </w:pPr>
      <w:r>
        <w:rPr>
          <w:rFonts w:eastAsia="Times New Roman"/>
          <w:sz w:val="20"/>
          <w:szCs w:val="20"/>
        </w:rPr>
        <w:t>EBITDA represents net income before deducting interest expense, income taxe</w:t>
      </w:r>
      <w:r>
        <w:rPr>
          <w:rFonts w:eastAsia="Times New Roman"/>
          <w:sz w:val="20"/>
          <w:szCs w:val="20"/>
        </w:rPr>
        <w:t>s, depreciation and amortization. Adjusted EBITDA represents EBITDA excluding the unrealized net gain or loss on mark-to-market activity for derivative instruments and other items, as applicable, as provided in the table below. Our management uses EBITDA a</w:t>
      </w:r>
      <w:r>
        <w:rPr>
          <w:rFonts w:eastAsia="Times New Roman"/>
          <w:sz w:val="20"/>
          <w:szCs w:val="20"/>
        </w:rPr>
        <w:t>nd Adjusted EBITDA as supplemental measures of operating performance and we are including them because we believe that they provide our investors and industry analysts with additional information to evaluate our operating results. EBITDA and Adjusted EBITD</w:t>
      </w:r>
      <w:r>
        <w:rPr>
          <w:rFonts w:eastAsia="Times New Roman"/>
          <w:sz w:val="20"/>
          <w:szCs w:val="20"/>
        </w:rPr>
        <w:t xml:space="preserve">A are not recognized terms under US GAAP and should not be considered as an alternative to net income or net cash provided by operating activities determined in accordance with US GAAP. Because EBITDA and Adjusted EBITDA as determined by us excludes some, </w:t>
      </w:r>
      <w:r>
        <w:rPr>
          <w:rFonts w:eastAsia="Times New Roman"/>
          <w:sz w:val="20"/>
          <w:szCs w:val="20"/>
        </w:rPr>
        <w:t>but not all, items that affect net income, they may not be comparable to EBITDA and Adjusted EBITDA or similarly titled measures used by other companies. The following table sets forth our calculations of EBITDA and Adjusted EBITDA</w:t>
      </w:r>
      <w:r>
        <w:rPr>
          <w:rFonts w:eastAsia="Times New Roman"/>
          <w:sz w:val="20"/>
          <w:szCs w:val="20"/>
        </w:rPr>
        <w:t>:</w:t>
      </w:r>
    </w:p>
    <w:p w14:paraId="29AD21FA" w14:textId="77777777" w:rsidR="00000000" w:rsidRDefault="00832D71">
      <w:pPr>
        <w:pStyle w:val="a3"/>
        <w:spacing w:before="0" w:beforeAutospacing="0" w:after="0" w:afterAutospacing="0"/>
        <w:ind w:hanging="581"/>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20"/>
        <w:gridCol w:w="110"/>
        <w:gridCol w:w="160"/>
        <w:gridCol w:w="691"/>
        <w:gridCol w:w="127"/>
        <w:gridCol w:w="110"/>
        <w:gridCol w:w="160"/>
        <w:gridCol w:w="710"/>
        <w:gridCol w:w="127"/>
        <w:gridCol w:w="110"/>
        <w:gridCol w:w="160"/>
        <w:gridCol w:w="680"/>
        <w:gridCol w:w="127"/>
        <w:gridCol w:w="110"/>
        <w:gridCol w:w="160"/>
        <w:gridCol w:w="695"/>
        <w:gridCol w:w="127"/>
        <w:gridCol w:w="110"/>
        <w:gridCol w:w="160"/>
        <w:gridCol w:w="710"/>
        <w:gridCol w:w="142"/>
      </w:tblGrid>
      <w:tr w:rsidR="00000000" w14:paraId="257A1E2F" w14:textId="77777777">
        <w:trPr>
          <w:tblCellSpacing w:w="15" w:type="dxa"/>
        </w:trPr>
        <w:tc>
          <w:tcPr>
            <w:tcW w:w="1838" w:type="pct"/>
            <w:vAlign w:val="center"/>
            <w:hideMark/>
          </w:tcPr>
          <w:p w14:paraId="71FD4304" w14:textId="77777777" w:rsidR="00000000" w:rsidRDefault="00832D71">
            <w:pPr>
              <w:rPr>
                <w:sz w:val="20"/>
                <w:szCs w:val="20"/>
              </w:rPr>
            </w:pPr>
          </w:p>
        </w:tc>
        <w:tc>
          <w:tcPr>
            <w:tcW w:w="61" w:type="pct"/>
            <w:vAlign w:val="center"/>
            <w:hideMark/>
          </w:tcPr>
          <w:p w14:paraId="1C00F06F" w14:textId="77777777" w:rsidR="00000000" w:rsidRDefault="00832D71">
            <w:pPr>
              <w:rPr>
                <w:rFonts w:eastAsia="Times New Roman"/>
                <w:sz w:val="20"/>
                <w:szCs w:val="20"/>
              </w:rPr>
            </w:pPr>
          </w:p>
        </w:tc>
        <w:tc>
          <w:tcPr>
            <w:tcW w:w="50" w:type="pct"/>
            <w:vAlign w:val="center"/>
            <w:hideMark/>
          </w:tcPr>
          <w:p w14:paraId="6B148F17" w14:textId="77777777" w:rsidR="00000000" w:rsidRDefault="00832D71">
            <w:pPr>
              <w:rPr>
                <w:rFonts w:eastAsia="Times New Roman"/>
                <w:sz w:val="20"/>
                <w:szCs w:val="20"/>
              </w:rPr>
            </w:pPr>
          </w:p>
        </w:tc>
        <w:tc>
          <w:tcPr>
            <w:tcW w:w="470" w:type="pct"/>
            <w:vAlign w:val="center"/>
            <w:hideMark/>
          </w:tcPr>
          <w:p w14:paraId="0EC24B1D" w14:textId="77777777" w:rsidR="00000000" w:rsidRDefault="00832D71">
            <w:pPr>
              <w:rPr>
                <w:rFonts w:eastAsia="Times New Roman"/>
                <w:sz w:val="20"/>
                <w:szCs w:val="20"/>
              </w:rPr>
            </w:pPr>
          </w:p>
        </w:tc>
        <w:tc>
          <w:tcPr>
            <w:tcW w:w="50" w:type="pct"/>
            <w:vAlign w:val="center"/>
            <w:hideMark/>
          </w:tcPr>
          <w:p w14:paraId="4EC83E6C" w14:textId="77777777" w:rsidR="00000000" w:rsidRDefault="00832D71">
            <w:pPr>
              <w:rPr>
                <w:rFonts w:eastAsia="Times New Roman"/>
                <w:sz w:val="20"/>
                <w:szCs w:val="20"/>
              </w:rPr>
            </w:pPr>
          </w:p>
        </w:tc>
        <w:tc>
          <w:tcPr>
            <w:tcW w:w="62" w:type="pct"/>
            <w:vAlign w:val="center"/>
            <w:hideMark/>
          </w:tcPr>
          <w:p w14:paraId="730F997C" w14:textId="77777777" w:rsidR="00000000" w:rsidRDefault="00832D71">
            <w:pPr>
              <w:rPr>
                <w:rFonts w:eastAsia="Times New Roman"/>
                <w:sz w:val="20"/>
                <w:szCs w:val="20"/>
              </w:rPr>
            </w:pPr>
          </w:p>
        </w:tc>
        <w:tc>
          <w:tcPr>
            <w:tcW w:w="50" w:type="pct"/>
            <w:vAlign w:val="center"/>
            <w:hideMark/>
          </w:tcPr>
          <w:p w14:paraId="38802B99" w14:textId="77777777" w:rsidR="00000000" w:rsidRDefault="00832D71">
            <w:pPr>
              <w:rPr>
                <w:rFonts w:eastAsia="Times New Roman"/>
                <w:sz w:val="20"/>
                <w:szCs w:val="20"/>
              </w:rPr>
            </w:pPr>
          </w:p>
        </w:tc>
        <w:tc>
          <w:tcPr>
            <w:tcW w:w="470" w:type="pct"/>
            <w:vAlign w:val="center"/>
            <w:hideMark/>
          </w:tcPr>
          <w:p w14:paraId="281568AC" w14:textId="77777777" w:rsidR="00000000" w:rsidRDefault="00832D71">
            <w:pPr>
              <w:rPr>
                <w:rFonts w:eastAsia="Times New Roman"/>
                <w:sz w:val="20"/>
                <w:szCs w:val="20"/>
              </w:rPr>
            </w:pPr>
          </w:p>
        </w:tc>
        <w:tc>
          <w:tcPr>
            <w:tcW w:w="50" w:type="pct"/>
            <w:vAlign w:val="center"/>
            <w:hideMark/>
          </w:tcPr>
          <w:p w14:paraId="585D4B06" w14:textId="77777777" w:rsidR="00000000" w:rsidRDefault="00832D71">
            <w:pPr>
              <w:rPr>
                <w:rFonts w:eastAsia="Times New Roman"/>
                <w:sz w:val="20"/>
                <w:szCs w:val="20"/>
              </w:rPr>
            </w:pPr>
          </w:p>
        </w:tc>
        <w:tc>
          <w:tcPr>
            <w:tcW w:w="62" w:type="pct"/>
            <w:vAlign w:val="center"/>
            <w:hideMark/>
          </w:tcPr>
          <w:p w14:paraId="0E141C65" w14:textId="77777777" w:rsidR="00000000" w:rsidRDefault="00832D71">
            <w:pPr>
              <w:rPr>
                <w:rFonts w:eastAsia="Times New Roman"/>
                <w:sz w:val="20"/>
                <w:szCs w:val="20"/>
              </w:rPr>
            </w:pPr>
          </w:p>
        </w:tc>
        <w:tc>
          <w:tcPr>
            <w:tcW w:w="50" w:type="pct"/>
            <w:vAlign w:val="center"/>
            <w:hideMark/>
          </w:tcPr>
          <w:p w14:paraId="349201CB" w14:textId="77777777" w:rsidR="00000000" w:rsidRDefault="00832D71">
            <w:pPr>
              <w:rPr>
                <w:rFonts w:eastAsia="Times New Roman"/>
                <w:sz w:val="20"/>
                <w:szCs w:val="20"/>
              </w:rPr>
            </w:pPr>
          </w:p>
        </w:tc>
        <w:tc>
          <w:tcPr>
            <w:tcW w:w="470" w:type="pct"/>
            <w:vAlign w:val="center"/>
            <w:hideMark/>
          </w:tcPr>
          <w:p w14:paraId="605B9DF0" w14:textId="77777777" w:rsidR="00000000" w:rsidRDefault="00832D71">
            <w:pPr>
              <w:rPr>
                <w:rFonts w:eastAsia="Times New Roman"/>
                <w:sz w:val="20"/>
                <w:szCs w:val="20"/>
              </w:rPr>
            </w:pPr>
          </w:p>
        </w:tc>
        <w:tc>
          <w:tcPr>
            <w:tcW w:w="50" w:type="pct"/>
            <w:vAlign w:val="center"/>
            <w:hideMark/>
          </w:tcPr>
          <w:p w14:paraId="35C6EE2F" w14:textId="77777777" w:rsidR="00000000" w:rsidRDefault="00832D71">
            <w:pPr>
              <w:rPr>
                <w:rFonts w:eastAsia="Times New Roman"/>
                <w:sz w:val="20"/>
                <w:szCs w:val="20"/>
              </w:rPr>
            </w:pPr>
          </w:p>
        </w:tc>
        <w:tc>
          <w:tcPr>
            <w:tcW w:w="62" w:type="pct"/>
            <w:vAlign w:val="center"/>
            <w:hideMark/>
          </w:tcPr>
          <w:p w14:paraId="2BAC4D6D" w14:textId="77777777" w:rsidR="00000000" w:rsidRDefault="00832D71">
            <w:pPr>
              <w:rPr>
                <w:rFonts w:eastAsia="Times New Roman"/>
                <w:sz w:val="20"/>
                <w:szCs w:val="20"/>
              </w:rPr>
            </w:pPr>
          </w:p>
        </w:tc>
        <w:tc>
          <w:tcPr>
            <w:tcW w:w="50" w:type="pct"/>
            <w:vAlign w:val="center"/>
            <w:hideMark/>
          </w:tcPr>
          <w:p w14:paraId="0C232BF6" w14:textId="77777777" w:rsidR="00000000" w:rsidRDefault="00832D71">
            <w:pPr>
              <w:rPr>
                <w:rFonts w:eastAsia="Times New Roman"/>
                <w:sz w:val="20"/>
                <w:szCs w:val="20"/>
              </w:rPr>
            </w:pPr>
          </w:p>
        </w:tc>
        <w:tc>
          <w:tcPr>
            <w:tcW w:w="470" w:type="pct"/>
            <w:vAlign w:val="center"/>
            <w:hideMark/>
          </w:tcPr>
          <w:p w14:paraId="3C5A3C48" w14:textId="77777777" w:rsidR="00000000" w:rsidRDefault="00832D71">
            <w:pPr>
              <w:rPr>
                <w:rFonts w:eastAsia="Times New Roman"/>
                <w:sz w:val="20"/>
                <w:szCs w:val="20"/>
              </w:rPr>
            </w:pPr>
          </w:p>
        </w:tc>
        <w:tc>
          <w:tcPr>
            <w:tcW w:w="50" w:type="pct"/>
            <w:vAlign w:val="center"/>
            <w:hideMark/>
          </w:tcPr>
          <w:p w14:paraId="6CC76DAC" w14:textId="77777777" w:rsidR="00000000" w:rsidRDefault="00832D71">
            <w:pPr>
              <w:rPr>
                <w:rFonts w:eastAsia="Times New Roman"/>
                <w:sz w:val="20"/>
                <w:szCs w:val="20"/>
              </w:rPr>
            </w:pPr>
          </w:p>
        </w:tc>
        <w:tc>
          <w:tcPr>
            <w:tcW w:w="62" w:type="pct"/>
            <w:vAlign w:val="center"/>
            <w:hideMark/>
          </w:tcPr>
          <w:p w14:paraId="39C73F52" w14:textId="77777777" w:rsidR="00000000" w:rsidRDefault="00832D71">
            <w:pPr>
              <w:rPr>
                <w:rFonts w:eastAsia="Times New Roman"/>
                <w:sz w:val="20"/>
                <w:szCs w:val="20"/>
              </w:rPr>
            </w:pPr>
          </w:p>
        </w:tc>
        <w:tc>
          <w:tcPr>
            <w:tcW w:w="50" w:type="pct"/>
            <w:vAlign w:val="center"/>
            <w:hideMark/>
          </w:tcPr>
          <w:p w14:paraId="2BD4EC8E" w14:textId="77777777" w:rsidR="00000000" w:rsidRDefault="00832D71">
            <w:pPr>
              <w:rPr>
                <w:rFonts w:eastAsia="Times New Roman"/>
                <w:sz w:val="20"/>
                <w:szCs w:val="20"/>
              </w:rPr>
            </w:pPr>
          </w:p>
        </w:tc>
        <w:tc>
          <w:tcPr>
            <w:tcW w:w="470" w:type="pct"/>
            <w:vAlign w:val="center"/>
            <w:hideMark/>
          </w:tcPr>
          <w:p w14:paraId="2283CD2B" w14:textId="77777777" w:rsidR="00000000" w:rsidRDefault="00832D71">
            <w:pPr>
              <w:rPr>
                <w:rFonts w:eastAsia="Times New Roman"/>
                <w:sz w:val="20"/>
                <w:szCs w:val="20"/>
              </w:rPr>
            </w:pPr>
          </w:p>
        </w:tc>
        <w:tc>
          <w:tcPr>
            <w:tcW w:w="50" w:type="pct"/>
            <w:vAlign w:val="center"/>
            <w:hideMark/>
          </w:tcPr>
          <w:p w14:paraId="3562AC56" w14:textId="77777777" w:rsidR="00000000" w:rsidRDefault="00832D71">
            <w:pPr>
              <w:rPr>
                <w:rFonts w:eastAsia="Times New Roman"/>
                <w:sz w:val="20"/>
                <w:szCs w:val="20"/>
              </w:rPr>
            </w:pPr>
          </w:p>
        </w:tc>
      </w:tr>
      <w:tr w:rsidR="00000000" w14:paraId="42EF95BB" w14:textId="77777777">
        <w:trPr>
          <w:trHeight w:val="160"/>
          <w:tblCellSpacing w:w="15" w:type="dxa"/>
        </w:trPr>
        <w:tc>
          <w:tcPr>
            <w:tcW w:w="0" w:type="auto"/>
            <w:vAlign w:val="bottom"/>
            <w:hideMark/>
          </w:tcPr>
          <w:p w14:paraId="58E4BABA"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9DC609D"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76734837" w14:textId="77777777" w:rsidR="00000000" w:rsidRDefault="00832D71">
            <w:pPr>
              <w:pStyle w:val="a3"/>
              <w:spacing w:before="0" w:beforeAutospacing="0" w:after="0" w:afterAutospacing="0"/>
              <w:jc w:val="center"/>
              <w:rPr>
                <w:sz w:val="16"/>
                <w:szCs w:val="16"/>
              </w:rPr>
            </w:pPr>
            <w:r>
              <w:rPr>
                <w:b/>
                <w:bCs/>
                <w:sz w:val="16"/>
                <w:szCs w:val="16"/>
              </w:rPr>
              <w:t>First</w:t>
            </w:r>
            <w:r>
              <w:rPr>
                <w:b/>
                <w:bCs/>
                <w:sz w:val="16"/>
                <w:szCs w:val="16"/>
              </w:rPr>
              <w:br/>
              <w:t>Quarte</w:t>
            </w:r>
            <w:r>
              <w:rPr>
                <w:b/>
                <w:bCs/>
                <w:sz w:val="16"/>
                <w:szCs w:val="16"/>
              </w:rPr>
              <w:t>r</w:t>
            </w:r>
          </w:p>
        </w:tc>
        <w:tc>
          <w:tcPr>
            <w:tcW w:w="0" w:type="auto"/>
            <w:vAlign w:val="center"/>
            <w:hideMark/>
          </w:tcPr>
          <w:p w14:paraId="3FA65660"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B4C660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6CF333D8" w14:textId="77777777" w:rsidR="00000000" w:rsidRDefault="00832D71">
            <w:pPr>
              <w:pStyle w:val="a3"/>
              <w:spacing w:before="0" w:beforeAutospacing="0" w:after="0" w:afterAutospacing="0"/>
              <w:jc w:val="center"/>
              <w:rPr>
                <w:sz w:val="16"/>
                <w:szCs w:val="16"/>
              </w:rPr>
            </w:pPr>
            <w:r>
              <w:rPr>
                <w:b/>
                <w:bCs/>
                <w:sz w:val="16"/>
                <w:szCs w:val="16"/>
              </w:rPr>
              <w:t>Second</w:t>
            </w:r>
            <w:r>
              <w:rPr>
                <w:b/>
                <w:bCs/>
                <w:sz w:val="16"/>
                <w:szCs w:val="16"/>
              </w:rPr>
              <w:br/>
              <w:t>Quarte</w:t>
            </w:r>
            <w:r>
              <w:rPr>
                <w:b/>
                <w:bCs/>
                <w:sz w:val="16"/>
                <w:szCs w:val="16"/>
              </w:rPr>
              <w:t>r</w:t>
            </w:r>
          </w:p>
        </w:tc>
        <w:tc>
          <w:tcPr>
            <w:tcW w:w="0" w:type="auto"/>
            <w:vAlign w:val="center"/>
            <w:hideMark/>
          </w:tcPr>
          <w:p w14:paraId="4918D7E2"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91EE10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10ABA0EA" w14:textId="77777777" w:rsidR="00000000" w:rsidRDefault="00832D71">
            <w:pPr>
              <w:pStyle w:val="a3"/>
              <w:spacing w:before="0" w:beforeAutospacing="0" w:after="0" w:afterAutospacing="0"/>
              <w:jc w:val="center"/>
              <w:rPr>
                <w:sz w:val="16"/>
                <w:szCs w:val="16"/>
              </w:rPr>
            </w:pPr>
            <w:r>
              <w:rPr>
                <w:b/>
                <w:bCs/>
                <w:sz w:val="16"/>
                <w:szCs w:val="16"/>
              </w:rPr>
              <w:t>Third</w:t>
            </w:r>
            <w:r>
              <w:rPr>
                <w:b/>
                <w:bCs/>
                <w:sz w:val="16"/>
                <w:szCs w:val="16"/>
              </w:rPr>
              <w:br/>
              <w:t>Quarte</w:t>
            </w:r>
            <w:r>
              <w:rPr>
                <w:b/>
                <w:bCs/>
                <w:sz w:val="16"/>
                <w:szCs w:val="16"/>
              </w:rPr>
              <w:t>r</w:t>
            </w:r>
          </w:p>
        </w:tc>
        <w:tc>
          <w:tcPr>
            <w:tcW w:w="0" w:type="auto"/>
            <w:vAlign w:val="center"/>
            <w:hideMark/>
          </w:tcPr>
          <w:p w14:paraId="2348DC8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D41886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161BA5D3" w14:textId="77777777" w:rsidR="00000000" w:rsidRDefault="00832D71">
            <w:pPr>
              <w:pStyle w:val="a3"/>
              <w:spacing w:before="0" w:beforeAutospacing="0" w:after="0" w:afterAutospacing="0"/>
              <w:jc w:val="center"/>
              <w:rPr>
                <w:sz w:val="16"/>
                <w:szCs w:val="16"/>
              </w:rPr>
            </w:pPr>
            <w:r>
              <w:rPr>
                <w:b/>
                <w:bCs/>
                <w:sz w:val="16"/>
                <w:szCs w:val="16"/>
              </w:rPr>
              <w:t>Fourth</w:t>
            </w:r>
            <w:r>
              <w:rPr>
                <w:b/>
                <w:bCs/>
                <w:sz w:val="16"/>
                <w:szCs w:val="16"/>
              </w:rPr>
              <w:br/>
              <w:t>Quarte</w:t>
            </w:r>
            <w:r>
              <w:rPr>
                <w:b/>
                <w:bCs/>
                <w:sz w:val="16"/>
                <w:szCs w:val="16"/>
              </w:rPr>
              <w:t>r</w:t>
            </w:r>
          </w:p>
        </w:tc>
        <w:tc>
          <w:tcPr>
            <w:tcW w:w="0" w:type="auto"/>
            <w:vAlign w:val="center"/>
            <w:hideMark/>
          </w:tcPr>
          <w:p w14:paraId="3DB55C8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1AB8ED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5D92D7B8" w14:textId="77777777" w:rsidR="00000000" w:rsidRDefault="00832D71">
            <w:pPr>
              <w:pStyle w:val="a3"/>
              <w:spacing w:before="0" w:beforeAutospacing="0" w:after="0" w:afterAutospacing="0"/>
              <w:jc w:val="center"/>
              <w:rPr>
                <w:sz w:val="16"/>
                <w:szCs w:val="16"/>
              </w:rPr>
            </w:pPr>
            <w:r>
              <w:rPr>
                <w:b/>
                <w:bCs/>
                <w:sz w:val="16"/>
                <w:szCs w:val="16"/>
              </w:rPr>
              <w:t>Total</w:t>
            </w:r>
            <w:r>
              <w:rPr>
                <w:b/>
                <w:bCs/>
                <w:sz w:val="16"/>
                <w:szCs w:val="16"/>
              </w:rPr>
              <w:br/>
              <w:t>Yea</w:t>
            </w:r>
            <w:r>
              <w:rPr>
                <w:b/>
                <w:bCs/>
                <w:sz w:val="16"/>
                <w:szCs w:val="16"/>
              </w:rPr>
              <w:t>r</w:t>
            </w:r>
          </w:p>
        </w:tc>
        <w:tc>
          <w:tcPr>
            <w:tcW w:w="0" w:type="auto"/>
            <w:vAlign w:val="center"/>
            <w:hideMark/>
          </w:tcPr>
          <w:p w14:paraId="656A87FB"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54864428" w14:textId="77777777">
        <w:trPr>
          <w:trHeight w:val="200"/>
          <w:tblCellSpacing w:w="15" w:type="dxa"/>
        </w:trPr>
        <w:tc>
          <w:tcPr>
            <w:tcW w:w="0" w:type="auto"/>
            <w:hideMark/>
          </w:tcPr>
          <w:p w14:paraId="7C4FEFD6" w14:textId="77777777" w:rsidR="00000000" w:rsidRDefault="00832D71">
            <w:pPr>
              <w:pStyle w:val="a3"/>
              <w:spacing w:before="0" w:beforeAutospacing="0" w:after="0" w:afterAutospacing="0"/>
              <w:rPr>
                <w:sz w:val="20"/>
                <w:szCs w:val="20"/>
              </w:rPr>
            </w:pPr>
            <w:r>
              <w:rPr>
                <w:b/>
                <w:bCs/>
                <w:sz w:val="20"/>
                <w:szCs w:val="20"/>
                <w:u w:val="single"/>
              </w:rPr>
              <w:t>Fiscal 202</w:t>
            </w:r>
            <w:r>
              <w:rPr>
                <w:b/>
                <w:bCs/>
                <w:sz w:val="20"/>
                <w:szCs w:val="20"/>
                <w:u w:val="single"/>
              </w:rPr>
              <w:t>2</w:t>
            </w:r>
          </w:p>
        </w:tc>
        <w:tc>
          <w:tcPr>
            <w:tcW w:w="0" w:type="auto"/>
            <w:vAlign w:val="bottom"/>
            <w:hideMark/>
          </w:tcPr>
          <w:p w14:paraId="21B0DAD5"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8C7DB0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62B21A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FB678F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64B037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6D058A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E6AF0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9D572A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C9BC1E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E6AFAA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91EF85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429FE5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A10310B"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A36451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F066CBD" w14:textId="77777777" w:rsidR="00000000" w:rsidRDefault="00832D71">
            <w:pPr>
              <w:pStyle w:val="a3"/>
              <w:spacing w:before="0" w:beforeAutospacing="0" w:after="0" w:afterAutospacing="0"/>
              <w:rPr>
                <w:sz w:val="20"/>
                <w:szCs w:val="20"/>
              </w:rPr>
            </w:pPr>
            <w:r>
              <w:rPr>
                <w:sz w:val="20"/>
                <w:szCs w:val="20"/>
              </w:rPr>
              <w:t> </w:t>
            </w:r>
          </w:p>
        </w:tc>
      </w:tr>
      <w:tr w:rsidR="00000000" w14:paraId="15709203" w14:textId="77777777">
        <w:trPr>
          <w:trHeight w:val="200"/>
          <w:tblCellSpacing w:w="15" w:type="dxa"/>
        </w:trPr>
        <w:tc>
          <w:tcPr>
            <w:tcW w:w="0" w:type="auto"/>
            <w:hideMark/>
          </w:tcPr>
          <w:p w14:paraId="3DF1A6E5" w14:textId="77777777" w:rsidR="00000000" w:rsidRDefault="00832D71">
            <w:pPr>
              <w:pStyle w:val="a3"/>
              <w:spacing w:before="0" w:beforeAutospacing="0" w:after="0" w:afterAutospacing="0"/>
              <w:rPr>
                <w:sz w:val="20"/>
                <w:szCs w:val="20"/>
              </w:rPr>
            </w:pPr>
            <w:r>
              <w:rPr>
                <w:sz w:val="20"/>
                <w:szCs w:val="20"/>
              </w:rPr>
              <w:t>Net income (loss</w:t>
            </w:r>
            <w:r>
              <w:rPr>
                <w:sz w:val="20"/>
                <w:szCs w:val="20"/>
              </w:rPr>
              <w:t>)</w:t>
            </w:r>
          </w:p>
        </w:tc>
        <w:tc>
          <w:tcPr>
            <w:tcW w:w="0" w:type="auto"/>
            <w:vAlign w:val="bottom"/>
            <w:hideMark/>
          </w:tcPr>
          <w:p w14:paraId="7A9C7C6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05D53C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763194F" w14:textId="77777777" w:rsidR="00000000" w:rsidRDefault="00832D71">
            <w:pPr>
              <w:pStyle w:val="a3"/>
              <w:spacing w:before="0" w:beforeAutospacing="0" w:after="0" w:afterAutospacing="0"/>
              <w:jc w:val="right"/>
              <w:rPr>
                <w:sz w:val="20"/>
                <w:szCs w:val="20"/>
              </w:rPr>
            </w:pPr>
            <w:r>
              <w:rPr>
                <w:sz w:val="20"/>
                <w:szCs w:val="20"/>
              </w:rPr>
              <w:t>21,29</w:t>
            </w:r>
            <w:r>
              <w:rPr>
                <w:sz w:val="20"/>
                <w:szCs w:val="20"/>
              </w:rPr>
              <w:t>8</w:t>
            </w:r>
          </w:p>
        </w:tc>
        <w:tc>
          <w:tcPr>
            <w:tcW w:w="0" w:type="auto"/>
            <w:noWrap/>
            <w:vAlign w:val="bottom"/>
            <w:hideMark/>
          </w:tcPr>
          <w:p w14:paraId="2FCED1C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C519BE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1D5B42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E6CCC22" w14:textId="77777777" w:rsidR="00000000" w:rsidRDefault="00832D71">
            <w:pPr>
              <w:pStyle w:val="a3"/>
              <w:spacing w:before="0" w:beforeAutospacing="0" w:after="0" w:afterAutospacing="0"/>
              <w:jc w:val="right"/>
              <w:rPr>
                <w:sz w:val="20"/>
                <w:szCs w:val="20"/>
              </w:rPr>
            </w:pPr>
            <w:r>
              <w:rPr>
                <w:sz w:val="20"/>
                <w:szCs w:val="20"/>
              </w:rPr>
              <w:t>175,10</w:t>
            </w:r>
            <w:r>
              <w:rPr>
                <w:sz w:val="20"/>
                <w:szCs w:val="20"/>
              </w:rPr>
              <w:t>2</w:t>
            </w:r>
          </w:p>
        </w:tc>
        <w:tc>
          <w:tcPr>
            <w:tcW w:w="0" w:type="auto"/>
            <w:noWrap/>
            <w:vAlign w:val="bottom"/>
            <w:hideMark/>
          </w:tcPr>
          <w:p w14:paraId="7EDFDBE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D04763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F3951C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5037273" w14:textId="77777777" w:rsidR="00000000" w:rsidRDefault="00832D71">
            <w:pPr>
              <w:pStyle w:val="a3"/>
              <w:spacing w:before="0" w:beforeAutospacing="0" w:after="0" w:afterAutospacing="0"/>
              <w:jc w:val="right"/>
              <w:rPr>
                <w:sz w:val="20"/>
                <w:szCs w:val="20"/>
              </w:rPr>
            </w:pPr>
            <w:r>
              <w:rPr>
                <w:sz w:val="20"/>
                <w:szCs w:val="20"/>
              </w:rPr>
              <w:t>(2,53</w:t>
            </w:r>
            <w:r>
              <w:rPr>
                <w:sz w:val="20"/>
                <w:szCs w:val="20"/>
              </w:rPr>
              <w:t>5</w:t>
            </w:r>
          </w:p>
        </w:tc>
        <w:tc>
          <w:tcPr>
            <w:tcW w:w="0" w:type="auto"/>
            <w:noWrap/>
            <w:vAlign w:val="bottom"/>
            <w:hideMark/>
          </w:tcPr>
          <w:p w14:paraId="604A64D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10C703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53ABAF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923514C" w14:textId="77777777" w:rsidR="00000000" w:rsidRDefault="00832D71">
            <w:pPr>
              <w:pStyle w:val="a3"/>
              <w:spacing w:before="0" w:beforeAutospacing="0" w:after="0" w:afterAutospacing="0"/>
              <w:jc w:val="right"/>
              <w:rPr>
                <w:sz w:val="20"/>
                <w:szCs w:val="20"/>
              </w:rPr>
            </w:pPr>
            <w:r>
              <w:rPr>
                <w:sz w:val="20"/>
                <w:szCs w:val="20"/>
              </w:rPr>
              <w:t>(54,15</w:t>
            </w:r>
            <w:r>
              <w:rPr>
                <w:sz w:val="20"/>
                <w:szCs w:val="20"/>
              </w:rPr>
              <w:t>7</w:t>
            </w:r>
          </w:p>
        </w:tc>
        <w:tc>
          <w:tcPr>
            <w:tcW w:w="0" w:type="auto"/>
            <w:noWrap/>
            <w:vAlign w:val="bottom"/>
            <w:hideMark/>
          </w:tcPr>
          <w:p w14:paraId="0AF2BA0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CD7B48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A36516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0DE9206" w14:textId="77777777" w:rsidR="00000000" w:rsidRDefault="00832D71">
            <w:pPr>
              <w:pStyle w:val="a3"/>
              <w:spacing w:before="0" w:beforeAutospacing="0" w:after="0" w:afterAutospacing="0"/>
              <w:jc w:val="right"/>
              <w:rPr>
                <w:sz w:val="20"/>
                <w:szCs w:val="20"/>
              </w:rPr>
            </w:pPr>
            <w:r>
              <w:rPr>
                <w:sz w:val="20"/>
                <w:szCs w:val="20"/>
              </w:rPr>
              <w:t>139,70</w:t>
            </w:r>
            <w:r>
              <w:rPr>
                <w:sz w:val="20"/>
                <w:szCs w:val="20"/>
              </w:rPr>
              <w:t>8</w:t>
            </w:r>
          </w:p>
        </w:tc>
        <w:tc>
          <w:tcPr>
            <w:tcW w:w="0" w:type="auto"/>
            <w:noWrap/>
            <w:vAlign w:val="bottom"/>
            <w:hideMark/>
          </w:tcPr>
          <w:p w14:paraId="6594B855" w14:textId="77777777" w:rsidR="00000000" w:rsidRDefault="00832D71">
            <w:pPr>
              <w:pStyle w:val="a3"/>
              <w:spacing w:before="0" w:beforeAutospacing="0" w:after="0" w:afterAutospacing="0"/>
              <w:rPr>
                <w:sz w:val="20"/>
                <w:szCs w:val="20"/>
              </w:rPr>
            </w:pPr>
            <w:r>
              <w:rPr>
                <w:sz w:val="20"/>
                <w:szCs w:val="20"/>
              </w:rPr>
              <w:t> </w:t>
            </w:r>
          </w:p>
        </w:tc>
      </w:tr>
      <w:tr w:rsidR="00000000" w14:paraId="12AF82CF" w14:textId="77777777">
        <w:trPr>
          <w:trHeight w:val="200"/>
          <w:tblCellSpacing w:w="15" w:type="dxa"/>
        </w:trPr>
        <w:tc>
          <w:tcPr>
            <w:tcW w:w="0" w:type="auto"/>
            <w:hideMark/>
          </w:tcPr>
          <w:p w14:paraId="1A9E3D9B" w14:textId="77777777" w:rsidR="00000000" w:rsidRDefault="00832D71">
            <w:pPr>
              <w:pStyle w:val="a3"/>
              <w:spacing w:before="0" w:beforeAutospacing="0" w:after="0" w:afterAutospacing="0"/>
              <w:rPr>
                <w:sz w:val="20"/>
                <w:szCs w:val="20"/>
              </w:rPr>
            </w:pPr>
            <w:r>
              <w:rPr>
                <w:sz w:val="20"/>
                <w:szCs w:val="20"/>
              </w:rPr>
              <w:t>Add</w:t>
            </w:r>
            <w:r>
              <w:rPr>
                <w:sz w:val="20"/>
                <w:szCs w:val="20"/>
              </w:rPr>
              <w:t>:</w:t>
            </w:r>
          </w:p>
        </w:tc>
        <w:tc>
          <w:tcPr>
            <w:tcW w:w="0" w:type="auto"/>
            <w:vAlign w:val="bottom"/>
            <w:hideMark/>
          </w:tcPr>
          <w:p w14:paraId="43AE25D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AEEB4B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296F9B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4F6AE4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688E0F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C2B485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383C916"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1C63EC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D629CA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B20760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75CCFB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E98C1B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54D8D6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B35D00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A798351" w14:textId="77777777" w:rsidR="00000000" w:rsidRDefault="00832D71">
            <w:pPr>
              <w:pStyle w:val="a3"/>
              <w:spacing w:before="0" w:beforeAutospacing="0" w:after="0" w:afterAutospacing="0"/>
              <w:jc w:val="right"/>
              <w:rPr>
                <w:sz w:val="20"/>
                <w:szCs w:val="20"/>
              </w:rPr>
            </w:pPr>
            <w:r>
              <w:rPr>
                <w:sz w:val="20"/>
                <w:szCs w:val="20"/>
              </w:rPr>
              <w:t> </w:t>
            </w:r>
          </w:p>
        </w:tc>
      </w:tr>
      <w:tr w:rsidR="00000000" w14:paraId="75ED02C5" w14:textId="77777777">
        <w:trPr>
          <w:trHeight w:val="200"/>
          <w:tblCellSpacing w:w="15" w:type="dxa"/>
        </w:trPr>
        <w:tc>
          <w:tcPr>
            <w:tcW w:w="0" w:type="auto"/>
            <w:hideMark/>
          </w:tcPr>
          <w:p w14:paraId="723A0481" w14:textId="77777777" w:rsidR="00000000" w:rsidRDefault="00832D71">
            <w:pPr>
              <w:pStyle w:val="a3"/>
              <w:spacing w:before="0" w:beforeAutospacing="0" w:after="0" w:afterAutospacing="0"/>
              <w:ind w:left="200"/>
              <w:rPr>
                <w:sz w:val="20"/>
                <w:szCs w:val="20"/>
              </w:rPr>
            </w:pPr>
            <w:r>
              <w:rPr>
                <w:sz w:val="20"/>
                <w:szCs w:val="20"/>
              </w:rPr>
              <w:t>(Benefit from) provision for income taxe</w:t>
            </w:r>
            <w:r>
              <w:rPr>
                <w:sz w:val="20"/>
                <w:szCs w:val="20"/>
              </w:rPr>
              <w:t>s</w:t>
            </w:r>
          </w:p>
        </w:tc>
        <w:tc>
          <w:tcPr>
            <w:tcW w:w="0" w:type="auto"/>
            <w:vAlign w:val="bottom"/>
            <w:hideMark/>
          </w:tcPr>
          <w:p w14:paraId="36CBC9B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30741A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86FB13E" w14:textId="77777777" w:rsidR="00000000" w:rsidRDefault="00832D71">
            <w:pPr>
              <w:pStyle w:val="a3"/>
              <w:spacing w:before="0" w:beforeAutospacing="0" w:after="0" w:afterAutospacing="0"/>
              <w:jc w:val="right"/>
              <w:rPr>
                <w:sz w:val="20"/>
                <w:szCs w:val="20"/>
              </w:rPr>
            </w:pPr>
            <w:r>
              <w:rPr>
                <w:sz w:val="20"/>
                <w:szCs w:val="20"/>
              </w:rPr>
              <w:t>(47</w:t>
            </w:r>
            <w:r>
              <w:rPr>
                <w:sz w:val="20"/>
                <w:szCs w:val="20"/>
              </w:rPr>
              <w:t>1</w:t>
            </w:r>
          </w:p>
        </w:tc>
        <w:tc>
          <w:tcPr>
            <w:tcW w:w="0" w:type="auto"/>
            <w:noWrap/>
            <w:vAlign w:val="bottom"/>
            <w:hideMark/>
          </w:tcPr>
          <w:p w14:paraId="3FEF42C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8E0DEE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5D3EFE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EA73C4B" w14:textId="77777777" w:rsidR="00000000" w:rsidRDefault="00832D71">
            <w:pPr>
              <w:pStyle w:val="a3"/>
              <w:spacing w:before="0" w:beforeAutospacing="0" w:after="0" w:afterAutospacing="0"/>
              <w:jc w:val="right"/>
              <w:rPr>
                <w:sz w:val="20"/>
                <w:szCs w:val="20"/>
              </w:rPr>
            </w:pPr>
            <w:r>
              <w:rPr>
                <w:sz w:val="20"/>
                <w:szCs w:val="20"/>
              </w:rPr>
              <w:t>37</w:t>
            </w:r>
            <w:r>
              <w:rPr>
                <w:sz w:val="20"/>
                <w:szCs w:val="20"/>
              </w:rPr>
              <w:t>1</w:t>
            </w:r>
          </w:p>
        </w:tc>
        <w:tc>
          <w:tcPr>
            <w:tcW w:w="0" w:type="auto"/>
            <w:noWrap/>
            <w:vAlign w:val="bottom"/>
            <w:hideMark/>
          </w:tcPr>
          <w:p w14:paraId="20C0FF1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707A45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B39AA2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E4070C2" w14:textId="77777777" w:rsidR="00000000" w:rsidRDefault="00832D71">
            <w:pPr>
              <w:pStyle w:val="a3"/>
              <w:spacing w:before="0" w:beforeAutospacing="0" w:after="0" w:afterAutospacing="0"/>
              <w:jc w:val="right"/>
              <w:rPr>
                <w:sz w:val="20"/>
                <w:szCs w:val="20"/>
              </w:rPr>
            </w:pPr>
            <w:r>
              <w:rPr>
                <w:sz w:val="20"/>
                <w:szCs w:val="20"/>
              </w:rPr>
              <w:t>27</w:t>
            </w:r>
            <w:r>
              <w:rPr>
                <w:sz w:val="20"/>
                <w:szCs w:val="20"/>
              </w:rPr>
              <w:t>1</w:t>
            </w:r>
          </w:p>
        </w:tc>
        <w:tc>
          <w:tcPr>
            <w:tcW w:w="0" w:type="auto"/>
            <w:noWrap/>
            <w:vAlign w:val="bottom"/>
            <w:hideMark/>
          </w:tcPr>
          <w:p w14:paraId="293281F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AFCEA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0967BF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81E49CF" w14:textId="77777777" w:rsidR="00000000" w:rsidRDefault="00832D71">
            <w:pPr>
              <w:pStyle w:val="a3"/>
              <w:spacing w:before="0" w:beforeAutospacing="0" w:after="0" w:afterAutospacing="0"/>
              <w:jc w:val="right"/>
              <w:rPr>
                <w:sz w:val="20"/>
                <w:szCs w:val="20"/>
              </w:rPr>
            </w:pPr>
            <w:r>
              <w:rPr>
                <w:sz w:val="20"/>
                <w:szCs w:val="20"/>
              </w:rPr>
              <w:t>25</w:t>
            </w:r>
            <w:r>
              <w:rPr>
                <w:sz w:val="20"/>
                <w:szCs w:val="20"/>
              </w:rPr>
              <w:t>8</w:t>
            </w:r>
          </w:p>
        </w:tc>
        <w:tc>
          <w:tcPr>
            <w:tcW w:w="0" w:type="auto"/>
            <w:noWrap/>
            <w:vAlign w:val="bottom"/>
            <w:hideMark/>
          </w:tcPr>
          <w:p w14:paraId="4D0261F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F7428E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652E5C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5463A31" w14:textId="77777777" w:rsidR="00000000" w:rsidRDefault="00832D71">
            <w:pPr>
              <w:pStyle w:val="a3"/>
              <w:spacing w:before="0" w:beforeAutospacing="0" w:after="0" w:afterAutospacing="0"/>
              <w:jc w:val="right"/>
              <w:rPr>
                <w:sz w:val="20"/>
                <w:szCs w:val="20"/>
              </w:rPr>
            </w:pPr>
            <w:r>
              <w:rPr>
                <w:sz w:val="20"/>
                <w:szCs w:val="20"/>
              </w:rPr>
              <w:t>42</w:t>
            </w:r>
            <w:r>
              <w:rPr>
                <w:sz w:val="20"/>
                <w:szCs w:val="20"/>
              </w:rPr>
              <w:t>9</w:t>
            </w:r>
          </w:p>
        </w:tc>
        <w:tc>
          <w:tcPr>
            <w:tcW w:w="0" w:type="auto"/>
            <w:noWrap/>
            <w:vAlign w:val="bottom"/>
            <w:hideMark/>
          </w:tcPr>
          <w:p w14:paraId="32335267" w14:textId="77777777" w:rsidR="00000000" w:rsidRDefault="00832D71">
            <w:pPr>
              <w:pStyle w:val="a3"/>
              <w:spacing w:before="0" w:beforeAutospacing="0" w:after="0" w:afterAutospacing="0"/>
              <w:rPr>
                <w:sz w:val="20"/>
                <w:szCs w:val="20"/>
              </w:rPr>
            </w:pPr>
            <w:r>
              <w:rPr>
                <w:sz w:val="20"/>
                <w:szCs w:val="20"/>
              </w:rPr>
              <w:t> </w:t>
            </w:r>
          </w:p>
        </w:tc>
      </w:tr>
      <w:tr w:rsidR="00000000" w14:paraId="120C8BCF" w14:textId="77777777">
        <w:trPr>
          <w:trHeight w:val="200"/>
          <w:tblCellSpacing w:w="15" w:type="dxa"/>
        </w:trPr>
        <w:tc>
          <w:tcPr>
            <w:tcW w:w="0" w:type="auto"/>
            <w:hideMark/>
          </w:tcPr>
          <w:p w14:paraId="2090391A" w14:textId="77777777" w:rsidR="00000000" w:rsidRDefault="00832D71">
            <w:pPr>
              <w:pStyle w:val="a3"/>
              <w:spacing w:before="0" w:beforeAutospacing="0" w:after="0" w:afterAutospacing="0"/>
              <w:ind w:left="200"/>
              <w:rPr>
                <w:sz w:val="20"/>
                <w:szCs w:val="20"/>
              </w:rPr>
            </w:pPr>
            <w:r>
              <w:rPr>
                <w:sz w:val="20"/>
                <w:szCs w:val="20"/>
              </w:rPr>
              <w:t>Interest expense, ne</w:t>
            </w:r>
            <w:r>
              <w:rPr>
                <w:sz w:val="20"/>
                <w:szCs w:val="20"/>
              </w:rPr>
              <w:t>t</w:t>
            </w:r>
          </w:p>
        </w:tc>
        <w:tc>
          <w:tcPr>
            <w:tcW w:w="0" w:type="auto"/>
            <w:vAlign w:val="bottom"/>
            <w:hideMark/>
          </w:tcPr>
          <w:p w14:paraId="57EB65E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CB0FF0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D34542F" w14:textId="77777777" w:rsidR="00000000" w:rsidRDefault="00832D71">
            <w:pPr>
              <w:pStyle w:val="a3"/>
              <w:spacing w:before="0" w:beforeAutospacing="0" w:after="0" w:afterAutospacing="0"/>
              <w:jc w:val="right"/>
              <w:rPr>
                <w:sz w:val="20"/>
                <w:szCs w:val="20"/>
              </w:rPr>
            </w:pPr>
            <w:r>
              <w:rPr>
                <w:sz w:val="20"/>
                <w:szCs w:val="20"/>
              </w:rPr>
              <w:t>15,29</w:t>
            </w:r>
            <w:r>
              <w:rPr>
                <w:sz w:val="20"/>
                <w:szCs w:val="20"/>
              </w:rPr>
              <w:t>9</w:t>
            </w:r>
          </w:p>
        </w:tc>
        <w:tc>
          <w:tcPr>
            <w:tcW w:w="0" w:type="auto"/>
            <w:noWrap/>
            <w:vAlign w:val="bottom"/>
            <w:hideMark/>
          </w:tcPr>
          <w:p w14:paraId="4B8E622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058F65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FEE747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9F5E5EC" w14:textId="77777777" w:rsidR="00000000" w:rsidRDefault="00832D71">
            <w:pPr>
              <w:pStyle w:val="a3"/>
              <w:spacing w:before="0" w:beforeAutospacing="0" w:after="0" w:afterAutospacing="0"/>
              <w:jc w:val="right"/>
              <w:rPr>
                <w:sz w:val="20"/>
                <w:szCs w:val="20"/>
              </w:rPr>
            </w:pPr>
            <w:r>
              <w:rPr>
                <w:sz w:val="20"/>
                <w:szCs w:val="20"/>
              </w:rPr>
              <w:t>15,25</w:t>
            </w:r>
            <w:r>
              <w:rPr>
                <w:sz w:val="20"/>
                <w:szCs w:val="20"/>
              </w:rPr>
              <w:t>4</w:t>
            </w:r>
          </w:p>
        </w:tc>
        <w:tc>
          <w:tcPr>
            <w:tcW w:w="0" w:type="auto"/>
            <w:noWrap/>
            <w:vAlign w:val="bottom"/>
            <w:hideMark/>
          </w:tcPr>
          <w:p w14:paraId="4982648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A57680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63FD93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A7C3387" w14:textId="77777777" w:rsidR="00000000" w:rsidRDefault="00832D71">
            <w:pPr>
              <w:pStyle w:val="a3"/>
              <w:spacing w:before="0" w:beforeAutospacing="0" w:after="0" w:afterAutospacing="0"/>
              <w:jc w:val="right"/>
              <w:rPr>
                <w:sz w:val="20"/>
                <w:szCs w:val="20"/>
              </w:rPr>
            </w:pPr>
            <w:r>
              <w:rPr>
                <w:sz w:val="20"/>
                <w:szCs w:val="20"/>
              </w:rPr>
              <w:t>15,00</w:t>
            </w:r>
            <w:r>
              <w:rPr>
                <w:sz w:val="20"/>
                <w:szCs w:val="20"/>
              </w:rPr>
              <w:t>4</w:t>
            </w:r>
          </w:p>
        </w:tc>
        <w:tc>
          <w:tcPr>
            <w:tcW w:w="0" w:type="auto"/>
            <w:noWrap/>
            <w:vAlign w:val="bottom"/>
            <w:hideMark/>
          </w:tcPr>
          <w:p w14:paraId="59D165E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1405BE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D11FA0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5B24506" w14:textId="77777777" w:rsidR="00000000" w:rsidRDefault="00832D71">
            <w:pPr>
              <w:pStyle w:val="a3"/>
              <w:spacing w:before="0" w:beforeAutospacing="0" w:after="0" w:afterAutospacing="0"/>
              <w:jc w:val="right"/>
              <w:rPr>
                <w:sz w:val="20"/>
                <w:szCs w:val="20"/>
              </w:rPr>
            </w:pPr>
            <w:r>
              <w:rPr>
                <w:sz w:val="20"/>
                <w:szCs w:val="20"/>
              </w:rPr>
              <w:t>15,10</w:t>
            </w:r>
            <w:r>
              <w:rPr>
                <w:sz w:val="20"/>
                <w:szCs w:val="20"/>
              </w:rPr>
              <w:t>1</w:t>
            </w:r>
          </w:p>
        </w:tc>
        <w:tc>
          <w:tcPr>
            <w:tcW w:w="0" w:type="auto"/>
            <w:noWrap/>
            <w:vAlign w:val="bottom"/>
            <w:hideMark/>
          </w:tcPr>
          <w:p w14:paraId="430EC68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8E3109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A00721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E265C4F" w14:textId="77777777" w:rsidR="00000000" w:rsidRDefault="00832D71">
            <w:pPr>
              <w:pStyle w:val="a3"/>
              <w:spacing w:before="0" w:beforeAutospacing="0" w:after="0" w:afterAutospacing="0"/>
              <w:jc w:val="right"/>
              <w:rPr>
                <w:sz w:val="20"/>
                <w:szCs w:val="20"/>
              </w:rPr>
            </w:pPr>
            <w:r>
              <w:rPr>
                <w:sz w:val="20"/>
                <w:szCs w:val="20"/>
              </w:rPr>
              <w:t>60,65</w:t>
            </w:r>
            <w:r>
              <w:rPr>
                <w:sz w:val="20"/>
                <w:szCs w:val="20"/>
              </w:rPr>
              <w:t>8</w:t>
            </w:r>
          </w:p>
        </w:tc>
        <w:tc>
          <w:tcPr>
            <w:tcW w:w="0" w:type="auto"/>
            <w:noWrap/>
            <w:vAlign w:val="bottom"/>
            <w:hideMark/>
          </w:tcPr>
          <w:p w14:paraId="50B02F1F" w14:textId="77777777" w:rsidR="00000000" w:rsidRDefault="00832D71">
            <w:pPr>
              <w:pStyle w:val="a3"/>
              <w:spacing w:before="0" w:beforeAutospacing="0" w:after="0" w:afterAutospacing="0"/>
              <w:rPr>
                <w:sz w:val="20"/>
                <w:szCs w:val="20"/>
              </w:rPr>
            </w:pPr>
            <w:r>
              <w:rPr>
                <w:sz w:val="20"/>
                <w:szCs w:val="20"/>
              </w:rPr>
              <w:t> </w:t>
            </w:r>
          </w:p>
        </w:tc>
      </w:tr>
      <w:tr w:rsidR="00000000" w14:paraId="732C3BE4" w14:textId="77777777">
        <w:trPr>
          <w:trHeight w:val="200"/>
          <w:tblCellSpacing w:w="15" w:type="dxa"/>
        </w:trPr>
        <w:tc>
          <w:tcPr>
            <w:tcW w:w="0" w:type="auto"/>
            <w:hideMark/>
          </w:tcPr>
          <w:p w14:paraId="065C4BFC" w14:textId="77777777" w:rsidR="00000000" w:rsidRDefault="00832D71">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vAlign w:val="bottom"/>
            <w:hideMark/>
          </w:tcPr>
          <w:p w14:paraId="1DDBB67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0F4151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ED960ED" w14:textId="77777777" w:rsidR="00000000" w:rsidRDefault="00832D71">
            <w:pPr>
              <w:pStyle w:val="a3"/>
              <w:spacing w:before="0" w:beforeAutospacing="0" w:after="0" w:afterAutospacing="0"/>
              <w:jc w:val="right"/>
              <w:rPr>
                <w:sz w:val="20"/>
                <w:szCs w:val="20"/>
              </w:rPr>
            </w:pPr>
            <w:r>
              <w:rPr>
                <w:sz w:val="20"/>
                <w:szCs w:val="20"/>
              </w:rPr>
              <w:t>16,28</w:t>
            </w:r>
            <w:r>
              <w:rPr>
                <w:sz w:val="20"/>
                <w:szCs w:val="20"/>
              </w:rPr>
              <w:t>5</w:t>
            </w:r>
          </w:p>
        </w:tc>
        <w:tc>
          <w:tcPr>
            <w:tcW w:w="0" w:type="auto"/>
            <w:noWrap/>
            <w:vAlign w:val="bottom"/>
            <w:hideMark/>
          </w:tcPr>
          <w:p w14:paraId="74685AE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2755FF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BEF31D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256E369" w14:textId="77777777" w:rsidR="00000000" w:rsidRDefault="00832D71">
            <w:pPr>
              <w:pStyle w:val="a3"/>
              <w:spacing w:before="0" w:beforeAutospacing="0" w:after="0" w:afterAutospacing="0"/>
              <w:jc w:val="right"/>
              <w:rPr>
                <w:sz w:val="20"/>
                <w:szCs w:val="20"/>
              </w:rPr>
            </w:pPr>
            <w:r>
              <w:rPr>
                <w:sz w:val="20"/>
                <w:szCs w:val="20"/>
              </w:rPr>
              <w:t>14,06</w:t>
            </w:r>
            <w:r>
              <w:rPr>
                <w:sz w:val="20"/>
                <w:szCs w:val="20"/>
              </w:rPr>
              <w:t>2</w:t>
            </w:r>
          </w:p>
        </w:tc>
        <w:tc>
          <w:tcPr>
            <w:tcW w:w="0" w:type="auto"/>
            <w:noWrap/>
            <w:vAlign w:val="bottom"/>
            <w:hideMark/>
          </w:tcPr>
          <w:p w14:paraId="4A5F0DB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B9EAFE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1CFEDA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0DC7E8D" w14:textId="77777777" w:rsidR="00000000" w:rsidRDefault="00832D71">
            <w:pPr>
              <w:pStyle w:val="a3"/>
              <w:spacing w:before="0" w:beforeAutospacing="0" w:after="0" w:afterAutospacing="0"/>
              <w:jc w:val="right"/>
              <w:rPr>
                <w:sz w:val="20"/>
                <w:szCs w:val="20"/>
              </w:rPr>
            </w:pPr>
            <w:r>
              <w:rPr>
                <w:sz w:val="20"/>
                <w:szCs w:val="20"/>
              </w:rPr>
              <w:t>14,00</w:t>
            </w:r>
            <w:r>
              <w:rPr>
                <w:sz w:val="20"/>
                <w:szCs w:val="20"/>
              </w:rPr>
              <w:t>9</w:t>
            </w:r>
          </w:p>
        </w:tc>
        <w:tc>
          <w:tcPr>
            <w:tcW w:w="0" w:type="auto"/>
            <w:noWrap/>
            <w:vAlign w:val="bottom"/>
            <w:hideMark/>
          </w:tcPr>
          <w:p w14:paraId="15EFB62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82AA75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7638E6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5AC350" w14:textId="77777777" w:rsidR="00000000" w:rsidRDefault="00832D71">
            <w:pPr>
              <w:pStyle w:val="a3"/>
              <w:spacing w:before="0" w:beforeAutospacing="0" w:after="0" w:afterAutospacing="0"/>
              <w:jc w:val="right"/>
              <w:rPr>
                <w:sz w:val="20"/>
                <w:szCs w:val="20"/>
              </w:rPr>
            </w:pPr>
            <w:r>
              <w:rPr>
                <w:sz w:val="20"/>
                <w:szCs w:val="20"/>
              </w:rPr>
              <w:t>14,49</w:t>
            </w:r>
            <w:r>
              <w:rPr>
                <w:sz w:val="20"/>
                <w:szCs w:val="20"/>
              </w:rPr>
              <w:t>2</w:t>
            </w:r>
          </w:p>
        </w:tc>
        <w:tc>
          <w:tcPr>
            <w:tcW w:w="0" w:type="auto"/>
            <w:noWrap/>
            <w:vAlign w:val="bottom"/>
            <w:hideMark/>
          </w:tcPr>
          <w:p w14:paraId="620388E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CA7487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8944C4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C3E54F1" w14:textId="77777777" w:rsidR="00000000" w:rsidRDefault="00832D71">
            <w:pPr>
              <w:pStyle w:val="a3"/>
              <w:spacing w:before="0" w:beforeAutospacing="0" w:after="0" w:afterAutospacing="0"/>
              <w:jc w:val="right"/>
              <w:rPr>
                <w:sz w:val="20"/>
                <w:szCs w:val="20"/>
              </w:rPr>
            </w:pPr>
            <w:r>
              <w:rPr>
                <w:sz w:val="20"/>
                <w:szCs w:val="20"/>
              </w:rPr>
              <w:t>58,84</w:t>
            </w:r>
            <w:r>
              <w:rPr>
                <w:sz w:val="20"/>
                <w:szCs w:val="20"/>
              </w:rPr>
              <w:t>8</w:t>
            </w:r>
          </w:p>
        </w:tc>
        <w:tc>
          <w:tcPr>
            <w:tcW w:w="0" w:type="auto"/>
            <w:noWrap/>
            <w:vAlign w:val="bottom"/>
            <w:hideMark/>
          </w:tcPr>
          <w:p w14:paraId="2E4DA128" w14:textId="77777777" w:rsidR="00000000" w:rsidRDefault="00832D71">
            <w:pPr>
              <w:pStyle w:val="a3"/>
              <w:spacing w:before="0" w:beforeAutospacing="0" w:after="0" w:afterAutospacing="0"/>
              <w:rPr>
                <w:sz w:val="20"/>
                <w:szCs w:val="20"/>
              </w:rPr>
            </w:pPr>
            <w:r>
              <w:rPr>
                <w:sz w:val="20"/>
                <w:szCs w:val="20"/>
              </w:rPr>
              <w:t> </w:t>
            </w:r>
          </w:p>
        </w:tc>
      </w:tr>
      <w:tr w:rsidR="00000000" w14:paraId="63E2CA21" w14:textId="77777777">
        <w:trPr>
          <w:trHeight w:val="200"/>
          <w:tblCellSpacing w:w="15" w:type="dxa"/>
        </w:trPr>
        <w:tc>
          <w:tcPr>
            <w:tcW w:w="0" w:type="auto"/>
            <w:hideMark/>
          </w:tcPr>
          <w:p w14:paraId="03029B29" w14:textId="77777777" w:rsidR="00000000" w:rsidRDefault="00832D71">
            <w:pPr>
              <w:pStyle w:val="a3"/>
              <w:spacing w:before="0" w:beforeAutospacing="0" w:after="0" w:afterAutospacing="0"/>
              <w:rPr>
                <w:sz w:val="20"/>
                <w:szCs w:val="20"/>
              </w:rPr>
            </w:pPr>
            <w:r>
              <w:rPr>
                <w:sz w:val="20"/>
                <w:szCs w:val="20"/>
              </w:rPr>
              <w:t>EBITD</w:t>
            </w:r>
            <w:r>
              <w:rPr>
                <w:sz w:val="20"/>
                <w:szCs w:val="20"/>
              </w:rPr>
              <w:t>A</w:t>
            </w:r>
          </w:p>
        </w:tc>
        <w:tc>
          <w:tcPr>
            <w:tcW w:w="0" w:type="auto"/>
            <w:vAlign w:val="bottom"/>
            <w:hideMark/>
          </w:tcPr>
          <w:p w14:paraId="160714C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8B5594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02E1B95" w14:textId="77777777" w:rsidR="00000000" w:rsidRDefault="00832D71">
            <w:pPr>
              <w:pStyle w:val="a3"/>
              <w:spacing w:before="0" w:beforeAutospacing="0" w:after="0" w:afterAutospacing="0"/>
              <w:jc w:val="right"/>
              <w:rPr>
                <w:sz w:val="20"/>
                <w:szCs w:val="20"/>
              </w:rPr>
            </w:pPr>
            <w:r>
              <w:rPr>
                <w:sz w:val="20"/>
                <w:szCs w:val="20"/>
              </w:rPr>
              <w:t>52,41</w:t>
            </w:r>
            <w:r>
              <w:rPr>
                <w:sz w:val="20"/>
                <w:szCs w:val="20"/>
              </w:rPr>
              <w:t>1</w:t>
            </w:r>
          </w:p>
        </w:tc>
        <w:tc>
          <w:tcPr>
            <w:tcW w:w="0" w:type="auto"/>
            <w:noWrap/>
            <w:vAlign w:val="bottom"/>
            <w:hideMark/>
          </w:tcPr>
          <w:p w14:paraId="13E4FE7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303052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5EA896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1A63081" w14:textId="77777777" w:rsidR="00000000" w:rsidRDefault="00832D71">
            <w:pPr>
              <w:pStyle w:val="a3"/>
              <w:spacing w:before="0" w:beforeAutospacing="0" w:after="0" w:afterAutospacing="0"/>
              <w:jc w:val="right"/>
              <w:rPr>
                <w:sz w:val="20"/>
                <w:szCs w:val="20"/>
              </w:rPr>
            </w:pPr>
            <w:r>
              <w:rPr>
                <w:sz w:val="20"/>
                <w:szCs w:val="20"/>
              </w:rPr>
              <w:t>204,78</w:t>
            </w:r>
            <w:r>
              <w:rPr>
                <w:sz w:val="20"/>
                <w:szCs w:val="20"/>
              </w:rPr>
              <w:t>9</w:t>
            </w:r>
          </w:p>
        </w:tc>
        <w:tc>
          <w:tcPr>
            <w:tcW w:w="0" w:type="auto"/>
            <w:noWrap/>
            <w:vAlign w:val="bottom"/>
            <w:hideMark/>
          </w:tcPr>
          <w:p w14:paraId="5F9F708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2AD80B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5304B0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8BAC46E" w14:textId="77777777" w:rsidR="00000000" w:rsidRDefault="00832D71">
            <w:pPr>
              <w:pStyle w:val="a3"/>
              <w:spacing w:before="0" w:beforeAutospacing="0" w:after="0" w:afterAutospacing="0"/>
              <w:jc w:val="right"/>
              <w:rPr>
                <w:sz w:val="20"/>
                <w:szCs w:val="20"/>
              </w:rPr>
            </w:pPr>
            <w:r>
              <w:rPr>
                <w:sz w:val="20"/>
                <w:szCs w:val="20"/>
              </w:rPr>
              <w:t>26,74</w:t>
            </w:r>
            <w:r>
              <w:rPr>
                <w:sz w:val="20"/>
                <w:szCs w:val="20"/>
              </w:rPr>
              <w:t>9</w:t>
            </w:r>
          </w:p>
        </w:tc>
        <w:tc>
          <w:tcPr>
            <w:tcW w:w="0" w:type="auto"/>
            <w:noWrap/>
            <w:vAlign w:val="bottom"/>
            <w:hideMark/>
          </w:tcPr>
          <w:p w14:paraId="700E709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5037A9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1831CB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DF1904B" w14:textId="77777777" w:rsidR="00000000" w:rsidRDefault="00832D71">
            <w:pPr>
              <w:pStyle w:val="a3"/>
              <w:spacing w:before="0" w:beforeAutospacing="0" w:after="0" w:afterAutospacing="0"/>
              <w:jc w:val="right"/>
              <w:rPr>
                <w:sz w:val="20"/>
                <w:szCs w:val="20"/>
              </w:rPr>
            </w:pPr>
            <w:r>
              <w:rPr>
                <w:sz w:val="20"/>
                <w:szCs w:val="20"/>
              </w:rPr>
              <w:t>(24,30</w:t>
            </w:r>
            <w:r>
              <w:rPr>
                <w:sz w:val="20"/>
                <w:szCs w:val="20"/>
              </w:rPr>
              <w:t>6</w:t>
            </w:r>
          </w:p>
        </w:tc>
        <w:tc>
          <w:tcPr>
            <w:tcW w:w="0" w:type="auto"/>
            <w:noWrap/>
            <w:vAlign w:val="bottom"/>
            <w:hideMark/>
          </w:tcPr>
          <w:p w14:paraId="773951B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D014D8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607D86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6050530" w14:textId="77777777" w:rsidR="00000000" w:rsidRDefault="00832D71">
            <w:pPr>
              <w:pStyle w:val="a3"/>
              <w:spacing w:before="0" w:beforeAutospacing="0" w:after="0" w:afterAutospacing="0"/>
              <w:jc w:val="right"/>
              <w:rPr>
                <w:sz w:val="20"/>
                <w:szCs w:val="20"/>
              </w:rPr>
            </w:pPr>
            <w:r>
              <w:rPr>
                <w:sz w:val="20"/>
                <w:szCs w:val="20"/>
              </w:rPr>
              <w:t>259,64</w:t>
            </w:r>
            <w:r>
              <w:rPr>
                <w:sz w:val="20"/>
                <w:szCs w:val="20"/>
              </w:rPr>
              <w:t>3</w:t>
            </w:r>
          </w:p>
        </w:tc>
        <w:tc>
          <w:tcPr>
            <w:tcW w:w="0" w:type="auto"/>
            <w:noWrap/>
            <w:vAlign w:val="bottom"/>
            <w:hideMark/>
          </w:tcPr>
          <w:p w14:paraId="19A4D742" w14:textId="77777777" w:rsidR="00000000" w:rsidRDefault="00832D71">
            <w:pPr>
              <w:pStyle w:val="a3"/>
              <w:spacing w:before="0" w:beforeAutospacing="0" w:after="0" w:afterAutospacing="0"/>
              <w:rPr>
                <w:sz w:val="20"/>
                <w:szCs w:val="20"/>
              </w:rPr>
            </w:pPr>
            <w:r>
              <w:rPr>
                <w:sz w:val="20"/>
                <w:szCs w:val="20"/>
              </w:rPr>
              <w:t> </w:t>
            </w:r>
          </w:p>
        </w:tc>
      </w:tr>
      <w:tr w:rsidR="00000000" w14:paraId="7102EE6F" w14:textId="77777777">
        <w:trPr>
          <w:trHeight w:val="200"/>
          <w:tblCellSpacing w:w="15" w:type="dxa"/>
        </w:trPr>
        <w:tc>
          <w:tcPr>
            <w:tcW w:w="0" w:type="auto"/>
            <w:hideMark/>
          </w:tcPr>
          <w:p w14:paraId="0E7134F3" w14:textId="77777777" w:rsidR="00000000" w:rsidRDefault="00832D71">
            <w:pPr>
              <w:pStyle w:val="a3"/>
              <w:spacing w:before="0" w:beforeAutospacing="0" w:after="0" w:afterAutospacing="0"/>
              <w:rPr>
                <w:sz w:val="20"/>
                <w:szCs w:val="20"/>
              </w:rPr>
            </w:pPr>
            <w:r>
              <w:rPr>
                <w:sz w:val="20"/>
                <w:szCs w:val="20"/>
              </w:rPr>
              <w:t>Unrealized non-cash losses (gains) on changes</w:t>
            </w:r>
            <w:r>
              <w:rPr>
                <w:sz w:val="20"/>
                <w:szCs w:val="20"/>
              </w:rPr>
              <w:br/>
              <w:t>   in fair value of derivative</w:t>
            </w:r>
            <w:r>
              <w:rPr>
                <w:sz w:val="20"/>
                <w:szCs w:val="20"/>
              </w:rPr>
              <w:t>s</w:t>
            </w:r>
          </w:p>
        </w:tc>
        <w:tc>
          <w:tcPr>
            <w:tcW w:w="0" w:type="auto"/>
            <w:vAlign w:val="bottom"/>
            <w:hideMark/>
          </w:tcPr>
          <w:p w14:paraId="2809036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CD457F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93E8400" w14:textId="77777777" w:rsidR="00000000" w:rsidRDefault="00832D71">
            <w:pPr>
              <w:pStyle w:val="a3"/>
              <w:spacing w:before="0" w:beforeAutospacing="0" w:after="0" w:afterAutospacing="0"/>
              <w:jc w:val="right"/>
              <w:rPr>
                <w:sz w:val="20"/>
                <w:szCs w:val="20"/>
              </w:rPr>
            </w:pPr>
            <w:r>
              <w:rPr>
                <w:sz w:val="20"/>
                <w:szCs w:val="20"/>
              </w:rPr>
              <w:t>33,50</w:t>
            </w:r>
            <w:r>
              <w:rPr>
                <w:sz w:val="20"/>
                <w:szCs w:val="20"/>
              </w:rPr>
              <w:t>5</w:t>
            </w:r>
          </w:p>
        </w:tc>
        <w:tc>
          <w:tcPr>
            <w:tcW w:w="0" w:type="auto"/>
            <w:noWrap/>
            <w:vAlign w:val="bottom"/>
            <w:hideMark/>
          </w:tcPr>
          <w:p w14:paraId="6E5AF0E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1D8C65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43D5A7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0C42175" w14:textId="77777777" w:rsidR="00000000" w:rsidRDefault="00832D71">
            <w:pPr>
              <w:pStyle w:val="a3"/>
              <w:spacing w:before="0" w:beforeAutospacing="0" w:after="0" w:afterAutospacing="0"/>
              <w:jc w:val="right"/>
              <w:rPr>
                <w:sz w:val="20"/>
                <w:szCs w:val="20"/>
              </w:rPr>
            </w:pPr>
            <w:r>
              <w:rPr>
                <w:sz w:val="20"/>
                <w:szCs w:val="20"/>
              </w:rPr>
              <w:t>(32,98</w:t>
            </w:r>
            <w:r>
              <w:rPr>
                <w:sz w:val="20"/>
                <w:szCs w:val="20"/>
              </w:rPr>
              <w:t>4</w:t>
            </w:r>
          </w:p>
        </w:tc>
        <w:tc>
          <w:tcPr>
            <w:tcW w:w="0" w:type="auto"/>
            <w:noWrap/>
            <w:vAlign w:val="bottom"/>
            <w:hideMark/>
          </w:tcPr>
          <w:p w14:paraId="1F444F0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A97E0D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F9934C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38B8C1E" w14:textId="77777777" w:rsidR="00000000" w:rsidRDefault="00832D71">
            <w:pPr>
              <w:pStyle w:val="a3"/>
              <w:spacing w:before="0" w:beforeAutospacing="0" w:after="0" w:afterAutospacing="0"/>
              <w:jc w:val="right"/>
              <w:rPr>
                <w:sz w:val="20"/>
                <w:szCs w:val="20"/>
              </w:rPr>
            </w:pPr>
            <w:r>
              <w:rPr>
                <w:sz w:val="20"/>
                <w:szCs w:val="20"/>
              </w:rPr>
              <w:t>92</w:t>
            </w:r>
            <w:r>
              <w:rPr>
                <w:sz w:val="20"/>
                <w:szCs w:val="20"/>
              </w:rPr>
              <w:t>1</w:t>
            </w:r>
          </w:p>
        </w:tc>
        <w:tc>
          <w:tcPr>
            <w:tcW w:w="0" w:type="auto"/>
            <w:noWrap/>
            <w:vAlign w:val="bottom"/>
            <w:hideMark/>
          </w:tcPr>
          <w:p w14:paraId="5B8B271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467DFE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004362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C9EE663" w14:textId="77777777" w:rsidR="00000000" w:rsidRDefault="00832D71">
            <w:pPr>
              <w:pStyle w:val="a3"/>
              <w:spacing w:before="0" w:beforeAutospacing="0" w:after="0" w:afterAutospacing="0"/>
              <w:jc w:val="right"/>
              <w:rPr>
                <w:sz w:val="20"/>
                <w:szCs w:val="20"/>
              </w:rPr>
            </w:pPr>
            <w:r>
              <w:rPr>
                <w:sz w:val="20"/>
                <w:szCs w:val="20"/>
              </w:rPr>
              <w:t>26,48</w:t>
            </w:r>
            <w:r>
              <w:rPr>
                <w:sz w:val="20"/>
                <w:szCs w:val="20"/>
              </w:rPr>
              <w:t>7</w:t>
            </w:r>
          </w:p>
        </w:tc>
        <w:tc>
          <w:tcPr>
            <w:tcW w:w="0" w:type="auto"/>
            <w:noWrap/>
            <w:vAlign w:val="bottom"/>
            <w:hideMark/>
          </w:tcPr>
          <w:p w14:paraId="56F94AD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4B9030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8B5229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7FCE3E8" w14:textId="77777777" w:rsidR="00000000" w:rsidRDefault="00832D71">
            <w:pPr>
              <w:pStyle w:val="a3"/>
              <w:spacing w:before="0" w:beforeAutospacing="0" w:after="0" w:afterAutospacing="0"/>
              <w:jc w:val="right"/>
              <w:rPr>
                <w:sz w:val="20"/>
                <w:szCs w:val="20"/>
              </w:rPr>
            </w:pPr>
            <w:r>
              <w:rPr>
                <w:sz w:val="20"/>
                <w:szCs w:val="20"/>
              </w:rPr>
              <w:t>27,92</w:t>
            </w:r>
            <w:r>
              <w:rPr>
                <w:sz w:val="20"/>
                <w:szCs w:val="20"/>
              </w:rPr>
              <w:t>9</w:t>
            </w:r>
          </w:p>
        </w:tc>
        <w:tc>
          <w:tcPr>
            <w:tcW w:w="0" w:type="auto"/>
            <w:noWrap/>
            <w:vAlign w:val="bottom"/>
            <w:hideMark/>
          </w:tcPr>
          <w:p w14:paraId="5BC00815" w14:textId="77777777" w:rsidR="00000000" w:rsidRDefault="00832D71">
            <w:pPr>
              <w:pStyle w:val="a3"/>
              <w:spacing w:before="0" w:beforeAutospacing="0" w:after="0" w:afterAutospacing="0"/>
              <w:rPr>
                <w:sz w:val="20"/>
                <w:szCs w:val="20"/>
              </w:rPr>
            </w:pPr>
            <w:r>
              <w:rPr>
                <w:sz w:val="20"/>
                <w:szCs w:val="20"/>
              </w:rPr>
              <w:t> </w:t>
            </w:r>
          </w:p>
        </w:tc>
      </w:tr>
      <w:tr w:rsidR="00000000" w14:paraId="51807583" w14:textId="77777777">
        <w:trPr>
          <w:trHeight w:val="200"/>
          <w:tblCellSpacing w:w="15" w:type="dxa"/>
        </w:trPr>
        <w:tc>
          <w:tcPr>
            <w:tcW w:w="0" w:type="auto"/>
            <w:hideMark/>
          </w:tcPr>
          <w:p w14:paraId="18820C3E" w14:textId="77777777" w:rsidR="00000000" w:rsidRDefault="00832D71">
            <w:pPr>
              <w:pStyle w:val="a3"/>
              <w:spacing w:before="0" w:beforeAutospacing="0" w:after="0" w:afterAutospacing="0"/>
              <w:rPr>
                <w:sz w:val="20"/>
                <w:szCs w:val="20"/>
              </w:rPr>
            </w:pPr>
            <w:r>
              <w:rPr>
                <w:sz w:val="20"/>
                <w:szCs w:val="20"/>
              </w:rPr>
              <w:t>Equity in earnings of unconsolidated affiliate</w:t>
            </w:r>
            <w:r>
              <w:rPr>
                <w:sz w:val="20"/>
                <w:szCs w:val="20"/>
              </w:rPr>
              <w:t>s</w:t>
            </w:r>
          </w:p>
        </w:tc>
        <w:tc>
          <w:tcPr>
            <w:tcW w:w="0" w:type="auto"/>
            <w:vAlign w:val="bottom"/>
            <w:hideMark/>
          </w:tcPr>
          <w:p w14:paraId="501C5A0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AB583A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08936E0" w14:textId="77777777" w:rsidR="00000000" w:rsidRDefault="00832D71">
            <w:pPr>
              <w:pStyle w:val="a3"/>
              <w:spacing w:before="0" w:beforeAutospacing="0" w:after="0" w:afterAutospacing="0"/>
              <w:jc w:val="right"/>
              <w:rPr>
                <w:sz w:val="20"/>
                <w:szCs w:val="20"/>
              </w:rPr>
            </w:pPr>
            <w:r>
              <w:rPr>
                <w:sz w:val="20"/>
                <w:szCs w:val="20"/>
              </w:rPr>
              <w:t>61</w:t>
            </w:r>
            <w:r>
              <w:rPr>
                <w:sz w:val="20"/>
                <w:szCs w:val="20"/>
              </w:rPr>
              <w:t>0</w:t>
            </w:r>
          </w:p>
        </w:tc>
        <w:tc>
          <w:tcPr>
            <w:tcW w:w="0" w:type="auto"/>
            <w:noWrap/>
            <w:vAlign w:val="bottom"/>
            <w:hideMark/>
          </w:tcPr>
          <w:p w14:paraId="3B0AFD9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FAFC8B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5B3470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9B7D23F" w14:textId="77777777" w:rsidR="00000000" w:rsidRDefault="00832D71">
            <w:pPr>
              <w:pStyle w:val="a3"/>
              <w:spacing w:before="0" w:beforeAutospacing="0" w:after="0" w:afterAutospacing="0"/>
              <w:jc w:val="right"/>
              <w:rPr>
                <w:sz w:val="20"/>
                <w:szCs w:val="20"/>
              </w:rPr>
            </w:pPr>
            <w:r>
              <w:rPr>
                <w:sz w:val="20"/>
                <w:szCs w:val="20"/>
              </w:rPr>
              <w:t>71</w:t>
            </w:r>
            <w:r>
              <w:rPr>
                <w:sz w:val="20"/>
                <w:szCs w:val="20"/>
              </w:rPr>
              <w:t>5</w:t>
            </w:r>
          </w:p>
        </w:tc>
        <w:tc>
          <w:tcPr>
            <w:tcW w:w="0" w:type="auto"/>
            <w:noWrap/>
            <w:vAlign w:val="bottom"/>
            <w:hideMark/>
          </w:tcPr>
          <w:p w14:paraId="2C098F6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5CF5E6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F6646A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B234D7" w14:textId="77777777" w:rsidR="00000000" w:rsidRDefault="00832D71">
            <w:pPr>
              <w:pStyle w:val="a3"/>
              <w:spacing w:before="0" w:beforeAutospacing="0" w:after="0" w:afterAutospacing="0"/>
              <w:jc w:val="right"/>
              <w:rPr>
                <w:sz w:val="20"/>
                <w:szCs w:val="20"/>
              </w:rPr>
            </w:pPr>
            <w:r>
              <w:rPr>
                <w:sz w:val="20"/>
                <w:szCs w:val="20"/>
              </w:rPr>
              <w:t>87</w:t>
            </w:r>
            <w:r>
              <w:rPr>
                <w:sz w:val="20"/>
                <w:szCs w:val="20"/>
              </w:rPr>
              <w:t>7</w:t>
            </w:r>
          </w:p>
        </w:tc>
        <w:tc>
          <w:tcPr>
            <w:tcW w:w="0" w:type="auto"/>
            <w:noWrap/>
            <w:vAlign w:val="bottom"/>
            <w:hideMark/>
          </w:tcPr>
          <w:p w14:paraId="7CA1D56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7858EB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9C0CD5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4922153" w14:textId="77777777" w:rsidR="00000000" w:rsidRDefault="00832D71">
            <w:pPr>
              <w:pStyle w:val="a3"/>
              <w:spacing w:before="0" w:beforeAutospacing="0" w:after="0" w:afterAutospacing="0"/>
              <w:jc w:val="right"/>
              <w:rPr>
                <w:sz w:val="20"/>
                <w:szCs w:val="20"/>
              </w:rPr>
            </w:pPr>
            <w:r>
              <w:rPr>
                <w:sz w:val="20"/>
                <w:szCs w:val="20"/>
              </w:rPr>
              <w:t>41</w:t>
            </w:r>
            <w:r>
              <w:rPr>
                <w:sz w:val="20"/>
                <w:szCs w:val="20"/>
              </w:rPr>
              <w:t>2</w:t>
            </w:r>
          </w:p>
        </w:tc>
        <w:tc>
          <w:tcPr>
            <w:tcW w:w="0" w:type="auto"/>
            <w:noWrap/>
            <w:vAlign w:val="bottom"/>
            <w:hideMark/>
          </w:tcPr>
          <w:p w14:paraId="3515592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F08F0A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504E9D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88BDFA2" w14:textId="77777777" w:rsidR="00000000" w:rsidRDefault="00832D71">
            <w:pPr>
              <w:pStyle w:val="a3"/>
              <w:spacing w:before="0" w:beforeAutospacing="0" w:after="0" w:afterAutospacing="0"/>
              <w:jc w:val="right"/>
              <w:rPr>
                <w:sz w:val="20"/>
                <w:szCs w:val="20"/>
              </w:rPr>
            </w:pPr>
            <w:r>
              <w:rPr>
                <w:sz w:val="20"/>
                <w:szCs w:val="20"/>
              </w:rPr>
              <w:t>2,61</w:t>
            </w:r>
            <w:r>
              <w:rPr>
                <w:sz w:val="20"/>
                <w:szCs w:val="20"/>
              </w:rPr>
              <w:t>4</w:t>
            </w:r>
          </w:p>
        </w:tc>
        <w:tc>
          <w:tcPr>
            <w:tcW w:w="0" w:type="auto"/>
            <w:noWrap/>
            <w:vAlign w:val="bottom"/>
            <w:hideMark/>
          </w:tcPr>
          <w:p w14:paraId="790F0D5C" w14:textId="77777777" w:rsidR="00000000" w:rsidRDefault="00832D71">
            <w:pPr>
              <w:pStyle w:val="a3"/>
              <w:spacing w:before="0" w:beforeAutospacing="0" w:after="0" w:afterAutospacing="0"/>
              <w:rPr>
                <w:sz w:val="20"/>
                <w:szCs w:val="20"/>
              </w:rPr>
            </w:pPr>
            <w:r>
              <w:rPr>
                <w:sz w:val="20"/>
                <w:szCs w:val="20"/>
              </w:rPr>
              <w:t> </w:t>
            </w:r>
          </w:p>
        </w:tc>
      </w:tr>
      <w:tr w:rsidR="00000000" w14:paraId="48E44DC4" w14:textId="77777777">
        <w:trPr>
          <w:trHeight w:val="200"/>
          <w:tblCellSpacing w:w="15" w:type="dxa"/>
        </w:trPr>
        <w:tc>
          <w:tcPr>
            <w:tcW w:w="0" w:type="auto"/>
            <w:hideMark/>
          </w:tcPr>
          <w:p w14:paraId="4828FC6E" w14:textId="77777777" w:rsidR="00000000" w:rsidRDefault="00832D71">
            <w:pPr>
              <w:pStyle w:val="a3"/>
              <w:spacing w:before="0" w:beforeAutospacing="0" w:after="0" w:afterAutospacing="0"/>
              <w:rPr>
                <w:sz w:val="20"/>
                <w:szCs w:val="20"/>
              </w:rPr>
            </w:pPr>
            <w:r>
              <w:rPr>
                <w:sz w:val="20"/>
                <w:szCs w:val="20"/>
              </w:rPr>
              <w:t>Pension settlement charg</w:t>
            </w:r>
            <w:r>
              <w:rPr>
                <w:sz w:val="20"/>
                <w:szCs w:val="20"/>
              </w:rPr>
              <w:t>e</w:t>
            </w:r>
          </w:p>
        </w:tc>
        <w:tc>
          <w:tcPr>
            <w:tcW w:w="0" w:type="auto"/>
            <w:vAlign w:val="bottom"/>
            <w:hideMark/>
          </w:tcPr>
          <w:p w14:paraId="6768D9A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C71F53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ADA19BF"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1C1AA68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5726EE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215EED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E793E52"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7C58A5C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FDDBDC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8C580F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BF0395A" w14:textId="77777777" w:rsidR="00000000" w:rsidRDefault="00832D71">
            <w:pPr>
              <w:pStyle w:val="a3"/>
              <w:spacing w:before="0" w:beforeAutospacing="0" w:after="0" w:afterAutospacing="0"/>
              <w:jc w:val="right"/>
              <w:rPr>
                <w:sz w:val="20"/>
                <w:szCs w:val="20"/>
              </w:rPr>
            </w:pPr>
            <w:r>
              <w:rPr>
                <w:sz w:val="20"/>
                <w:szCs w:val="20"/>
              </w:rPr>
              <w:t>63</w:t>
            </w:r>
            <w:r>
              <w:rPr>
                <w:sz w:val="20"/>
                <w:szCs w:val="20"/>
              </w:rPr>
              <w:t>4</w:t>
            </w:r>
          </w:p>
        </w:tc>
        <w:tc>
          <w:tcPr>
            <w:tcW w:w="0" w:type="auto"/>
            <w:noWrap/>
            <w:vAlign w:val="bottom"/>
            <w:hideMark/>
          </w:tcPr>
          <w:p w14:paraId="09D4F41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9A4A0E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BBE48A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DF66DCF" w14:textId="77777777" w:rsidR="00000000" w:rsidRDefault="00832D71">
            <w:pPr>
              <w:pStyle w:val="a3"/>
              <w:spacing w:before="0" w:beforeAutospacing="0" w:after="0" w:afterAutospacing="0"/>
              <w:jc w:val="right"/>
              <w:rPr>
                <w:sz w:val="20"/>
                <w:szCs w:val="20"/>
              </w:rPr>
            </w:pPr>
            <w:r>
              <w:rPr>
                <w:sz w:val="20"/>
                <w:szCs w:val="20"/>
              </w:rPr>
              <w:t>20</w:t>
            </w:r>
            <w:r>
              <w:rPr>
                <w:sz w:val="20"/>
                <w:szCs w:val="20"/>
              </w:rPr>
              <w:t>6</w:t>
            </w:r>
          </w:p>
        </w:tc>
        <w:tc>
          <w:tcPr>
            <w:tcW w:w="0" w:type="auto"/>
            <w:noWrap/>
            <w:vAlign w:val="bottom"/>
            <w:hideMark/>
          </w:tcPr>
          <w:p w14:paraId="51DF860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726712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8CE884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64EF9B6" w14:textId="77777777" w:rsidR="00000000" w:rsidRDefault="00832D71">
            <w:pPr>
              <w:pStyle w:val="a3"/>
              <w:spacing w:before="0" w:beforeAutospacing="0" w:after="0" w:afterAutospacing="0"/>
              <w:jc w:val="right"/>
              <w:rPr>
                <w:sz w:val="20"/>
                <w:szCs w:val="20"/>
              </w:rPr>
            </w:pPr>
            <w:r>
              <w:rPr>
                <w:sz w:val="20"/>
                <w:szCs w:val="20"/>
              </w:rPr>
              <w:t>84</w:t>
            </w:r>
            <w:r>
              <w:rPr>
                <w:sz w:val="20"/>
                <w:szCs w:val="20"/>
              </w:rPr>
              <w:t>0</w:t>
            </w:r>
          </w:p>
        </w:tc>
        <w:tc>
          <w:tcPr>
            <w:tcW w:w="0" w:type="auto"/>
            <w:noWrap/>
            <w:vAlign w:val="bottom"/>
            <w:hideMark/>
          </w:tcPr>
          <w:p w14:paraId="2ECEA6DE" w14:textId="77777777" w:rsidR="00000000" w:rsidRDefault="00832D71">
            <w:pPr>
              <w:pStyle w:val="a3"/>
              <w:spacing w:before="0" w:beforeAutospacing="0" w:after="0" w:afterAutospacing="0"/>
              <w:rPr>
                <w:sz w:val="20"/>
                <w:szCs w:val="20"/>
              </w:rPr>
            </w:pPr>
            <w:r>
              <w:rPr>
                <w:sz w:val="20"/>
                <w:szCs w:val="20"/>
              </w:rPr>
              <w:t> </w:t>
            </w:r>
          </w:p>
        </w:tc>
      </w:tr>
      <w:tr w:rsidR="00000000" w14:paraId="385CF2E5" w14:textId="77777777">
        <w:trPr>
          <w:trHeight w:val="200"/>
          <w:tblCellSpacing w:w="15" w:type="dxa"/>
        </w:trPr>
        <w:tc>
          <w:tcPr>
            <w:tcW w:w="0" w:type="auto"/>
            <w:hideMark/>
          </w:tcPr>
          <w:p w14:paraId="79883E1A" w14:textId="77777777" w:rsidR="00000000" w:rsidRDefault="00832D71">
            <w:pPr>
              <w:pStyle w:val="a3"/>
              <w:spacing w:before="0" w:beforeAutospacing="0" w:after="0" w:afterAutospacing="0"/>
              <w:rPr>
                <w:sz w:val="20"/>
                <w:szCs w:val="20"/>
              </w:rPr>
            </w:pPr>
            <w:r>
              <w:rPr>
                <w:sz w:val="20"/>
                <w:szCs w:val="20"/>
              </w:rPr>
              <w:t>Adjusted EBITD</w:t>
            </w:r>
            <w:r>
              <w:rPr>
                <w:sz w:val="20"/>
                <w:szCs w:val="20"/>
              </w:rPr>
              <w:t>A</w:t>
            </w:r>
          </w:p>
        </w:tc>
        <w:tc>
          <w:tcPr>
            <w:tcW w:w="0" w:type="auto"/>
            <w:vAlign w:val="bottom"/>
            <w:hideMark/>
          </w:tcPr>
          <w:p w14:paraId="7AC36CD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6338EF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3011E67" w14:textId="77777777" w:rsidR="00000000" w:rsidRDefault="00832D71">
            <w:pPr>
              <w:pStyle w:val="a3"/>
              <w:spacing w:before="0" w:beforeAutospacing="0" w:after="0" w:afterAutospacing="0"/>
              <w:jc w:val="right"/>
              <w:rPr>
                <w:sz w:val="20"/>
                <w:szCs w:val="20"/>
              </w:rPr>
            </w:pPr>
            <w:r>
              <w:rPr>
                <w:sz w:val="20"/>
                <w:szCs w:val="20"/>
              </w:rPr>
              <w:t>86,52</w:t>
            </w:r>
            <w:r>
              <w:rPr>
                <w:sz w:val="20"/>
                <w:szCs w:val="20"/>
              </w:rPr>
              <w:t>6</w:t>
            </w:r>
          </w:p>
        </w:tc>
        <w:tc>
          <w:tcPr>
            <w:tcW w:w="0" w:type="auto"/>
            <w:noWrap/>
            <w:vAlign w:val="bottom"/>
            <w:hideMark/>
          </w:tcPr>
          <w:p w14:paraId="0CF852D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D8F2B5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87F9B8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27D5BFD" w14:textId="77777777" w:rsidR="00000000" w:rsidRDefault="00832D71">
            <w:pPr>
              <w:pStyle w:val="a3"/>
              <w:spacing w:before="0" w:beforeAutospacing="0" w:after="0" w:afterAutospacing="0"/>
              <w:jc w:val="right"/>
              <w:rPr>
                <w:sz w:val="20"/>
                <w:szCs w:val="20"/>
              </w:rPr>
            </w:pPr>
            <w:r>
              <w:rPr>
                <w:sz w:val="20"/>
                <w:szCs w:val="20"/>
              </w:rPr>
              <w:t>172,52</w:t>
            </w:r>
            <w:r>
              <w:rPr>
                <w:sz w:val="20"/>
                <w:szCs w:val="20"/>
              </w:rPr>
              <w:t>0</w:t>
            </w:r>
          </w:p>
        </w:tc>
        <w:tc>
          <w:tcPr>
            <w:tcW w:w="0" w:type="auto"/>
            <w:noWrap/>
            <w:vAlign w:val="bottom"/>
            <w:hideMark/>
          </w:tcPr>
          <w:p w14:paraId="1E3EAE4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5B0006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C0C6BE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3933EE6" w14:textId="77777777" w:rsidR="00000000" w:rsidRDefault="00832D71">
            <w:pPr>
              <w:pStyle w:val="a3"/>
              <w:spacing w:before="0" w:beforeAutospacing="0" w:after="0" w:afterAutospacing="0"/>
              <w:jc w:val="right"/>
              <w:rPr>
                <w:sz w:val="20"/>
                <w:szCs w:val="20"/>
              </w:rPr>
            </w:pPr>
            <w:r>
              <w:rPr>
                <w:sz w:val="20"/>
                <w:szCs w:val="20"/>
              </w:rPr>
              <w:t>29,18</w:t>
            </w:r>
            <w:r>
              <w:rPr>
                <w:sz w:val="20"/>
                <w:szCs w:val="20"/>
              </w:rPr>
              <w:t>1</w:t>
            </w:r>
          </w:p>
        </w:tc>
        <w:tc>
          <w:tcPr>
            <w:tcW w:w="0" w:type="auto"/>
            <w:noWrap/>
            <w:vAlign w:val="bottom"/>
            <w:hideMark/>
          </w:tcPr>
          <w:p w14:paraId="72E0E52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8C4F7A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75D380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E3A47A5" w14:textId="77777777" w:rsidR="00000000" w:rsidRDefault="00832D71">
            <w:pPr>
              <w:pStyle w:val="a3"/>
              <w:spacing w:before="0" w:beforeAutospacing="0" w:after="0" w:afterAutospacing="0"/>
              <w:jc w:val="right"/>
              <w:rPr>
                <w:sz w:val="20"/>
                <w:szCs w:val="20"/>
              </w:rPr>
            </w:pPr>
            <w:r>
              <w:rPr>
                <w:sz w:val="20"/>
                <w:szCs w:val="20"/>
              </w:rPr>
              <w:t>2,79</w:t>
            </w:r>
            <w:r>
              <w:rPr>
                <w:sz w:val="20"/>
                <w:szCs w:val="20"/>
              </w:rPr>
              <w:t>9</w:t>
            </w:r>
          </w:p>
        </w:tc>
        <w:tc>
          <w:tcPr>
            <w:tcW w:w="0" w:type="auto"/>
            <w:noWrap/>
            <w:vAlign w:val="bottom"/>
            <w:hideMark/>
          </w:tcPr>
          <w:p w14:paraId="2CDB514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4CA879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8C12B9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5B1F115" w14:textId="77777777" w:rsidR="00000000" w:rsidRDefault="00832D71">
            <w:pPr>
              <w:pStyle w:val="a3"/>
              <w:spacing w:before="0" w:beforeAutospacing="0" w:after="0" w:afterAutospacing="0"/>
              <w:jc w:val="right"/>
              <w:rPr>
                <w:sz w:val="20"/>
                <w:szCs w:val="20"/>
              </w:rPr>
            </w:pPr>
            <w:r>
              <w:rPr>
                <w:sz w:val="20"/>
                <w:szCs w:val="20"/>
              </w:rPr>
              <w:t>291,02</w:t>
            </w:r>
            <w:r>
              <w:rPr>
                <w:sz w:val="20"/>
                <w:szCs w:val="20"/>
              </w:rPr>
              <w:t>6</w:t>
            </w:r>
          </w:p>
        </w:tc>
        <w:tc>
          <w:tcPr>
            <w:tcW w:w="0" w:type="auto"/>
            <w:noWrap/>
            <w:vAlign w:val="bottom"/>
            <w:hideMark/>
          </w:tcPr>
          <w:p w14:paraId="567A996E" w14:textId="77777777" w:rsidR="00000000" w:rsidRDefault="00832D71">
            <w:pPr>
              <w:pStyle w:val="a3"/>
              <w:spacing w:before="0" w:beforeAutospacing="0" w:after="0" w:afterAutospacing="0"/>
              <w:rPr>
                <w:sz w:val="20"/>
                <w:szCs w:val="20"/>
              </w:rPr>
            </w:pPr>
            <w:r>
              <w:rPr>
                <w:sz w:val="20"/>
                <w:szCs w:val="20"/>
              </w:rPr>
              <w:t> </w:t>
            </w:r>
          </w:p>
        </w:tc>
      </w:tr>
      <w:tr w:rsidR="00000000" w14:paraId="64B3A2C1" w14:textId="77777777">
        <w:trPr>
          <w:tblCellSpacing w:w="15" w:type="dxa"/>
        </w:trPr>
        <w:tc>
          <w:tcPr>
            <w:tcW w:w="0" w:type="auto"/>
            <w:hideMark/>
          </w:tcPr>
          <w:p w14:paraId="60DEFE2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5C9ED05"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E96CF8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AA356E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74A1AAF"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0EE96F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C21A6F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210397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3793FE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D9476A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399B6D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B07665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5ECE49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C0AC41B"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41229A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7D5EB5F" w14:textId="77777777" w:rsidR="00000000" w:rsidRDefault="00832D71">
            <w:pPr>
              <w:pStyle w:val="a3"/>
              <w:spacing w:before="0" w:beforeAutospacing="0" w:after="0" w:afterAutospacing="0"/>
              <w:jc w:val="right"/>
              <w:rPr>
                <w:sz w:val="20"/>
                <w:szCs w:val="20"/>
              </w:rPr>
            </w:pPr>
            <w:r>
              <w:rPr>
                <w:sz w:val="20"/>
                <w:szCs w:val="20"/>
              </w:rPr>
              <w:t> </w:t>
            </w:r>
          </w:p>
        </w:tc>
      </w:tr>
      <w:tr w:rsidR="00000000" w14:paraId="17A66E48" w14:textId="77777777">
        <w:trPr>
          <w:trHeight w:val="200"/>
          <w:tblCellSpacing w:w="15" w:type="dxa"/>
        </w:trPr>
        <w:tc>
          <w:tcPr>
            <w:tcW w:w="0" w:type="auto"/>
            <w:hideMark/>
          </w:tcPr>
          <w:p w14:paraId="5A77C112" w14:textId="77777777" w:rsidR="00000000" w:rsidRDefault="00832D71">
            <w:pPr>
              <w:pStyle w:val="a3"/>
              <w:spacing w:before="0" w:beforeAutospacing="0" w:after="0" w:afterAutospacing="0"/>
              <w:rPr>
                <w:sz w:val="20"/>
                <w:szCs w:val="20"/>
              </w:rPr>
            </w:pPr>
            <w:r>
              <w:rPr>
                <w:b/>
                <w:bCs/>
                <w:sz w:val="20"/>
                <w:szCs w:val="20"/>
                <w:u w:val="single"/>
              </w:rPr>
              <w:t>Fiscal 202</w:t>
            </w:r>
            <w:r>
              <w:rPr>
                <w:b/>
                <w:bCs/>
                <w:sz w:val="20"/>
                <w:szCs w:val="20"/>
                <w:u w:val="single"/>
              </w:rPr>
              <w:t>1</w:t>
            </w:r>
          </w:p>
        </w:tc>
        <w:tc>
          <w:tcPr>
            <w:tcW w:w="0" w:type="auto"/>
            <w:vAlign w:val="bottom"/>
            <w:hideMark/>
          </w:tcPr>
          <w:p w14:paraId="3F36AC2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F771B2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75874F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78CE9FF"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3F9BE8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F0FAB5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72D286F"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A74FF8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57B58F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8102EA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FD9B3E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DD851F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ECDDD95"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ABA56F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9A770FD" w14:textId="77777777" w:rsidR="00000000" w:rsidRDefault="00832D71">
            <w:pPr>
              <w:pStyle w:val="a3"/>
              <w:spacing w:before="0" w:beforeAutospacing="0" w:after="0" w:afterAutospacing="0"/>
              <w:jc w:val="right"/>
              <w:rPr>
                <w:sz w:val="20"/>
                <w:szCs w:val="20"/>
              </w:rPr>
            </w:pPr>
            <w:r>
              <w:rPr>
                <w:sz w:val="20"/>
                <w:szCs w:val="20"/>
              </w:rPr>
              <w:t> </w:t>
            </w:r>
          </w:p>
        </w:tc>
      </w:tr>
      <w:tr w:rsidR="00000000" w14:paraId="65BD01F1" w14:textId="77777777">
        <w:trPr>
          <w:trHeight w:val="200"/>
          <w:tblCellSpacing w:w="15" w:type="dxa"/>
        </w:trPr>
        <w:tc>
          <w:tcPr>
            <w:tcW w:w="0" w:type="auto"/>
            <w:hideMark/>
          </w:tcPr>
          <w:p w14:paraId="66E187DC" w14:textId="77777777" w:rsidR="00000000" w:rsidRDefault="00832D71">
            <w:pPr>
              <w:pStyle w:val="a3"/>
              <w:spacing w:before="0" w:beforeAutospacing="0" w:after="0" w:afterAutospacing="0"/>
              <w:rPr>
                <w:sz w:val="20"/>
                <w:szCs w:val="20"/>
              </w:rPr>
            </w:pPr>
            <w:r>
              <w:rPr>
                <w:sz w:val="20"/>
                <w:szCs w:val="20"/>
              </w:rPr>
              <w:t>Net income (loss</w:t>
            </w:r>
            <w:r>
              <w:rPr>
                <w:sz w:val="20"/>
                <w:szCs w:val="20"/>
              </w:rPr>
              <w:t>)</w:t>
            </w:r>
          </w:p>
        </w:tc>
        <w:tc>
          <w:tcPr>
            <w:tcW w:w="0" w:type="auto"/>
            <w:vAlign w:val="bottom"/>
            <w:hideMark/>
          </w:tcPr>
          <w:p w14:paraId="7525FC9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D589F8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BEDA496" w14:textId="77777777" w:rsidR="00000000" w:rsidRDefault="00832D71">
            <w:pPr>
              <w:pStyle w:val="a3"/>
              <w:spacing w:before="0" w:beforeAutospacing="0" w:after="0" w:afterAutospacing="0"/>
              <w:jc w:val="right"/>
              <w:rPr>
                <w:sz w:val="20"/>
                <w:szCs w:val="20"/>
              </w:rPr>
            </w:pPr>
            <w:r>
              <w:rPr>
                <w:sz w:val="20"/>
                <w:szCs w:val="20"/>
              </w:rPr>
              <w:t>37,97</w:t>
            </w:r>
            <w:r>
              <w:rPr>
                <w:sz w:val="20"/>
                <w:szCs w:val="20"/>
              </w:rPr>
              <w:t>7</w:t>
            </w:r>
          </w:p>
        </w:tc>
        <w:tc>
          <w:tcPr>
            <w:tcW w:w="0" w:type="auto"/>
            <w:noWrap/>
            <w:vAlign w:val="bottom"/>
            <w:hideMark/>
          </w:tcPr>
          <w:p w14:paraId="46CFE97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13BF49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423ECF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146E04D" w14:textId="77777777" w:rsidR="00000000" w:rsidRDefault="00832D71">
            <w:pPr>
              <w:pStyle w:val="a3"/>
              <w:spacing w:before="0" w:beforeAutospacing="0" w:after="0" w:afterAutospacing="0"/>
              <w:jc w:val="right"/>
              <w:rPr>
                <w:sz w:val="20"/>
                <w:szCs w:val="20"/>
              </w:rPr>
            </w:pPr>
            <w:r>
              <w:rPr>
                <w:sz w:val="20"/>
                <w:szCs w:val="20"/>
              </w:rPr>
              <w:t>127,21</w:t>
            </w:r>
            <w:r>
              <w:rPr>
                <w:sz w:val="20"/>
                <w:szCs w:val="20"/>
              </w:rPr>
              <w:t>6</w:t>
            </w:r>
          </w:p>
        </w:tc>
        <w:tc>
          <w:tcPr>
            <w:tcW w:w="0" w:type="auto"/>
            <w:noWrap/>
            <w:vAlign w:val="bottom"/>
            <w:hideMark/>
          </w:tcPr>
          <w:p w14:paraId="2717CDA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738634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9460AD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F1B9939" w14:textId="77777777" w:rsidR="00000000" w:rsidRDefault="00832D71">
            <w:pPr>
              <w:pStyle w:val="a3"/>
              <w:spacing w:before="0" w:beforeAutospacing="0" w:after="0" w:afterAutospacing="0"/>
              <w:jc w:val="right"/>
              <w:rPr>
                <w:sz w:val="20"/>
                <w:szCs w:val="20"/>
              </w:rPr>
            </w:pPr>
            <w:r>
              <w:rPr>
                <w:sz w:val="20"/>
                <w:szCs w:val="20"/>
              </w:rPr>
              <w:t>(26,02</w:t>
            </w:r>
            <w:r>
              <w:rPr>
                <w:sz w:val="20"/>
                <w:szCs w:val="20"/>
              </w:rPr>
              <w:t>1</w:t>
            </w:r>
          </w:p>
        </w:tc>
        <w:tc>
          <w:tcPr>
            <w:tcW w:w="0" w:type="auto"/>
            <w:noWrap/>
            <w:vAlign w:val="bottom"/>
            <w:hideMark/>
          </w:tcPr>
          <w:p w14:paraId="60D210D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5DD397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2F23B8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1E2BE53" w14:textId="77777777" w:rsidR="00000000" w:rsidRDefault="00832D71">
            <w:pPr>
              <w:pStyle w:val="a3"/>
              <w:spacing w:before="0" w:beforeAutospacing="0" w:after="0" w:afterAutospacing="0"/>
              <w:jc w:val="right"/>
              <w:rPr>
                <w:sz w:val="20"/>
                <w:szCs w:val="20"/>
              </w:rPr>
            </w:pPr>
            <w:r>
              <w:rPr>
                <w:sz w:val="20"/>
                <w:szCs w:val="20"/>
              </w:rPr>
              <w:t>(16,37</w:t>
            </w:r>
            <w:r>
              <w:rPr>
                <w:sz w:val="20"/>
                <w:szCs w:val="20"/>
              </w:rPr>
              <w:t>9</w:t>
            </w:r>
          </w:p>
        </w:tc>
        <w:tc>
          <w:tcPr>
            <w:tcW w:w="0" w:type="auto"/>
            <w:noWrap/>
            <w:vAlign w:val="bottom"/>
            <w:hideMark/>
          </w:tcPr>
          <w:p w14:paraId="52AC61E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A34960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E6CBD2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CA21C05" w14:textId="77777777" w:rsidR="00000000" w:rsidRDefault="00832D71">
            <w:pPr>
              <w:pStyle w:val="a3"/>
              <w:spacing w:before="0" w:beforeAutospacing="0" w:after="0" w:afterAutospacing="0"/>
              <w:jc w:val="right"/>
              <w:rPr>
                <w:sz w:val="20"/>
                <w:szCs w:val="20"/>
              </w:rPr>
            </w:pPr>
            <w:r>
              <w:rPr>
                <w:sz w:val="20"/>
                <w:szCs w:val="20"/>
              </w:rPr>
              <w:t>122,79</w:t>
            </w:r>
            <w:r>
              <w:rPr>
                <w:sz w:val="20"/>
                <w:szCs w:val="20"/>
              </w:rPr>
              <w:t>3</w:t>
            </w:r>
          </w:p>
        </w:tc>
        <w:tc>
          <w:tcPr>
            <w:tcW w:w="0" w:type="auto"/>
            <w:noWrap/>
            <w:vAlign w:val="bottom"/>
            <w:hideMark/>
          </w:tcPr>
          <w:p w14:paraId="7219E041" w14:textId="77777777" w:rsidR="00000000" w:rsidRDefault="00832D71">
            <w:pPr>
              <w:pStyle w:val="a3"/>
              <w:spacing w:before="0" w:beforeAutospacing="0" w:after="0" w:afterAutospacing="0"/>
              <w:rPr>
                <w:sz w:val="20"/>
                <w:szCs w:val="20"/>
              </w:rPr>
            </w:pPr>
            <w:r>
              <w:rPr>
                <w:sz w:val="20"/>
                <w:szCs w:val="20"/>
              </w:rPr>
              <w:t> </w:t>
            </w:r>
          </w:p>
        </w:tc>
      </w:tr>
      <w:tr w:rsidR="00000000" w14:paraId="0E37F00E" w14:textId="77777777">
        <w:trPr>
          <w:trHeight w:val="200"/>
          <w:tblCellSpacing w:w="15" w:type="dxa"/>
        </w:trPr>
        <w:tc>
          <w:tcPr>
            <w:tcW w:w="0" w:type="auto"/>
            <w:hideMark/>
          </w:tcPr>
          <w:p w14:paraId="1F005CC9" w14:textId="77777777" w:rsidR="00000000" w:rsidRDefault="00832D71">
            <w:pPr>
              <w:pStyle w:val="a3"/>
              <w:spacing w:before="0" w:beforeAutospacing="0" w:after="0" w:afterAutospacing="0"/>
              <w:rPr>
                <w:sz w:val="20"/>
                <w:szCs w:val="20"/>
              </w:rPr>
            </w:pPr>
            <w:r>
              <w:rPr>
                <w:sz w:val="20"/>
                <w:szCs w:val="20"/>
              </w:rPr>
              <w:t>Add</w:t>
            </w:r>
            <w:r>
              <w:rPr>
                <w:sz w:val="20"/>
                <w:szCs w:val="20"/>
              </w:rPr>
              <w:t>:</w:t>
            </w:r>
          </w:p>
        </w:tc>
        <w:tc>
          <w:tcPr>
            <w:tcW w:w="0" w:type="auto"/>
            <w:vAlign w:val="bottom"/>
            <w:hideMark/>
          </w:tcPr>
          <w:p w14:paraId="6BF4438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4CEF72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2EC185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66E898A"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99F34F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BC0E78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27E745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843039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DED1EE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CC77176"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A58AB2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6AA2D8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9A0E596"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C94940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AFF4647" w14:textId="77777777" w:rsidR="00000000" w:rsidRDefault="00832D71">
            <w:pPr>
              <w:pStyle w:val="a3"/>
              <w:spacing w:before="0" w:beforeAutospacing="0" w:after="0" w:afterAutospacing="0"/>
              <w:jc w:val="right"/>
              <w:rPr>
                <w:sz w:val="20"/>
                <w:szCs w:val="20"/>
              </w:rPr>
            </w:pPr>
            <w:r>
              <w:rPr>
                <w:sz w:val="20"/>
                <w:szCs w:val="20"/>
              </w:rPr>
              <w:t> </w:t>
            </w:r>
          </w:p>
        </w:tc>
      </w:tr>
      <w:tr w:rsidR="00000000" w14:paraId="65892802" w14:textId="77777777">
        <w:trPr>
          <w:trHeight w:val="200"/>
          <w:tblCellSpacing w:w="15" w:type="dxa"/>
        </w:trPr>
        <w:tc>
          <w:tcPr>
            <w:tcW w:w="0" w:type="auto"/>
            <w:hideMark/>
          </w:tcPr>
          <w:p w14:paraId="13010FE5" w14:textId="77777777" w:rsidR="00000000" w:rsidRDefault="00832D71">
            <w:pPr>
              <w:pStyle w:val="a3"/>
              <w:spacing w:before="0" w:beforeAutospacing="0" w:after="0" w:afterAutospacing="0"/>
              <w:ind w:left="200"/>
              <w:rPr>
                <w:sz w:val="20"/>
                <w:szCs w:val="20"/>
              </w:rPr>
            </w:pPr>
            <w:r>
              <w:rPr>
                <w:sz w:val="20"/>
                <w:szCs w:val="20"/>
              </w:rPr>
              <w:t>Provision for income taxe</w:t>
            </w:r>
            <w:r>
              <w:rPr>
                <w:sz w:val="20"/>
                <w:szCs w:val="20"/>
              </w:rPr>
              <w:t>s</w:t>
            </w:r>
          </w:p>
        </w:tc>
        <w:tc>
          <w:tcPr>
            <w:tcW w:w="0" w:type="auto"/>
            <w:vAlign w:val="bottom"/>
            <w:hideMark/>
          </w:tcPr>
          <w:p w14:paraId="2ACB909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E77E1B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81B7EBA" w14:textId="77777777" w:rsidR="00000000" w:rsidRDefault="00832D71">
            <w:pPr>
              <w:pStyle w:val="a3"/>
              <w:spacing w:before="0" w:beforeAutospacing="0" w:after="0" w:afterAutospacing="0"/>
              <w:jc w:val="right"/>
              <w:rPr>
                <w:sz w:val="20"/>
                <w:szCs w:val="20"/>
              </w:rPr>
            </w:pPr>
            <w:r>
              <w:rPr>
                <w:sz w:val="20"/>
                <w:szCs w:val="20"/>
              </w:rPr>
              <w:t>49</w:t>
            </w:r>
            <w:r>
              <w:rPr>
                <w:sz w:val="20"/>
                <w:szCs w:val="20"/>
              </w:rPr>
              <w:t>6</w:t>
            </w:r>
          </w:p>
        </w:tc>
        <w:tc>
          <w:tcPr>
            <w:tcW w:w="0" w:type="auto"/>
            <w:noWrap/>
            <w:vAlign w:val="bottom"/>
            <w:hideMark/>
          </w:tcPr>
          <w:p w14:paraId="11D97D7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FAEF42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5DA5A2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4C19B61" w14:textId="77777777" w:rsidR="00000000" w:rsidRDefault="00832D71">
            <w:pPr>
              <w:pStyle w:val="a3"/>
              <w:spacing w:before="0" w:beforeAutospacing="0" w:after="0" w:afterAutospacing="0"/>
              <w:jc w:val="right"/>
              <w:rPr>
                <w:sz w:val="20"/>
                <w:szCs w:val="20"/>
              </w:rPr>
            </w:pPr>
            <w:r>
              <w:rPr>
                <w:sz w:val="20"/>
                <w:szCs w:val="20"/>
              </w:rPr>
              <w:t>26</w:t>
            </w:r>
            <w:r>
              <w:rPr>
                <w:sz w:val="20"/>
                <w:szCs w:val="20"/>
              </w:rPr>
              <w:t>7</w:t>
            </w:r>
          </w:p>
        </w:tc>
        <w:tc>
          <w:tcPr>
            <w:tcW w:w="0" w:type="auto"/>
            <w:noWrap/>
            <w:vAlign w:val="bottom"/>
            <w:hideMark/>
          </w:tcPr>
          <w:p w14:paraId="0272B2D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54339A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F07457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5018F03" w14:textId="77777777" w:rsidR="00000000" w:rsidRDefault="00832D71">
            <w:pPr>
              <w:pStyle w:val="a3"/>
              <w:spacing w:before="0" w:beforeAutospacing="0" w:after="0" w:afterAutospacing="0"/>
              <w:jc w:val="right"/>
              <w:rPr>
                <w:sz w:val="20"/>
                <w:szCs w:val="20"/>
              </w:rPr>
            </w:pPr>
            <w:r>
              <w:rPr>
                <w:sz w:val="20"/>
                <w:szCs w:val="20"/>
              </w:rPr>
              <w:t>17</w:t>
            </w:r>
            <w:r>
              <w:rPr>
                <w:sz w:val="20"/>
                <w:szCs w:val="20"/>
              </w:rPr>
              <w:t>3</w:t>
            </w:r>
          </w:p>
        </w:tc>
        <w:tc>
          <w:tcPr>
            <w:tcW w:w="0" w:type="auto"/>
            <w:noWrap/>
            <w:vAlign w:val="bottom"/>
            <w:hideMark/>
          </w:tcPr>
          <w:p w14:paraId="37D8431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E9219B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5F0D42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30793D7" w14:textId="77777777" w:rsidR="00000000" w:rsidRDefault="00832D71">
            <w:pPr>
              <w:pStyle w:val="a3"/>
              <w:spacing w:before="0" w:beforeAutospacing="0" w:after="0" w:afterAutospacing="0"/>
              <w:jc w:val="right"/>
              <w:rPr>
                <w:sz w:val="20"/>
                <w:szCs w:val="20"/>
              </w:rPr>
            </w:pPr>
            <w:r>
              <w:rPr>
                <w:sz w:val="20"/>
                <w:szCs w:val="20"/>
              </w:rPr>
              <w:t>17</w:t>
            </w:r>
            <w:r>
              <w:rPr>
                <w:sz w:val="20"/>
                <w:szCs w:val="20"/>
              </w:rPr>
              <w:t>4</w:t>
            </w:r>
          </w:p>
        </w:tc>
        <w:tc>
          <w:tcPr>
            <w:tcW w:w="0" w:type="auto"/>
            <w:noWrap/>
            <w:vAlign w:val="bottom"/>
            <w:hideMark/>
          </w:tcPr>
          <w:p w14:paraId="14BF776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053504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73C7D2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69B1412" w14:textId="77777777" w:rsidR="00000000" w:rsidRDefault="00832D71">
            <w:pPr>
              <w:pStyle w:val="a3"/>
              <w:spacing w:before="0" w:beforeAutospacing="0" w:after="0" w:afterAutospacing="0"/>
              <w:jc w:val="right"/>
              <w:rPr>
                <w:sz w:val="20"/>
                <w:szCs w:val="20"/>
              </w:rPr>
            </w:pPr>
            <w:r>
              <w:rPr>
                <w:sz w:val="20"/>
                <w:szCs w:val="20"/>
              </w:rPr>
              <w:t>1,11</w:t>
            </w:r>
            <w:r>
              <w:rPr>
                <w:sz w:val="20"/>
                <w:szCs w:val="20"/>
              </w:rPr>
              <w:t>0</w:t>
            </w:r>
          </w:p>
        </w:tc>
        <w:tc>
          <w:tcPr>
            <w:tcW w:w="0" w:type="auto"/>
            <w:noWrap/>
            <w:vAlign w:val="bottom"/>
            <w:hideMark/>
          </w:tcPr>
          <w:p w14:paraId="565DBF85" w14:textId="77777777" w:rsidR="00000000" w:rsidRDefault="00832D71">
            <w:pPr>
              <w:pStyle w:val="a3"/>
              <w:spacing w:before="0" w:beforeAutospacing="0" w:after="0" w:afterAutospacing="0"/>
              <w:rPr>
                <w:sz w:val="20"/>
                <w:szCs w:val="20"/>
              </w:rPr>
            </w:pPr>
            <w:r>
              <w:rPr>
                <w:sz w:val="20"/>
                <w:szCs w:val="20"/>
              </w:rPr>
              <w:t> </w:t>
            </w:r>
          </w:p>
        </w:tc>
      </w:tr>
      <w:tr w:rsidR="00000000" w14:paraId="2A2843E2" w14:textId="77777777">
        <w:trPr>
          <w:trHeight w:val="200"/>
          <w:tblCellSpacing w:w="15" w:type="dxa"/>
        </w:trPr>
        <w:tc>
          <w:tcPr>
            <w:tcW w:w="0" w:type="auto"/>
            <w:hideMark/>
          </w:tcPr>
          <w:p w14:paraId="59D0B4A2" w14:textId="77777777" w:rsidR="00000000" w:rsidRDefault="00832D71">
            <w:pPr>
              <w:pStyle w:val="a3"/>
              <w:spacing w:before="0" w:beforeAutospacing="0" w:after="0" w:afterAutospacing="0"/>
              <w:ind w:left="200"/>
              <w:rPr>
                <w:sz w:val="20"/>
                <w:szCs w:val="20"/>
              </w:rPr>
            </w:pPr>
            <w:r>
              <w:rPr>
                <w:sz w:val="20"/>
                <w:szCs w:val="20"/>
              </w:rPr>
              <w:t>Interest expense, ne</w:t>
            </w:r>
            <w:r>
              <w:rPr>
                <w:sz w:val="20"/>
                <w:szCs w:val="20"/>
              </w:rPr>
              <w:t>t</w:t>
            </w:r>
          </w:p>
        </w:tc>
        <w:tc>
          <w:tcPr>
            <w:tcW w:w="0" w:type="auto"/>
            <w:vAlign w:val="bottom"/>
            <w:hideMark/>
          </w:tcPr>
          <w:p w14:paraId="36AE97E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3052AD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84A4CDB" w14:textId="77777777" w:rsidR="00000000" w:rsidRDefault="00832D71">
            <w:pPr>
              <w:pStyle w:val="a3"/>
              <w:spacing w:before="0" w:beforeAutospacing="0" w:after="0" w:afterAutospacing="0"/>
              <w:jc w:val="right"/>
              <w:rPr>
                <w:sz w:val="20"/>
                <w:szCs w:val="20"/>
              </w:rPr>
            </w:pPr>
            <w:r>
              <w:rPr>
                <w:sz w:val="20"/>
                <w:szCs w:val="20"/>
              </w:rPr>
              <w:t>18,13</w:t>
            </w:r>
            <w:r>
              <w:rPr>
                <w:sz w:val="20"/>
                <w:szCs w:val="20"/>
              </w:rPr>
              <w:t>5</w:t>
            </w:r>
          </w:p>
        </w:tc>
        <w:tc>
          <w:tcPr>
            <w:tcW w:w="0" w:type="auto"/>
            <w:noWrap/>
            <w:vAlign w:val="bottom"/>
            <w:hideMark/>
          </w:tcPr>
          <w:p w14:paraId="35734EF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3A938A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DEFB0E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F62F512" w14:textId="77777777" w:rsidR="00000000" w:rsidRDefault="00832D71">
            <w:pPr>
              <w:pStyle w:val="a3"/>
              <w:spacing w:before="0" w:beforeAutospacing="0" w:after="0" w:afterAutospacing="0"/>
              <w:jc w:val="right"/>
              <w:rPr>
                <w:sz w:val="20"/>
                <w:szCs w:val="20"/>
              </w:rPr>
            </w:pPr>
            <w:r>
              <w:rPr>
                <w:sz w:val="20"/>
                <w:szCs w:val="20"/>
              </w:rPr>
              <w:t>18,09</w:t>
            </w:r>
            <w:r>
              <w:rPr>
                <w:sz w:val="20"/>
                <w:szCs w:val="20"/>
              </w:rPr>
              <w:t>2</w:t>
            </w:r>
          </w:p>
        </w:tc>
        <w:tc>
          <w:tcPr>
            <w:tcW w:w="0" w:type="auto"/>
            <w:noWrap/>
            <w:vAlign w:val="bottom"/>
            <w:hideMark/>
          </w:tcPr>
          <w:p w14:paraId="72609B3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F305BF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D45B0E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59F9BF3" w14:textId="77777777" w:rsidR="00000000" w:rsidRDefault="00832D71">
            <w:pPr>
              <w:pStyle w:val="a3"/>
              <w:spacing w:before="0" w:beforeAutospacing="0" w:after="0" w:afterAutospacing="0"/>
              <w:jc w:val="right"/>
              <w:rPr>
                <w:sz w:val="20"/>
                <w:szCs w:val="20"/>
              </w:rPr>
            </w:pPr>
            <w:r>
              <w:rPr>
                <w:sz w:val="20"/>
                <w:szCs w:val="20"/>
              </w:rPr>
              <w:t>16,73</w:t>
            </w:r>
            <w:r>
              <w:rPr>
                <w:sz w:val="20"/>
                <w:szCs w:val="20"/>
              </w:rPr>
              <w:t>7</w:t>
            </w:r>
          </w:p>
        </w:tc>
        <w:tc>
          <w:tcPr>
            <w:tcW w:w="0" w:type="auto"/>
            <w:noWrap/>
            <w:vAlign w:val="bottom"/>
            <w:hideMark/>
          </w:tcPr>
          <w:p w14:paraId="072EAEF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4FC078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3B9F4A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FEA8082" w14:textId="77777777" w:rsidR="00000000" w:rsidRDefault="00832D71">
            <w:pPr>
              <w:pStyle w:val="a3"/>
              <w:spacing w:before="0" w:beforeAutospacing="0" w:after="0" w:afterAutospacing="0"/>
              <w:jc w:val="right"/>
              <w:rPr>
                <w:sz w:val="20"/>
                <w:szCs w:val="20"/>
              </w:rPr>
            </w:pPr>
            <w:r>
              <w:rPr>
                <w:sz w:val="20"/>
                <w:szCs w:val="20"/>
              </w:rPr>
              <w:t>15,16</w:t>
            </w:r>
            <w:r>
              <w:rPr>
                <w:sz w:val="20"/>
                <w:szCs w:val="20"/>
              </w:rPr>
              <w:t>8</w:t>
            </w:r>
          </w:p>
        </w:tc>
        <w:tc>
          <w:tcPr>
            <w:tcW w:w="0" w:type="auto"/>
            <w:noWrap/>
            <w:vAlign w:val="bottom"/>
            <w:hideMark/>
          </w:tcPr>
          <w:p w14:paraId="2250C1B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F25203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E51AC6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E50D89E" w14:textId="77777777" w:rsidR="00000000" w:rsidRDefault="00832D71">
            <w:pPr>
              <w:pStyle w:val="a3"/>
              <w:spacing w:before="0" w:beforeAutospacing="0" w:after="0" w:afterAutospacing="0"/>
              <w:jc w:val="right"/>
              <w:rPr>
                <w:sz w:val="20"/>
                <w:szCs w:val="20"/>
              </w:rPr>
            </w:pPr>
            <w:r>
              <w:rPr>
                <w:sz w:val="20"/>
                <w:szCs w:val="20"/>
              </w:rPr>
              <w:t>68,13</w:t>
            </w:r>
            <w:r>
              <w:rPr>
                <w:sz w:val="20"/>
                <w:szCs w:val="20"/>
              </w:rPr>
              <w:t>2</w:t>
            </w:r>
          </w:p>
        </w:tc>
        <w:tc>
          <w:tcPr>
            <w:tcW w:w="0" w:type="auto"/>
            <w:noWrap/>
            <w:vAlign w:val="bottom"/>
            <w:hideMark/>
          </w:tcPr>
          <w:p w14:paraId="3E930B60" w14:textId="77777777" w:rsidR="00000000" w:rsidRDefault="00832D71">
            <w:pPr>
              <w:pStyle w:val="a3"/>
              <w:spacing w:before="0" w:beforeAutospacing="0" w:after="0" w:afterAutospacing="0"/>
              <w:rPr>
                <w:sz w:val="20"/>
                <w:szCs w:val="20"/>
              </w:rPr>
            </w:pPr>
            <w:r>
              <w:rPr>
                <w:sz w:val="20"/>
                <w:szCs w:val="20"/>
              </w:rPr>
              <w:t> </w:t>
            </w:r>
          </w:p>
        </w:tc>
      </w:tr>
      <w:tr w:rsidR="00000000" w14:paraId="05221074" w14:textId="77777777">
        <w:trPr>
          <w:trHeight w:val="200"/>
          <w:tblCellSpacing w:w="15" w:type="dxa"/>
        </w:trPr>
        <w:tc>
          <w:tcPr>
            <w:tcW w:w="0" w:type="auto"/>
            <w:hideMark/>
          </w:tcPr>
          <w:p w14:paraId="65C0FF0E" w14:textId="77777777" w:rsidR="00000000" w:rsidRDefault="00832D71">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vAlign w:val="bottom"/>
            <w:hideMark/>
          </w:tcPr>
          <w:p w14:paraId="3805A0A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AF0844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80F6353" w14:textId="77777777" w:rsidR="00000000" w:rsidRDefault="00832D71">
            <w:pPr>
              <w:pStyle w:val="a3"/>
              <w:spacing w:before="0" w:beforeAutospacing="0" w:after="0" w:afterAutospacing="0"/>
              <w:jc w:val="right"/>
              <w:rPr>
                <w:sz w:val="20"/>
                <w:szCs w:val="20"/>
              </w:rPr>
            </w:pPr>
            <w:r>
              <w:rPr>
                <w:sz w:val="20"/>
                <w:szCs w:val="20"/>
              </w:rPr>
              <w:t>28,01</w:t>
            </w:r>
            <w:r>
              <w:rPr>
                <w:sz w:val="20"/>
                <w:szCs w:val="20"/>
              </w:rPr>
              <w:t>7</w:t>
            </w:r>
          </w:p>
        </w:tc>
        <w:tc>
          <w:tcPr>
            <w:tcW w:w="0" w:type="auto"/>
            <w:noWrap/>
            <w:vAlign w:val="bottom"/>
            <w:hideMark/>
          </w:tcPr>
          <w:p w14:paraId="51621E3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C2E5DF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9D72D0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EE7927B" w14:textId="77777777" w:rsidR="00000000" w:rsidRDefault="00832D71">
            <w:pPr>
              <w:pStyle w:val="a3"/>
              <w:spacing w:before="0" w:beforeAutospacing="0" w:after="0" w:afterAutospacing="0"/>
              <w:jc w:val="right"/>
              <w:rPr>
                <w:sz w:val="20"/>
                <w:szCs w:val="20"/>
              </w:rPr>
            </w:pPr>
            <w:r>
              <w:rPr>
                <w:sz w:val="20"/>
                <w:szCs w:val="20"/>
              </w:rPr>
              <w:t>27,34</w:t>
            </w:r>
            <w:r>
              <w:rPr>
                <w:sz w:val="20"/>
                <w:szCs w:val="20"/>
              </w:rPr>
              <w:t>6</w:t>
            </w:r>
          </w:p>
        </w:tc>
        <w:tc>
          <w:tcPr>
            <w:tcW w:w="0" w:type="auto"/>
            <w:noWrap/>
            <w:vAlign w:val="bottom"/>
            <w:hideMark/>
          </w:tcPr>
          <w:p w14:paraId="04EB34D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E57639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993796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9A477EB" w14:textId="77777777" w:rsidR="00000000" w:rsidRDefault="00832D71">
            <w:pPr>
              <w:pStyle w:val="a3"/>
              <w:spacing w:before="0" w:beforeAutospacing="0" w:after="0" w:afterAutospacing="0"/>
              <w:jc w:val="right"/>
              <w:rPr>
                <w:sz w:val="20"/>
                <w:szCs w:val="20"/>
              </w:rPr>
            </w:pPr>
            <w:r>
              <w:rPr>
                <w:sz w:val="20"/>
                <w:szCs w:val="20"/>
              </w:rPr>
              <w:t>27,25</w:t>
            </w:r>
            <w:r>
              <w:rPr>
                <w:sz w:val="20"/>
                <w:szCs w:val="20"/>
              </w:rPr>
              <w:t>4</w:t>
            </w:r>
          </w:p>
        </w:tc>
        <w:tc>
          <w:tcPr>
            <w:tcW w:w="0" w:type="auto"/>
            <w:noWrap/>
            <w:vAlign w:val="bottom"/>
            <w:hideMark/>
          </w:tcPr>
          <w:p w14:paraId="359971F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AB6442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D629A0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ABC38BD" w14:textId="77777777" w:rsidR="00000000" w:rsidRDefault="00832D71">
            <w:pPr>
              <w:pStyle w:val="a3"/>
              <w:spacing w:before="0" w:beforeAutospacing="0" w:after="0" w:afterAutospacing="0"/>
              <w:jc w:val="right"/>
              <w:rPr>
                <w:sz w:val="20"/>
                <w:szCs w:val="20"/>
              </w:rPr>
            </w:pPr>
            <w:r>
              <w:rPr>
                <w:sz w:val="20"/>
                <w:szCs w:val="20"/>
              </w:rPr>
              <w:t>21,93</w:t>
            </w:r>
            <w:r>
              <w:rPr>
                <w:sz w:val="20"/>
                <w:szCs w:val="20"/>
              </w:rPr>
              <w:t>8</w:t>
            </w:r>
          </w:p>
        </w:tc>
        <w:tc>
          <w:tcPr>
            <w:tcW w:w="0" w:type="auto"/>
            <w:noWrap/>
            <w:vAlign w:val="bottom"/>
            <w:hideMark/>
          </w:tcPr>
          <w:p w14:paraId="51D992F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2E7BB3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F05EA4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0F9493D" w14:textId="77777777" w:rsidR="00000000" w:rsidRDefault="00832D71">
            <w:pPr>
              <w:pStyle w:val="a3"/>
              <w:spacing w:before="0" w:beforeAutospacing="0" w:after="0" w:afterAutospacing="0"/>
              <w:jc w:val="right"/>
              <w:rPr>
                <w:sz w:val="20"/>
                <w:szCs w:val="20"/>
              </w:rPr>
            </w:pPr>
            <w:r>
              <w:rPr>
                <w:sz w:val="20"/>
                <w:szCs w:val="20"/>
              </w:rPr>
              <w:t>104,55</w:t>
            </w:r>
            <w:r>
              <w:rPr>
                <w:sz w:val="20"/>
                <w:szCs w:val="20"/>
              </w:rPr>
              <w:t>5</w:t>
            </w:r>
          </w:p>
        </w:tc>
        <w:tc>
          <w:tcPr>
            <w:tcW w:w="0" w:type="auto"/>
            <w:noWrap/>
            <w:vAlign w:val="bottom"/>
            <w:hideMark/>
          </w:tcPr>
          <w:p w14:paraId="467B596A" w14:textId="77777777" w:rsidR="00000000" w:rsidRDefault="00832D71">
            <w:pPr>
              <w:pStyle w:val="a3"/>
              <w:spacing w:before="0" w:beforeAutospacing="0" w:after="0" w:afterAutospacing="0"/>
              <w:rPr>
                <w:sz w:val="20"/>
                <w:szCs w:val="20"/>
              </w:rPr>
            </w:pPr>
            <w:r>
              <w:rPr>
                <w:sz w:val="20"/>
                <w:szCs w:val="20"/>
              </w:rPr>
              <w:t> </w:t>
            </w:r>
          </w:p>
        </w:tc>
      </w:tr>
      <w:tr w:rsidR="00000000" w14:paraId="14061073" w14:textId="77777777">
        <w:trPr>
          <w:trHeight w:val="200"/>
          <w:tblCellSpacing w:w="15" w:type="dxa"/>
        </w:trPr>
        <w:tc>
          <w:tcPr>
            <w:tcW w:w="0" w:type="auto"/>
            <w:hideMark/>
          </w:tcPr>
          <w:p w14:paraId="06DDD68F" w14:textId="77777777" w:rsidR="00000000" w:rsidRDefault="00832D71">
            <w:pPr>
              <w:pStyle w:val="a3"/>
              <w:spacing w:before="0" w:beforeAutospacing="0" w:after="0" w:afterAutospacing="0"/>
              <w:rPr>
                <w:sz w:val="20"/>
                <w:szCs w:val="20"/>
              </w:rPr>
            </w:pPr>
            <w:r>
              <w:rPr>
                <w:sz w:val="20"/>
                <w:szCs w:val="20"/>
              </w:rPr>
              <w:t>EBITD</w:t>
            </w:r>
            <w:r>
              <w:rPr>
                <w:sz w:val="20"/>
                <w:szCs w:val="20"/>
              </w:rPr>
              <w:t>A</w:t>
            </w:r>
          </w:p>
        </w:tc>
        <w:tc>
          <w:tcPr>
            <w:tcW w:w="0" w:type="auto"/>
            <w:vAlign w:val="bottom"/>
            <w:hideMark/>
          </w:tcPr>
          <w:p w14:paraId="077CEA1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E2C57E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6352EEE" w14:textId="77777777" w:rsidR="00000000" w:rsidRDefault="00832D71">
            <w:pPr>
              <w:pStyle w:val="a3"/>
              <w:spacing w:before="0" w:beforeAutospacing="0" w:after="0" w:afterAutospacing="0"/>
              <w:jc w:val="right"/>
              <w:rPr>
                <w:sz w:val="20"/>
                <w:szCs w:val="20"/>
              </w:rPr>
            </w:pPr>
            <w:r>
              <w:rPr>
                <w:sz w:val="20"/>
                <w:szCs w:val="20"/>
              </w:rPr>
              <w:t>84,62</w:t>
            </w:r>
            <w:r>
              <w:rPr>
                <w:sz w:val="20"/>
                <w:szCs w:val="20"/>
              </w:rPr>
              <w:t>5</w:t>
            </w:r>
          </w:p>
        </w:tc>
        <w:tc>
          <w:tcPr>
            <w:tcW w:w="0" w:type="auto"/>
            <w:noWrap/>
            <w:vAlign w:val="bottom"/>
            <w:hideMark/>
          </w:tcPr>
          <w:p w14:paraId="21563D8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483081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1D9F5A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B0FFD3" w14:textId="77777777" w:rsidR="00000000" w:rsidRDefault="00832D71">
            <w:pPr>
              <w:pStyle w:val="a3"/>
              <w:spacing w:before="0" w:beforeAutospacing="0" w:after="0" w:afterAutospacing="0"/>
              <w:jc w:val="right"/>
              <w:rPr>
                <w:sz w:val="20"/>
                <w:szCs w:val="20"/>
              </w:rPr>
            </w:pPr>
            <w:r>
              <w:rPr>
                <w:sz w:val="20"/>
                <w:szCs w:val="20"/>
              </w:rPr>
              <w:t>172,92</w:t>
            </w:r>
            <w:r>
              <w:rPr>
                <w:sz w:val="20"/>
                <w:szCs w:val="20"/>
              </w:rPr>
              <w:t>1</w:t>
            </w:r>
          </w:p>
        </w:tc>
        <w:tc>
          <w:tcPr>
            <w:tcW w:w="0" w:type="auto"/>
            <w:noWrap/>
            <w:vAlign w:val="bottom"/>
            <w:hideMark/>
          </w:tcPr>
          <w:p w14:paraId="4E530F6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383B74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F1A906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922C46A" w14:textId="77777777" w:rsidR="00000000" w:rsidRDefault="00832D71">
            <w:pPr>
              <w:pStyle w:val="a3"/>
              <w:spacing w:before="0" w:beforeAutospacing="0" w:after="0" w:afterAutospacing="0"/>
              <w:jc w:val="right"/>
              <w:rPr>
                <w:sz w:val="20"/>
                <w:szCs w:val="20"/>
              </w:rPr>
            </w:pPr>
            <w:r>
              <w:rPr>
                <w:sz w:val="20"/>
                <w:szCs w:val="20"/>
              </w:rPr>
              <w:t>18,14</w:t>
            </w:r>
            <w:r>
              <w:rPr>
                <w:sz w:val="20"/>
                <w:szCs w:val="20"/>
              </w:rPr>
              <w:t>3</w:t>
            </w:r>
          </w:p>
        </w:tc>
        <w:tc>
          <w:tcPr>
            <w:tcW w:w="0" w:type="auto"/>
            <w:noWrap/>
            <w:vAlign w:val="bottom"/>
            <w:hideMark/>
          </w:tcPr>
          <w:p w14:paraId="55D6002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DD0DCB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0B03EA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4619020" w14:textId="77777777" w:rsidR="00000000" w:rsidRDefault="00832D71">
            <w:pPr>
              <w:pStyle w:val="a3"/>
              <w:spacing w:before="0" w:beforeAutospacing="0" w:after="0" w:afterAutospacing="0"/>
              <w:jc w:val="right"/>
              <w:rPr>
                <w:sz w:val="20"/>
                <w:szCs w:val="20"/>
              </w:rPr>
            </w:pPr>
            <w:r>
              <w:rPr>
                <w:sz w:val="20"/>
                <w:szCs w:val="20"/>
              </w:rPr>
              <w:t>20,90</w:t>
            </w:r>
            <w:r>
              <w:rPr>
                <w:sz w:val="20"/>
                <w:szCs w:val="20"/>
              </w:rPr>
              <w:t>1</w:t>
            </w:r>
          </w:p>
        </w:tc>
        <w:tc>
          <w:tcPr>
            <w:tcW w:w="0" w:type="auto"/>
            <w:noWrap/>
            <w:vAlign w:val="bottom"/>
            <w:hideMark/>
          </w:tcPr>
          <w:p w14:paraId="4DE2D93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2B3F8A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D57318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513E27B" w14:textId="77777777" w:rsidR="00000000" w:rsidRDefault="00832D71">
            <w:pPr>
              <w:pStyle w:val="a3"/>
              <w:spacing w:before="0" w:beforeAutospacing="0" w:after="0" w:afterAutospacing="0"/>
              <w:jc w:val="right"/>
              <w:rPr>
                <w:sz w:val="20"/>
                <w:szCs w:val="20"/>
              </w:rPr>
            </w:pPr>
            <w:r>
              <w:rPr>
                <w:sz w:val="20"/>
                <w:szCs w:val="20"/>
              </w:rPr>
              <w:t>296,59</w:t>
            </w:r>
            <w:r>
              <w:rPr>
                <w:sz w:val="20"/>
                <w:szCs w:val="20"/>
              </w:rPr>
              <w:t>0</w:t>
            </w:r>
          </w:p>
        </w:tc>
        <w:tc>
          <w:tcPr>
            <w:tcW w:w="0" w:type="auto"/>
            <w:noWrap/>
            <w:vAlign w:val="bottom"/>
            <w:hideMark/>
          </w:tcPr>
          <w:p w14:paraId="56E46BBD" w14:textId="77777777" w:rsidR="00000000" w:rsidRDefault="00832D71">
            <w:pPr>
              <w:pStyle w:val="a3"/>
              <w:spacing w:before="0" w:beforeAutospacing="0" w:after="0" w:afterAutospacing="0"/>
              <w:rPr>
                <w:sz w:val="20"/>
                <w:szCs w:val="20"/>
              </w:rPr>
            </w:pPr>
            <w:r>
              <w:rPr>
                <w:sz w:val="20"/>
                <w:szCs w:val="20"/>
              </w:rPr>
              <w:t> </w:t>
            </w:r>
          </w:p>
        </w:tc>
      </w:tr>
      <w:tr w:rsidR="00000000" w14:paraId="6BE47328" w14:textId="77777777">
        <w:trPr>
          <w:trHeight w:val="200"/>
          <w:tblCellSpacing w:w="15" w:type="dxa"/>
        </w:trPr>
        <w:tc>
          <w:tcPr>
            <w:tcW w:w="0" w:type="auto"/>
            <w:hideMark/>
          </w:tcPr>
          <w:p w14:paraId="47B1B6A3" w14:textId="77777777" w:rsidR="00000000" w:rsidRDefault="00832D71">
            <w:pPr>
              <w:pStyle w:val="a3"/>
              <w:spacing w:before="0" w:beforeAutospacing="0" w:after="0" w:afterAutospacing="0"/>
              <w:rPr>
                <w:sz w:val="20"/>
                <w:szCs w:val="20"/>
              </w:rPr>
            </w:pPr>
            <w:r>
              <w:rPr>
                <w:sz w:val="20"/>
                <w:szCs w:val="20"/>
              </w:rPr>
              <w:t>Unrealized non-cash (gains) on changes</w:t>
            </w:r>
            <w:r>
              <w:rPr>
                <w:sz w:val="20"/>
                <w:szCs w:val="20"/>
              </w:rPr>
              <w:br/>
              <w:t>   in fair value of derivative</w:t>
            </w:r>
            <w:r>
              <w:rPr>
                <w:sz w:val="20"/>
                <w:szCs w:val="20"/>
              </w:rPr>
              <w:t>s</w:t>
            </w:r>
          </w:p>
        </w:tc>
        <w:tc>
          <w:tcPr>
            <w:tcW w:w="0" w:type="auto"/>
            <w:vAlign w:val="bottom"/>
            <w:hideMark/>
          </w:tcPr>
          <w:p w14:paraId="07B8612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774227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D5BB88D" w14:textId="77777777" w:rsidR="00000000" w:rsidRDefault="00832D71">
            <w:pPr>
              <w:pStyle w:val="a3"/>
              <w:spacing w:before="0" w:beforeAutospacing="0" w:after="0" w:afterAutospacing="0"/>
              <w:jc w:val="right"/>
              <w:rPr>
                <w:sz w:val="20"/>
                <w:szCs w:val="20"/>
              </w:rPr>
            </w:pPr>
            <w:r>
              <w:rPr>
                <w:sz w:val="20"/>
                <w:szCs w:val="20"/>
              </w:rPr>
              <w:t>(4,85</w:t>
            </w:r>
            <w:r>
              <w:rPr>
                <w:sz w:val="20"/>
                <w:szCs w:val="20"/>
              </w:rPr>
              <w:t>5</w:t>
            </w:r>
          </w:p>
        </w:tc>
        <w:tc>
          <w:tcPr>
            <w:tcW w:w="0" w:type="auto"/>
            <w:noWrap/>
            <w:vAlign w:val="bottom"/>
            <w:hideMark/>
          </w:tcPr>
          <w:p w14:paraId="52C3DA5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E9BB1F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60633D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6FF3E94" w14:textId="77777777" w:rsidR="00000000" w:rsidRDefault="00832D71">
            <w:pPr>
              <w:pStyle w:val="a3"/>
              <w:spacing w:before="0" w:beforeAutospacing="0" w:after="0" w:afterAutospacing="0"/>
              <w:jc w:val="right"/>
              <w:rPr>
                <w:sz w:val="20"/>
                <w:szCs w:val="20"/>
              </w:rPr>
            </w:pPr>
            <w:r>
              <w:rPr>
                <w:sz w:val="20"/>
                <w:szCs w:val="20"/>
              </w:rPr>
              <w:t>(1,63</w:t>
            </w:r>
            <w:r>
              <w:rPr>
                <w:sz w:val="20"/>
                <w:szCs w:val="20"/>
              </w:rPr>
              <w:t>8</w:t>
            </w:r>
          </w:p>
        </w:tc>
        <w:tc>
          <w:tcPr>
            <w:tcW w:w="0" w:type="auto"/>
            <w:noWrap/>
            <w:vAlign w:val="bottom"/>
            <w:hideMark/>
          </w:tcPr>
          <w:p w14:paraId="6910A9A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F48549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4E2DDA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E5F4377" w14:textId="77777777" w:rsidR="00000000" w:rsidRDefault="00832D71">
            <w:pPr>
              <w:pStyle w:val="a3"/>
              <w:spacing w:before="0" w:beforeAutospacing="0" w:after="0" w:afterAutospacing="0"/>
              <w:jc w:val="right"/>
              <w:rPr>
                <w:sz w:val="20"/>
                <w:szCs w:val="20"/>
              </w:rPr>
            </w:pPr>
            <w:r>
              <w:rPr>
                <w:sz w:val="20"/>
                <w:szCs w:val="20"/>
              </w:rPr>
              <w:t>(11,13</w:t>
            </w:r>
            <w:r>
              <w:rPr>
                <w:sz w:val="20"/>
                <w:szCs w:val="20"/>
              </w:rPr>
              <w:t>9</w:t>
            </w:r>
          </w:p>
        </w:tc>
        <w:tc>
          <w:tcPr>
            <w:tcW w:w="0" w:type="auto"/>
            <w:noWrap/>
            <w:vAlign w:val="bottom"/>
            <w:hideMark/>
          </w:tcPr>
          <w:p w14:paraId="47ABEB3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96CA08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756862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D65415C" w14:textId="77777777" w:rsidR="00000000" w:rsidRDefault="00832D71">
            <w:pPr>
              <w:pStyle w:val="a3"/>
              <w:spacing w:before="0" w:beforeAutospacing="0" w:after="0" w:afterAutospacing="0"/>
              <w:jc w:val="right"/>
              <w:rPr>
                <w:sz w:val="20"/>
                <w:szCs w:val="20"/>
              </w:rPr>
            </w:pPr>
            <w:r>
              <w:rPr>
                <w:sz w:val="20"/>
                <w:szCs w:val="20"/>
              </w:rPr>
              <w:t>(25,48</w:t>
            </w:r>
            <w:r>
              <w:rPr>
                <w:sz w:val="20"/>
                <w:szCs w:val="20"/>
              </w:rPr>
              <w:t>9</w:t>
            </w:r>
          </w:p>
        </w:tc>
        <w:tc>
          <w:tcPr>
            <w:tcW w:w="0" w:type="auto"/>
            <w:noWrap/>
            <w:vAlign w:val="bottom"/>
            <w:hideMark/>
          </w:tcPr>
          <w:p w14:paraId="1089534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F4D3B2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0E388B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400687D" w14:textId="77777777" w:rsidR="00000000" w:rsidRDefault="00832D71">
            <w:pPr>
              <w:pStyle w:val="a3"/>
              <w:spacing w:before="0" w:beforeAutospacing="0" w:after="0" w:afterAutospacing="0"/>
              <w:jc w:val="right"/>
              <w:rPr>
                <w:sz w:val="20"/>
                <w:szCs w:val="20"/>
              </w:rPr>
            </w:pPr>
            <w:r>
              <w:rPr>
                <w:sz w:val="20"/>
                <w:szCs w:val="20"/>
              </w:rPr>
              <w:t>(43,12</w:t>
            </w:r>
            <w:r>
              <w:rPr>
                <w:sz w:val="20"/>
                <w:szCs w:val="20"/>
              </w:rPr>
              <w:t>1</w:t>
            </w:r>
          </w:p>
        </w:tc>
        <w:tc>
          <w:tcPr>
            <w:tcW w:w="0" w:type="auto"/>
            <w:noWrap/>
            <w:vAlign w:val="bottom"/>
            <w:hideMark/>
          </w:tcPr>
          <w:p w14:paraId="5EB549FE" w14:textId="77777777" w:rsidR="00000000" w:rsidRDefault="00832D71">
            <w:pPr>
              <w:pStyle w:val="a3"/>
              <w:spacing w:before="0" w:beforeAutospacing="0" w:after="0" w:afterAutospacing="0"/>
              <w:rPr>
                <w:sz w:val="20"/>
                <w:szCs w:val="20"/>
              </w:rPr>
            </w:pPr>
            <w:r>
              <w:rPr>
                <w:sz w:val="20"/>
                <w:szCs w:val="20"/>
              </w:rPr>
              <w:t>)</w:t>
            </w:r>
          </w:p>
        </w:tc>
      </w:tr>
      <w:tr w:rsidR="00000000" w14:paraId="35681604" w14:textId="77777777">
        <w:trPr>
          <w:trHeight w:val="200"/>
          <w:tblCellSpacing w:w="15" w:type="dxa"/>
        </w:trPr>
        <w:tc>
          <w:tcPr>
            <w:tcW w:w="0" w:type="auto"/>
            <w:hideMark/>
          </w:tcPr>
          <w:p w14:paraId="3622B639" w14:textId="77777777" w:rsidR="00000000" w:rsidRDefault="00832D71">
            <w:pPr>
              <w:pStyle w:val="a3"/>
              <w:spacing w:before="0" w:beforeAutospacing="0" w:after="0" w:afterAutospacing="0"/>
              <w:rPr>
                <w:sz w:val="20"/>
                <w:szCs w:val="20"/>
              </w:rPr>
            </w:pPr>
            <w:r>
              <w:rPr>
                <w:sz w:val="20"/>
                <w:szCs w:val="20"/>
              </w:rPr>
              <w:t>Multi-employer pension plan withdrawal charg</w:t>
            </w:r>
            <w:r>
              <w:rPr>
                <w:sz w:val="20"/>
                <w:szCs w:val="20"/>
              </w:rPr>
              <w:t>e</w:t>
            </w:r>
          </w:p>
        </w:tc>
        <w:tc>
          <w:tcPr>
            <w:tcW w:w="0" w:type="auto"/>
            <w:vAlign w:val="bottom"/>
            <w:hideMark/>
          </w:tcPr>
          <w:p w14:paraId="6CB589B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B71FA1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E951E73"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29BDFB8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867CE3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15E580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B64457B"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30CA755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203AB5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1D23A8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91BE672"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7E646CF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DB6345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2031FB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CE459D1" w14:textId="77777777" w:rsidR="00000000" w:rsidRDefault="00832D71">
            <w:pPr>
              <w:pStyle w:val="a3"/>
              <w:spacing w:before="0" w:beforeAutospacing="0" w:after="0" w:afterAutospacing="0"/>
              <w:jc w:val="right"/>
              <w:rPr>
                <w:sz w:val="20"/>
                <w:szCs w:val="20"/>
              </w:rPr>
            </w:pPr>
            <w:r>
              <w:rPr>
                <w:sz w:val="20"/>
                <w:szCs w:val="20"/>
              </w:rPr>
              <w:t>4,31</w:t>
            </w:r>
            <w:r>
              <w:rPr>
                <w:sz w:val="20"/>
                <w:szCs w:val="20"/>
              </w:rPr>
              <w:t>7</w:t>
            </w:r>
          </w:p>
        </w:tc>
        <w:tc>
          <w:tcPr>
            <w:tcW w:w="0" w:type="auto"/>
            <w:noWrap/>
            <w:vAlign w:val="bottom"/>
            <w:hideMark/>
          </w:tcPr>
          <w:p w14:paraId="6F56727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271C09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0F5D21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189C4E0" w14:textId="77777777" w:rsidR="00000000" w:rsidRDefault="00832D71">
            <w:pPr>
              <w:pStyle w:val="a3"/>
              <w:spacing w:before="0" w:beforeAutospacing="0" w:after="0" w:afterAutospacing="0"/>
              <w:jc w:val="right"/>
              <w:rPr>
                <w:sz w:val="20"/>
                <w:szCs w:val="20"/>
              </w:rPr>
            </w:pPr>
            <w:r>
              <w:rPr>
                <w:sz w:val="20"/>
                <w:szCs w:val="20"/>
              </w:rPr>
              <w:t>4,31</w:t>
            </w:r>
            <w:r>
              <w:rPr>
                <w:sz w:val="20"/>
                <w:szCs w:val="20"/>
              </w:rPr>
              <w:t>7</w:t>
            </w:r>
          </w:p>
        </w:tc>
        <w:tc>
          <w:tcPr>
            <w:tcW w:w="0" w:type="auto"/>
            <w:noWrap/>
            <w:vAlign w:val="bottom"/>
            <w:hideMark/>
          </w:tcPr>
          <w:p w14:paraId="0D529D45" w14:textId="77777777" w:rsidR="00000000" w:rsidRDefault="00832D71">
            <w:pPr>
              <w:pStyle w:val="a3"/>
              <w:spacing w:before="0" w:beforeAutospacing="0" w:after="0" w:afterAutospacing="0"/>
              <w:rPr>
                <w:sz w:val="20"/>
                <w:szCs w:val="20"/>
              </w:rPr>
            </w:pPr>
            <w:r>
              <w:rPr>
                <w:sz w:val="20"/>
                <w:szCs w:val="20"/>
              </w:rPr>
              <w:t> </w:t>
            </w:r>
          </w:p>
        </w:tc>
      </w:tr>
      <w:tr w:rsidR="00000000" w14:paraId="33C70233" w14:textId="77777777">
        <w:trPr>
          <w:trHeight w:val="200"/>
          <w:tblCellSpacing w:w="15" w:type="dxa"/>
        </w:trPr>
        <w:tc>
          <w:tcPr>
            <w:tcW w:w="0" w:type="auto"/>
            <w:hideMark/>
          </w:tcPr>
          <w:p w14:paraId="752168E6" w14:textId="77777777" w:rsidR="00000000" w:rsidRDefault="00832D71">
            <w:pPr>
              <w:pStyle w:val="a3"/>
              <w:spacing w:before="0" w:beforeAutospacing="0" w:after="0" w:afterAutospacing="0"/>
              <w:rPr>
                <w:sz w:val="20"/>
                <w:szCs w:val="20"/>
              </w:rPr>
            </w:pPr>
            <w:r>
              <w:rPr>
                <w:sz w:val="20"/>
                <w:szCs w:val="20"/>
              </w:rPr>
              <w:t>Equity in earnings of unconsolidated affiliate</w:t>
            </w:r>
            <w:r>
              <w:rPr>
                <w:sz w:val="20"/>
                <w:szCs w:val="20"/>
              </w:rPr>
              <w:t>s</w:t>
            </w:r>
          </w:p>
        </w:tc>
        <w:tc>
          <w:tcPr>
            <w:tcW w:w="0" w:type="auto"/>
            <w:vAlign w:val="bottom"/>
            <w:hideMark/>
          </w:tcPr>
          <w:p w14:paraId="1DC22A6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CE18C2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3CAB319" w14:textId="77777777" w:rsidR="00000000" w:rsidRDefault="00832D71">
            <w:pPr>
              <w:pStyle w:val="a3"/>
              <w:spacing w:before="0" w:beforeAutospacing="0" w:after="0" w:afterAutospacing="0"/>
              <w:jc w:val="right"/>
              <w:rPr>
                <w:sz w:val="20"/>
                <w:szCs w:val="20"/>
              </w:rPr>
            </w:pPr>
            <w:r>
              <w:rPr>
                <w:sz w:val="20"/>
                <w:szCs w:val="20"/>
              </w:rPr>
              <w:t>25</w:t>
            </w:r>
            <w:r>
              <w:rPr>
                <w:sz w:val="20"/>
                <w:szCs w:val="20"/>
              </w:rPr>
              <w:t>1</w:t>
            </w:r>
          </w:p>
        </w:tc>
        <w:tc>
          <w:tcPr>
            <w:tcW w:w="0" w:type="auto"/>
            <w:noWrap/>
            <w:vAlign w:val="bottom"/>
            <w:hideMark/>
          </w:tcPr>
          <w:p w14:paraId="0245946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25A465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C48A60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A1592FD" w14:textId="77777777" w:rsidR="00000000" w:rsidRDefault="00832D71">
            <w:pPr>
              <w:pStyle w:val="a3"/>
              <w:spacing w:before="0" w:beforeAutospacing="0" w:after="0" w:afterAutospacing="0"/>
              <w:jc w:val="right"/>
              <w:rPr>
                <w:sz w:val="20"/>
                <w:szCs w:val="20"/>
              </w:rPr>
            </w:pPr>
            <w:r>
              <w:rPr>
                <w:sz w:val="20"/>
                <w:szCs w:val="20"/>
              </w:rPr>
              <w:t>18</w:t>
            </w:r>
            <w:r>
              <w:rPr>
                <w:sz w:val="20"/>
                <w:szCs w:val="20"/>
              </w:rPr>
              <w:t>5</w:t>
            </w:r>
          </w:p>
        </w:tc>
        <w:tc>
          <w:tcPr>
            <w:tcW w:w="0" w:type="auto"/>
            <w:noWrap/>
            <w:vAlign w:val="bottom"/>
            <w:hideMark/>
          </w:tcPr>
          <w:p w14:paraId="18B4BBD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8970F5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633FCC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3745FE4"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6</w:t>
            </w:r>
          </w:p>
        </w:tc>
        <w:tc>
          <w:tcPr>
            <w:tcW w:w="0" w:type="auto"/>
            <w:noWrap/>
            <w:vAlign w:val="bottom"/>
            <w:hideMark/>
          </w:tcPr>
          <w:p w14:paraId="728F774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4DEF91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907BB2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8A3BD68" w14:textId="77777777" w:rsidR="00000000" w:rsidRDefault="00832D71">
            <w:pPr>
              <w:pStyle w:val="a3"/>
              <w:spacing w:before="0" w:beforeAutospacing="0" w:after="0" w:afterAutospacing="0"/>
              <w:jc w:val="right"/>
              <w:rPr>
                <w:sz w:val="20"/>
                <w:szCs w:val="20"/>
              </w:rPr>
            </w:pPr>
            <w:r>
              <w:rPr>
                <w:sz w:val="20"/>
                <w:szCs w:val="20"/>
              </w:rPr>
              <w:t>35</w:t>
            </w:r>
            <w:r>
              <w:rPr>
                <w:sz w:val="20"/>
                <w:szCs w:val="20"/>
              </w:rPr>
              <w:t>5</w:t>
            </w:r>
          </w:p>
        </w:tc>
        <w:tc>
          <w:tcPr>
            <w:tcW w:w="0" w:type="auto"/>
            <w:noWrap/>
            <w:vAlign w:val="bottom"/>
            <w:hideMark/>
          </w:tcPr>
          <w:p w14:paraId="7CA60A8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8EEF5C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256816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BAFC853" w14:textId="77777777" w:rsidR="00000000" w:rsidRDefault="00832D71">
            <w:pPr>
              <w:pStyle w:val="a3"/>
              <w:spacing w:before="0" w:beforeAutospacing="0" w:after="0" w:afterAutospacing="0"/>
              <w:jc w:val="right"/>
              <w:rPr>
                <w:sz w:val="20"/>
                <w:szCs w:val="20"/>
              </w:rPr>
            </w:pPr>
            <w:r>
              <w:rPr>
                <w:sz w:val="20"/>
                <w:szCs w:val="20"/>
              </w:rPr>
              <w:t>90</w:t>
            </w:r>
            <w:r>
              <w:rPr>
                <w:sz w:val="20"/>
                <w:szCs w:val="20"/>
              </w:rPr>
              <w:t>7</w:t>
            </w:r>
          </w:p>
        </w:tc>
        <w:tc>
          <w:tcPr>
            <w:tcW w:w="0" w:type="auto"/>
            <w:noWrap/>
            <w:vAlign w:val="bottom"/>
            <w:hideMark/>
          </w:tcPr>
          <w:p w14:paraId="01A50BEC" w14:textId="77777777" w:rsidR="00000000" w:rsidRDefault="00832D71">
            <w:pPr>
              <w:pStyle w:val="a3"/>
              <w:spacing w:before="0" w:beforeAutospacing="0" w:after="0" w:afterAutospacing="0"/>
              <w:rPr>
                <w:sz w:val="20"/>
                <w:szCs w:val="20"/>
              </w:rPr>
            </w:pPr>
            <w:r>
              <w:rPr>
                <w:sz w:val="20"/>
                <w:szCs w:val="20"/>
              </w:rPr>
              <w:t> </w:t>
            </w:r>
          </w:p>
        </w:tc>
      </w:tr>
      <w:tr w:rsidR="00000000" w14:paraId="12A2C2E5" w14:textId="77777777">
        <w:trPr>
          <w:trHeight w:val="200"/>
          <w:tblCellSpacing w:w="15" w:type="dxa"/>
        </w:trPr>
        <w:tc>
          <w:tcPr>
            <w:tcW w:w="0" w:type="auto"/>
            <w:hideMark/>
          </w:tcPr>
          <w:p w14:paraId="74AC3179" w14:textId="77777777" w:rsidR="00000000" w:rsidRDefault="00832D71">
            <w:pPr>
              <w:pStyle w:val="a3"/>
              <w:spacing w:before="0" w:beforeAutospacing="0" w:after="0" w:afterAutospacing="0"/>
              <w:rPr>
                <w:sz w:val="20"/>
                <w:szCs w:val="20"/>
              </w:rPr>
            </w:pPr>
            <w:r>
              <w:rPr>
                <w:sz w:val="20"/>
                <w:szCs w:val="20"/>
              </w:rPr>
              <w:t>Pension settlement charg</w:t>
            </w:r>
            <w:r>
              <w:rPr>
                <w:sz w:val="20"/>
                <w:szCs w:val="20"/>
              </w:rPr>
              <w:t>e</w:t>
            </w:r>
          </w:p>
        </w:tc>
        <w:tc>
          <w:tcPr>
            <w:tcW w:w="0" w:type="auto"/>
            <w:vAlign w:val="bottom"/>
            <w:hideMark/>
          </w:tcPr>
          <w:p w14:paraId="0CF2D73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B3762E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6DAE0EE"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45F40B9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E6C6BF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07644E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43E6D3F" w14:textId="77777777" w:rsidR="00000000" w:rsidRDefault="00832D71">
            <w:pPr>
              <w:pStyle w:val="a3"/>
              <w:spacing w:before="0" w:beforeAutospacing="0" w:after="0" w:afterAutospacing="0"/>
              <w:jc w:val="right"/>
              <w:rPr>
                <w:sz w:val="20"/>
                <w:szCs w:val="20"/>
              </w:rPr>
            </w:pPr>
            <w:r>
              <w:rPr>
                <w:sz w:val="20"/>
                <w:szCs w:val="20"/>
              </w:rPr>
              <w:t>57</w:t>
            </w:r>
            <w:r>
              <w:rPr>
                <w:sz w:val="20"/>
                <w:szCs w:val="20"/>
              </w:rPr>
              <w:t>0</w:t>
            </w:r>
          </w:p>
        </w:tc>
        <w:tc>
          <w:tcPr>
            <w:tcW w:w="0" w:type="auto"/>
            <w:noWrap/>
            <w:vAlign w:val="bottom"/>
            <w:hideMark/>
          </w:tcPr>
          <w:p w14:paraId="59F1D21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D16A6A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903779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5105E94" w14:textId="77777777" w:rsidR="00000000" w:rsidRDefault="00832D71">
            <w:pPr>
              <w:pStyle w:val="a3"/>
              <w:spacing w:before="0" w:beforeAutospacing="0" w:after="0" w:afterAutospacing="0"/>
              <w:jc w:val="right"/>
              <w:rPr>
                <w:sz w:val="20"/>
                <w:szCs w:val="20"/>
              </w:rPr>
            </w:pPr>
            <w:r>
              <w:rPr>
                <w:sz w:val="20"/>
                <w:szCs w:val="20"/>
              </w:rPr>
              <w:t>14</w:t>
            </w:r>
            <w:r>
              <w:rPr>
                <w:sz w:val="20"/>
                <w:szCs w:val="20"/>
              </w:rPr>
              <w:t>2</w:t>
            </w:r>
          </w:p>
        </w:tc>
        <w:tc>
          <w:tcPr>
            <w:tcW w:w="0" w:type="auto"/>
            <w:noWrap/>
            <w:vAlign w:val="bottom"/>
            <w:hideMark/>
          </w:tcPr>
          <w:p w14:paraId="10095BD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214F53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90F011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FAA84BD" w14:textId="77777777" w:rsidR="00000000" w:rsidRDefault="00832D71">
            <w:pPr>
              <w:pStyle w:val="a3"/>
              <w:spacing w:before="0" w:beforeAutospacing="0" w:after="0" w:afterAutospacing="0"/>
              <w:jc w:val="right"/>
              <w:rPr>
                <w:sz w:val="20"/>
                <w:szCs w:val="20"/>
              </w:rPr>
            </w:pPr>
            <w:r>
              <w:rPr>
                <w:sz w:val="20"/>
                <w:szCs w:val="20"/>
              </w:rPr>
              <w:t>24</w:t>
            </w:r>
            <w:r>
              <w:rPr>
                <w:sz w:val="20"/>
                <w:szCs w:val="20"/>
              </w:rPr>
              <w:t>6</w:t>
            </w:r>
          </w:p>
        </w:tc>
        <w:tc>
          <w:tcPr>
            <w:tcW w:w="0" w:type="auto"/>
            <w:noWrap/>
            <w:vAlign w:val="bottom"/>
            <w:hideMark/>
          </w:tcPr>
          <w:p w14:paraId="6BB2F9E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C2A42C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C508BC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90E658D" w14:textId="77777777" w:rsidR="00000000" w:rsidRDefault="00832D71">
            <w:pPr>
              <w:pStyle w:val="a3"/>
              <w:spacing w:before="0" w:beforeAutospacing="0" w:after="0" w:afterAutospacing="0"/>
              <w:jc w:val="right"/>
              <w:rPr>
                <w:sz w:val="20"/>
                <w:szCs w:val="20"/>
              </w:rPr>
            </w:pPr>
            <w:r>
              <w:rPr>
                <w:sz w:val="20"/>
                <w:szCs w:val="20"/>
              </w:rPr>
              <w:t>95</w:t>
            </w:r>
            <w:r>
              <w:rPr>
                <w:sz w:val="20"/>
                <w:szCs w:val="20"/>
              </w:rPr>
              <w:t>8</w:t>
            </w:r>
          </w:p>
        </w:tc>
        <w:tc>
          <w:tcPr>
            <w:tcW w:w="0" w:type="auto"/>
            <w:noWrap/>
            <w:vAlign w:val="bottom"/>
            <w:hideMark/>
          </w:tcPr>
          <w:p w14:paraId="085A7E0F" w14:textId="77777777" w:rsidR="00000000" w:rsidRDefault="00832D71">
            <w:pPr>
              <w:pStyle w:val="a3"/>
              <w:spacing w:before="0" w:beforeAutospacing="0" w:after="0" w:afterAutospacing="0"/>
              <w:rPr>
                <w:sz w:val="20"/>
                <w:szCs w:val="20"/>
              </w:rPr>
            </w:pPr>
            <w:r>
              <w:rPr>
                <w:sz w:val="20"/>
                <w:szCs w:val="20"/>
              </w:rPr>
              <w:t> </w:t>
            </w:r>
          </w:p>
        </w:tc>
      </w:tr>
      <w:tr w:rsidR="00000000" w14:paraId="3AF39AAD" w14:textId="77777777">
        <w:trPr>
          <w:trHeight w:val="200"/>
          <w:tblCellSpacing w:w="15" w:type="dxa"/>
        </w:trPr>
        <w:tc>
          <w:tcPr>
            <w:tcW w:w="0" w:type="auto"/>
            <w:hideMark/>
          </w:tcPr>
          <w:p w14:paraId="091B7C93" w14:textId="77777777" w:rsidR="00000000" w:rsidRDefault="00832D71">
            <w:pPr>
              <w:pStyle w:val="a3"/>
              <w:spacing w:before="0" w:beforeAutospacing="0" w:after="0" w:afterAutospacing="0"/>
              <w:rPr>
                <w:sz w:val="20"/>
                <w:szCs w:val="20"/>
              </w:rPr>
            </w:pPr>
            <w:r>
              <w:rPr>
                <w:sz w:val="20"/>
                <w:szCs w:val="20"/>
              </w:rPr>
              <w:t>Loss on debt extinguishmen</w:t>
            </w:r>
            <w:r>
              <w:rPr>
                <w:sz w:val="20"/>
                <w:szCs w:val="20"/>
              </w:rPr>
              <w:t>t</w:t>
            </w:r>
          </w:p>
        </w:tc>
        <w:tc>
          <w:tcPr>
            <w:tcW w:w="0" w:type="auto"/>
            <w:vAlign w:val="bottom"/>
            <w:hideMark/>
          </w:tcPr>
          <w:p w14:paraId="7E86BB6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1D0AB3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D448757"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1908D6D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326E5D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64BA2D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EB243F6"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37E5ED8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AD6355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6C90BF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9DC055F" w14:textId="77777777" w:rsidR="00000000" w:rsidRDefault="00832D71">
            <w:pPr>
              <w:pStyle w:val="a3"/>
              <w:spacing w:before="0" w:beforeAutospacing="0" w:after="0" w:afterAutospacing="0"/>
              <w:jc w:val="right"/>
              <w:rPr>
                <w:sz w:val="20"/>
                <w:szCs w:val="20"/>
              </w:rPr>
            </w:pPr>
            <w:r>
              <w:rPr>
                <w:sz w:val="20"/>
                <w:szCs w:val="20"/>
              </w:rPr>
              <w:t>16,02</w:t>
            </w:r>
            <w:r>
              <w:rPr>
                <w:sz w:val="20"/>
                <w:szCs w:val="20"/>
              </w:rPr>
              <w:t>9</w:t>
            </w:r>
          </w:p>
        </w:tc>
        <w:tc>
          <w:tcPr>
            <w:tcW w:w="0" w:type="auto"/>
            <w:noWrap/>
            <w:vAlign w:val="bottom"/>
            <w:hideMark/>
          </w:tcPr>
          <w:p w14:paraId="08C7122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80F8FA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80793D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5BFC7EC"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2965654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1EB25A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50FDE0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CC62130" w14:textId="77777777" w:rsidR="00000000" w:rsidRDefault="00832D71">
            <w:pPr>
              <w:pStyle w:val="a3"/>
              <w:spacing w:before="0" w:beforeAutospacing="0" w:after="0" w:afterAutospacing="0"/>
              <w:jc w:val="right"/>
              <w:rPr>
                <w:sz w:val="20"/>
                <w:szCs w:val="20"/>
              </w:rPr>
            </w:pPr>
            <w:r>
              <w:rPr>
                <w:sz w:val="20"/>
                <w:szCs w:val="20"/>
              </w:rPr>
              <w:t>16,02</w:t>
            </w:r>
            <w:r>
              <w:rPr>
                <w:sz w:val="20"/>
                <w:szCs w:val="20"/>
              </w:rPr>
              <w:t>9</w:t>
            </w:r>
          </w:p>
        </w:tc>
        <w:tc>
          <w:tcPr>
            <w:tcW w:w="0" w:type="auto"/>
            <w:noWrap/>
            <w:vAlign w:val="bottom"/>
            <w:hideMark/>
          </w:tcPr>
          <w:p w14:paraId="07F41C70" w14:textId="77777777" w:rsidR="00000000" w:rsidRDefault="00832D71">
            <w:pPr>
              <w:pStyle w:val="a3"/>
              <w:spacing w:before="0" w:beforeAutospacing="0" w:after="0" w:afterAutospacing="0"/>
              <w:rPr>
                <w:sz w:val="20"/>
                <w:szCs w:val="20"/>
              </w:rPr>
            </w:pPr>
            <w:r>
              <w:rPr>
                <w:sz w:val="20"/>
                <w:szCs w:val="20"/>
              </w:rPr>
              <w:t> </w:t>
            </w:r>
          </w:p>
        </w:tc>
      </w:tr>
      <w:tr w:rsidR="00000000" w14:paraId="51D2022B" w14:textId="77777777">
        <w:trPr>
          <w:trHeight w:val="200"/>
          <w:tblCellSpacing w:w="15" w:type="dxa"/>
        </w:trPr>
        <w:tc>
          <w:tcPr>
            <w:tcW w:w="0" w:type="auto"/>
            <w:hideMark/>
          </w:tcPr>
          <w:p w14:paraId="2E81BC36" w14:textId="77777777" w:rsidR="00000000" w:rsidRDefault="00832D71">
            <w:pPr>
              <w:pStyle w:val="a3"/>
              <w:spacing w:before="0" w:beforeAutospacing="0" w:after="0" w:afterAutospacing="0"/>
              <w:rPr>
                <w:sz w:val="20"/>
                <w:szCs w:val="20"/>
              </w:rPr>
            </w:pPr>
            <w:r>
              <w:rPr>
                <w:sz w:val="20"/>
                <w:szCs w:val="20"/>
              </w:rPr>
              <w:t>Adjusted EBITD</w:t>
            </w:r>
            <w:r>
              <w:rPr>
                <w:sz w:val="20"/>
                <w:szCs w:val="20"/>
              </w:rPr>
              <w:t>A</w:t>
            </w:r>
          </w:p>
        </w:tc>
        <w:tc>
          <w:tcPr>
            <w:tcW w:w="0" w:type="auto"/>
            <w:vAlign w:val="bottom"/>
            <w:hideMark/>
          </w:tcPr>
          <w:p w14:paraId="421E238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945EFE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B121092" w14:textId="77777777" w:rsidR="00000000" w:rsidRDefault="00832D71">
            <w:pPr>
              <w:pStyle w:val="a3"/>
              <w:spacing w:before="0" w:beforeAutospacing="0" w:after="0" w:afterAutospacing="0"/>
              <w:jc w:val="right"/>
              <w:rPr>
                <w:sz w:val="20"/>
                <w:szCs w:val="20"/>
              </w:rPr>
            </w:pPr>
            <w:r>
              <w:rPr>
                <w:sz w:val="20"/>
                <w:szCs w:val="20"/>
              </w:rPr>
              <w:t>80,02</w:t>
            </w:r>
            <w:r>
              <w:rPr>
                <w:sz w:val="20"/>
                <w:szCs w:val="20"/>
              </w:rPr>
              <w:t>1</w:t>
            </w:r>
          </w:p>
        </w:tc>
        <w:tc>
          <w:tcPr>
            <w:tcW w:w="0" w:type="auto"/>
            <w:noWrap/>
            <w:vAlign w:val="bottom"/>
            <w:hideMark/>
          </w:tcPr>
          <w:p w14:paraId="6F1270B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17B788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8CC58C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276431B" w14:textId="77777777" w:rsidR="00000000" w:rsidRDefault="00832D71">
            <w:pPr>
              <w:pStyle w:val="a3"/>
              <w:spacing w:before="0" w:beforeAutospacing="0" w:after="0" w:afterAutospacing="0"/>
              <w:jc w:val="right"/>
              <w:rPr>
                <w:sz w:val="20"/>
                <w:szCs w:val="20"/>
              </w:rPr>
            </w:pPr>
            <w:r>
              <w:rPr>
                <w:sz w:val="20"/>
                <w:szCs w:val="20"/>
              </w:rPr>
              <w:t>172,03</w:t>
            </w:r>
            <w:r>
              <w:rPr>
                <w:sz w:val="20"/>
                <w:szCs w:val="20"/>
              </w:rPr>
              <w:t>8</w:t>
            </w:r>
          </w:p>
        </w:tc>
        <w:tc>
          <w:tcPr>
            <w:tcW w:w="0" w:type="auto"/>
            <w:noWrap/>
            <w:vAlign w:val="bottom"/>
            <w:hideMark/>
          </w:tcPr>
          <w:p w14:paraId="0DF9058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554DD2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3B560A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04AFDE8" w14:textId="77777777" w:rsidR="00000000" w:rsidRDefault="00832D71">
            <w:pPr>
              <w:pStyle w:val="a3"/>
              <w:spacing w:before="0" w:beforeAutospacing="0" w:after="0" w:afterAutospacing="0"/>
              <w:jc w:val="right"/>
              <w:rPr>
                <w:sz w:val="20"/>
                <w:szCs w:val="20"/>
              </w:rPr>
            </w:pPr>
            <w:r>
              <w:rPr>
                <w:sz w:val="20"/>
                <w:szCs w:val="20"/>
              </w:rPr>
              <w:t>23,29</w:t>
            </w:r>
            <w:r>
              <w:rPr>
                <w:sz w:val="20"/>
                <w:szCs w:val="20"/>
              </w:rPr>
              <w:t>1</w:t>
            </w:r>
          </w:p>
        </w:tc>
        <w:tc>
          <w:tcPr>
            <w:tcW w:w="0" w:type="auto"/>
            <w:noWrap/>
            <w:vAlign w:val="bottom"/>
            <w:hideMark/>
          </w:tcPr>
          <w:p w14:paraId="77FB691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2FAD5C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BE8A92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7AD55C5" w14:textId="77777777" w:rsidR="00000000" w:rsidRDefault="00832D71">
            <w:pPr>
              <w:pStyle w:val="a3"/>
              <w:spacing w:before="0" w:beforeAutospacing="0" w:after="0" w:afterAutospacing="0"/>
              <w:jc w:val="right"/>
              <w:rPr>
                <w:sz w:val="20"/>
                <w:szCs w:val="20"/>
              </w:rPr>
            </w:pPr>
            <w:r>
              <w:rPr>
                <w:sz w:val="20"/>
                <w:szCs w:val="20"/>
              </w:rPr>
              <w:t>33</w:t>
            </w:r>
            <w:r>
              <w:rPr>
                <w:sz w:val="20"/>
                <w:szCs w:val="20"/>
              </w:rPr>
              <w:t>0</w:t>
            </w:r>
          </w:p>
        </w:tc>
        <w:tc>
          <w:tcPr>
            <w:tcW w:w="0" w:type="auto"/>
            <w:noWrap/>
            <w:vAlign w:val="bottom"/>
            <w:hideMark/>
          </w:tcPr>
          <w:p w14:paraId="2FC03E0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D17AB9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01EAA0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36DB739" w14:textId="77777777" w:rsidR="00000000" w:rsidRDefault="00832D71">
            <w:pPr>
              <w:pStyle w:val="a3"/>
              <w:spacing w:before="0" w:beforeAutospacing="0" w:after="0" w:afterAutospacing="0"/>
              <w:jc w:val="right"/>
              <w:rPr>
                <w:sz w:val="20"/>
                <w:szCs w:val="20"/>
              </w:rPr>
            </w:pPr>
            <w:r>
              <w:rPr>
                <w:sz w:val="20"/>
                <w:szCs w:val="20"/>
              </w:rPr>
              <w:t>275,68</w:t>
            </w:r>
            <w:r>
              <w:rPr>
                <w:sz w:val="20"/>
                <w:szCs w:val="20"/>
              </w:rPr>
              <w:t>0</w:t>
            </w:r>
          </w:p>
        </w:tc>
        <w:tc>
          <w:tcPr>
            <w:tcW w:w="0" w:type="auto"/>
            <w:noWrap/>
            <w:vAlign w:val="bottom"/>
            <w:hideMark/>
          </w:tcPr>
          <w:p w14:paraId="231AAFAB" w14:textId="77777777" w:rsidR="00000000" w:rsidRDefault="00832D71">
            <w:pPr>
              <w:pStyle w:val="a3"/>
              <w:spacing w:before="0" w:beforeAutospacing="0" w:after="0" w:afterAutospacing="0"/>
              <w:rPr>
                <w:sz w:val="20"/>
                <w:szCs w:val="20"/>
              </w:rPr>
            </w:pPr>
            <w:r>
              <w:rPr>
                <w:sz w:val="20"/>
                <w:szCs w:val="20"/>
              </w:rPr>
              <w:t> </w:t>
            </w:r>
          </w:p>
        </w:tc>
      </w:tr>
    </w:tbl>
    <w:p w14:paraId="00AA1DAB" w14:textId="77777777" w:rsidR="00000000" w:rsidRDefault="00832D71">
      <w:pPr>
        <w:pStyle w:val="a3"/>
        <w:spacing w:before="0" w:beforeAutospacing="0" w:after="0" w:afterAutospacing="0"/>
        <w:ind w:hanging="581"/>
        <w:jc w:val="both"/>
        <w:rPr>
          <w:sz w:val="20"/>
          <w:szCs w:val="20"/>
        </w:rPr>
      </w:pPr>
      <w:r>
        <w:rPr>
          <w:sz w:val="20"/>
          <w:szCs w:val="20"/>
        </w:rPr>
        <w:t> </w:t>
      </w:r>
    </w:p>
    <w:p w14:paraId="1940C7C5" w14:textId="77777777" w:rsidR="00000000" w:rsidRDefault="00832D71">
      <w:pPr>
        <w:pStyle w:val="a3"/>
        <w:spacing w:before="40" w:beforeAutospacing="0" w:after="0" w:afterAutospacing="0"/>
        <w:jc w:val="both"/>
        <w:rPr>
          <w:sz w:val="20"/>
          <w:szCs w:val="20"/>
        </w:rPr>
      </w:pPr>
      <w:r>
        <w:rPr>
          <w:sz w:val="20"/>
          <w:szCs w:val="20"/>
        </w:rPr>
        <w:t> </w:t>
      </w:r>
    </w:p>
    <w:p w14:paraId="653C8F35" w14:textId="77777777" w:rsidR="00000000" w:rsidRDefault="00832D71">
      <w:pPr>
        <w:pStyle w:val="a3"/>
        <w:spacing w:before="0" w:beforeAutospacing="0" w:after="0" w:afterAutospacing="0"/>
        <w:ind w:hanging="581"/>
        <w:jc w:val="both"/>
        <w:rPr>
          <w:sz w:val="20"/>
          <w:szCs w:val="20"/>
        </w:rPr>
      </w:pPr>
      <w:r>
        <w:rPr>
          <w:sz w:val="20"/>
          <w:szCs w:val="20"/>
        </w:rPr>
        <w:t> </w:t>
      </w:r>
    </w:p>
    <w:p w14:paraId="5F4EC3E6" w14:textId="77777777" w:rsidR="00000000" w:rsidRDefault="00832D71">
      <w:pPr>
        <w:pStyle w:val="a3"/>
        <w:spacing w:before="0" w:beforeAutospacing="0" w:after="0" w:afterAutospacing="0"/>
        <w:jc w:val="center"/>
        <w:rPr>
          <w:sz w:val="20"/>
          <w:szCs w:val="20"/>
        </w:rPr>
      </w:pPr>
      <w:r>
        <w:rPr>
          <w:sz w:val="20"/>
          <w:szCs w:val="20"/>
        </w:rPr>
        <w:t> </w:t>
      </w:r>
    </w:p>
    <w:p w14:paraId="6BBE3667" w14:textId="77777777" w:rsidR="00000000" w:rsidRDefault="00832D71">
      <w:pPr>
        <w:pStyle w:val="a3"/>
        <w:spacing w:before="0" w:beforeAutospacing="0" w:after="0" w:afterAutospacing="0"/>
        <w:jc w:val="center"/>
        <w:rPr>
          <w:sz w:val="20"/>
          <w:szCs w:val="20"/>
        </w:rPr>
      </w:pPr>
      <w:r>
        <w:rPr>
          <w:sz w:val="20"/>
          <w:szCs w:val="20"/>
        </w:rPr>
        <w:t>4</w:t>
      </w:r>
      <w:r>
        <w:rPr>
          <w:sz w:val="20"/>
          <w:szCs w:val="20"/>
        </w:rPr>
        <w:t>3</w:t>
      </w:r>
    </w:p>
    <w:p w14:paraId="7B3A042D" w14:textId="77777777" w:rsidR="00000000" w:rsidRDefault="00832D71">
      <w:pPr>
        <w:rPr>
          <w:rFonts w:eastAsia="Times New Roman"/>
        </w:rPr>
      </w:pPr>
      <w:r>
        <w:rPr>
          <w:rFonts w:eastAsia="Times New Roman"/>
        </w:rPr>
        <w:pict w14:anchorId="1613025D">
          <v:rect id="_x0000_i1070" style="width:0;height:1.5pt" o:hralign="center" o:hrstd="t" o:hr="t" fillcolor="#a0a0a0" stroked="f"/>
        </w:pict>
      </w:r>
    </w:p>
    <w:p w14:paraId="7BBF2ECD"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7073636F" w14:textId="77777777" w:rsidR="00000000" w:rsidRDefault="00832D71">
      <w:pPr>
        <w:pStyle w:val="a3"/>
        <w:spacing w:before="180" w:beforeAutospacing="0" w:after="0" w:afterAutospacing="0"/>
        <w:ind w:hanging="1400"/>
        <w:jc w:val="both"/>
        <w:rPr>
          <w:sz w:val="20"/>
          <w:szCs w:val="20"/>
        </w:rPr>
      </w:pPr>
      <w:r>
        <w:rPr>
          <w:b/>
          <w:bCs/>
          <w:sz w:val="20"/>
          <w:szCs w:val="20"/>
        </w:rPr>
        <w:t>ITEM 9. CHANGES IN AND DISAGREEMENTS WITH ACC</w:t>
      </w:r>
      <w:r>
        <w:rPr>
          <w:b/>
          <w:bCs/>
          <w:sz w:val="20"/>
          <w:szCs w:val="20"/>
        </w:rPr>
        <w:t>O</w:t>
      </w:r>
      <w:r>
        <w:rPr>
          <w:b/>
          <w:bCs/>
          <w:sz w:val="20"/>
          <w:szCs w:val="20"/>
        </w:rPr>
        <w:t>UNTANTS ON ACCOUNTING AND FINANCIAL DISCLOSUR</w:t>
      </w:r>
      <w:r>
        <w:rPr>
          <w:b/>
          <w:bCs/>
          <w:sz w:val="20"/>
          <w:szCs w:val="20"/>
        </w:rPr>
        <w:t>E</w:t>
      </w:r>
    </w:p>
    <w:p w14:paraId="15BA87FF" w14:textId="77777777" w:rsidR="00000000" w:rsidRDefault="00832D71">
      <w:pPr>
        <w:pStyle w:val="a3"/>
        <w:spacing w:before="120" w:beforeAutospacing="0" w:after="0" w:afterAutospacing="0"/>
        <w:ind w:firstLine="555"/>
        <w:jc w:val="both"/>
        <w:rPr>
          <w:sz w:val="20"/>
          <w:szCs w:val="20"/>
        </w:rPr>
      </w:pPr>
      <w:r>
        <w:rPr>
          <w:sz w:val="20"/>
          <w:szCs w:val="20"/>
        </w:rPr>
        <w:t>None</w:t>
      </w:r>
      <w:r>
        <w:rPr>
          <w:sz w:val="20"/>
          <w:szCs w:val="20"/>
        </w:rPr>
        <w:t>.</w:t>
      </w:r>
    </w:p>
    <w:p w14:paraId="3000000E" w14:textId="77777777" w:rsidR="00000000" w:rsidRDefault="00832D71">
      <w:pPr>
        <w:pStyle w:val="a3"/>
        <w:spacing w:before="360" w:beforeAutospacing="0" w:after="0" w:afterAutospacing="0"/>
        <w:ind w:hanging="1400"/>
        <w:jc w:val="both"/>
        <w:rPr>
          <w:sz w:val="20"/>
          <w:szCs w:val="20"/>
        </w:rPr>
      </w:pPr>
      <w:r>
        <w:rPr>
          <w:b/>
          <w:bCs/>
          <w:sz w:val="20"/>
          <w:szCs w:val="20"/>
        </w:rPr>
        <w:t>ITEM 9A. CONTROL</w:t>
      </w:r>
      <w:r>
        <w:rPr>
          <w:b/>
          <w:bCs/>
          <w:sz w:val="20"/>
          <w:szCs w:val="20"/>
        </w:rPr>
        <w:t>S</w:t>
      </w:r>
      <w:r>
        <w:rPr>
          <w:b/>
          <w:bCs/>
          <w:sz w:val="20"/>
          <w:szCs w:val="20"/>
        </w:rPr>
        <w:t xml:space="preserve"> AND PROCEDURE</w:t>
      </w:r>
      <w:r>
        <w:rPr>
          <w:b/>
          <w:bCs/>
          <w:sz w:val="20"/>
          <w:szCs w:val="20"/>
        </w:rPr>
        <w:t>S</w:t>
      </w:r>
    </w:p>
    <w:p w14:paraId="0B0ED854" w14:textId="77777777" w:rsidR="00000000" w:rsidRDefault="00832D71">
      <w:pPr>
        <w:pStyle w:val="a3"/>
        <w:spacing w:before="120" w:beforeAutospacing="0" w:after="0" w:afterAutospacing="0"/>
        <w:jc w:val="both"/>
        <w:rPr>
          <w:sz w:val="20"/>
          <w:szCs w:val="20"/>
        </w:rPr>
      </w:pPr>
      <w:r>
        <w:rPr>
          <w:b/>
          <w:bCs/>
          <w:sz w:val="20"/>
          <w:szCs w:val="20"/>
        </w:rPr>
        <w:t>Evaluation of Disclosure Contr</w:t>
      </w:r>
      <w:r>
        <w:rPr>
          <w:b/>
          <w:bCs/>
          <w:sz w:val="20"/>
          <w:szCs w:val="20"/>
        </w:rPr>
        <w:t>ols and Procedure</w:t>
      </w:r>
      <w:r>
        <w:rPr>
          <w:b/>
          <w:bCs/>
          <w:sz w:val="20"/>
          <w:szCs w:val="20"/>
        </w:rPr>
        <w:t>s</w:t>
      </w:r>
    </w:p>
    <w:p w14:paraId="538DCDAE" w14:textId="77777777" w:rsidR="00000000" w:rsidRDefault="00832D71">
      <w:pPr>
        <w:pStyle w:val="a3"/>
        <w:spacing w:before="120" w:beforeAutospacing="0" w:after="0" w:afterAutospacing="0"/>
        <w:ind w:firstLine="555"/>
        <w:jc w:val="both"/>
        <w:rPr>
          <w:sz w:val="20"/>
          <w:szCs w:val="20"/>
        </w:rPr>
      </w:pPr>
      <w:r>
        <w:rPr>
          <w:sz w:val="20"/>
          <w:szCs w:val="20"/>
        </w:rPr>
        <w:t>The Partnership maintains disclosure controls and procedures (as defined in Rules 13a-15(e) and 15d-15(e) of the Securities Exchange Act of 1934 (the “Exchange Act”)) that are designed to provide reasonable assurance that information req</w:t>
      </w:r>
      <w:r>
        <w:rPr>
          <w:sz w:val="20"/>
          <w:szCs w:val="20"/>
        </w:rPr>
        <w:t>uired to be disclosed in the Partnership’s filings and submissions under the Exchange Act is recorded, processed, summarized and reported within the periods specified in the rules and forms of the SEC and that such information is accumulated and communicat</w:t>
      </w:r>
      <w:r>
        <w:rPr>
          <w:sz w:val="20"/>
          <w:szCs w:val="20"/>
        </w:rPr>
        <w:t>ed to the Partnership’s management, including its principal executive officer and principal financial officer, as appropriate, to allow timely decisions regarding required disclosure</w:t>
      </w:r>
      <w:r>
        <w:rPr>
          <w:sz w:val="20"/>
          <w:szCs w:val="20"/>
        </w:rPr>
        <w:t>.</w:t>
      </w:r>
    </w:p>
    <w:p w14:paraId="02186AC6" w14:textId="77777777" w:rsidR="00000000" w:rsidRDefault="00832D71">
      <w:pPr>
        <w:pStyle w:val="a3"/>
        <w:spacing w:before="240" w:beforeAutospacing="0" w:after="0" w:afterAutospacing="0"/>
        <w:ind w:firstLine="555"/>
        <w:jc w:val="both"/>
        <w:rPr>
          <w:sz w:val="20"/>
          <w:szCs w:val="20"/>
        </w:rPr>
      </w:pPr>
      <w:r>
        <w:rPr>
          <w:sz w:val="20"/>
          <w:szCs w:val="20"/>
        </w:rPr>
        <w:t>Before filing this Annual Report, the Partnership completed an evaluatio</w:t>
      </w:r>
      <w:r>
        <w:rPr>
          <w:sz w:val="20"/>
          <w:szCs w:val="20"/>
        </w:rPr>
        <w:t>n under the supervision and with the participation of the Partnership’s management, including the Partnership’s principal executive officer and principal financial officer, of the effectiveness of the design and operation of the Partnership’s disclosure co</w:t>
      </w:r>
      <w:r>
        <w:rPr>
          <w:sz w:val="20"/>
          <w:szCs w:val="20"/>
        </w:rPr>
        <w:t>ntrols and procedures as of September 24, 2022. Based on this evaluation, the Partnership’s principal executive officer and principal financial officer concluded that as of September 24, 2022, such disclosure controls and procedures were effective to provi</w:t>
      </w:r>
      <w:r>
        <w:rPr>
          <w:sz w:val="20"/>
          <w:szCs w:val="20"/>
        </w:rPr>
        <w:t>de the reasonable assurance level described above</w:t>
      </w:r>
      <w:r>
        <w:rPr>
          <w:sz w:val="20"/>
          <w:szCs w:val="20"/>
        </w:rPr>
        <w:t>.</w:t>
      </w:r>
    </w:p>
    <w:p w14:paraId="7DC4EA3E" w14:textId="77777777" w:rsidR="00000000" w:rsidRDefault="00832D71">
      <w:pPr>
        <w:pStyle w:val="a3"/>
        <w:spacing w:before="240" w:beforeAutospacing="0" w:after="0" w:afterAutospacing="0"/>
        <w:ind w:firstLine="555"/>
        <w:jc w:val="both"/>
        <w:rPr>
          <w:sz w:val="20"/>
          <w:szCs w:val="20"/>
        </w:rPr>
      </w:pPr>
      <w:r>
        <w:rPr>
          <w:sz w:val="20"/>
          <w:szCs w:val="20"/>
        </w:rPr>
        <w:t>There have not been any changes in our internal control over financial reporting (as defined in Rules 13a-15(f) and 15d-15(f) of the Exchange Act) during the quarter ended September 24, 2022, that have mat</w:t>
      </w:r>
      <w:r>
        <w:rPr>
          <w:sz w:val="20"/>
          <w:szCs w:val="20"/>
        </w:rPr>
        <w:t>erially affected, or are reasonably likely to materially affect, our internal control over financial reporting. Management’s Report on Internal Control over Financial Reporting is included below</w:t>
      </w:r>
      <w:r>
        <w:rPr>
          <w:sz w:val="20"/>
          <w:szCs w:val="20"/>
        </w:rPr>
        <w:t>.</w:t>
      </w:r>
    </w:p>
    <w:p w14:paraId="065B5533" w14:textId="77777777" w:rsidR="00000000" w:rsidRDefault="00832D71">
      <w:pPr>
        <w:pStyle w:val="a3"/>
        <w:spacing w:before="240" w:beforeAutospacing="0" w:after="0" w:afterAutospacing="0"/>
        <w:jc w:val="both"/>
        <w:rPr>
          <w:sz w:val="20"/>
          <w:szCs w:val="20"/>
        </w:rPr>
      </w:pPr>
      <w:r>
        <w:rPr>
          <w:b/>
          <w:bCs/>
          <w:sz w:val="20"/>
          <w:szCs w:val="20"/>
        </w:rPr>
        <w:t>Management’s Report on Internal Control Over Financial Repor</w:t>
      </w:r>
      <w:r>
        <w:rPr>
          <w:b/>
          <w:bCs/>
          <w:sz w:val="20"/>
          <w:szCs w:val="20"/>
        </w:rPr>
        <w:t>tin</w:t>
      </w:r>
      <w:r>
        <w:rPr>
          <w:b/>
          <w:bCs/>
          <w:sz w:val="20"/>
          <w:szCs w:val="20"/>
        </w:rPr>
        <w:t>g</w:t>
      </w:r>
    </w:p>
    <w:p w14:paraId="78E035B4" w14:textId="77777777" w:rsidR="00000000" w:rsidRDefault="00832D71">
      <w:pPr>
        <w:pStyle w:val="a3"/>
        <w:spacing w:before="120" w:beforeAutospacing="0" w:after="0" w:afterAutospacing="0"/>
        <w:ind w:firstLine="555"/>
        <w:jc w:val="both"/>
        <w:rPr>
          <w:sz w:val="20"/>
          <w:szCs w:val="20"/>
        </w:rPr>
      </w:pPr>
      <w:r>
        <w:rPr>
          <w:sz w:val="20"/>
          <w:szCs w:val="20"/>
        </w:rPr>
        <w:t>Management of the Partnership is responsible for establishing and maintaining adequate internal control over financial reporting. The Partnership's internal control over financial reporting is designed to provide reasonable assurance as to the reliabi</w:t>
      </w:r>
      <w:r>
        <w:rPr>
          <w:sz w:val="20"/>
          <w:szCs w:val="20"/>
        </w:rPr>
        <w:t>lity of the Partnership's financial reporting and the preparation of financial statements for external purposes in accordance with generally accepted accounting principles</w:t>
      </w:r>
      <w:r>
        <w:rPr>
          <w:sz w:val="20"/>
          <w:szCs w:val="20"/>
        </w:rPr>
        <w:t>.</w:t>
      </w:r>
    </w:p>
    <w:p w14:paraId="4C7932BA" w14:textId="77777777" w:rsidR="00000000" w:rsidRDefault="00832D71">
      <w:pPr>
        <w:pStyle w:val="a3"/>
        <w:spacing w:before="240" w:beforeAutospacing="0" w:after="0" w:afterAutospacing="0"/>
        <w:ind w:firstLine="555"/>
        <w:jc w:val="both"/>
        <w:rPr>
          <w:sz w:val="20"/>
          <w:szCs w:val="20"/>
        </w:rPr>
      </w:pPr>
      <w:r>
        <w:rPr>
          <w:sz w:val="20"/>
          <w:szCs w:val="20"/>
        </w:rPr>
        <w:t xml:space="preserve">Because of its inherent limitations, internal control over financial reporting may </w:t>
      </w:r>
      <w:r>
        <w:rPr>
          <w:sz w:val="20"/>
          <w:szCs w:val="20"/>
        </w:rPr>
        <w:t xml:space="preserve">not prevent or detect misstatements. Also, projections of any evaluation of effectiveness to future periods are subject to the risk that controls may become inadequate because of changes in conditions, or that the degree of compliance with the policies or </w:t>
      </w:r>
      <w:r>
        <w:rPr>
          <w:sz w:val="20"/>
          <w:szCs w:val="20"/>
        </w:rPr>
        <w:t>procedures may deteriorate</w:t>
      </w:r>
      <w:r>
        <w:rPr>
          <w:sz w:val="20"/>
          <w:szCs w:val="20"/>
        </w:rPr>
        <w:t>.</w:t>
      </w:r>
    </w:p>
    <w:p w14:paraId="609BD89E" w14:textId="77777777" w:rsidR="00000000" w:rsidRDefault="00832D71">
      <w:pPr>
        <w:pStyle w:val="a3"/>
        <w:spacing w:before="240" w:beforeAutospacing="0" w:after="0" w:afterAutospacing="0"/>
        <w:ind w:firstLine="555"/>
        <w:jc w:val="both"/>
        <w:rPr>
          <w:sz w:val="20"/>
          <w:szCs w:val="20"/>
        </w:rPr>
      </w:pPr>
      <w:r>
        <w:rPr>
          <w:sz w:val="20"/>
          <w:szCs w:val="20"/>
        </w:rPr>
        <w:t>The Partnership’s management has assessed the effectiveness of the Partnership’s internal control over financial reporting as of September 24, 2022. In making this assessment, the Partnership used the criteria established by the</w:t>
      </w:r>
      <w:r>
        <w:rPr>
          <w:sz w:val="20"/>
          <w:szCs w:val="20"/>
        </w:rPr>
        <w:t xml:space="preserve"> Committee of Sponsoring Organizations of the Treadway Commission (“COSO”) in “Internal Control-Integrated Framework (2013).” These criteria are in the areas of control environment, risk assessment, control activities, information and communication, and mo</w:t>
      </w:r>
      <w:r>
        <w:rPr>
          <w:sz w:val="20"/>
          <w:szCs w:val="20"/>
        </w:rPr>
        <w:t>nitoring. The Partnership's assessment included documenting, evaluating and testing the design and operating effectiveness of its internal control over financial reporting</w:t>
      </w:r>
      <w:r>
        <w:rPr>
          <w:sz w:val="20"/>
          <w:szCs w:val="20"/>
        </w:rPr>
        <w:t>.</w:t>
      </w:r>
    </w:p>
    <w:p w14:paraId="55D21770" w14:textId="77777777" w:rsidR="00000000" w:rsidRDefault="00832D71">
      <w:pPr>
        <w:pStyle w:val="a3"/>
        <w:spacing w:before="240" w:beforeAutospacing="0" w:after="0" w:afterAutospacing="0"/>
        <w:ind w:firstLine="555"/>
        <w:jc w:val="both"/>
        <w:rPr>
          <w:sz w:val="20"/>
          <w:szCs w:val="20"/>
        </w:rPr>
      </w:pPr>
      <w:r>
        <w:rPr>
          <w:sz w:val="20"/>
          <w:szCs w:val="20"/>
        </w:rPr>
        <w:t>Based on the Partnership’s assessment, as described above, management has concluded</w:t>
      </w:r>
      <w:r>
        <w:rPr>
          <w:sz w:val="20"/>
          <w:szCs w:val="20"/>
        </w:rPr>
        <w:t xml:space="preserve"> that, as of September 24, 2022, the Partnership’s internal control over financial reporting was effective</w:t>
      </w:r>
      <w:r>
        <w:rPr>
          <w:sz w:val="20"/>
          <w:szCs w:val="20"/>
        </w:rPr>
        <w:t>.</w:t>
      </w:r>
    </w:p>
    <w:p w14:paraId="77DA0F0F" w14:textId="77777777" w:rsidR="00000000" w:rsidRDefault="00832D71">
      <w:pPr>
        <w:pStyle w:val="a3"/>
        <w:spacing w:before="240" w:beforeAutospacing="0" w:after="0" w:afterAutospacing="0"/>
        <w:ind w:firstLine="555"/>
        <w:jc w:val="both"/>
        <w:rPr>
          <w:sz w:val="20"/>
          <w:szCs w:val="20"/>
        </w:rPr>
      </w:pPr>
      <w:r>
        <w:rPr>
          <w:sz w:val="20"/>
          <w:szCs w:val="20"/>
        </w:rPr>
        <w:t>Our independent registered public accounting firm, PricewaterhouseCoopers LLP, issued an attestation report dated November 23, 2022 on the effective</w:t>
      </w:r>
      <w:r>
        <w:rPr>
          <w:sz w:val="20"/>
          <w:szCs w:val="20"/>
        </w:rPr>
        <w:t>ness of our internal control over financial reporting, which is included herein</w:t>
      </w:r>
      <w:r>
        <w:rPr>
          <w:sz w:val="20"/>
          <w:szCs w:val="20"/>
        </w:rPr>
        <w:t>.</w:t>
      </w:r>
    </w:p>
    <w:p w14:paraId="03809775" w14:textId="77777777" w:rsidR="00000000" w:rsidRDefault="00832D71">
      <w:pPr>
        <w:pStyle w:val="a3"/>
        <w:spacing w:before="360" w:beforeAutospacing="0" w:after="0" w:afterAutospacing="0"/>
        <w:ind w:hanging="1400"/>
        <w:jc w:val="both"/>
        <w:rPr>
          <w:sz w:val="20"/>
          <w:szCs w:val="20"/>
        </w:rPr>
      </w:pPr>
      <w:r>
        <w:rPr>
          <w:b/>
          <w:bCs/>
          <w:sz w:val="20"/>
          <w:szCs w:val="20"/>
        </w:rPr>
        <w:t>ITEM 9B. OTH</w:t>
      </w:r>
      <w:r>
        <w:rPr>
          <w:b/>
          <w:bCs/>
          <w:sz w:val="20"/>
          <w:szCs w:val="20"/>
        </w:rPr>
        <w:t>E</w:t>
      </w:r>
      <w:r>
        <w:rPr>
          <w:b/>
          <w:bCs/>
          <w:sz w:val="20"/>
          <w:szCs w:val="20"/>
        </w:rPr>
        <w:t>R INFORMATIO</w:t>
      </w:r>
      <w:r>
        <w:rPr>
          <w:b/>
          <w:bCs/>
          <w:sz w:val="20"/>
          <w:szCs w:val="20"/>
        </w:rPr>
        <w:t>N</w:t>
      </w:r>
    </w:p>
    <w:p w14:paraId="773F1148" w14:textId="77777777" w:rsidR="00000000" w:rsidRDefault="00832D71">
      <w:pPr>
        <w:pStyle w:val="a3"/>
        <w:spacing w:before="120" w:beforeAutospacing="0" w:after="0" w:afterAutospacing="0"/>
        <w:ind w:firstLine="555"/>
        <w:jc w:val="both"/>
        <w:rPr>
          <w:sz w:val="20"/>
          <w:szCs w:val="20"/>
        </w:rPr>
      </w:pPr>
      <w:r>
        <w:rPr>
          <w:sz w:val="20"/>
          <w:szCs w:val="20"/>
        </w:rPr>
        <w:t>None</w:t>
      </w:r>
      <w:r>
        <w:rPr>
          <w:sz w:val="20"/>
          <w:szCs w:val="20"/>
        </w:rPr>
        <w:t>.</w:t>
      </w:r>
    </w:p>
    <w:p w14:paraId="4986F6AF" w14:textId="77777777" w:rsidR="00000000" w:rsidRDefault="00832D71">
      <w:pPr>
        <w:pStyle w:val="a3"/>
        <w:spacing w:before="360" w:beforeAutospacing="0" w:after="0" w:afterAutospacing="0"/>
        <w:ind w:hanging="1400"/>
        <w:jc w:val="both"/>
        <w:rPr>
          <w:sz w:val="20"/>
          <w:szCs w:val="20"/>
        </w:rPr>
      </w:pPr>
      <w:r>
        <w:rPr>
          <w:b/>
          <w:bCs/>
          <w:sz w:val="20"/>
          <w:szCs w:val="20"/>
        </w:rPr>
        <w:t>ITEM 9C. DISCLOSURE REGARDING FO</w:t>
      </w:r>
      <w:r>
        <w:rPr>
          <w:b/>
          <w:bCs/>
          <w:sz w:val="20"/>
          <w:szCs w:val="20"/>
        </w:rPr>
        <w:t>R</w:t>
      </w:r>
      <w:r>
        <w:rPr>
          <w:b/>
          <w:bCs/>
          <w:sz w:val="20"/>
          <w:szCs w:val="20"/>
        </w:rPr>
        <w:t>EIGN JURISDICTIONS THAT PREVENT INSPECTION</w:t>
      </w:r>
      <w:r>
        <w:rPr>
          <w:b/>
          <w:bCs/>
          <w:sz w:val="20"/>
          <w:szCs w:val="20"/>
        </w:rPr>
        <w:t>S</w:t>
      </w:r>
    </w:p>
    <w:p w14:paraId="59B27768" w14:textId="77777777" w:rsidR="00000000" w:rsidRDefault="00832D71">
      <w:pPr>
        <w:pStyle w:val="a3"/>
        <w:spacing w:before="120" w:beforeAutospacing="0" w:after="0" w:afterAutospacing="0"/>
        <w:ind w:firstLine="555"/>
        <w:jc w:val="both"/>
        <w:rPr>
          <w:sz w:val="20"/>
          <w:szCs w:val="20"/>
        </w:rPr>
      </w:pPr>
      <w:r>
        <w:rPr>
          <w:sz w:val="20"/>
          <w:szCs w:val="20"/>
        </w:rPr>
        <w:t>None</w:t>
      </w:r>
      <w:r>
        <w:rPr>
          <w:sz w:val="20"/>
          <w:szCs w:val="20"/>
        </w:rPr>
        <w:t>.</w:t>
      </w:r>
    </w:p>
    <w:p w14:paraId="2E9BB6D6" w14:textId="77777777" w:rsidR="00000000" w:rsidRDefault="00832D71">
      <w:pPr>
        <w:pStyle w:val="a3"/>
        <w:spacing w:before="0" w:beforeAutospacing="0" w:after="0" w:afterAutospacing="0"/>
        <w:jc w:val="center"/>
        <w:rPr>
          <w:sz w:val="20"/>
          <w:szCs w:val="20"/>
        </w:rPr>
      </w:pPr>
      <w:r>
        <w:rPr>
          <w:sz w:val="20"/>
          <w:szCs w:val="20"/>
        </w:rPr>
        <w:t> </w:t>
      </w:r>
    </w:p>
    <w:p w14:paraId="26C1F25B" w14:textId="77777777" w:rsidR="00000000" w:rsidRDefault="00832D71">
      <w:pPr>
        <w:pStyle w:val="a3"/>
        <w:spacing w:before="0" w:beforeAutospacing="0" w:after="0" w:afterAutospacing="0"/>
        <w:jc w:val="center"/>
        <w:rPr>
          <w:sz w:val="20"/>
          <w:szCs w:val="20"/>
        </w:rPr>
      </w:pPr>
      <w:r>
        <w:rPr>
          <w:sz w:val="20"/>
          <w:szCs w:val="20"/>
        </w:rPr>
        <w:t>4</w:t>
      </w:r>
      <w:r>
        <w:rPr>
          <w:sz w:val="20"/>
          <w:szCs w:val="20"/>
        </w:rPr>
        <w:t>4</w:t>
      </w:r>
    </w:p>
    <w:p w14:paraId="797B52E3" w14:textId="77777777" w:rsidR="00000000" w:rsidRDefault="00832D71">
      <w:pPr>
        <w:rPr>
          <w:rFonts w:eastAsia="Times New Roman"/>
        </w:rPr>
      </w:pPr>
      <w:r>
        <w:rPr>
          <w:rFonts w:eastAsia="Times New Roman"/>
        </w:rPr>
        <w:pict w14:anchorId="724E7A1B">
          <v:rect id="_x0000_i1071" style="width:0;height:1.5pt" o:hralign="center" o:hrstd="t" o:hr="t" fillcolor="#a0a0a0" stroked="f"/>
        </w:pict>
      </w:r>
    </w:p>
    <w:p w14:paraId="0B27D9C3"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12D9B4BB" w14:textId="77777777" w:rsidR="00000000" w:rsidRDefault="00832D71">
      <w:pPr>
        <w:pStyle w:val="a3"/>
        <w:spacing w:before="0" w:beforeAutospacing="0" w:after="0" w:afterAutospacing="0"/>
        <w:jc w:val="center"/>
        <w:rPr>
          <w:sz w:val="20"/>
          <w:szCs w:val="20"/>
        </w:rPr>
      </w:pPr>
      <w:r>
        <w:rPr>
          <w:b/>
          <w:bCs/>
          <w:sz w:val="20"/>
          <w:szCs w:val="20"/>
        </w:rPr>
        <w:t>PAR</w:t>
      </w:r>
      <w:r>
        <w:rPr>
          <w:b/>
          <w:bCs/>
          <w:sz w:val="20"/>
          <w:szCs w:val="20"/>
        </w:rPr>
        <w:t>T</w:t>
      </w:r>
      <w:r>
        <w:rPr>
          <w:b/>
          <w:bCs/>
          <w:sz w:val="20"/>
          <w:szCs w:val="20"/>
        </w:rPr>
        <w:t xml:space="preserve"> II</w:t>
      </w:r>
      <w:r>
        <w:rPr>
          <w:b/>
          <w:bCs/>
          <w:sz w:val="20"/>
          <w:szCs w:val="20"/>
        </w:rPr>
        <w:t>I</w:t>
      </w:r>
    </w:p>
    <w:p w14:paraId="44F727D3" w14:textId="77777777" w:rsidR="00000000" w:rsidRDefault="00832D71">
      <w:pPr>
        <w:pStyle w:val="a3"/>
        <w:spacing w:before="240" w:beforeAutospacing="0" w:after="0" w:afterAutospacing="0"/>
        <w:ind w:hanging="1400"/>
        <w:jc w:val="both"/>
        <w:rPr>
          <w:sz w:val="20"/>
          <w:szCs w:val="20"/>
        </w:rPr>
      </w:pPr>
      <w:r>
        <w:rPr>
          <w:b/>
          <w:bCs/>
          <w:sz w:val="20"/>
          <w:szCs w:val="20"/>
        </w:rPr>
        <w:t>ITEM 10. DIRECTORS, EXECUTIVE OF</w:t>
      </w:r>
      <w:r>
        <w:rPr>
          <w:b/>
          <w:bCs/>
          <w:sz w:val="20"/>
          <w:szCs w:val="20"/>
        </w:rPr>
        <w:t>F</w:t>
      </w:r>
      <w:r>
        <w:rPr>
          <w:b/>
          <w:bCs/>
          <w:sz w:val="20"/>
          <w:szCs w:val="20"/>
        </w:rPr>
        <w:t>ICERS AND PARTNERSHIP GOVERNANC</w:t>
      </w:r>
      <w:r>
        <w:rPr>
          <w:b/>
          <w:bCs/>
          <w:sz w:val="20"/>
          <w:szCs w:val="20"/>
        </w:rPr>
        <w:t>E</w:t>
      </w:r>
    </w:p>
    <w:p w14:paraId="58BFA4D7" w14:textId="77777777" w:rsidR="00000000" w:rsidRDefault="00832D71">
      <w:pPr>
        <w:pStyle w:val="a3"/>
        <w:spacing w:before="120" w:beforeAutospacing="0" w:after="0" w:afterAutospacing="0"/>
        <w:jc w:val="both"/>
        <w:rPr>
          <w:sz w:val="20"/>
          <w:szCs w:val="20"/>
        </w:rPr>
      </w:pPr>
      <w:r>
        <w:rPr>
          <w:b/>
          <w:bCs/>
          <w:sz w:val="20"/>
          <w:szCs w:val="20"/>
        </w:rPr>
        <w:t>Partnership Managemen</w:t>
      </w:r>
      <w:r>
        <w:rPr>
          <w:b/>
          <w:bCs/>
          <w:sz w:val="20"/>
          <w:szCs w:val="20"/>
        </w:rPr>
        <w:t>t</w:t>
      </w:r>
    </w:p>
    <w:p w14:paraId="4B23A81E" w14:textId="77777777" w:rsidR="00000000" w:rsidRDefault="00832D71">
      <w:pPr>
        <w:pStyle w:val="a3"/>
        <w:spacing w:before="120" w:beforeAutospacing="0" w:after="0" w:afterAutospacing="0"/>
        <w:ind w:firstLine="555"/>
        <w:jc w:val="both"/>
        <w:rPr>
          <w:sz w:val="20"/>
          <w:szCs w:val="20"/>
        </w:rPr>
      </w:pPr>
      <w:r>
        <w:rPr>
          <w:sz w:val="20"/>
          <w:szCs w:val="20"/>
        </w:rPr>
        <w:t>Our Partnership Agreement provides that all management powers ov</w:t>
      </w:r>
      <w:r>
        <w:rPr>
          <w:sz w:val="20"/>
          <w:szCs w:val="20"/>
        </w:rPr>
        <w:t xml:space="preserve">er our business and affairs are exclusively vested in our Board of Supervisors and, subject to the direction of the Board of Supervisors, our officers. No Unitholder has any management power over our business and affairs or actual or apparent authority to </w:t>
      </w:r>
      <w:r>
        <w:rPr>
          <w:sz w:val="20"/>
          <w:szCs w:val="20"/>
        </w:rPr>
        <w:t>enter into contracts on behalf of or otherwise to bind us. Under the current Partnership Agreement, members of our Board of Supervisors are elected by the Unitholders for three-year terms</w:t>
      </w:r>
      <w:r>
        <w:rPr>
          <w:sz w:val="20"/>
          <w:szCs w:val="20"/>
        </w:rPr>
        <w:t>.</w:t>
      </w:r>
      <w:r>
        <w:rPr>
          <w:sz w:val="20"/>
          <w:szCs w:val="20"/>
        </w:rPr>
        <w:t xml:space="preserve"> </w:t>
      </w:r>
    </w:p>
    <w:p w14:paraId="31F562D6" w14:textId="77777777" w:rsidR="00000000" w:rsidRDefault="00832D71">
      <w:pPr>
        <w:pStyle w:val="a3"/>
        <w:spacing w:before="240" w:beforeAutospacing="0" w:after="0" w:afterAutospacing="0"/>
        <w:ind w:firstLine="555"/>
        <w:jc w:val="both"/>
        <w:rPr>
          <w:sz w:val="20"/>
          <w:szCs w:val="20"/>
        </w:rPr>
      </w:pPr>
      <w:r>
        <w:rPr>
          <w:sz w:val="20"/>
          <w:szCs w:val="20"/>
        </w:rPr>
        <w:t>All seven of our current Supervisors, namely Messrs. Matthew J. Ch</w:t>
      </w:r>
      <w:r>
        <w:rPr>
          <w:sz w:val="20"/>
          <w:szCs w:val="20"/>
        </w:rPr>
        <w:t>anin, Harold R. Logan Jr., Lawrence C. Caldwell, Terence J. Connors, William M. Landuyt, Michael A. Stivala and Ms. Jane Swift, were elected to their current three-year terms at the Tri-Annual Meeting of our Unitholders held on May 18, 2021</w:t>
      </w:r>
      <w:r>
        <w:rPr>
          <w:sz w:val="20"/>
          <w:szCs w:val="20"/>
        </w:rPr>
        <w:t>.</w:t>
      </w:r>
      <w:r>
        <w:rPr>
          <w:sz w:val="20"/>
          <w:szCs w:val="20"/>
        </w:rPr>
        <w:t xml:space="preserve"> </w:t>
      </w:r>
    </w:p>
    <w:p w14:paraId="2DDD80B6" w14:textId="77777777" w:rsidR="00000000" w:rsidRDefault="00832D71">
      <w:pPr>
        <w:pStyle w:val="a3"/>
        <w:spacing w:before="240" w:beforeAutospacing="0" w:after="0" w:afterAutospacing="0"/>
        <w:ind w:right="119" w:firstLine="627"/>
        <w:jc w:val="both"/>
        <w:rPr>
          <w:sz w:val="20"/>
          <w:szCs w:val="20"/>
        </w:rPr>
      </w:pPr>
      <w:r>
        <w:rPr>
          <w:sz w:val="20"/>
          <w:szCs w:val="20"/>
        </w:rPr>
        <w:t>Three Supervi</w:t>
      </w:r>
      <w:r>
        <w:rPr>
          <w:sz w:val="20"/>
          <w:szCs w:val="20"/>
        </w:rPr>
        <w:t>sors, who are not officers or employees of the Partnership or its subsidiaries, currently serve on the Audit Committee with authority to review, approve or ratify, at the request of the Board of Supervisors, specific matters as to which the Board of Superv</w:t>
      </w:r>
      <w:r>
        <w:rPr>
          <w:sz w:val="20"/>
          <w:szCs w:val="20"/>
        </w:rPr>
        <w:t>isors believes there may be a conflict of interest, or which may be required to be disclosed pursuant to Item 404(a) of Regulation S-K adopted by the SEC, in order to determine if the resolution or course of action in respect of such conflict proposed by t</w:t>
      </w:r>
      <w:r>
        <w:rPr>
          <w:sz w:val="20"/>
          <w:szCs w:val="20"/>
        </w:rPr>
        <w:t xml:space="preserve">he Board of Supervisors is fair and reasonable to us. Under the Partnership Agreement, any matter that receives the “Special Approval” of the Audit Committee (i.e., approval by a majority of the members of the Audit Committee) is conclusively deemed to be </w:t>
      </w:r>
      <w:r>
        <w:rPr>
          <w:sz w:val="20"/>
          <w:szCs w:val="20"/>
        </w:rPr>
        <w:t>fair and reasonable to us, is deemed approved by all of our partners and shall not constitute a breach of the Partnership Agreement or any duty stated or implied by law or equity as long as the material facts known to the party having the potential conflic</w:t>
      </w:r>
      <w:r>
        <w:rPr>
          <w:sz w:val="20"/>
          <w:szCs w:val="20"/>
        </w:rPr>
        <w:t>t of interest regarding that matter were disclosed to the Audit Committee at the time it gave Special Approval. The Audit Committee also assists the Board of Supervisors in fulfilling its oversight responsibilities relating to (i) integrity of the Partners</w:t>
      </w:r>
      <w:r>
        <w:rPr>
          <w:sz w:val="20"/>
          <w:szCs w:val="20"/>
        </w:rPr>
        <w:t xml:space="preserve">hip’s financial statements and internal control over financial reporting; (ii) the Partnership’s compliance with applicable laws, regulations and its code of conduct; (iii) the Partnership’s major financial risk exposure and the steps management has taken </w:t>
      </w:r>
      <w:r>
        <w:rPr>
          <w:sz w:val="20"/>
          <w:szCs w:val="20"/>
        </w:rPr>
        <w:t>to monitor and mitigate such risks; (iv) review and approval of related person transactions; (v) the engagement, independence, qualifications and compensation of the internal audit function and independent registered public accounting firm; (vi) the perfor</w:t>
      </w:r>
      <w:r>
        <w:rPr>
          <w:sz w:val="20"/>
          <w:szCs w:val="20"/>
        </w:rPr>
        <w:t>mance of the internal audit function and the independent registered public accounting firm; and (vii) financial reporting and accounting complaints</w:t>
      </w:r>
      <w:r>
        <w:rPr>
          <w:sz w:val="20"/>
          <w:szCs w:val="20"/>
        </w:rPr>
        <w:t>.</w:t>
      </w:r>
    </w:p>
    <w:p w14:paraId="259F9F35" w14:textId="77777777" w:rsidR="00000000" w:rsidRDefault="00832D71">
      <w:pPr>
        <w:pStyle w:val="a3"/>
        <w:spacing w:before="240" w:beforeAutospacing="0" w:after="0" w:afterAutospacing="0"/>
        <w:ind w:firstLine="555"/>
        <w:jc w:val="both"/>
        <w:rPr>
          <w:sz w:val="20"/>
          <w:szCs w:val="20"/>
        </w:rPr>
      </w:pPr>
      <w:r>
        <w:rPr>
          <w:sz w:val="20"/>
          <w:szCs w:val="20"/>
        </w:rPr>
        <w:t>The Board of Supervisors has determined that all three current members of the Audit Committee, Terence J. C</w:t>
      </w:r>
      <w:r>
        <w:rPr>
          <w:sz w:val="20"/>
          <w:szCs w:val="20"/>
        </w:rPr>
        <w:t>onnors, Lawrence C. Caldwell and William M. Landuyt, are independent and are audit committee financial experts within the meaning of the NYSE corporate governance listing standards and in accordance with Rule 10A-3 of the Exchange Act, Item 407 of Regulati</w:t>
      </w:r>
      <w:r>
        <w:rPr>
          <w:sz w:val="20"/>
          <w:szCs w:val="20"/>
        </w:rPr>
        <w:t>on S-K and the Partnership’s criteria for Supervisor independence (as discussed in Item 13, herein) as of the date of this Annual Report</w:t>
      </w:r>
      <w:r>
        <w:rPr>
          <w:sz w:val="20"/>
          <w:szCs w:val="20"/>
        </w:rPr>
        <w:t>.</w:t>
      </w:r>
      <w:r>
        <w:rPr>
          <w:sz w:val="20"/>
          <w:szCs w:val="20"/>
        </w:rPr>
        <w:t xml:space="preserve"> </w:t>
      </w:r>
    </w:p>
    <w:p w14:paraId="77AB8CF7" w14:textId="77777777" w:rsidR="00000000" w:rsidRDefault="00832D71">
      <w:pPr>
        <w:pStyle w:val="a3"/>
        <w:spacing w:before="240" w:beforeAutospacing="0" w:after="0" w:afterAutospacing="0"/>
        <w:ind w:firstLine="555"/>
        <w:jc w:val="both"/>
        <w:rPr>
          <w:sz w:val="20"/>
          <w:szCs w:val="20"/>
        </w:rPr>
      </w:pPr>
      <w:r>
        <w:rPr>
          <w:sz w:val="20"/>
          <w:szCs w:val="20"/>
        </w:rPr>
        <w:t>Mr. Chanin, Chairman of the Board, presides at regularly scheduled executive sessions of the non-management Supervisors, all of whom are independent, held as part of the regular meetings of the Board of Supervisors. Investors and other parties interested i</w:t>
      </w:r>
      <w:r>
        <w:rPr>
          <w:sz w:val="20"/>
          <w:szCs w:val="20"/>
        </w:rPr>
        <w:t>n communicating directly with the non-management Supervisors as a group may do so by writing to the Non-Management Members of the Board of Supervisors, c/o Company Secretary, Suburban Propane Partners, L.P., P.O. Box 206, Whippany, New Jersey 07981-0206</w:t>
      </w:r>
      <w:r>
        <w:rPr>
          <w:sz w:val="20"/>
          <w:szCs w:val="20"/>
        </w:rPr>
        <w:t>.</w:t>
      </w:r>
    </w:p>
    <w:p w14:paraId="0B4BE256" w14:textId="77777777" w:rsidR="00000000" w:rsidRDefault="00832D71">
      <w:pPr>
        <w:pStyle w:val="a3"/>
        <w:spacing w:before="240" w:beforeAutospacing="0" w:after="0" w:afterAutospacing="0"/>
        <w:ind w:firstLine="555"/>
        <w:jc w:val="both"/>
        <w:rPr>
          <w:sz w:val="20"/>
          <w:szCs w:val="20"/>
        </w:rPr>
      </w:pPr>
      <w:r>
        <w:rPr>
          <w:sz w:val="20"/>
          <w:szCs w:val="20"/>
        </w:rPr>
        <w:t> </w:t>
      </w:r>
    </w:p>
    <w:p w14:paraId="7936A16E" w14:textId="77777777" w:rsidR="00000000" w:rsidRDefault="00832D71">
      <w:pPr>
        <w:pStyle w:val="a3"/>
        <w:spacing w:before="0" w:beforeAutospacing="0" w:after="0" w:afterAutospacing="0"/>
        <w:jc w:val="center"/>
        <w:rPr>
          <w:sz w:val="20"/>
          <w:szCs w:val="20"/>
        </w:rPr>
      </w:pPr>
      <w:r>
        <w:rPr>
          <w:sz w:val="20"/>
          <w:szCs w:val="20"/>
        </w:rPr>
        <w:t> </w:t>
      </w:r>
    </w:p>
    <w:p w14:paraId="3FDBEEE6" w14:textId="77777777" w:rsidR="00000000" w:rsidRDefault="00832D71">
      <w:pPr>
        <w:pStyle w:val="a3"/>
        <w:spacing w:before="0" w:beforeAutospacing="0" w:after="0" w:afterAutospacing="0"/>
        <w:jc w:val="center"/>
        <w:rPr>
          <w:sz w:val="20"/>
          <w:szCs w:val="20"/>
        </w:rPr>
      </w:pPr>
      <w:r>
        <w:rPr>
          <w:sz w:val="20"/>
          <w:szCs w:val="20"/>
        </w:rPr>
        <w:t>4</w:t>
      </w:r>
      <w:r>
        <w:rPr>
          <w:sz w:val="20"/>
          <w:szCs w:val="20"/>
        </w:rPr>
        <w:t>5</w:t>
      </w:r>
    </w:p>
    <w:p w14:paraId="7368C3CB" w14:textId="77777777" w:rsidR="00000000" w:rsidRDefault="00832D71">
      <w:pPr>
        <w:rPr>
          <w:rFonts w:eastAsia="Times New Roman"/>
        </w:rPr>
      </w:pPr>
      <w:r>
        <w:rPr>
          <w:rFonts w:eastAsia="Times New Roman"/>
        </w:rPr>
        <w:pict w14:anchorId="47AF5339">
          <v:rect id="_x0000_i1072" style="width:0;height:1.5pt" o:hralign="center" o:hrstd="t" o:hr="t" fillcolor="#a0a0a0" stroked="f"/>
        </w:pict>
      </w:r>
    </w:p>
    <w:p w14:paraId="152C4593"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5E75D192" w14:textId="77777777" w:rsidR="00000000" w:rsidRDefault="00832D71">
      <w:pPr>
        <w:pStyle w:val="a3"/>
        <w:spacing w:before="0" w:beforeAutospacing="0" w:after="0" w:afterAutospacing="0"/>
        <w:jc w:val="both"/>
        <w:rPr>
          <w:sz w:val="20"/>
          <w:szCs w:val="20"/>
        </w:rPr>
      </w:pPr>
      <w:r>
        <w:rPr>
          <w:b/>
          <w:bCs/>
          <w:sz w:val="20"/>
          <w:szCs w:val="20"/>
        </w:rPr>
        <w:t>Board of Supervisors and Executive Officers of the Partnershi</w:t>
      </w:r>
      <w:r>
        <w:rPr>
          <w:b/>
          <w:bCs/>
          <w:sz w:val="20"/>
          <w:szCs w:val="20"/>
        </w:rPr>
        <w:t>p</w:t>
      </w:r>
    </w:p>
    <w:p w14:paraId="68F5BE94" w14:textId="77777777" w:rsidR="00000000" w:rsidRDefault="00832D71">
      <w:pPr>
        <w:pStyle w:val="a3"/>
        <w:spacing w:before="120" w:beforeAutospacing="0" w:after="0" w:afterAutospacing="0"/>
        <w:ind w:firstLine="555"/>
        <w:jc w:val="both"/>
        <w:rPr>
          <w:sz w:val="20"/>
          <w:szCs w:val="20"/>
        </w:rPr>
      </w:pPr>
      <w:r>
        <w:rPr>
          <w:sz w:val="20"/>
          <w:szCs w:val="20"/>
        </w:rPr>
        <w:t>The following table sets forth certain information with respect to the members of the Board of Supervisors and our executive officers as of November 21, 2022. Officers are appointed by the Board of Supervisors for one</w:t>
      </w:r>
      <w:r>
        <w:rPr>
          <w:sz w:val="20"/>
          <w:szCs w:val="20"/>
        </w:rPr>
        <w:noBreakHyphen/>
        <w:t>year terms and Supervisors (other than</w:t>
      </w:r>
      <w:r>
        <w:rPr>
          <w:sz w:val="20"/>
          <w:szCs w:val="20"/>
        </w:rPr>
        <w:t xml:space="preserve"> those elected by the Board to fill vacancies) are elected by the Unitholders for three</w:t>
      </w:r>
      <w:r>
        <w:rPr>
          <w:sz w:val="20"/>
          <w:szCs w:val="20"/>
        </w:rPr>
        <w:noBreakHyphen/>
        <w:t>year terms</w:t>
      </w:r>
      <w:r>
        <w:rPr>
          <w:sz w:val="20"/>
          <w:szCs w:val="20"/>
        </w:rPr>
        <w:t>.</w:t>
      </w:r>
    </w:p>
    <w:p w14:paraId="369D2D3A" w14:textId="77777777" w:rsidR="00000000" w:rsidRDefault="00832D7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25"/>
        <w:gridCol w:w="131"/>
        <w:gridCol w:w="599"/>
        <w:gridCol w:w="219"/>
        <w:gridCol w:w="4932"/>
      </w:tblGrid>
      <w:tr w:rsidR="00000000" w14:paraId="15F30D91" w14:textId="77777777">
        <w:trPr>
          <w:tblCellSpacing w:w="15" w:type="dxa"/>
        </w:trPr>
        <w:tc>
          <w:tcPr>
            <w:tcW w:w="1464" w:type="pct"/>
            <w:vAlign w:val="center"/>
            <w:hideMark/>
          </w:tcPr>
          <w:p w14:paraId="46DCCE68" w14:textId="77777777" w:rsidR="00000000" w:rsidRDefault="00832D71">
            <w:pPr>
              <w:rPr>
                <w:sz w:val="20"/>
                <w:szCs w:val="20"/>
              </w:rPr>
            </w:pPr>
          </w:p>
        </w:tc>
        <w:tc>
          <w:tcPr>
            <w:tcW w:w="62" w:type="pct"/>
            <w:vAlign w:val="center"/>
            <w:hideMark/>
          </w:tcPr>
          <w:p w14:paraId="1FE7386F" w14:textId="77777777" w:rsidR="00000000" w:rsidRDefault="00832D71">
            <w:pPr>
              <w:rPr>
                <w:rFonts w:eastAsia="Times New Roman"/>
                <w:sz w:val="20"/>
                <w:szCs w:val="20"/>
              </w:rPr>
            </w:pPr>
          </w:p>
        </w:tc>
        <w:tc>
          <w:tcPr>
            <w:tcW w:w="350" w:type="pct"/>
            <w:vAlign w:val="center"/>
            <w:hideMark/>
          </w:tcPr>
          <w:p w14:paraId="046CCD33" w14:textId="77777777" w:rsidR="00000000" w:rsidRDefault="00832D71">
            <w:pPr>
              <w:rPr>
                <w:rFonts w:eastAsia="Times New Roman"/>
                <w:sz w:val="20"/>
                <w:szCs w:val="20"/>
              </w:rPr>
            </w:pPr>
          </w:p>
        </w:tc>
        <w:tc>
          <w:tcPr>
            <w:tcW w:w="116" w:type="pct"/>
            <w:vAlign w:val="center"/>
            <w:hideMark/>
          </w:tcPr>
          <w:p w14:paraId="5D08CCF5" w14:textId="77777777" w:rsidR="00000000" w:rsidRDefault="00832D71">
            <w:pPr>
              <w:rPr>
                <w:rFonts w:eastAsia="Times New Roman"/>
                <w:sz w:val="20"/>
                <w:szCs w:val="20"/>
              </w:rPr>
            </w:pPr>
          </w:p>
        </w:tc>
        <w:tc>
          <w:tcPr>
            <w:tcW w:w="3005" w:type="pct"/>
            <w:vAlign w:val="center"/>
            <w:hideMark/>
          </w:tcPr>
          <w:p w14:paraId="35ABAC05" w14:textId="77777777" w:rsidR="00000000" w:rsidRDefault="00832D71">
            <w:pPr>
              <w:rPr>
                <w:rFonts w:eastAsia="Times New Roman"/>
                <w:sz w:val="20"/>
                <w:szCs w:val="20"/>
              </w:rPr>
            </w:pPr>
          </w:p>
        </w:tc>
      </w:tr>
      <w:tr w:rsidR="00000000" w14:paraId="05AFABFA" w14:textId="77777777">
        <w:trPr>
          <w:trHeight w:val="160"/>
          <w:tblCellSpacing w:w="15" w:type="dxa"/>
        </w:trPr>
        <w:tc>
          <w:tcPr>
            <w:tcW w:w="0" w:type="auto"/>
            <w:tcBorders>
              <w:bottom w:val="single" w:sz="4" w:space="0" w:color="auto"/>
            </w:tcBorders>
            <w:hideMark/>
          </w:tcPr>
          <w:p w14:paraId="285C2DAC"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7350E996" w14:textId="77777777" w:rsidR="00000000" w:rsidRDefault="00832D71">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hideMark/>
          </w:tcPr>
          <w:p w14:paraId="021E11FD" w14:textId="77777777" w:rsidR="00000000" w:rsidRDefault="00832D71">
            <w:pPr>
              <w:pStyle w:val="a3"/>
              <w:spacing w:before="0" w:beforeAutospacing="0" w:after="0" w:afterAutospacing="0"/>
              <w:jc w:val="center"/>
              <w:rPr>
                <w:sz w:val="16"/>
                <w:szCs w:val="16"/>
              </w:rPr>
            </w:pPr>
            <w:r>
              <w:rPr>
                <w:b/>
                <w:bCs/>
                <w:sz w:val="16"/>
                <w:szCs w:val="16"/>
              </w:rPr>
              <w:t>Ag</w:t>
            </w:r>
            <w:r>
              <w:rPr>
                <w:b/>
                <w:bCs/>
                <w:sz w:val="16"/>
                <w:szCs w:val="16"/>
              </w:rPr>
              <w:t>e</w:t>
            </w:r>
          </w:p>
        </w:tc>
        <w:tc>
          <w:tcPr>
            <w:tcW w:w="0" w:type="auto"/>
            <w:hideMark/>
          </w:tcPr>
          <w:p w14:paraId="56A4B900" w14:textId="77777777" w:rsidR="00000000" w:rsidRDefault="00832D71">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hideMark/>
          </w:tcPr>
          <w:p w14:paraId="085A27A5" w14:textId="77777777" w:rsidR="00000000" w:rsidRDefault="00832D71">
            <w:pPr>
              <w:pStyle w:val="a3"/>
              <w:spacing w:before="0" w:beforeAutospacing="0" w:after="0" w:afterAutospacing="0"/>
              <w:jc w:val="center"/>
              <w:rPr>
                <w:sz w:val="16"/>
                <w:szCs w:val="16"/>
              </w:rPr>
            </w:pPr>
            <w:r>
              <w:rPr>
                <w:b/>
                <w:bCs/>
                <w:sz w:val="16"/>
                <w:szCs w:val="16"/>
              </w:rPr>
              <w:t>Position With the Partnershi</w:t>
            </w:r>
            <w:r>
              <w:rPr>
                <w:b/>
                <w:bCs/>
                <w:sz w:val="16"/>
                <w:szCs w:val="16"/>
              </w:rPr>
              <w:t>p</w:t>
            </w:r>
          </w:p>
        </w:tc>
      </w:tr>
      <w:tr w:rsidR="00000000" w14:paraId="558EC315" w14:textId="77777777">
        <w:trPr>
          <w:trHeight w:val="200"/>
          <w:tblCellSpacing w:w="15" w:type="dxa"/>
        </w:trPr>
        <w:tc>
          <w:tcPr>
            <w:tcW w:w="0" w:type="auto"/>
            <w:hideMark/>
          </w:tcPr>
          <w:p w14:paraId="3F6550CA" w14:textId="77777777" w:rsidR="00000000" w:rsidRDefault="00832D71">
            <w:pPr>
              <w:pStyle w:val="a3"/>
              <w:spacing w:before="0" w:beforeAutospacing="0" w:after="0" w:afterAutospacing="0"/>
              <w:rPr>
                <w:sz w:val="20"/>
                <w:szCs w:val="20"/>
              </w:rPr>
            </w:pPr>
            <w:r>
              <w:rPr>
                <w:sz w:val="20"/>
                <w:szCs w:val="20"/>
              </w:rPr>
              <w:t>Michael A. Stival</w:t>
            </w:r>
            <w:r>
              <w:rPr>
                <w:sz w:val="20"/>
                <w:szCs w:val="20"/>
              </w:rPr>
              <w:t>a</w:t>
            </w:r>
          </w:p>
        </w:tc>
        <w:tc>
          <w:tcPr>
            <w:tcW w:w="0" w:type="auto"/>
            <w:hideMark/>
          </w:tcPr>
          <w:p w14:paraId="2CD92D5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2AD929D"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3</w:t>
            </w:r>
          </w:p>
        </w:tc>
        <w:tc>
          <w:tcPr>
            <w:tcW w:w="0" w:type="auto"/>
            <w:hideMark/>
          </w:tcPr>
          <w:p w14:paraId="77DE5E5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8D6DAA5" w14:textId="77777777" w:rsidR="00000000" w:rsidRDefault="00832D71">
            <w:pPr>
              <w:pStyle w:val="a3"/>
              <w:spacing w:before="0" w:beforeAutospacing="0" w:after="0" w:afterAutospacing="0"/>
              <w:rPr>
                <w:sz w:val="20"/>
                <w:szCs w:val="20"/>
              </w:rPr>
            </w:pPr>
            <w:r>
              <w:rPr>
                <w:sz w:val="20"/>
                <w:szCs w:val="20"/>
              </w:rPr>
              <w:t>President and Chief Executive Officer; Member of the Board of Supervisor</w:t>
            </w:r>
            <w:r>
              <w:rPr>
                <w:sz w:val="20"/>
                <w:szCs w:val="20"/>
              </w:rPr>
              <w:t>s</w:t>
            </w:r>
          </w:p>
        </w:tc>
      </w:tr>
      <w:tr w:rsidR="00000000" w14:paraId="5976B316" w14:textId="77777777">
        <w:trPr>
          <w:trHeight w:val="200"/>
          <w:tblCellSpacing w:w="15" w:type="dxa"/>
        </w:trPr>
        <w:tc>
          <w:tcPr>
            <w:tcW w:w="0" w:type="auto"/>
            <w:hideMark/>
          </w:tcPr>
          <w:p w14:paraId="60DEDFFB" w14:textId="77777777" w:rsidR="00000000" w:rsidRDefault="00832D71">
            <w:pPr>
              <w:pStyle w:val="a3"/>
              <w:spacing w:before="0" w:beforeAutospacing="0" w:after="0" w:afterAutospacing="0"/>
              <w:rPr>
                <w:sz w:val="20"/>
                <w:szCs w:val="20"/>
              </w:rPr>
            </w:pPr>
            <w:r>
              <w:rPr>
                <w:sz w:val="20"/>
                <w:szCs w:val="20"/>
              </w:rPr>
              <w:t>Michael A. Kugli</w:t>
            </w:r>
            <w:r>
              <w:rPr>
                <w:sz w:val="20"/>
                <w:szCs w:val="20"/>
              </w:rPr>
              <w:t>n</w:t>
            </w:r>
          </w:p>
        </w:tc>
        <w:tc>
          <w:tcPr>
            <w:tcW w:w="0" w:type="auto"/>
            <w:hideMark/>
          </w:tcPr>
          <w:p w14:paraId="61439AD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9981134"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2</w:t>
            </w:r>
          </w:p>
        </w:tc>
        <w:tc>
          <w:tcPr>
            <w:tcW w:w="0" w:type="auto"/>
            <w:hideMark/>
          </w:tcPr>
          <w:p w14:paraId="59D8F5B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356869A" w14:textId="77777777" w:rsidR="00000000" w:rsidRDefault="00832D71">
            <w:pPr>
              <w:pStyle w:val="a3"/>
              <w:spacing w:before="0" w:beforeAutospacing="0" w:after="0" w:afterAutospacing="0"/>
              <w:rPr>
                <w:sz w:val="20"/>
                <w:szCs w:val="20"/>
              </w:rPr>
            </w:pPr>
            <w:r>
              <w:rPr>
                <w:sz w:val="20"/>
                <w:szCs w:val="20"/>
              </w:rPr>
              <w:t>Chief Financial Officer &amp; Chief Accounting Office</w:t>
            </w:r>
            <w:r>
              <w:rPr>
                <w:sz w:val="20"/>
                <w:szCs w:val="20"/>
              </w:rPr>
              <w:t>r</w:t>
            </w:r>
          </w:p>
        </w:tc>
      </w:tr>
      <w:tr w:rsidR="00000000" w14:paraId="796A84B8" w14:textId="77777777">
        <w:trPr>
          <w:trHeight w:val="200"/>
          <w:tblCellSpacing w:w="15" w:type="dxa"/>
        </w:trPr>
        <w:tc>
          <w:tcPr>
            <w:tcW w:w="0" w:type="auto"/>
            <w:hideMark/>
          </w:tcPr>
          <w:p w14:paraId="39C1379F" w14:textId="77777777" w:rsidR="00000000" w:rsidRDefault="00832D71">
            <w:pPr>
              <w:pStyle w:val="a3"/>
              <w:spacing w:before="0" w:beforeAutospacing="0" w:after="0" w:afterAutospacing="0"/>
              <w:rPr>
                <w:sz w:val="20"/>
                <w:szCs w:val="20"/>
              </w:rPr>
            </w:pPr>
            <w:r>
              <w:rPr>
                <w:sz w:val="20"/>
                <w:szCs w:val="20"/>
              </w:rPr>
              <w:t>Steven C. Boy</w:t>
            </w:r>
            <w:r>
              <w:rPr>
                <w:sz w:val="20"/>
                <w:szCs w:val="20"/>
              </w:rPr>
              <w:t>d</w:t>
            </w:r>
          </w:p>
        </w:tc>
        <w:tc>
          <w:tcPr>
            <w:tcW w:w="0" w:type="auto"/>
            <w:hideMark/>
          </w:tcPr>
          <w:p w14:paraId="447FA66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020915D"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8</w:t>
            </w:r>
          </w:p>
        </w:tc>
        <w:tc>
          <w:tcPr>
            <w:tcW w:w="0" w:type="auto"/>
            <w:hideMark/>
          </w:tcPr>
          <w:p w14:paraId="2C75A0F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7ACC0BB" w14:textId="77777777" w:rsidR="00000000" w:rsidRDefault="00832D71">
            <w:pPr>
              <w:pStyle w:val="a3"/>
              <w:spacing w:before="0" w:beforeAutospacing="0" w:after="0" w:afterAutospacing="0"/>
              <w:rPr>
                <w:sz w:val="20"/>
                <w:szCs w:val="20"/>
              </w:rPr>
            </w:pPr>
            <w:r>
              <w:rPr>
                <w:sz w:val="20"/>
                <w:szCs w:val="20"/>
              </w:rPr>
              <w:t>Chief Operating Office</w:t>
            </w:r>
            <w:r>
              <w:rPr>
                <w:sz w:val="20"/>
                <w:szCs w:val="20"/>
              </w:rPr>
              <w:t>r</w:t>
            </w:r>
          </w:p>
        </w:tc>
      </w:tr>
      <w:tr w:rsidR="00000000" w14:paraId="69496230" w14:textId="77777777">
        <w:trPr>
          <w:trHeight w:val="200"/>
          <w:tblCellSpacing w:w="15" w:type="dxa"/>
        </w:trPr>
        <w:tc>
          <w:tcPr>
            <w:tcW w:w="0" w:type="auto"/>
            <w:hideMark/>
          </w:tcPr>
          <w:p w14:paraId="06728F4B" w14:textId="77777777" w:rsidR="00000000" w:rsidRDefault="00832D71">
            <w:pPr>
              <w:pStyle w:val="a3"/>
              <w:spacing w:before="0" w:beforeAutospacing="0" w:after="0" w:afterAutospacing="0"/>
              <w:rPr>
                <w:sz w:val="20"/>
                <w:szCs w:val="20"/>
              </w:rPr>
            </w:pPr>
            <w:r>
              <w:rPr>
                <w:sz w:val="20"/>
                <w:szCs w:val="20"/>
              </w:rPr>
              <w:t>Douglas T. Brinkwort</w:t>
            </w:r>
            <w:r>
              <w:rPr>
                <w:sz w:val="20"/>
                <w:szCs w:val="20"/>
              </w:rPr>
              <w:t>h</w:t>
            </w:r>
          </w:p>
        </w:tc>
        <w:tc>
          <w:tcPr>
            <w:tcW w:w="0" w:type="auto"/>
            <w:hideMark/>
          </w:tcPr>
          <w:p w14:paraId="73EFDAE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3ACD123" w14:textId="77777777" w:rsidR="00000000" w:rsidRDefault="00832D71">
            <w:pPr>
              <w:pStyle w:val="a3"/>
              <w:spacing w:before="0" w:beforeAutospacing="0" w:after="0" w:afterAutospacing="0"/>
              <w:jc w:val="center"/>
              <w:rPr>
                <w:sz w:val="20"/>
                <w:szCs w:val="20"/>
              </w:rPr>
            </w:pPr>
            <w:r>
              <w:rPr>
                <w:sz w:val="20"/>
                <w:szCs w:val="20"/>
              </w:rPr>
              <w:t>6</w:t>
            </w:r>
            <w:r>
              <w:rPr>
                <w:sz w:val="20"/>
                <w:szCs w:val="20"/>
              </w:rPr>
              <w:t>1</w:t>
            </w:r>
          </w:p>
        </w:tc>
        <w:tc>
          <w:tcPr>
            <w:tcW w:w="0" w:type="auto"/>
            <w:hideMark/>
          </w:tcPr>
          <w:p w14:paraId="27E01F0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C133E49" w14:textId="77777777" w:rsidR="00000000" w:rsidRDefault="00832D71">
            <w:pPr>
              <w:pStyle w:val="a3"/>
              <w:spacing w:before="0" w:beforeAutospacing="0" w:after="0" w:afterAutospacing="0"/>
              <w:rPr>
                <w:sz w:val="20"/>
                <w:szCs w:val="20"/>
              </w:rPr>
            </w:pPr>
            <w:r>
              <w:rPr>
                <w:sz w:val="20"/>
                <w:szCs w:val="20"/>
              </w:rPr>
              <w:t>Senior Vice President – Product Supply, Purchasing &amp; Logistic</w:t>
            </w:r>
            <w:r>
              <w:rPr>
                <w:sz w:val="20"/>
                <w:szCs w:val="20"/>
              </w:rPr>
              <w:t>s</w:t>
            </w:r>
          </w:p>
        </w:tc>
      </w:tr>
      <w:tr w:rsidR="00000000" w14:paraId="025D45FF" w14:textId="77777777">
        <w:trPr>
          <w:trHeight w:val="200"/>
          <w:tblCellSpacing w:w="15" w:type="dxa"/>
        </w:trPr>
        <w:tc>
          <w:tcPr>
            <w:tcW w:w="0" w:type="auto"/>
            <w:hideMark/>
          </w:tcPr>
          <w:p w14:paraId="3F48CC51" w14:textId="77777777" w:rsidR="00000000" w:rsidRDefault="00832D71">
            <w:pPr>
              <w:pStyle w:val="a3"/>
              <w:spacing w:before="0" w:beforeAutospacing="0" w:after="0" w:afterAutospacing="0"/>
              <w:rPr>
                <w:sz w:val="20"/>
                <w:szCs w:val="20"/>
              </w:rPr>
            </w:pPr>
            <w:r>
              <w:rPr>
                <w:sz w:val="20"/>
                <w:szCs w:val="20"/>
              </w:rPr>
              <w:t>Neil E. Scanlo</w:t>
            </w:r>
            <w:r>
              <w:rPr>
                <w:sz w:val="20"/>
                <w:szCs w:val="20"/>
              </w:rPr>
              <w:t>n</w:t>
            </w:r>
          </w:p>
        </w:tc>
        <w:tc>
          <w:tcPr>
            <w:tcW w:w="0" w:type="auto"/>
            <w:hideMark/>
          </w:tcPr>
          <w:p w14:paraId="66D3031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82A3DA8"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7</w:t>
            </w:r>
          </w:p>
        </w:tc>
        <w:tc>
          <w:tcPr>
            <w:tcW w:w="0" w:type="auto"/>
            <w:hideMark/>
          </w:tcPr>
          <w:p w14:paraId="178C27A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6D91DE8" w14:textId="77777777" w:rsidR="00000000" w:rsidRDefault="00832D71">
            <w:pPr>
              <w:pStyle w:val="a3"/>
              <w:spacing w:before="0" w:beforeAutospacing="0" w:after="0" w:afterAutospacing="0"/>
              <w:rPr>
                <w:sz w:val="20"/>
                <w:szCs w:val="20"/>
              </w:rPr>
            </w:pPr>
            <w:r>
              <w:rPr>
                <w:sz w:val="20"/>
                <w:szCs w:val="20"/>
              </w:rPr>
              <w:t>Senior Vice President – Information Service</w:t>
            </w:r>
            <w:r>
              <w:rPr>
                <w:sz w:val="20"/>
                <w:szCs w:val="20"/>
              </w:rPr>
              <w:t>s</w:t>
            </w:r>
          </w:p>
        </w:tc>
      </w:tr>
      <w:tr w:rsidR="00000000" w14:paraId="701FBB10" w14:textId="77777777">
        <w:trPr>
          <w:trHeight w:val="200"/>
          <w:tblCellSpacing w:w="15" w:type="dxa"/>
        </w:trPr>
        <w:tc>
          <w:tcPr>
            <w:tcW w:w="0" w:type="auto"/>
            <w:hideMark/>
          </w:tcPr>
          <w:p w14:paraId="4F52ECBA" w14:textId="77777777" w:rsidR="00000000" w:rsidRDefault="00832D71">
            <w:pPr>
              <w:pStyle w:val="a3"/>
              <w:spacing w:before="0" w:beforeAutospacing="0" w:after="0" w:afterAutospacing="0"/>
              <w:rPr>
                <w:sz w:val="20"/>
                <w:szCs w:val="20"/>
              </w:rPr>
            </w:pPr>
            <w:r>
              <w:rPr>
                <w:sz w:val="20"/>
                <w:szCs w:val="20"/>
              </w:rPr>
              <w:t>Daniel S. Bloomstei</w:t>
            </w:r>
            <w:r>
              <w:rPr>
                <w:sz w:val="20"/>
                <w:szCs w:val="20"/>
              </w:rPr>
              <w:t>n</w:t>
            </w:r>
          </w:p>
        </w:tc>
        <w:tc>
          <w:tcPr>
            <w:tcW w:w="0" w:type="auto"/>
            <w:hideMark/>
          </w:tcPr>
          <w:p w14:paraId="3B50720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833CBA4" w14:textId="77777777" w:rsidR="00000000" w:rsidRDefault="00832D71">
            <w:pPr>
              <w:pStyle w:val="a3"/>
              <w:spacing w:before="0" w:beforeAutospacing="0" w:after="0" w:afterAutospacing="0"/>
              <w:jc w:val="center"/>
              <w:rPr>
                <w:sz w:val="20"/>
                <w:szCs w:val="20"/>
              </w:rPr>
            </w:pPr>
            <w:r>
              <w:rPr>
                <w:sz w:val="20"/>
                <w:szCs w:val="20"/>
              </w:rPr>
              <w:t>4</w:t>
            </w:r>
            <w:r>
              <w:rPr>
                <w:sz w:val="20"/>
                <w:szCs w:val="20"/>
              </w:rPr>
              <w:t>9</w:t>
            </w:r>
          </w:p>
        </w:tc>
        <w:tc>
          <w:tcPr>
            <w:tcW w:w="0" w:type="auto"/>
            <w:hideMark/>
          </w:tcPr>
          <w:p w14:paraId="16181C8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60B71F6" w14:textId="77777777" w:rsidR="00000000" w:rsidRDefault="00832D71">
            <w:pPr>
              <w:pStyle w:val="a3"/>
              <w:spacing w:before="0" w:beforeAutospacing="0" w:after="0" w:afterAutospacing="0"/>
              <w:rPr>
                <w:sz w:val="20"/>
                <w:szCs w:val="20"/>
              </w:rPr>
            </w:pPr>
            <w:r>
              <w:rPr>
                <w:sz w:val="20"/>
                <w:szCs w:val="20"/>
              </w:rPr>
              <w:t>Vice President and Controlle</w:t>
            </w:r>
            <w:r>
              <w:rPr>
                <w:sz w:val="20"/>
                <w:szCs w:val="20"/>
              </w:rPr>
              <w:t>r</w:t>
            </w:r>
          </w:p>
        </w:tc>
      </w:tr>
      <w:tr w:rsidR="00000000" w14:paraId="72008E72" w14:textId="77777777">
        <w:trPr>
          <w:trHeight w:val="200"/>
          <w:tblCellSpacing w:w="15" w:type="dxa"/>
        </w:trPr>
        <w:tc>
          <w:tcPr>
            <w:tcW w:w="0" w:type="auto"/>
            <w:hideMark/>
          </w:tcPr>
          <w:p w14:paraId="0C5846B5" w14:textId="77777777" w:rsidR="00000000" w:rsidRDefault="00832D71">
            <w:pPr>
              <w:pStyle w:val="a3"/>
              <w:spacing w:before="0" w:beforeAutospacing="0" w:after="0" w:afterAutospacing="0"/>
              <w:rPr>
                <w:sz w:val="20"/>
                <w:szCs w:val="20"/>
              </w:rPr>
            </w:pPr>
            <w:r>
              <w:rPr>
                <w:sz w:val="20"/>
                <w:szCs w:val="20"/>
              </w:rPr>
              <w:t>Daniel W. Boy</w:t>
            </w:r>
            <w:r>
              <w:rPr>
                <w:sz w:val="20"/>
                <w:szCs w:val="20"/>
              </w:rPr>
              <w:t>d</w:t>
            </w:r>
          </w:p>
        </w:tc>
        <w:tc>
          <w:tcPr>
            <w:tcW w:w="0" w:type="auto"/>
            <w:hideMark/>
          </w:tcPr>
          <w:p w14:paraId="319D44D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9663FE5"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5</w:t>
            </w:r>
          </w:p>
        </w:tc>
        <w:tc>
          <w:tcPr>
            <w:tcW w:w="0" w:type="auto"/>
            <w:hideMark/>
          </w:tcPr>
          <w:p w14:paraId="62AE2DF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F25A38F" w14:textId="77777777" w:rsidR="00000000" w:rsidRDefault="00832D71">
            <w:pPr>
              <w:pStyle w:val="a3"/>
              <w:spacing w:before="0" w:beforeAutospacing="0" w:after="0" w:afterAutospacing="0"/>
              <w:rPr>
                <w:sz w:val="20"/>
                <w:szCs w:val="20"/>
              </w:rPr>
            </w:pPr>
            <w:r>
              <w:rPr>
                <w:sz w:val="20"/>
                <w:szCs w:val="20"/>
              </w:rPr>
              <w:t>Vice President – Area Operation</w:t>
            </w:r>
            <w:r>
              <w:rPr>
                <w:sz w:val="20"/>
                <w:szCs w:val="20"/>
              </w:rPr>
              <w:t>s</w:t>
            </w:r>
          </w:p>
        </w:tc>
      </w:tr>
      <w:tr w:rsidR="00000000" w14:paraId="0E6741A0" w14:textId="77777777">
        <w:trPr>
          <w:trHeight w:val="200"/>
          <w:tblCellSpacing w:w="15" w:type="dxa"/>
        </w:trPr>
        <w:tc>
          <w:tcPr>
            <w:tcW w:w="0" w:type="auto"/>
            <w:hideMark/>
          </w:tcPr>
          <w:p w14:paraId="1A65A207" w14:textId="77777777" w:rsidR="00000000" w:rsidRDefault="00832D71">
            <w:pPr>
              <w:pStyle w:val="a3"/>
              <w:spacing w:before="0" w:beforeAutospacing="0" w:after="0" w:afterAutospacing="0"/>
              <w:rPr>
                <w:sz w:val="20"/>
                <w:szCs w:val="20"/>
              </w:rPr>
            </w:pPr>
            <w:r>
              <w:rPr>
                <w:sz w:val="20"/>
                <w:szCs w:val="20"/>
              </w:rPr>
              <w:t>Francesca Cleff</w:t>
            </w:r>
            <w:r>
              <w:rPr>
                <w:sz w:val="20"/>
                <w:szCs w:val="20"/>
              </w:rPr>
              <w:t>i</w:t>
            </w:r>
          </w:p>
        </w:tc>
        <w:tc>
          <w:tcPr>
            <w:tcW w:w="0" w:type="auto"/>
            <w:hideMark/>
          </w:tcPr>
          <w:p w14:paraId="4805AEB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D0BDFCC"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2</w:t>
            </w:r>
          </w:p>
        </w:tc>
        <w:tc>
          <w:tcPr>
            <w:tcW w:w="0" w:type="auto"/>
            <w:hideMark/>
          </w:tcPr>
          <w:p w14:paraId="6B95559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B029DA9" w14:textId="77777777" w:rsidR="00000000" w:rsidRDefault="00832D71">
            <w:pPr>
              <w:pStyle w:val="a3"/>
              <w:spacing w:before="0" w:beforeAutospacing="0" w:after="0" w:afterAutospacing="0"/>
              <w:rPr>
                <w:sz w:val="20"/>
                <w:szCs w:val="20"/>
              </w:rPr>
            </w:pPr>
            <w:r>
              <w:rPr>
                <w:sz w:val="20"/>
                <w:szCs w:val="20"/>
              </w:rPr>
              <w:t>Vice President – Human Resource</w:t>
            </w:r>
            <w:r>
              <w:rPr>
                <w:sz w:val="20"/>
                <w:szCs w:val="20"/>
              </w:rPr>
              <w:t>s</w:t>
            </w:r>
          </w:p>
        </w:tc>
      </w:tr>
      <w:tr w:rsidR="00000000" w14:paraId="01762B96" w14:textId="77777777">
        <w:trPr>
          <w:trHeight w:val="200"/>
          <w:tblCellSpacing w:w="15" w:type="dxa"/>
        </w:trPr>
        <w:tc>
          <w:tcPr>
            <w:tcW w:w="0" w:type="auto"/>
            <w:hideMark/>
          </w:tcPr>
          <w:p w14:paraId="2A4D59D0" w14:textId="77777777" w:rsidR="00000000" w:rsidRDefault="00832D71">
            <w:pPr>
              <w:pStyle w:val="a3"/>
              <w:spacing w:before="0" w:beforeAutospacing="0" w:after="0" w:afterAutospacing="0"/>
              <w:rPr>
                <w:sz w:val="20"/>
                <w:szCs w:val="20"/>
              </w:rPr>
            </w:pPr>
            <w:r>
              <w:rPr>
                <w:sz w:val="20"/>
                <w:szCs w:val="20"/>
              </w:rPr>
              <w:t>M. Douglas Daga</w:t>
            </w:r>
            <w:r>
              <w:rPr>
                <w:sz w:val="20"/>
                <w:szCs w:val="20"/>
              </w:rPr>
              <w:t>n</w:t>
            </w:r>
          </w:p>
        </w:tc>
        <w:tc>
          <w:tcPr>
            <w:tcW w:w="0" w:type="auto"/>
            <w:hideMark/>
          </w:tcPr>
          <w:p w14:paraId="747B4D5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953C998" w14:textId="77777777" w:rsidR="00000000" w:rsidRDefault="00832D71">
            <w:pPr>
              <w:pStyle w:val="a3"/>
              <w:spacing w:before="0" w:beforeAutospacing="0" w:after="0" w:afterAutospacing="0"/>
              <w:jc w:val="center"/>
              <w:rPr>
                <w:sz w:val="20"/>
                <w:szCs w:val="20"/>
              </w:rPr>
            </w:pPr>
            <w:r>
              <w:rPr>
                <w:sz w:val="20"/>
                <w:szCs w:val="20"/>
              </w:rPr>
              <w:t>4</w:t>
            </w:r>
            <w:r>
              <w:rPr>
                <w:sz w:val="20"/>
                <w:szCs w:val="20"/>
              </w:rPr>
              <w:t>3</w:t>
            </w:r>
          </w:p>
        </w:tc>
        <w:tc>
          <w:tcPr>
            <w:tcW w:w="0" w:type="auto"/>
            <w:hideMark/>
          </w:tcPr>
          <w:p w14:paraId="5E6999C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43CF455" w14:textId="77777777" w:rsidR="00000000" w:rsidRDefault="00832D71">
            <w:pPr>
              <w:pStyle w:val="a3"/>
              <w:spacing w:before="0" w:beforeAutospacing="0" w:after="0" w:afterAutospacing="0"/>
              <w:rPr>
                <w:sz w:val="20"/>
                <w:szCs w:val="20"/>
              </w:rPr>
            </w:pPr>
            <w:r>
              <w:rPr>
                <w:sz w:val="20"/>
                <w:szCs w:val="20"/>
              </w:rPr>
              <w:t>Vice President, Strategic Initiatives – Renewable Energ</w:t>
            </w:r>
            <w:r>
              <w:rPr>
                <w:sz w:val="20"/>
                <w:szCs w:val="20"/>
              </w:rPr>
              <w:t>y</w:t>
            </w:r>
          </w:p>
        </w:tc>
      </w:tr>
      <w:tr w:rsidR="00000000" w14:paraId="1D8EBC24" w14:textId="77777777">
        <w:trPr>
          <w:trHeight w:val="200"/>
          <w:tblCellSpacing w:w="15" w:type="dxa"/>
        </w:trPr>
        <w:tc>
          <w:tcPr>
            <w:tcW w:w="0" w:type="auto"/>
            <w:hideMark/>
          </w:tcPr>
          <w:p w14:paraId="2D72D0A4" w14:textId="77777777" w:rsidR="00000000" w:rsidRDefault="00832D71">
            <w:pPr>
              <w:pStyle w:val="a3"/>
              <w:spacing w:before="0" w:beforeAutospacing="0" w:after="0" w:afterAutospacing="0"/>
              <w:rPr>
                <w:sz w:val="20"/>
                <w:szCs w:val="20"/>
              </w:rPr>
            </w:pPr>
            <w:r>
              <w:rPr>
                <w:sz w:val="20"/>
                <w:szCs w:val="20"/>
              </w:rPr>
              <w:t>A. Davin D’Ambrosi</w:t>
            </w:r>
            <w:r>
              <w:rPr>
                <w:sz w:val="20"/>
                <w:szCs w:val="20"/>
              </w:rPr>
              <w:t>o</w:t>
            </w:r>
          </w:p>
        </w:tc>
        <w:tc>
          <w:tcPr>
            <w:tcW w:w="0" w:type="auto"/>
            <w:hideMark/>
          </w:tcPr>
          <w:p w14:paraId="28BAF16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6CCE3BD"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8</w:t>
            </w:r>
          </w:p>
        </w:tc>
        <w:tc>
          <w:tcPr>
            <w:tcW w:w="0" w:type="auto"/>
            <w:hideMark/>
          </w:tcPr>
          <w:p w14:paraId="1D49928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A872477" w14:textId="77777777" w:rsidR="00000000" w:rsidRDefault="00832D71">
            <w:pPr>
              <w:pStyle w:val="a3"/>
              <w:spacing w:before="0" w:beforeAutospacing="0" w:after="0" w:afterAutospacing="0"/>
              <w:rPr>
                <w:sz w:val="20"/>
                <w:szCs w:val="20"/>
              </w:rPr>
            </w:pPr>
            <w:r>
              <w:rPr>
                <w:sz w:val="20"/>
                <w:szCs w:val="20"/>
              </w:rPr>
              <w:t>Vice President and Treasure</w:t>
            </w:r>
            <w:r>
              <w:rPr>
                <w:sz w:val="20"/>
                <w:szCs w:val="20"/>
              </w:rPr>
              <w:t>r</w:t>
            </w:r>
          </w:p>
        </w:tc>
      </w:tr>
      <w:tr w:rsidR="00000000" w14:paraId="7BC07BA8" w14:textId="77777777">
        <w:trPr>
          <w:trHeight w:val="200"/>
          <w:tblCellSpacing w:w="15" w:type="dxa"/>
        </w:trPr>
        <w:tc>
          <w:tcPr>
            <w:tcW w:w="0" w:type="auto"/>
            <w:hideMark/>
          </w:tcPr>
          <w:p w14:paraId="07D4772D" w14:textId="77777777" w:rsidR="00000000" w:rsidRDefault="00832D71">
            <w:pPr>
              <w:pStyle w:val="a3"/>
              <w:spacing w:before="0" w:beforeAutospacing="0" w:after="0" w:afterAutospacing="0"/>
              <w:rPr>
                <w:sz w:val="20"/>
                <w:szCs w:val="20"/>
              </w:rPr>
            </w:pPr>
            <w:r>
              <w:rPr>
                <w:sz w:val="20"/>
                <w:szCs w:val="20"/>
              </w:rPr>
              <w:t>John D. Field</w:t>
            </w:r>
            <w:r>
              <w:rPr>
                <w:sz w:val="20"/>
                <w:szCs w:val="20"/>
              </w:rPr>
              <w:t>s</w:t>
            </w:r>
          </w:p>
        </w:tc>
        <w:tc>
          <w:tcPr>
            <w:tcW w:w="0" w:type="auto"/>
            <w:hideMark/>
          </w:tcPr>
          <w:p w14:paraId="7CECBD1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1202033"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7</w:t>
            </w:r>
          </w:p>
        </w:tc>
        <w:tc>
          <w:tcPr>
            <w:tcW w:w="0" w:type="auto"/>
            <w:hideMark/>
          </w:tcPr>
          <w:p w14:paraId="687FFCC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11207C3" w14:textId="77777777" w:rsidR="00000000" w:rsidRDefault="00832D71">
            <w:pPr>
              <w:pStyle w:val="a3"/>
              <w:spacing w:before="0" w:beforeAutospacing="0" w:after="0" w:afterAutospacing="0"/>
              <w:rPr>
                <w:sz w:val="20"/>
                <w:szCs w:val="20"/>
              </w:rPr>
            </w:pPr>
            <w:r>
              <w:rPr>
                <w:sz w:val="20"/>
                <w:szCs w:val="20"/>
              </w:rPr>
              <w:t xml:space="preserve">Vice President – </w:t>
            </w:r>
            <w:r>
              <w:rPr>
                <w:sz w:val="20"/>
                <w:szCs w:val="20"/>
              </w:rPr>
              <w:t>Area Operation</w:t>
            </w:r>
            <w:r>
              <w:rPr>
                <w:sz w:val="20"/>
                <w:szCs w:val="20"/>
              </w:rPr>
              <w:t>s</w:t>
            </w:r>
          </w:p>
        </w:tc>
      </w:tr>
      <w:tr w:rsidR="00000000" w14:paraId="0E591395" w14:textId="77777777">
        <w:trPr>
          <w:trHeight w:val="200"/>
          <w:tblCellSpacing w:w="15" w:type="dxa"/>
        </w:trPr>
        <w:tc>
          <w:tcPr>
            <w:tcW w:w="0" w:type="auto"/>
            <w:hideMark/>
          </w:tcPr>
          <w:p w14:paraId="2254E899" w14:textId="77777777" w:rsidR="00000000" w:rsidRDefault="00832D71">
            <w:pPr>
              <w:pStyle w:val="a3"/>
              <w:spacing w:before="0" w:beforeAutospacing="0" w:after="0" w:afterAutospacing="0"/>
              <w:rPr>
                <w:sz w:val="20"/>
                <w:szCs w:val="20"/>
              </w:rPr>
            </w:pPr>
            <w:r>
              <w:rPr>
                <w:sz w:val="20"/>
                <w:szCs w:val="20"/>
              </w:rPr>
              <w:t>Bryon L. Koepk</w:t>
            </w:r>
            <w:r>
              <w:rPr>
                <w:sz w:val="20"/>
                <w:szCs w:val="20"/>
              </w:rPr>
              <w:t>e</w:t>
            </w:r>
          </w:p>
        </w:tc>
        <w:tc>
          <w:tcPr>
            <w:tcW w:w="0" w:type="auto"/>
            <w:hideMark/>
          </w:tcPr>
          <w:p w14:paraId="2E6C062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13403F2"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0</w:t>
            </w:r>
          </w:p>
        </w:tc>
        <w:tc>
          <w:tcPr>
            <w:tcW w:w="0" w:type="auto"/>
            <w:hideMark/>
          </w:tcPr>
          <w:p w14:paraId="43881A3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7630F91" w14:textId="77777777" w:rsidR="00000000" w:rsidRDefault="00832D71">
            <w:pPr>
              <w:pStyle w:val="a3"/>
              <w:spacing w:before="0" w:beforeAutospacing="0" w:after="0" w:afterAutospacing="0"/>
              <w:rPr>
                <w:sz w:val="20"/>
                <w:szCs w:val="20"/>
              </w:rPr>
            </w:pPr>
            <w:r>
              <w:rPr>
                <w:sz w:val="20"/>
                <w:szCs w:val="20"/>
              </w:rPr>
              <w:t>Vice President – General Counsel and Secretar</w:t>
            </w:r>
            <w:r>
              <w:rPr>
                <w:sz w:val="20"/>
                <w:szCs w:val="20"/>
              </w:rPr>
              <w:t>y</w:t>
            </w:r>
          </w:p>
        </w:tc>
      </w:tr>
      <w:tr w:rsidR="00000000" w14:paraId="6840DD00" w14:textId="77777777">
        <w:trPr>
          <w:trHeight w:val="200"/>
          <w:tblCellSpacing w:w="15" w:type="dxa"/>
        </w:trPr>
        <w:tc>
          <w:tcPr>
            <w:tcW w:w="0" w:type="auto"/>
            <w:hideMark/>
          </w:tcPr>
          <w:p w14:paraId="0A50EFCF" w14:textId="77777777" w:rsidR="00000000" w:rsidRDefault="00832D71">
            <w:pPr>
              <w:pStyle w:val="a3"/>
              <w:spacing w:before="0" w:beforeAutospacing="0" w:after="0" w:afterAutospacing="0"/>
              <w:rPr>
                <w:sz w:val="20"/>
                <w:szCs w:val="20"/>
              </w:rPr>
            </w:pPr>
            <w:r>
              <w:rPr>
                <w:sz w:val="20"/>
                <w:szCs w:val="20"/>
              </w:rPr>
              <w:t>Keith P. Onderdon</w:t>
            </w:r>
            <w:r>
              <w:rPr>
                <w:sz w:val="20"/>
                <w:szCs w:val="20"/>
              </w:rPr>
              <w:t>k</w:t>
            </w:r>
          </w:p>
        </w:tc>
        <w:tc>
          <w:tcPr>
            <w:tcW w:w="0" w:type="auto"/>
            <w:hideMark/>
          </w:tcPr>
          <w:p w14:paraId="5E0C7FE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093F1D3"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8</w:t>
            </w:r>
          </w:p>
        </w:tc>
        <w:tc>
          <w:tcPr>
            <w:tcW w:w="0" w:type="auto"/>
            <w:hideMark/>
          </w:tcPr>
          <w:p w14:paraId="66B0FFD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F54EE25" w14:textId="77777777" w:rsidR="00000000" w:rsidRDefault="00832D71">
            <w:pPr>
              <w:pStyle w:val="a3"/>
              <w:spacing w:before="0" w:beforeAutospacing="0" w:after="0" w:afterAutospacing="0"/>
              <w:rPr>
                <w:sz w:val="20"/>
                <w:szCs w:val="20"/>
              </w:rPr>
            </w:pPr>
            <w:r>
              <w:rPr>
                <w:sz w:val="20"/>
                <w:szCs w:val="20"/>
              </w:rPr>
              <w:t>Vice President – Operational Suppor</w:t>
            </w:r>
            <w:r>
              <w:rPr>
                <w:sz w:val="20"/>
                <w:szCs w:val="20"/>
              </w:rPr>
              <w:t>t</w:t>
            </w:r>
          </w:p>
        </w:tc>
      </w:tr>
      <w:tr w:rsidR="00000000" w14:paraId="55E17F97" w14:textId="77777777">
        <w:trPr>
          <w:trHeight w:val="200"/>
          <w:tblCellSpacing w:w="15" w:type="dxa"/>
        </w:trPr>
        <w:tc>
          <w:tcPr>
            <w:tcW w:w="0" w:type="auto"/>
            <w:hideMark/>
          </w:tcPr>
          <w:p w14:paraId="1B6B47DB" w14:textId="77777777" w:rsidR="00000000" w:rsidRDefault="00832D71">
            <w:pPr>
              <w:pStyle w:val="a3"/>
              <w:spacing w:before="0" w:beforeAutospacing="0" w:after="0" w:afterAutospacing="0"/>
              <w:rPr>
                <w:sz w:val="20"/>
                <w:szCs w:val="20"/>
              </w:rPr>
            </w:pPr>
            <w:r>
              <w:rPr>
                <w:sz w:val="20"/>
                <w:szCs w:val="20"/>
              </w:rPr>
              <w:t>Robert T. Ros</w:t>
            </w:r>
            <w:r>
              <w:rPr>
                <w:sz w:val="20"/>
                <w:szCs w:val="20"/>
              </w:rPr>
              <w:t>s</w:t>
            </w:r>
          </w:p>
        </w:tc>
        <w:tc>
          <w:tcPr>
            <w:tcW w:w="0" w:type="auto"/>
            <w:hideMark/>
          </w:tcPr>
          <w:p w14:paraId="7DB063E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2F4F8AB" w14:textId="77777777" w:rsidR="00000000" w:rsidRDefault="00832D71">
            <w:pPr>
              <w:pStyle w:val="a3"/>
              <w:spacing w:before="0" w:beforeAutospacing="0" w:after="0" w:afterAutospacing="0"/>
              <w:jc w:val="center"/>
              <w:rPr>
                <w:sz w:val="20"/>
                <w:szCs w:val="20"/>
              </w:rPr>
            </w:pPr>
            <w:r>
              <w:rPr>
                <w:sz w:val="20"/>
                <w:szCs w:val="20"/>
              </w:rPr>
              <w:t>6</w:t>
            </w:r>
            <w:r>
              <w:rPr>
                <w:sz w:val="20"/>
                <w:szCs w:val="20"/>
              </w:rPr>
              <w:t>9</w:t>
            </w:r>
          </w:p>
        </w:tc>
        <w:tc>
          <w:tcPr>
            <w:tcW w:w="0" w:type="auto"/>
            <w:hideMark/>
          </w:tcPr>
          <w:p w14:paraId="3AF4A60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692B974" w14:textId="77777777" w:rsidR="00000000" w:rsidRDefault="00832D71">
            <w:pPr>
              <w:pStyle w:val="a3"/>
              <w:spacing w:before="0" w:beforeAutospacing="0" w:after="0" w:afterAutospacing="0"/>
              <w:rPr>
                <w:sz w:val="20"/>
                <w:szCs w:val="20"/>
              </w:rPr>
            </w:pPr>
            <w:r>
              <w:rPr>
                <w:sz w:val="20"/>
                <w:szCs w:val="20"/>
              </w:rPr>
              <w:t>Vice President – Area Operation</w:t>
            </w:r>
            <w:r>
              <w:rPr>
                <w:sz w:val="20"/>
                <w:szCs w:val="20"/>
              </w:rPr>
              <w:t>s</w:t>
            </w:r>
          </w:p>
        </w:tc>
      </w:tr>
      <w:tr w:rsidR="00000000" w14:paraId="31D85EE1" w14:textId="77777777">
        <w:trPr>
          <w:trHeight w:val="200"/>
          <w:tblCellSpacing w:w="15" w:type="dxa"/>
        </w:trPr>
        <w:tc>
          <w:tcPr>
            <w:tcW w:w="0" w:type="auto"/>
            <w:hideMark/>
          </w:tcPr>
          <w:p w14:paraId="46E8A5A3" w14:textId="77777777" w:rsidR="00000000" w:rsidRDefault="00832D71">
            <w:pPr>
              <w:pStyle w:val="a3"/>
              <w:spacing w:before="0" w:beforeAutospacing="0" w:after="0" w:afterAutospacing="0"/>
              <w:rPr>
                <w:sz w:val="20"/>
                <w:szCs w:val="20"/>
              </w:rPr>
            </w:pPr>
            <w:r>
              <w:rPr>
                <w:sz w:val="20"/>
                <w:szCs w:val="20"/>
              </w:rPr>
              <w:t>Nandini Sankar</w:t>
            </w:r>
            <w:r>
              <w:rPr>
                <w:sz w:val="20"/>
                <w:szCs w:val="20"/>
              </w:rPr>
              <w:t>a</w:t>
            </w:r>
          </w:p>
        </w:tc>
        <w:tc>
          <w:tcPr>
            <w:tcW w:w="0" w:type="auto"/>
            <w:hideMark/>
          </w:tcPr>
          <w:p w14:paraId="662739A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9DAA00C" w14:textId="77777777" w:rsidR="00000000" w:rsidRDefault="00832D71">
            <w:pPr>
              <w:pStyle w:val="a3"/>
              <w:spacing w:before="0" w:beforeAutospacing="0" w:after="0" w:afterAutospacing="0"/>
              <w:jc w:val="center"/>
              <w:rPr>
                <w:sz w:val="20"/>
                <w:szCs w:val="20"/>
              </w:rPr>
            </w:pPr>
            <w:r>
              <w:rPr>
                <w:sz w:val="20"/>
                <w:szCs w:val="20"/>
              </w:rPr>
              <w:t>4</w:t>
            </w:r>
            <w:r>
              <w:rPr>
                <w:sz w:val="20"/>
                <w:szCs w:val="20"/>
              </w:rPr>
              <w:t>3</w:t>
            </w:r>
          </w:p>
        </w:tc>
        <w:tc>
          <w:tcPr>
            <w:tcW w:w="0" w:type="auto"/>
            <w:hideMark/>
          </w:tcPr>
          <w:p w14:paraId="233A959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988D822" w14:textId="77777777" w:rsidR="00000000" w:rsidRDefault="00832D71">
            <w:pPr>
              <w:pStyle w:val="a3"/>
              <w:spacing w:before="0" w:beforeAutospacing="0" w:after="0" w:afterAutospacing="0"/>
              <w:rPr>
                <w:sz w:val="20"/>
                <w:szCs w:val="20"/>
              </w:rPr>
            </w:pPr>
            <w:r>
              <w:rPr>
                <w:sz w:val="20"/>
                <w:szCs w:val="20"/>
              </w:rPr>
              <w:t>Vice President – Marketing and Brand Strateg</w:t>
            </w:r>
            <w:r>
              <w:rPr>
                <w:sz w:val="20"/>
                <w:szCs w:val="20"/>
              </w:rPr>
              <w:t>y</w:t>
            </w:r>
          </w:p>
        </w:tc>
      </w:tr>
      <w:tr w:rsidR="00000000" w14:paraId="7E74DFC7" w14:textId="77777777">
        <w:trPr>
          <w:trHeight w:val="200"/>
          <w:tblCellSpacing w:w="15" w:type="dxa"/>
        </w:trPr>
        <w:tc>
          <w:tcPr>
            <w:tcW w:w="0" w:type="auto"/>
            <w:hideMark/>
          </w:tcPr>
          <w:p w14:paraId="54BC9F00" w14:textId="77777777" w:rsidR="00000000" w:rsidRDefault="00832D71">
            <w:pPr>
              <w:pStyle w:val="a3"/>
              <w:spacing w:before="0" w:beforeAutospacing="0" w:after="0" w:afterAutospacing="0"/>
              <w:rPr>
                <w:sz w:val="20"/>
                <w:szCs w:val="20"/>
              </w:rPr>
            </w:pPr>
            <w:r>
              <w:rPr>
                <w:sz w:val="20"/>
                <w:szCs w:val="20"/>
              </w:rPr>
              <w:t>Michael A. Schuele</w:t>
            </w:r>
            <w:r>
              <w:rPr>
                <w:sz w:val="20"/>
                <w:szCs w:val="20"/>
              </w:rPr>
              <w:t>r</w:t>
            </w:r>
          </w:p>
        </w:tc>
        <w:tc>
          <w:tcPr>
            <w:tcW w:w="0" w:type="auto"/>
            <w:hideMark/>
          </w:tcPr>
          <w:p w14:paraId="632CA4D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2BD47F1"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6</w:t>
            </w:r>
          </w:p>
        </w:tc>
        <w:tc>
          <w:tcPr>
            <w:tcW w:w="0" w:type="auto"/>
            <w:hideMark/>
          </w:tcPr>
          <w:p w14:paraId="727DAEF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AAEC97E" w14:textId="77777777" w:rsidR="00000000" w:rsidRDefault="00832D71">
            <w:pPr>
              <w:pStyle w:val="a3"/>
              <w:spacing w:before="0" w:beforeAutospacing="0" w:after="0" w:afterAutospacing="0"/>
              <w:rPr>
                <w:sz w:val="20"/>
                <w:szCs w:val="20"/>
              </w:rPr>
            </w:pPr>
            <w:r>
              <w:rPr>
                <w:sz w:val="20"/>
                <w:szCs w:val="20"/>
              </w:rPr>
              <w:t>Vice President – Product Suppl</w:t>
            </w:r>
            <w:r>
              <w:rPr>
                <w:sz w:val="20"/>
                <w:szCs w:val="20"/>
              </w:rPr>
              <w:t>y</w:t>
            </w:r>
          </w:p>
        </w:tc>
      </w:tr>
      <w:tr w:rsidR="00000000" w14:paraId="1E473671" w14:textId="77777777">
        <w:trPr>
          <w:trHeight w:val="200"/>
          <w:tblCellSpacing w:w="15" w:type="dxa"/>
        </w:trPr>
        <w:tc>
          <w:tcPr>
            <w:tcW w:w="0" w:type="auto"/>
            <w:hideMark/>
          </w:tcPr>
          <w:p w14:paraId="64B9E2E8" w14:textId="77777777" w:rsidR="00000000" w:rsidRDefault="00832D71">
            <w:pPr>
              <w:pStyle w:val="a3"/>
              <w:spacing w:before="0" w:beforeAutospacing="0" w:after="0" w:afterAutospacing="0"/>
              <w:rPr>
                <w:sz w:val="20"/>
                <w:szCs w:val="20"/>
              </w:rPr>
            </w:pPr>
            <w:r>
              <w:rPr>
                <w:sz w:val="20"/>
                <w:szCs w:val="20"/>
              </w:rPr>
              <w:t>Dee Arthur Tat</w:t>
            </w:r>
            <w:r>
              <w:rPr>
                <w:sz w:val="20"/>
                <w:szCs w:val="20"/>
              </w:rPr>
              <w:t>e</w:t>
            </w:r>
          </w:p>
        </w:tc>
        <w:tc>
          <w:tcPr>
            <w:tcW w:w="0" w:type="auto"/>
            <w:hideMark/>
          </w:tcPr>
          <w:p w14:paraId="4A42C3C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E5EBAC1"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8</w:t>
            </w:r>
          </w:p>
        </w:tc>
        <w:tc>
          <w:tcPr>
            <w:tcW w:w="0" w:type="auto"/>
            <w:hideMark/>
          </w:tcPr>
          <w:p w14:paraId="132F872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160EBEA" w14:textId="77777777" w:rsidR="00000000" w:rsidRDefault="00832D71">
            <w:pPr>
              <w:pStyle w:val="a3"/>
              <w:spacing w:before="0" w:beforeAutospacing="0" w:after="0" w:afterAutospacing="0"/>
              <w:rPr>
                <w:sz w:val="20"/>
                <w:szCs w:val="20"/>
              </w:rPr>
            </w:pPr>
            <w:r>
              <w:rPr>
                <w:sz w:val="20"/>
                <w:szCs w:val="20"/>
              </w:rPr>
              <w:t>Vice President – Area Operation</w:t>
            </w:r>
            <w:r>
              <w:rPr>
                <w:sz w:val="20"/>
                <w:szCs w:val="20"/>
              </w:rPr>
              <w:t>s</w:t>
            </w:r>
          </w:p>
        </w:tc>
      </w:tr>
      <w:tr w:rsidR="00000000" w14:paraId="53FA9EBB" w14:textId="77777777">
        <w:trPr>
          <w:trHeight w:val="200"/>
          <w:tblCellSpacing w:w="15" w:type="dxa"/>
        </w:trPr>
        <w:tc>
          <w:tcPr>
            <w:tcW w:w="0" w:type="auto"/>
            <w:hideMark/>
          </w:tcPr>
          <w:p w14:paraId="2D005D00" w14:textId="77777777" w:rsidR="00000000" w:rsidRDefault="00832D71">
            <w:pPr>
              <w:pStyle w:val="a3"/>
              <w:spacing w:before="0" w:beforeAutospacing="0" w:after="0" w:afterAutospacing="0"/>
              <w:rPr>
                <w:sz w:val="20"/>
                <w:szCs w:val="20"/>
              </w:rPr>
            </w:pPr>
            <w:r>
              <w:rPr>
                <w:sz w:val="20"/>
                <w:szCs w:val="20"/>
              </w:rPr>
              <w:t>Matthew J. Chani</w:t>
            </w:r>
            <w:r>
              <w:rPr>
                <w:sz w:val="20"/>
                <w:szCs w:val="20"/>
              </w:rPr>
              <w:t>n</w:t>
            </w:r>
          </w:p>
        </w:tc>
        <w:tc>
          <w:tcPr>
            <w:tcW w:w="0" w:type="auto"/>
            <w:hideMark/>
          </w:tcPr>
          <w:p w14:paraId="01FC9B9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2E91052" w14:textId="77777777" w:rsidR="00000000" w:rsidRDefault="00832D71">
            <w:pPr>
              <w:pStyle w:val="a3"/>
              <w:spacing w:before="0" w:beforeAutospacing="0" w:after="0" w:afterAutospacing="0"/>
              <w:jc w:val="center"/>
              <w:rPr>
                <w:sz w:val="20"/>
                <w:szCs w:val="20"/>
              </w:rPr>
            </w:pPr>
            <w:r>
              <w:rPr>
                <w:sz w:val="20"/>
                <w:szCs w:val="20"/>
              </w:rPr>
              <w:t>6</w:t>
            </w:r>
            <w:r>
              <w:rPr>
                <w:sz w:val="20"/>
                <w:szCs w:val="20"/>
              </w:rPr>
              <w:t>8</w:t>
            </w:r>
          </w:p>
        </w:tc>
        <w:tc>
          <w:tcPr>
            <w:tcW w:w="0" w:type="auto"/>
            <w:hideMark/>
          </w:tcPr>
          <w:p w14:paraId="5224034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A9F1522" w14:textId="77777777" w:rsidR="00000000" w:rsidRDefault="00832D71">
            <w:pPr>
              <w:pStyle w:val="a3"/>
              <w:spacing w:before="0" w:beforeAutospacing="0" w:after="0" w:afterAutospacing="0"/>
              <w:rPr>
                <w:sz w:val="20"/>
                <w:szCs w:val="20"/>
              </w:rPr>
            </w:pPr>
            <w:r>
              <w:rPr>
                <w:sz w:val="20"/>
                <w:szCs w:val="20"/>
              </w:rPr>
              <w:t>Member of the Board of Supervisors (Board Chair and Chair of Nomina</w:t>
            </w:r>
            <w:r>
              <w:rPr>
                <w:sz w:val="20"/>
                <w:szCs w:val="20"/>
              </w:rPr>
              <w:t>ting/Governance Committee</w:t>
            </w:r>
            <w:r>
              <w:rPr>
                <w:sz w:val="20"/>
                <w:szCs w:val="20"/>
              </w:rPr>
              <w:t>)</w:t>
            </w:r>
            <w:r>
              <w:rPr>
                <w:sz w:val="20"/>
                <w:szCs w:val="20"/>
              </w:rPr>
              <w:t xml:space="preserve"> </w:t>
            </w:r>
          </w:p>
        </w:tc>
      </w:tr>
      <w:tr w:rsidR="00000000" w14:paraId="05D3CFD2" w14:textId="77777777">
        <w:trPr>
          <w:trHeight w:val="200"/>
          <w:tblCellSpacing w:w="15" w:type="dxa"/>
        </w:trPr>
        <w:tc>
          <w:tcPr>
            <w:tcW w:w="0" w:type="auto"/>
            <w:hideMark/>
          </w:tcPr>
          <w:p w14:paraId="50A83C8E" w14:textId="77777777" w:rsidR="00000000" w:rsidRDefault="00832D71">
            <w:pPr>
              <w:pStyle w:val="a3"/>
              <w:spacing w:before="0" w:beforeAutospacing="0" w:after="0" w:afterAutospacing="0"/>
              <w:rPr>
                <w:sz w:val="20"/>
                <w:szCs w:val="20"/>
              </w:rPr>
            </w:pPr>
            <w:r>
              <w:rPr>
                <w:sz w:val="20"/>
                <w:szCs w:val="20"/>
              </w:rPr>
              <w:t>Harold R. Logan, Jr</w:t>
            </w:r>
            <w:r>
              <w:rPr>
                <w:sz w:val="20"/>
                <w:szCs w:val="20"/>
              </w:rPr>
              <w:t>.</w:t>
            </w:r>
          </w:p>
        </w:tc>
        <w:tc>
          <w:tcPr>
            <w:tcW w:w="0" w:type="auto"/>
            <w:hideMark/>
          </w:tcPr>
          <w:p w14:paraId="6127FE8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65BA2C8" w14:textId="77777777" w:rsidR="00000000" w:rsidRDefault="00832D71">
            <w:pPr>
              <w:pStyle w:val="a3"/>
              <w:spacing w:before="0" w:beforeAutospacing="0" w:after="0" w:afterAutospacing="0"/>
              <w:jc w:val="center"/>
              <w:rPr>
                <w:sz w:val="20"/>
                <w:szCs w:val="20"/>
              </w:rPr>
            </w:pPr>
            <w:r>
              <w:rPr>
                <w:sz w:val="20"/>
                <w:szCs w:val="20"/>
              </w:rPr>
              <w:t>7</w:t>
            </w:r>
            <w:r>
              <w:rPr>
                <w:sz w:val="20"/>
                <w:szCs w:val="20"/>
              </w:rPr>
              <w:t>8</w:t>
            </w:r>
          </w:p>
        </w:tc>
        <w:tc>
          <w:tcPr>
            <w:tcW w:w="0" w:type="auto"/>
            <w:hideMark/>
          </w:tcPr>
          <w:p w14:paraId="1480BF8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A4074F6" w14:textId="77777777" w:rsidR="00000000" w:rsidRDefault="00832D71">
            <w:pPr>
              <w:pStyle w:val="a3"/>
              <w:spacing w:before="0" w:beforeAutospacing="0" w:after="0" w:afterAutospacing="0"/>
              <w:rPr>
                <w:sz w:val="20"/>
                <w:szCs w:val="20"/>
              </w:rPr>
            </w:pPr>
            <w:r>
              <w:rPr>
                <w:sz w:val="20"/>
                <w:szCs w:val="20"/>
              </w:rPr>
              <w:t>Member of the Board of Supervisor</w:t>
            </w:r>
            <w:r>
              <w:rPr>
                <w:sz w:val="20"/>
                <w:szCs w:val="20"/>
              </w:rPr>
              <w:t>s</w:t>
            </w:r>
          </w:p>
        </w:tc>
      </w:tr>
      <w:tr w:rsidR="00000000" w14:paraId="69D568F1" w14:textId="77777777">
        <w:trPr>
          <w:trHeight w:val="200"/>
          <w:tblCellSpacing w:w="15" w:type="dxa"/>
        </w:trPr>
        <w:tc>
          <w:tcPr>
            <w:tcW w:w="0" w:type="auto"/>
            <w:hideMark/>
          </w:tcPr>
          <w:p w14:paraId="29D86596" w14:textId="77777777" w:rsidR="00000000" w:rsidRDefault="00832D71">
            <w:pPr>
              <w:pStyle w:val="a3"/>
              <w:spacing w:before="0" w:beforeAutospacing="0" w:after="0" w:afterAutospacing="0"/>
              <w:rPr>
                <w:sz w:val="20"/>
                <w:szCs w:val="20"/>
              </w:rPr>
            </w:pPr>
            <w:r>
              <w:rPr>
                <w:sz w:val="20"/>
                <w:szCs w:val="20"/>
              </w:rPr>
              <w:t>Jane Swif</w:t>
            </w:r>
            <w:r>
              <w:rPr>
                <w:sz w:val="20"/>
                <w:szCs w:val="20"/>
              </w:rPr>
              <w:t>t</w:t>
            </w:r>
          </w:p>
        </w:tc>
        <w:tc>
          <w:tcPr>
            <w:tcW w:w="0" w:type="auto"/>
            <w:hideMark/>
          </w:tcPr>
          <w:p w14:paraId="6DBDEB1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9F14CD1"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7</w:t>
            </w:r>
          </w:p>
        </w:tc>
        <w:tc>
          <w:tcPr>
            <w:tcW w:w="0" w:type="auto"/>
            <w:hideMark/>
          </w:tcPr>
          <w:p w14:paraId="291CB7E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DC7174B" w14:textId="77777777" w:rsidR="00000000" w:rsidRDefault="00832D71">
            <w:pPr>
              <w:pStyle w:val="a3"/>
              <w:spacing w:before="0" w:beforeAutospacing="0" w:after="0" w:afterAutospacing="0"/>
              <w:rPr>
                <w:sz w:val="20"/>
                <w:szCs w:val="20"/>
              </w:rPr>
            </w:pPr>
            <w:r>
              <w:rPr>
                <w:sz w:val="20"/>
                <w:szCs w:val="20"/>
              </w:rPr>
              <w:t>Member of the Board of Supervisors (Chair of the Compensation Committee</w:t>
            </w:r>
            <w:r>
              <w:rPr>
                <w:sz w:val="20"/>
                <w:szCs w:val="20"/>
              </w:rPr>
              <w:t>)</w:t>
            </w:r>
          </w:p>
        </w:tc>
      </w:tr>
      <w:tr w:rsidR="00000000" w14:paraId="1759F1DA" w14:textId="77777777">
        <w:trPr>
          <w:trHeight w:val="200"/>
          <w:tblCellSpacing w:w="15" w:type="dxa"/>
        </w:trPr>
        <w:tc>
          <w:tcPr>
            <w:tcW w:w="0" w:type="auto"/>
            <w:hideMark/>
          </w:tcPr>
          <w:p w14:paraId="3B27D771" w14:textId="77777777" w:rsidR="00000000" w:rsidRDefault="00832D71">
            <w:pPr>
              <w:pStyle w:val="a3"/>
              <w:spacing w:before="0" w:beforeAutospacing="0" w:after="0" w:afterAutospacing="0"/>
              <w:rPr>
                <w:sz w:val="20"/>
                <w:szCs w:val="20"/>
              </w:rPr>
            </w:pPr>
            <w:r>
              <w:rPr>
                <w:sz w:val="20"/>
                <w:szCs w:val="20"/>
              </w:rPr>
              <w:t>Lawrence C. Caldwel</w:t>
            </w:r>
            <w:r>
              <w:rPr>
                <w:sz w:val="20"/>
                <w:szCs w:val="20"/>
              </w:rPr>
              <w:t>l</w:t>
            </w:r>
          </w:p>
        </w:tc>
        <w:tc>
          <w:tcPr>
            <w:tcW w:w="0" w:type="auto"/>
            <w:hideMark/>
          </w:tcPr>
          <w:p w14:paraId="0280E77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63D6D4B" w14:textId="77777777" w:rsidR="00000000" w:rsidRDefault="00832D71">
            <w:pPr>
              <w:pStyle w:val="a3"/>
              <w:spacing w:before="0" w:beforeAutospacing="0" w:after="0" w:afterAutospacing="0"/>
              <w:jc w:val="center"/>
              <w:rPr>
                <w:sz w:val="20"/>
                <w:szCs w:val="20"/>
              </w:rPr>
            </w:pPr>
            <w:r>
              <w:rPr>
                <w:sz w:val="20"/>
                <w:szCs w:val="20"/>
              </w:rPr>
              <w:t>7</w:t>
            </w:r>
            <w:r>
              <w:rPr>
                <w:sz w:val="20"/>
                <w:szCs w:val="20"/>
              </w:rPr>
              <w:t>6</w:t>
            </w:r>
          </w:p>
        </w:tc>
        <w:tc>
          <w:tcPr>
            <w:tcW w:w="0" w:type="auto"/>
            <w:hideMark/>
          </w:tcPr>
          <w:p w14:paraId="1D96A9A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7F6EFCA" w14:textId="77777777" w:rsidR="00000000" w:rsidRDefault="00832D71">
            <w:pPr>
              <w:pStyle w:val="a3"/>
              <w:spacing w:before="0" w:beforeAutospacing="0" w:after="0" w:afterAutospacing="0"/>
              <w:rPr>
                <w:sz w:val="20"/>
                <w:szCs w:val="20"/>
              </w:rPr>
            </w:pPr>
            <w:r>
              <w:rPr>
                <w:sz w:val="20"/>
                <w:szCs w:val="20"/>
              </w:rPr>
              <w:t>Member of the Board of Supervisor</w:t>
            </w:r>
            <w:r>
              <w:rPr>
                <w:sz w:val="20"/>
                <w:szCs w:val="20"/>
              </w:rPr>
              <w:t>s</w:t>
            </w:r>
          </w:p>
        </w:tc>
      </w:tr>
      <w:tr w:rsidR="00000000" w14:paraId="649F3F1D" w14:textId="77777777">
        <w:trPr>
          <w:trHeight w:val="200"/>
          <w:tblCellSpacing w:w="15" w:type="dxa"/>
        </w:trPr>
        <w:tc>
          <w:tcPr>
            <w:tcW w:w="0" w:type="auto"/>
            <w:hideMark/>
          </w:tcPr>
          <w:p w14:paraId="709FE706" w14:textId="77777777" w:rsidR="00000000" w:rsidRDefault="00832D71">
            <w:pPr>
              <w:pStyle w:val="a3"/>
              <w:spacing w:before="0" w:beforeAutospacing="0" w:after="0" w:afterAutospacing="0"/>
              <w:rPr>
                <w:sz w:val="20"/>
                <w:szCs w:val="20"/>
              </w:rPr>
            </w:pPr>
            <w:r>
              <w:rPr>
                <w:sz w:val="20"/>
                <w:szCs w:val="20"/>
              </w:rPr>
              <w:t>Terence J. Connor</w:t>
            </w:r>
            <w:r>
              <w:rPr>
                <w:sz w:val="20"/>
                <w:szCs w:val="20"/>
              </w:rPr>
              <w:t>s</w:t>
            </w:r>
          </w:p>
        </w:tc>
        <w:tc>
          <w:tcPr>
            <w:tcW w:w="0" w:type="auto"/>
            <w:hideMark/>
          </w:tcPr>
          <w:p w14:paraId="416EBF2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0A8EDB3" w14:textId="77777777" w:rsidR="00000000" w:rsidRDefault="00832D71">
            <w:pPr>
              <w:pStyle w:val="a3"/>
              <w:spacing w:before="0" w:beforeAutospacing="0" w:after="0" w:afterAutospacing="0"/>
              <w:jc w:val="center"/>
              <w:rPr>
                <w:sz w:val="20"/>
                <w:szCs w:val="20"/>
              </w:rPr>
            </w:pPr>
            <w:r>
              <w:rPr>
                <w:sz w:val="20"/>
                <w:szCs w:val="20"/>
              </w:rPr>
              <w:t>6</w:t>
            </w:r>
            <w:r>
              <w:rPr>
                <w:sz w:val="20"/>
                <w:szCs w:val="20"/>
              </w:rPr>
              <w:t>7</w:t>
            </w:r>
          </w:p>
        </w:tc>
        <w:tc>
          <w:tcPr>
            <w:tcW w:w="0" w:type="auto"/>
            <w:hideMark/>
          </w:tcPr>
          <w:p w14:paraId="7BB3C96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B41C13E" w14:textId="77777777" w:rsidR="00000000" w:rsidRDefault="00832D71">
            <w:pPr>
              <w:pStyle w:val="a3"/>
              <w:spacing w:before="0" w:beforeAutospacing="0" w:after="0" w:afterAutospacing="0"/>
              <w:rPr>
                <w:sz w:val="20"/>
                <w:szCs w:val="20"/>
              </w:rPr>
            </w:pPr>
            <w:r>
              <w:rPr>
                <w:sz w:val="20"/>
                <w:szCs w:val="20"/>
              </w:rPr>
              <w:t>Member of the Board of Supervisors (Chair of the Audit Committee</w:t>
            </w:r>
            <w:r>
              <w:rPr>
                <w:sz w:val="20"/>
                <w:szCs w:val="20"/>
              </w:rPr>
              <w:t>)</w:t>
            </w:r>
          </w:p>
        </w:tc>
      </w:tr>
      <w:tr w:rsidR="00000000" w14:paraId="095E75B3" w14:textId="77777777">
        <w:trPr>
          <w:trHeight w:val="200"/>
          <w:tblCellSpacing w:w="15" w:type="dxa"/>
        </w:trPr>
        <w:tc>
          <w:tcPr>
            <w:tcW w:w="0" w:type="auto"/>
            <w:hideMark/>
          </w:tcPr>
          <w:p w14:paraId="4C452256" w14:textId="77777777" w:rsidR="00000000" w:rsidRDefault="00832D71">
            <w:pPr>
              <w:pStyle w:val="a3"/>
              <w:spacing w:before="0" w:beforeAutospacing="0" w:after="0" w:afterAutospacing="0"/>
              <w:rPr>
                <w:sz w:val="20"/>
                <w:szCs w:val="20"/>
              </w:rPr>
            </w:pPr>
            <w:r>
              <w:rPr>
                <w:sz w:val="20"/>
                <w:szCs w:val="20"/>
              </w:rPr>
              <w:t>William M. Landuy</w:t>
            </w:r>
            <w:r>
              <w:rPr>
                <w:sz w:val="20"/>
                <w:szCs w:val="20"/>
              </w:rPr>
              <w:t>t</w:t>
            </w:r>
          </w:p>
        </w:tc>
        <w:tc>
          <w:tcPr>
            <w:tcW w:w="0" w:type="auto"/>
            <w:hideMark/>
          </w:tcPr>
          <w:p w14:paraId="13431F2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10FC456" w14:textId="77777777" w:rsidR="00000000" w:rsidRDefault="00832D71">
            <w:pPr>
              <w:pStyle w:val="a3"/>
              <w:spacing w:before="0" w:beforeAutospacing="0" w:after="0" w:afterAutospacing="0"/>
              <w:jc w:val="center"/>
              <w:rPr>
                <w:sz w:val="20"/>
                <w:szCs w:val="20"/>
              </w:rPr>
            </w:pPr>
            <w:r>
              <w:rPr>
                <w:sz w:val="20"/>
                <w:szCs w:val="20"/>
              </w:rPr>
              <w:t>6</w:t>
            </w:r>
            <w:r>
              <w:rPr>
                <w:sz w:val="20"/>
                <w:szCs w:val="20"/>
              </w:rPr>
              <w:t>7</w:t>
            </w:r>
          </w:p>
        </w:tc>
        <w:tc>
          <w:tcPr>
            <w:tcW w:w="0" w:type="auto"/>
            <w:hideMark/>
          </w:tcPr>
          <w:p w14:paraId="24EBD98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705ECEA" w14:textId="77777777" w:rsidR="00000000" w:rsidRDefault="00832D71">
            <w:pPr>
              <w:pStyle w:val="a3"/>
              <w:spacing w:before="0" w:beforeAutospacing="0" w:after="0" w:afterAutospacing="0"/>
              <w:rPr>
                <w:sz w:val="20"/>
                <w:szCs w:val="20"/>
              </w:rPr>
            </w:pPr>
            <w:r>
              <w:rPr>
                <w:sz w:val="20"/>
                <w:szCs w:val="20"/>
              </w:rPr>
              <w:t>Member of the Board of Supervisor</w:t>
            </w:r>
            <w:r>
              <w:rPr>
                <w:sz w:val="20"/>
                <w:szCs w:val="20"/>
              </w:rPr>
              <w:t>s</w:t>
            </w:r>
          </w:p>
        </w:tc>
      </w:tr>
    </w:tbl>
    <w:p w14:paraId="07D5F958" w14:textId="77777777" w:rsidR="00000000" w:rsidRDefault="00832D71">
      <w:pPr>
        <w:pStyle w:val="a3"/>
        <w:spacing w:before="240" w:beforeAutospacing="0" w:after="0" w:afterAutospacing="0"/>
        <w:ind w:firstLine="555"/>
        <w:jc w:val="both"/>
        <w:rPr>
          <w:sz w:val="20"/>
          <w:szCs w:val="20"/>
        </w:rPr>
      </w:pPr>
      <w:r>
        <w:rPr>
          <w:sz w:val="20"/>
          <w:szCs w:val="20"/>
        </w:rPr>
        <w:t>Mr. Stivala has served as our President since April 2014 and as our Chief Executive Officer since September 2014. Mr. Stivala has served as a Supervisor since November 2014. From November 2009 until March 2014 he was our Chief Financial Officer, and, befor</w:t>
      </w:r>
      <w:r>
        <w:rPr>
          <w:sz w:val="20"/>
          <w:szCs w:val="20"/>
        </w:rPr>
        <w:t>e that, our Chief Financial Officer and Chief Accounting Officer since October 2007. Prior to that, he was our Controller and Chief Accounting Officer since May 2005 and Controller since December 2001. Before joining the Partnership, he held several positi</w:t>
      </w:r>
      <w:r>
        <w:rPr>
          <w:sz w:val="20"/>
          <w:szCs w:val="20"/>
        </w:rPr>
        <w:t>ons with PricewaterhouseCoopers LLP, an international accounting firm, most recently as Senior Manager in the Assurance practice. Mr. Stivala currently serves on the Board of Directors of Independence Hydrogen Inc., in which we currently own a 25% equity s</w:t>
      </w:r>
      <w:r>
        <w:rPr>
          <w:sz w:val="20"/>
          <w:szCs w:val="20"/>
        </w:rPr>
        <w:t xml:space="preserve">take; Nu:ionic Technologies Inc., in which we own a minority equity stake; Oberon Fuels, Inc., in which we currently own a 38% equity stake; and on the Board of Directors of the International DME Association. In addition, Mr. Stivala is the Chairperson of </w:t>
      </w:r>
      <w:r>
        <w:rPr>
          <w:sz w:val="20"/>
          <w:szCs w:val="20"/>
        </w:rPr>
        <w:t>the New Jersey Regional Council of the American Red Cross and a member of the Global Industry Council of the World LPG Association</w:t>
      </w:r>
      <w:r>
        <w:rPr>
          <w:sz w:val="20"/>
          <w:szCs w:val="20"/>
        </w:rPr>
        <w:t>.</w:t>
      </w:r>
    </w:p>
    <w:p w14:paraId="36CB69FB" w14:textId="77777777" w:rsidR="00000000" w:rsidRDefault="00832D71">
      <w:pPr>
        <w:pStyle w:val="a3"/>
        <w:spacing w:before="200" w:beforeAutospacing="0" w:after="0" w:afterAutospacing="0"/>
        <w:ind w:firstLine="555"/>
        <w:jc w:val="both"/>
        <w:rPr>
          <w:sz w:val="20"/>
          <w:szCs w:val="20"/>
        </w:rPr>
      </w:pPr>
      <w:r>
        <w:rPr>
          <w:sz w:val="20"/>
          <w:szCs w:val="20"/>
        </w:rPr>
        <w:t>Mr. Stivala’s qualifications to sit on our Board include his years of experience in the propane industry, including as our c</w:t>
      </w:r>
      <w:r>
        <w:rPr>
          <w:sz w:val="20"/>
          <w:szCs w:val="20"/>
        </w:rPr>
        <w:t>urrent President and Chief Executive Officer and, before that, as our Chief Financial Officer for seven years, which day to day leadership roles have provided him with intimate knowledge of our operations</w:t>
      </w:r>
      <w:r>
        <w:rPr>
          <w:sz w:val="20"/>
          <w:szCs w:val="20"/>
        </w:rPr>
        <w:t>.</w:t>
      </w:r>
    </w:p>
    <w:p w14:paraId="34AD80D3" w14:textId="77777777" w:rsidR="00000000" w:rsidRDefault="00832D71">
      <w:pPr>
        <w:pStyle w:val="a3"/>
        <w:spacing w:before="200" w:beforeAutospacing="0" w:after="0" w:afterAutospacing="0"/>
        <w:ind w:firstLine="555"/>
        <w:jc w:val="both"/>
        <w:rPr>
          <w:sz w:val="20"/>
          <w:szCs w:val="20"/>
        </w:rPr>
      </w:pPr>
      <w:r>
        <w:rPr>
          <w:sz w:val="20"/>
          <w:szCs w:val="20"/>
        </w:rPr>
        <w:t>Mr. Kuglin has served as our Chief Financial Offic</w:t>
      </w:r>
      <w:r>
        <w:rPr>
          <w:sz w:val="20"/>
          <w:szCs w:val="20"/>
        </w:rPr>
        <w:t>er &amp; Chief Accounting Officer since September 2014 and was our Vice President – Finance and Chief Accounting Officer from April 2014 through September 2014. Prior to that, he served as our Vice President and Chief Accounting Officer since November 2011, ou</w:t>
      </w:r>
      <w:r>
        <w:rPr>
          <w:sz w:val="20"/>
          <w:szCs w:val="20"/>
        </w:rPr>
        <w:t>r Controller and Chief Accounting Officer since November 2009 and our Controller since October 2007. For the eight years prior to joining the Partnership, he held several financial and managerial positions with Alcatel-Lucent, a global communications solut</w:t>
      </w:r>
      <w:r>
        <w:rPr>
          <w:sz w:val="20"/>
          <w:szCs w:val="20"/>
        </w:rPr>
        <w:t>ions provider. Prior to Alcatel-Lucent, Mr. Kuglin held several positions with the international accounting firm PricewaterhouseCoopers LLP, most recently as Manager in the Assurance practice. Mr. Kuglin is a Certified Public Accountant and a member of the</w:t>
      </w:r>
      <w:r>
        <w:rPr>
          <w:sz w:val="20"/>
          <w:szCs w:val="20"/>
        </w:rPr>
        <w:t xml:space="preserve"> American Institute of Certified Public Accountants</w:t>
      </w:r>
      <w:r>
        <w:rPr>
          <w:sz w:val="20"/>
          <w:szCs w:val="20"/>
        </w:rPr>
        <w:t>.</w:t>
      </w:r>
    </w:p>
    <w:p w14:paraId="7F33F2CB" w14:textId="77777777" w:rsidR="00000000" w:rsidRDefault="00832D71">
      <w:pPr>
        <w:pStyle w:val="a3"/>
        <w:spacing w:before="200" w:beforeAutospacing="0" w:after="0" w:afterAutospacing="0"/>
        <w:ind w:firstLine="555"/>
        <w:jc w:val="both"/>
        <w:rPr>
          <w:sz w:val="20"/>
          <w:szCs w:val="20"/>
        </w:rPr>
      </w:pPr>
      <w:r>
        <w:rPr>
          <w:sz w:val="20"/>
          <w:szCs w:val="20"/>
        </w:rPr>
        <w:t>Mr. Steven Boyd has served as our Chief Operating Officer since October 2017 and before that was our Senior Vice President – Operations (September 2015 – October 2017) and our Senior Vice President – Fie</w:t>
      </w:r>
      <w:r>
        <w:rPr>
          <w:sz w:val="20"/>
          <w:szCs w:val="20"/>
        </w:rPr>
        <w:t>ld Operations since April 2014. Previously he was our Vice President – Field Operations (formerly Vice President – Operations) since October 2008, our Southeast and Western Area Vice President since March 2007, Managing Director – Area Operations since Nov</w:t>
      </w:r>
      <w:r>
        <w:rPr>
          <w:sz w:val="20"/>
          <w:szCs w:val="20"/>
        </w:rPr>
        <w:t>ember 2003 and Regional Manager – Northern California since May 1997. Mr. Steven Boyd held various managerial positions with predecessors of the Partnership from 1986 through 1996</w:t>
      </w:r>
      <w:r>
        <w:rPr>
          <w:sz w:val="20"/>
          <w:szCs w:val="20"/>
        </w:rPr>
        <w:t>.</w:t>
      </w:r>
    </w:p>
    <w:p w14:paraId="06F65547" w14:textId="77777777" w:rsidR="00000000" w:rsidRDefault="00832D71">
      <w:pPr>
        <w:pStyle w:val="a3"/>
        <w:spacing w:before="0" w:beforeAutospacing="0" w:after="0" w:afterAutospacing="0"/>
        <w:jc w:val="center"/>
        <w:rPr>
          <w:sz w:val="20"/>
          <w:szCs w:val="20"/>
        </w:rPr>
      </w:pPr>
      <w:r>
        <w:rPr>
          <w:sz w:val="20"/>
          <w:szCs w:val="20"/>
        </w:rPr>
        <w:t> </w:t>
      </w:r>
    </w:p>
    <w:p w14:paraId="33323E44" w14:textId="77777777" w:rsidR="00000000" w:rsidRDefault="00832D71">
      <w:pPr>
        <w:pStyle w:val="a3"/>
        <w:spacing w:before="0" w:beforeAutospacing="0" w:after="0" w:afterAutospacing="0"/>
        <w:jc w:val="center"/>
        <w:rPr>
          <w:sz w:val="20"/>
          <w:szCs w:val="20"/>
        </w:rPr>
      </w:pPr>
      <w:r>
        <w:rPr>
          <w:sz w:val="20"/>
          <w:szCs w:val="20"/>
        </w:rPr>
        <w:t>4</w:t>
      </w:r>
      <w:r>
        <w:rPr>
          <w:sz w:val="20"/>
          <w:szCs w:val="20"/>
        </w:rPr>
        <w:t>6</w:t>
      </w:r>
    </w:p>
    <w:p w14:paraId="298B7665" w14:textId="77777777" w:rsidR="00000000" w:rsidRDefault="00832D71">
      <w:pPr>
        <w:rPr>
          <w:rFonts w:eastAsia="Times New Roman"/>
        </w:rPr>
      </w:pPr>
      <w:r>
        <w:rPr>
          <w:rFonts w:eastAsia="Times New Roman"/>
        </w:rPr>
        <w:pict w14:anchorId="2C187D76">
          <v:rect id="_x0000_i1073" style="width:0;height:1.5pt" o:hralign="center" o:hrstd="t" o:hr="t" fillcolor="#a0a0a0" stroked="f"/>
        </w:pict>
      </w:r>
    </w:p>
    <w:p w14:paraId="6649C34D"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36D64D2C" w14:textId="77777777" w:rsidR="00000000" w:rsidRDefault="00832D71">
      <w:pPr>
        <w:pStyle w:val="a3"/>
        <w:spacing w:before="200" w:beforeAutospacing="0" w:after="0" w:afterAutospacing="0"/>
        <w:ind w:firstLine="555"/>
        <w:jc w:val="both"/>
        <w:rPr>
          <w:sz w:val="20"/>
          <w:szCs w:val="20"/>
        </w:rPr>
      </w:pPr>
      <w:r>
        <w:rPr>
          <w:sz w:val="20"/>
          <w:szCs w:val="20"/>
        </w:rPr>
        <w:t>Mr. Brinkworth has served as our Senior Vice President – Product Supply, Purchasing &amp; Logistics since April 2014 and was previously our Vice President – Product Supply (formerly Vice President – Supply) since May 2005. Mr. Brinkwort</w:t>
      </w:r>
      <w:r>
        <w:rPr>
          <w:sz w:val="20"/>
          <w:szCs w:val="20"/>
        </w:rPr>
        <w:t>h joined the Partnership in April 1997 after a nine-year career with Goldman Sachs and, since joining the Partnership, has served in various positions in the product supply area</w:t>
      </w:r>
      <w:r>
        <w:rPr>
          <w:sz w:val="20"/>
          <w:szCs w:val="20"/>
        </w:rPr>
        <w:t>.</w:t>
      </w:r>
    </w:p>
    <w:p w14:paraId="565B4F8C" w14:textId="77777777" w:rsidR="00000000" w:rsidRDefault="00832D71">
      <w:pPr>
        <w:pStyle w:val="a3"/>
        <w:spacing w:before="200" w:beforeAutospacing="0" w:after="0" w:afterAutospacing="0"/>
        <w:ind w:firstLine="555"/>
        <w:jc w:val="both"/>
        <w:rPr>
          <w:sz w:val="20"/>
          <w:szCs w:val="20"/>
        </w:rPr>
      </w:pPr>
      <w:r>
        <w:rPr>
          <w:sz w:val="20"/>
          <w:szCs w:val="20"/>
        </w:rPr>
        <w:t xml:space="preserve">Mr. Scanlon became our Senior Vice President – Information Services in April </w:t>
      </w:r>
      <w:r>
        <w:rPr>
          <w:sz w:val="20"/>
          <w:szCs w:val="20"/>
        </w:rPr>
        <w:t>2014, after serving as our Vice President – Information Services since November 2008. Prior to that, he served as our Assistant Vice President – Information Services since November 2007, Managing Director – Information Services from November 2002 to Novemb</w:t>
      </w:r>
      <w:r>
        <w:rPr>
          <w:sz w:val="20"/>
          <w:szCs w:val="20"/>
        </w:rPr>
        <w:t xml:space="preserve">er 2007 and Director – Information Services from April 1997 until November 2002. Prior to joining the Partnership, Mr. Scanlon spent several years with JP Morgan &amp; Co., most recently as Vice President – Corporate Systems and earlier held several positions </w:t>
      </w:r>
      <w:r>
        <w:rPr>
          <w:sz w:val="20"/>
          <w:szCs w:val="20"/>
        </w:rPr>
        <w:t>with Andersen Consulting, an international systems consulting firm, most recently as Manager</w:t>
      </w:r>
      <w:r>
        <w:rPr>
          <w:sz w:val="20"/>
          <w:szCs w:val="20"/>
        </w:rPr>
        <w:t>.</w:t>
      </w:r>
    </w:p>
    <w:p w14:paraId="0807A167" w14:textId="77777777" w:rsidR="00000000" w:rsidRDefault="00832D71">
      <w:pPr>
        <w:pStyle w:val="a3"/>
        <w:spacing w:before="200" w:beforeAutospacing="0" w:after="0" w:afterAutospacing="0"/>
        <w:ind w:firstLine="555"/>
        <w:jc w:val="both"/>
        <w:rPr>
          <w:sz w:val="20"/>
          <w:szCs w:val="20"/>
        </w:rPr>
      </w:pPr>
      <w:r>
        <w:rPr>
          <w:sz w:val="20"/>
          <w:szCs w:val="20"/>
        </w:rPr>
        <w:t>Mr. Bloomstein joined the Partnership as its Controller in April 2014 and was promoted to Vice President and Controller in October 2017. For the ten years prior t</w:t>
      </w:r>
      <w:r>
        <w:rPr>
          <w:sz w:val="20"/>
          <w:szCs w:val="20"/>
        </w:rPr>
        <w:t>o joining the Partnership, he held several executive financial and accounting positions with The Access Group, a network of professional services companies, and with Dow Jones &amp; Company, Inc., a global news and financial information company. Mr. Bloomstein</w:t>
      </w:r>
      <w:r>
        <w:rPr>
          <w:sz w:val="20"/>
          <w:szCs w:val="20"/>
        </w:rPr>
        <w:t xml:space="preserve"> started his career with the international accounting firm PricewaterhouseCoopers LLP, working his way to the level of Manager in the Assurance practice. Mr. Bloomstein is a Certified Public Accountant and a member of the American Institute of Certified Pu</w:t>
      </w:r>
      <w:r>
        <w:rPr>
          <w:sz w:val="20"/>
          <w:szCs w:val="20"/>
        </w:rPr>
        <w:t>blic Accountants</w:t>
      </w:r>
      <w:r>
        <w:rPr>
          <w:sz w:val="20"/>
          <w:szCs w:val="20"/>
        </w:rPr>
        <w:t>.</w:t>
      </w:r>
    </w:p>
    <w:p w14:paraId="27C7A358" w14:textId="77777777" w:rsidR="00000000" w:rsidRDefault="00832D71">
      <w:pPr>
        <w:pStyle w:val="a3"/>
        <w:spacing w:before="200" w:beforeAutospacing="0" w:after="0" w:afterAutospacing="0"/>
        <w:ind w:firstLine="555"/>
        <w:jc w:val="both"/>
        <w:rPr>
          <w:sz w:val="20"/>
          <w:szCs w:val="20"/>
        </w:rPr>
      </w:pPr>
      <w:r>
        <w:rPr>
          <w:sz w:val="20"/>
          <w:szCs w:val="20"/>
        </w:rPr>
        <w:t>Mr. Daniel Boyd has served as our Vice President – Area Operations since November 2020. Prior to that, he was Managing Director – Area Operations for our Northeast Area since October 2019 and before that, he was General Manager of our Sou</w:t>
      </w:r>
      <w:r>
        <w:rPr>
          <w:sz w:val="20"/>
          <w:szCs w:val="20"/>
        </w:rPr>
        <w:t>thwest Region since October 2014. He joined the Partnership in October 1991 as a delivery driver, and has since held various regional management positions within our field operations. Mr. Daniel Boyd is also a U.S. Navy Veteran who served in Operation Dese</w:t>
      </w:r>
      <w:r>
        <w:rPr>
          <w:sz w:val="20"/>
          <w:szCs w:val="20"/>
        </w:rPr>
        <w:t>rt Storm, Persian Gulf War</w:t>
      </w:r>
      <w:r>
        <w:rPr>
          <w:sz w:val="20"/>
          <w:szCs w:val="20"/>
        </w:rPr>
        <w:t>.</w:t>
      </w:r>
    </w:p>
    <w:p w14:paraId="30D21FEA" w14:textId="77777777" w:rsidR="00000000" w:rsidRDefault="00832D71">
      <w:pPr>
        <w:pStyle w:val="a3"/>
        <w:spacing w:before="200" w:beforeAutospacing="0" w:after="0" w:afterAutospacing="0"/>
        <w:ind w:firstLine="555"/>
        <w:jc w:val="both"/>
        <w:rPr>
          <w:sz w:val="20"/>
          <w:szCs w:val="20"/>
        </w:rPr>
      </w:pPr>
      <w:r>
        <w:rPr>
          <w:sz w:val="20"/>
          <w:szCs w:val="20"/>
        </w:rPr>
        <w:t>Ms. Cleffi has served as our Vice President – Human Resources since November 2020. Prior to that appointment, she served as our Managing Director – Human Resources since June 2020 and before that she served as our Managing Direc</w:t>
      </w:r>
      <w:r>
        <w:rPr>
          <w:sz w:val="20"/>
          <w:szCs w:val="20"/>
        </w:rPr>
        <w:t xml:space="preserve">tor – Compensation, Talent Management and Operational Human Resources since October 2017. Prior to that, Ms. Cleffi served as our Director – Compensation and Talent Management from October 2007 to October 2017. Ms. Cleffi joined the Partnership in October </w:t>
      </w:r>
      <w:r>
        <w:rPr>
          <w:sz w:val="20"/>
          <w:szCs w:val="20"/>
        </w:rPr>
        <w:t>1992 and has held various positions in the human resources area since that time</w:t>
      </w:r>
      <w:r>
        <w:rPr>
          <w:sz w:val="20"/>
          <w:szCs w:val="20"/>
        </w:rPr>
        <w:t>.</w:t>
      </w:r>
    </w:p>
    <w:p w14:paraId="081F2FA6" w14:textId="77777777" w:rsidR="00000000" w:rsidRDefault="00832D71">
      <w:pPr>
        <w:pStyle w:val="a3"/>
        <w:spacing w:before="200" w:beforeAutospacing="0" w:after="0" w:afterAutospacing="0"/>
        <w:ind w:firstLine="555"/>
        <w:jc w:val="both"/>
        <w:rPr>
          <w:sz w:val="20"/>
          <w:szCs w:val="20"/>
        </w:rPr>
      </w:pPr>
      <w:r>
        <w:rPr>
          <w:sz w:val="20"/>
          <w:szCs w:val="20"/>
        </w:rPr>
        <w:t>Mr. Dagan has served as our Vice President, Strategic Initiatives – Renewable Energy since March 2021. Prior to joining the Partnership, he was a senior associate at the law f</w:t>
      </w:r>
      <w:r>
        <w:rPr>
          <w:sz w:val="20"/>
          <w:szCs w:val="20"/>
        </w:rPr>
        <w:t>irm of Bevan, Mosca, &amp; Giuditta, P.C., and the Director of Public Affairs and Government Relations for the firm’s affiliate, bmgstrategies, since 2018. Prior to that, Mr. Dagan was engaged in the practice of law at the Law Practice of M. Douglas Dagan sinc</w:t>
      </w:r>
      <w:r>
        <w:rPr>
          <w:sz w:val="20"/>
          <w:szCs w:val="20"/>
        </w:rPr>
        <w:t>e 2013. Mr. Dagan’s practice over his career has focused on advising companies on the development of renewable energy projects, environmental management, advocating for environmental and renewable energy policies, and supporting climate change strategies a</w:t>
      </w:r>
      <w:r>
        <w:rPr>
          <w:sz w:val="20"/>
          <w:szCs w:val="20"/>
        </w:rPr>
        <w:t>nd initiatives</w:t>
      </w:r>
      <w:r>
        <w:rPr>
          <w:sz w:val="20"/>
          <w:szCs w:val="20"/>
        </w:rPr>
        <w:t>.</w:t>
      </w:r>
    </w:p>
    <w:p w14:paraId="2F73AC67" w14:textId="77777777" w:rsidR="00000000" w:rsidRDefault="00832D71">
      <w:pPr>
        <w:pStyle w:val="a3"/>
        <w:spacing w:before="200" w:beforeAutospacing="0" w:after="0" w:afterAutospacing="0"/>
        <w:ind w:firstLine="555"/>
        <w:jc w:val="both"/>
        <w:rPr>
          <w:sz w:val="20"/>
          <w:szCs w:val="20"/>
        </w:rPr>
      </w:pPr>
      <w:r>
        <w:rPr>
          <w:sz w:val="20"/>
          <w:szCs w:val="20"/>
        </w:rPr>
        <w:t xml:space="preserve">Mr. D’Ambrosio has served as our Treasurer since November 2002 and was promoted to Vice President in October 2007. </w:t>
      </w:r>
      <w:r>
        <w:rPr>
          <w:sz w:val="20"/>
          <w:szCs w:val="20"/>
        </w:rPr>
        <w:t>He served as our Assistant Treasurer from October 2000 to November 2002 and as Director of Treasury Services from January 1998 to October 2000. Mr. D’Ambrosio joined the Partnership in May 1996 after ten years in the commercial banking industry</w:t>
      </w:r>
      <w:r>
        <w:rPr>
          <w:sz w:val="20"/>
          <w:szCs w:val="20"/>
        </w:rPr>
        <w:t>.</w:t>
      </w:r>
    </w:p>
    <w:p w14:paraId="03A9AEA2" w14:textId="77777777" w:rsidR="00000000" w:rsidRDefault="00832D71">
      <w:pPr>
        <w:pStyle w:val="a3"/>
        <w:spacing w:before="200" w:beforeAutospacing="0" w:after="0" w:afterAutospacing="0"/>
        <w:ind w:firstLine="555"/>
        <w:jc w:val="both"/>
        <w:rPr>
          <w:sz w:val="20"/>
          <w:szCs w:val="20"/>
        </w:rPr>
      </w:pPr>
      <w:r>
        <w:rPr>
          <w:sz w:val="20"/>
          <w:szCs w:val="20"/>
        </w:rPr>
        <w:t>Mr. Fields</w:t>
      </w:r>
      <w:r>
        <w:rPr>
          <w:sz w:val="20"/>
          <w:szCs w:val="20"/>
        </w:rPr>
        <w:t xml:space="preserve"> has served as our Vice President – Area Operations since September 2022. Prior to that appointment, he was General Manager of our Southeast Region since June 2010. Prior to that, Mr. Fields served as Regional Distribution Manager of our Southeast Region s</w:t>
      </w:r>
      <w:r>
        <w:rPr>
          <w:sz w:val="20"/>
          <w:szCs w:val="20"/>
        </w:rPr>
        <w:t>ince 2007 and in various other management positions within our field operations since joining the Partnership in 1998. Prior to joining the Partnership, Mr. Fields worked for an independent propane gas company for five years</w:t>
      </w:r>
      <w:r>
        <w:rPr>
          <w:sz w:val="20"/>
          <w:szCs w:val="20"/>
        </w:rPr>
        <w:t>.</w:t>
      </w:r>
    </w:p>
    <w:p w14:paraId="1F9D2DB5" w14:textId="77777777" w:rsidR="00000000" w:rsidRDefault="00832D71">
      <w:pPr>
        <w:pStyle w:val="a3"/>
        <w:spacing w:before="200" w:beforeAutospacing="0" w:after="0" w:afterAutospacing="0"/>
        <w:ind w:firstLine="555"/>
        <w:jc w:val="both"/>
        <w:rPr>
          <w:sz w:val="20"/>
          <w:szCs w:val="20"/>
        </w:rPr>
      </w:pPr>
      <w:r>
        <w:rPr>
          <w:sz w:val="20"/>
          <w:szCs w:val="20"/>
        </w:rPr>
        <w:t>Mr. Koepke became our Vice Pre</w:t>
      </w:r>
      <w:r>
        <w:rPr>
          <w:sz w:val="20"/>
          <w:szCs w:val="20"/>
        </w:rPr>
        <w:t>sident – General Counsel and Secretary in October 2019, after serving as our Vice President – Deputy General Counsel and Assistant Secretary since March 2019. For the nineteen years prior to joining the Partnership, Mr. Koepke served as Senior Vice Preside</w:t>
      </w:r>
      <w:r>
        <w:rPr>
          <w:sz w:val="20"/>
          <w:szCs w:val="20"/>
        </w:rPr>
        <w:t>nt, Chief Securities Counsel for Avis Budget Group, Inc., from October 2011 until joining the Partnership and prior to that as Corporate Counsel – Securities for Caterpillar Inc. and as a senior attorney advisor for the U.S. Securities and Exchange Commiss</w:t>
      </w:r>
      <w:r>
        <w:rPr>
          <w:sz w:val="20"/>
          <w:szCs w:val="20"/>
        </w:rPr>
        <w:t>ion. Mr. Koepke also serves as the President and member of the Board of Directors for the Association of Corporate Counsel New Jersey</w:t>
      </w:r>
      <w:r>
        <w:rPr>
          <w:sz w:val="20"/>
          <w:szCs w:val="20"/>
        </w:rPr>
        <w:t>.</w:t>
      </w:r>
      <w:r>
        <w:rPr>
          <w:sz w:val="20"/>
          <w:szCs w:val="20"/>
        </w:rPr>
        <w:t xml:space="preserve"> </w:t>
      </w:r>
    </w:p>
    <w:p w14:paraId="6BEF3CB6" w14:textId="77777777" w:rsidR="00000000" w:rsidRDefault="00832D71">
      <w:pPr>
        <w:pStyle w:val="a3"/>
        <w:spacing w:before="200" w:beforeAutospacing="0" w:after="0" w:afterAutospacing="0"/>
        <w:ind w:firstLine="555"/>
        <w:jc w:val="both"/>
        <w:rPr>
          <w:sz w:val="20"/>
          <w:szCs w:val="20"/>
        </w:rPr>
      </w:pPr>
      <w:r>
        <w:rPr>
          <w:sz w:val="20"/>
          <w:szCs w:val="20"/>
        </w:rPr>
        <w:t>Mr. Onderdonk has served as our Vice President – Operational Support since November 2015 and before that was our Assista</w:t>
      </w:r>
      <w:r>
        <w:rPr>
          <w:sz w:val="20"/>
          <w:szCs w:val="20"/>
        </w:rPr>
        <w:t>nt Vice President – Financial Planning and Analysis since November 2013. Prior to that, he served as our Managing Director, Financial Planning and Analysis from November 2010 to November 2013. Mr. Onderdonk joined the Partnership in September 2001 after fo</w:t>
      </w:r>
      <w:r>
        <w:rPr>
          <w:sz w:val="20"/>
          <w:szCs w:val="20"/>
        </w:rPr>
        <w:t>urteen years in the consumer products industry</w:t>
      </w:r>
      <w:r>
        <w:rPr>
          <w:sz w:val="20"/>
          <w:szCs w:val="20"/>
        </w:rPr>
        <w:t>.</w:t>
      </w:r>
    </w:p>
    <w:p w14:paraId="53F908A7" w14:textId="77777777" w:rsidR="00000000" w:rsidRDefault="00832D71">
      <w:pPr>
        <w:pStyle w:val="a3"/>
        <w:spacing w:before="200" w:beforeAutospacing="0" w:after="0" w:afterAutospacing="0"/>
        <w:ind w:firstLine="555"/>
        <w:jc w:val="both"/>
        <w:rPr>
          <w:sz w:val="20"/>
          <w:szCs w:val="20"/>
        </w:rPr>
      </w:pPr>
      <w:r>
        <w:rPr>
          <w:sz w:val="20"/>
          <w:szCs w:val="20"/>
        </w:rPr>
        <w:t>Mr. Ross has served as our Vice President – Area Operations since November 2020 and before that was our Managing Director – Area Operations for our Southeast Area since April 2011. Prior to that, he served in</w:t>
      </w:r>
      <w:r>
        <w:rPr>
          <w:sz w:val="20"/>
          <w:szCs w:val="20"/>
        </w:rPr>
        <w:t xml:space="preserve"> various management positions within our fiel</w:t>
      </w:r>
      <w:r>
        <w:rPr>
          <w:sz w:val="20"/>
          <w:szCs w:val="20"/>
        </w:rPr>
        <w:t>d</w:t>
      </w:r>
      <w:r>
        <w:rPr>
          <w:sz w:val="20"/>
          <w:szCs w:val="20"/>
        </w:rPr>
        <w:t xml:space="preserve"> </w:t>
      </w:r>
    </w:p>
    <w:p w14:paraId="13CDD64C" w14:textId="77777777" w:rsidR="00000000" w:rsidRDefault="00832D71">
      <w:pPr>
        <w:pStyle w:val="a3"/>
        <w:spacing w:before="0" w:beforeAutospacing="0" w:after="0" w:afterAutospacing="0"/>
        <w:jc w:val="center"/>
        <w:rPr>
          <w:sz w:val="20"/>
          <w:szCs w:val="20"/>
        </w:rPr>
      </w:pPr>
      <w:r>
        <w:rPr>
          <w:sz w:val="20"/>
          <w:szCs w:val="20"/>
        </w:rPr>
        <w:t> </w:t>
      </w:r>
    </w:p>
    <w:p w14:paraId="5AA2DD1A" w14:textId="77777777" w:rsidR="00000000" w:rsidRDefault="00832D71">
      <w:pPr>
        <w:pStyle w:val="a3"/>
        <w:spacing w:before="0" w:beforeAutospacing="0" w:after="0" w:afterAutospacing="0"/>
        <w:jc w:val="center"/>
        <w:rPr>
          <w:sz w:val="20"/>
          <w:szCs w:val="20"/>
        </w:rPr>
      </w:pPr>
      <w:r>
        <w:rPr>
          <w:sz w:val="20"/>
          <w:szCs w:val="20"/>
        </w:rPr>
        <w:t>4</w:t>
      </w:r>
      <w:r>
        <w:rPr>
          <w:sz w:val="20"/>
          <w:szCs w:val="20"/>
        </w:rPr>
        <w:t>7</w:t>
      </w:r>
    </w:p>
    <w:p w14:paraId="350910D4" w14:textId="77777777" w:rsidR="00000000" w:rsidRDefault="00832D71">
      <w:pPr>
        <w:rPr>
          <w:rFonts w:eastAsia="Times New Roman"/>
        </w:rPr>
      </w:pPr>
      <w:r>
        <w:rPr>
          <w:rFonts w:eastAsia="Times New Roman"/>
        </w:rPr>
        <w:pict w14:anchorId="4291E3D8">
          <v:rect id="_x0000_i1074" style="width:0;height:1.5pt" o:hralign="center" o:hrstd="t" o:hr="t" fillcolor="#a0a0a0" stroked="f"/>
        </w:pict>
      </w:r>
    </w:p>
    <w:p w14:paraId="37D75B73"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5BDC1AB9" w14:textId="77777777" w:rsidR="00000000" w:rsidRDefault="00832D71">
      <w:pPr>
        <w:pStyle w:val="a3"/>
        <w:spacing w:before="200" w:beforeAutospacing="0" w:after="0" w:afterAutospacing="0"/>
        <w:jc w:val="both"/>
        <w:rPr>
          <w:sz w:val="20"/>
          <w:szCs w:val="20"/>
        </w:rPr>
      </w:pPr>
      <w:r>
        <w:rPr>
          <w:sz w:val="20"/>
          <w:szCs w:val="20"/>
        </w:rPr>
        <w:t xml:space="preserve">operations since joining the Partnership in 1997. </w:t>
      </w:r>
      <w:r>
        <w:rPr>
          <w:sz w:val="20"/>
          <w:szCs w:val="20"/>
        </w:rPr>
        <w:t>Mr. Ross has also served as the past President of the Florida Propane Gas Association and has served as Chair of the Florida Propane Gas Safety, Education and Research Council</w:t>
      </w:r>
      <w:r>
        <w:rPr>
          <w:sz w:val="20"/>
          <w:szCs w:val="20"/>
        </w:rPr>
        <w:t>.</w:t>
      </w:r>
    </w:p>
    <w:p w14:paraId="25FA2425" w14:textId="77777777" w:rsidR="00000000" w:rsidRDefault="00832D71">
      <w:pPr>
        <w:pStyle w:val="a3"/>
        <w:spacing w:before="200" w:beforeAutospacing="0" w:after="0" w:afterAutospacing="0"/>
        <w:ind w:firstLine="555"/>
        <w:jc w:val="both"/>
        <w:rPr>
          <w:sz w:val="20"/>
          <w:szCs w:val="20"/>
        </w:rPr>
      </w:pPr>
      <w:r>
        <w:rPr>
          <w:sz w:val="20"/>
          <w:szCs w:val="20"/>
        </w:rPr>
        <w:t xml:space="preserve">Ms. Sankara has served as our Vice President, Marketing &amp; Brand Strategy since </w:t>
      </w:r>
      <w:r>
        <w:rPr>
          <w:sz w:val="20"/>
          <w:szCs w:val="20"/>
        </w:rPr>
        <w:t>November 2021 and before that was our Assistant Vice President, Marketing &amp; Brand Strategy since May 2017. Prior to joining Suburban Propane, she held several leadership positions in her career, including Global Customer Experience, Market Intelligence, an</w:t>
      </w:r>
      <w:r>
        <w:rPr>
          <w:sz w:val="20"/>
          <w:szCs w:val="20"/>
        </w:rPr>
        <w:t>d Product Management with Sealed Air Corporation from September 2011 to December 2016. Prior to that, Ms. Sankara served as the Director and Head of Marketing &amp; Brand with Aetna from April 2009 to September 2011. Ms. Sankara also served in several global m</w:t>
      </w:r>
      <w:r>
        <w:rPr>
          <w:sz w:val="20"/>
          <w:szCs w:val="20"/>
        </w:rPr>
        <w:t>arketing positions with Pitney Bowes from January 2001 to December 2009</w:t>
      </w:r>
      <w:r>
        <w:rPr>
          <w:sz w:val="20"/>
          <w:szCs w:val="20"/>
        </w:rPr>
        <w:t>.</w:t>
      </w:r>
    </w:p>
    <w:p w14:paraId="0849595D" w14:textId="77777777" w:rsidR="00000000" w:rsidRDefault="00832D71">
      <w:pPr>
        <w:pStyle w:val="a3"/>
        <w:spacing w:before="200" w:beforeAutospacing="0" w:after="0" w:afterAutospacing="0"/>
        <w:ind w:firstLine="555"/>
        <w:jc w:val="both"/>
        <w:rPr>
          <w:sz w:val="20"/>
          <w:szCs w:val="20"/>
        </w:rPr>
      </w:pPr>
      <w:r>
        <w:rPr>
          <w:sz w:val="20"/>
          <w:szCs w:val="20"/>
        </w:rPr>
        <w:t>Mr. Schueler has served as our Vice President – Product Supply since October 2017 and before that was our Managing Director – Product Supply since November 2013. Mr. Schueler joined t</w:t>
      </w:r>
      <w:r>
        <w:rPr>
          <w:sz w:val="20"/>
          <w:szCs w:val="20"/>
        </w:rPr>
        <w:t>he Partnership as Director – Product Resources in July 2005 following a nine-year career at Public Service Enterprise Group and prior to that, eight years at Kraft Foods</w:t>
      </w:r>
      <w:r>
        <w:rPr>
          <w:sz w:val="20"/>
          <w:szCs w:val="20"/>
        </w:rPr>
        <w:t>.</w:t>
      </w:r>
    </w:p>
    <w:p w14:paraId="00F607ED" w14:textId="77777777" w:rsidR="00000000" w:rsidRDefault="00832D71">
      <w:pPr>
        <w:pStyle w:val="a3"/>
        <w:spacing w:before="200" w:beforeAutospacing="0" w:after="0" w:afterAutospacing="0"/>
        <w:ind w:firstLine="555"/>
        <w:jc w:val="both"/>
        <w:rPr>
          <w:sz w:val="20"/>
          <w:szCs w:val="20"/>
        </w:rPr>
      </w:pPr>
      <w:r>
        <w:rPr>
          <w:sz w:val="20"/>
          <w:szCs w:val="20"/>
        </w:rPr>
        <w:t>Mr. Tate has served as our Vice President – Area Operations since November 2020 and b</w:t>
      </w:r>
      <w:r>
        <w:rPr>
          <w:sz w:val="20"/>
          <w:szCs w:val="20"/>
        </w:rPr>
        <w:t>efore that he was our Managing Director – Area Operations for our Mid-Atlantic and Midwest territories since February 2011. Prior to that, he served as our Regional Manager from September 1993 to February 2011. Mr. Tate joined the Partnership in 1985 and h</w:t>
      </w:r>
      <w:r>
        <w:rPr>
          <w:sz w:val="20"/>
          <w:szCs w:val="20"/>
        </w:rPr>
        <w:t>as held various management positions within field operations over his years of service</w:t>
      </w:r>
      <w:r>
        <w:rPr>
          <w:sz w:val="20"/>
          <w:szCs w:val="20"/>
        </w:rPr>
        <w:t>.</w:t>
      </w:r>
    </w:p>
    <w:p w14:paraId="799AB8FB" w14:textId="77777777" w:rsidR="00000000" w:rsidRDefault="00832D71">
      <w:pPr>
        <w:pStyle w:val="a3"/>
        <w:spacing w:before="200" w:beforeAutospacing="0" w:after="0" w:afterAutospacing="0"/>
        <w:ind w:firstLine="555"/>
        <w:jc w:val="both"/>
        <w:rPr>
          <w:sz w:val="20"/>
          <w:szCs w:val="20"/>
        </w:rPr>
      </w:pPr>
      <w:r>
        <w:rPr>
          <w:sz w:val="20"/>
          <w:szCs w:val="20"/>
        </w:rPr>
        <w:t>Mr. Chanin has served as a Supervisor since November 2012 and was elected as Chairman of the Board of Supervisors effective January 1, 2021. He was Senior Managing Dire</w:t>
      </w:r>
      <w:r>
        <w:rPr>
          <w:sz w:val="20"/>
          <w:szCs w:val="20"/>
        </w:rPr>
        <w:t xml:space="preserve">ctor of Prudential Investment Management, a subsidiary of Prudential Financial, Inc., from 1996 until his retirement in January 2012, after which he continued to provide consulting services to Prudential until December 2016. He headed Prudential’s private </w:t>
      </w:r>
      <w:r>
        <w:rPr>
          <w:sz w:val="20"/>
          <w:szCs w:val="20"/>
        </w:rPr>
        <w:t>fixed income business, chaired an internal committee responsible for strategic investing and was a principal in Prudential Capital Partners, the firm’s mezzanine investment business. He currently provides consulting services to two clients, and, until Octo</w:t>
      </w:r>
      <w:r>
        <w:rPr>
          <w:sz w:val="20"/>
          <w:szCs w:val="20"/>
        </w:rPr>
        <w:t>ber 2017, served as a Director of two private companies that were in the fund portfolios of Prudential Capital Partners</w:t>
      </w:r>
      <w:r>
        <w:rPr>
          <w:sz w:val="20"/>
          <w:szCs w:val="20"/>
        </w:rPr>
        <w:t>.</w:t>
      </w:r>
    </w:p>
    <w:p w14:paraId="3FB763A1" w14:textId="77777777" w:rsidR="00000000" w:rsidRDefault="00832D71">
      <w:pPr>
        <w:pStyle w:val="a3"/>
        <w:spacing w:before="200" w:beforeAutospacing="0" w:after="0" w:afterAutospacing="0"/>
        <w:ind w:firstLine="555"/>
        <w:jc w:val="both"/>
        <w:rPr>
          <w:sz w:val="20"/>
          <w:szCs w:val="20"/>
        </w:rPr>
      </w:pPr>
      <w:r>
        <w:rPr>
          <w:sz w:val="20"/>
          <w:szCs w:val="20"/>
        </w:rPr>
        <w:t>Mr. Chanin’s qualifications to sit on our Board, and serve as Chairman of the Board and Chair of its Nominating/Governance Committee, i</w:t>
      </w:r>
      <w:r>
        <w:rPr>
          <w:sz w:val="20"/>
          <w:szCs w:val="20"/>
        </w:rPr>
        <w:t>nclude 35 years of investment experience with a focus on highly structured private placements in companies in a broad range of industries, with a particular focus on energy companies. He has previously served on the audit committee of a public company boar</w:t>
      </w:r>
      <w:r>
        <w:rPr>
          <w:sz w:val="20"/>
          <w:szCs w:val="20"/>
        </w:rPr>
        <w:t>d and the compensation committee for a private company board. Mr. Chanin has earned an MBA and is a Chartered Financial Analyst</w:t>
      </w:r>
      <w:r>
        <w:rPr>
          <w:sz w:val="20"/>
          <w:szCs w:val="20"/>
        </w:rPr>
        <w:t>.</w:t>
      </w:r>
    </w:p>
    <w:p w14:paraId="7975F2D3" w14:textId="77777777" w:rsidR="00000000" w:rsidRDefault="00832D71">
      <w:pPr>
        <w:pStyle w:val="a3"/>
        <w:spacing w:before="200" w:beforeAutospacing="0" w:after="0" w:afterAutospacing="0"/>
        <w:ind w:firstLine="555"/>
        <w:jc w:val="both"/>
        <w:rPr>
          <w:sz w:val="20"/>
          <w:szCs w:val="20"/>
        </w:rPr>
      </w:pPr>
      <w:r>
        <w:rPr>
          <w:sz w:val="20"/>
          <w:szCs w:val="20"/>
        </w:rPr>
        <w:t>Mr. Logan has served as a Supervisor since March 1996 and served as Chairman of the Board of Supervisors from January 2007 unti</w:t>
      </w:r>
      <w:r>
        <w:rPr>
          <w:sz w:val="20"/>
          <w:szCs w:val="20"/>
        </w:rPr>
        <w:t>l December 31, 2020. Mr. Logan co-founded, and from 2006 to May 2018 served as a Director of Basic Materials and Services LLC, an investment company that, until it went inactive in May 2018, invested in companies that provide specialized infrastructure ser</w:t>
      </w:r>
      <w:r>
        <w:rPr>
          <w:sz w:val="20"/>
          <w:szCs w:val="20"/>
        </w:rPr>
        <w:t>vices and materials for the pipeline construction industry and the sand/silica industry. From 2003 to September 2006, Mr. Logan was a Director and Chairman of the Finance Committee of the Board of Directors of TransMontaigne Inc., which provided logistical</w:t>
      </w:r>
      <w:r>
        <w:rPr>
          <w:sz w:val="20"/>
          <w:szCs w:val="20"/>
        </w:rPr>
        <w:t xml:space="preserve"> services (i.e. pipeline, terminaling and marketing) to producers and end-users of refined petroleum products. From 1995 to 2002, Mr. Logan was Executive Vice President/Finance, Treasurer and a Director of TransMontaigne Inc. From 1987 to 1995, Mr. Logan s</w:t>
      </w:r>
      <w:r>
        <w:rPr>
          <w:sz w:val="20"/>
          <w:szCs w:val="20"/>
        </w:rPr>
        <w:t xml:space="preserve">erved as Senior Vice President – Finance and a Director of Associated Natural Gas Corporation, an independent gatherer and marketer of natural gas, natural gas liquids and crude oil. Mr. Logan is also a Director of Hart Energy Publishing LLP, and, through </w:t>
      </w:r>
      <w:r>
        <w:rPr>
          <w:sz w:val="20"/>
          <w:szCs w:val="20"/>
        </w:rPr>
        <w:t xml:space="preserve">October 2021 was a Director of Cimarex Energy Co. prior to its merger with Cabot Oil &amp; Gas Corp.; through May 2019, was a Director of InfraREIT, Inc., which was acquired by Oncor Electric Delivery Company LLC and Sempra Energy in May 2019; and through May </w:t>
      </w:r>
      <w:r>
        <w:rPr>
          <w:sz w:val="20"/>
          <w:szCs w:val="20"/>
        </w:rPr>
        <w:t>2017, was a Director of Graphic Packaging Holding Company</w:t>
      </w:r>
      <w:r>
        <w:rPr>
          <w:sz w:val="20"/>
          <w:szCs w:val="20"/>
        </w:rPr>
        <w:t>.</w:t>
      </w:r>
      <w:r>
        <w:rPr>
          <w:sz w:val="22"/>
          <w:szCs w:val="22"/>
        </w:rPr>
        <w:t xml:space="preserve"> </w:t>
      </w:r>
    </w:p>
    <w:p w14:paraId="3CF1729A" w14:textId="77777777" w:rsidR="00000000" w:rsidRDefault="00832D71">
      <w:pPr>
        <w:pStyle w:val="a3"/>
        <w:spacing w:before="200" w:beforeAutospacing="0" w:after="0" w:afterAutospacing="0"/>
        <w:ind w:firstLine="555"/>
        <w:jc w:val="both"/>
        <w:rPr>
          <w:sz w:val="20"/>
          <w:szCs w:val="20"/>
        </w:rPr>
      </w:pPr>
      <w:r>
        <w:rPr>
          <w:sz w:val="20"/>
          <w:szCs w:val="20"/>
        </w:rPr>
        <w:t>Over the past forty plus years, Mr. Logan’s education, investment banking/venture capital experience and business/financial management experience have provided him with a comprehensive understandi</w:t>
      </w:r>
      <w:r>
        <w:rPr>
          <w:sz w:val="20"/>
          <w:szCs w:val="20"/>
        </w:rPr>
        <w:t>ng of business and finance. Most of Mr. Logan’s business experience has been in the energy industry, both in investment banking and as a senior financial officer and director of publicly-owned energy companies. Mr. Logan’s expertise and experience have bee</w:t>
      </w:r>
      <w:r>
        <w:rPr>
          <w:sz w:val="20"/>
          <w:szCs w:val="20"/>
        </w:rPr>
        <w:t>n relevant to his responsibilities of providing oversight and advice to the managements of public companies, and is of particular benefit in his role as a Supervisor. Since 1996, Mr. Logan has been a director of ten public companies and has served on audit</w:t>
      </w:r>
      <w:r>
        <w:rPr>
          <w:sz w:val="20"/>
          <w:szCs w:val="20"/>
        </w:rPr>
        <w:t>, compensation and governance committees</w:t>
      </w:r>
      <w:r>
        <w:rPr>
          <w:sz w:val="20"/>
          <w:szCs w:val="20"/>
        </w:rPr>
        <w:t>.</w:t>
      </w:r>
    </w:p>
    <w:p w14:paraId="15C651CB" w14:textId="77777777" w:rsidR="00000000" w:rsidRDefault="00832D71">
      <w:pPr>
        <w:pStyle w:val="a3"/>
        <w:spacing w:before="200" w:beforeAutospacing="0" w:after="0" w:afterAutospacing="0"/>
        <w:ind w:firstLine="555"/>
        <w:jc w:val="both"/>
        <w:rPr>
          <w:sz w:val="20"/>
          <w:szCs w:val="20"/>
        </w:rPr>
      </w:pPr>
      <w:r>
        <w:rPr>
          <w:sz w:val="20"/>
          <w:szCs w:val="20"/>
        </w:rPr>
        <w:t>Ms. Swift has served as a Supervisor since April 2007. In July 2022, Ms. Swift became an Operating Partner for Vistria Group, a private investment firm operating at the intersection of purpose and profit. From July</w:t>
      </w:r>
      <w:r>
        <w:rPr>
          <w:sz w:val="20"/>
          <w:szCs w:val="20"/>
        </w:rPr>
        <w:t xml:space="preserve"> 2019 to July 2022, Ms. Swift served as President and Executive Director of LearnLaunch Institute, a not-for-profit educational institution in Boston, Massachusetts. From January 2018 through February 2019, she served as Executive Chair of Ultimate Medical</w:t>
      </w:r>
      <w:r>
        <w:rPr>
          <w:sz w:val="20"/>
          <w:szCs w:val="20"/>
        </w:rPr>
        <w:t xml:space="preserve"> Academy, a not-for-profit healthcare educational institution with a national presence. From August 2011 through April 2017, Ms. Swift served as the CEO of Middlebury Interactive Languages, LLC, a marketer of world language products. From 2010 through July</w:t>
      </w:r>
      <w:r>
        <w:rPr>
          <w:sz w:val="20"/>
          <w:szCs w:val="20"/>
        </w:rPr>
        <w:t xml:space="preserve"> 2011, she served as Senior Vice President – ConnectEDU Inc., a private education technology company. In 2007, Ms. Swift founded WNP Consulting, LLC, a provider of expert advice and guidanc</w:t>
      </w:r>
      <w:r>
        <w:rPr>
          <w:sz w:val="20"/>
          <w:szCs w:val="20"/>
        </w:rPr>
        <w:t>e</w:t>
      </w:r>
      <w:r>
        <w:rPr>
          <w:sz w:val="20"/>
          <w:szCs w:val="20"/>
        </w:rPr>
        <w:t xml:space="preserve"> </w:t>
      </w:r>
    </w:p>
    <w:p w14:paraId="743C9609" w14:textId="77777777" w:rsidR="00000000" w:rsidRDefault="00832D71">
      <w:pPr>
        <w:pStyle w:val="a3"/>
        <w:spacing w:before="0" w:beforeAutospacing="0" w:after="0" w:afterAutospacing="0"/>
        <w:jc w:val="center"/>
        <w:rPr>
          <w:sz w:val="20"/>
          <w:szCs w:val="20"/>
        </w:rPr>
      </w:pPr>
      <w:r>
        <w:rPr>
          <w:sz w:val="20"/>
          <w:szCs w:val="20"/>
        </w:rPr>
        <w:t> </w:t>
      </w:r>
    </w:p>
    <w:p w14:paraId="5354C770" w14:textId="77777777" w:rsidR="00000000" w:rsidRDefault="00832D71">
      <w:pPr>
        <w:pStyle w:val="a3"/>
        <w:spacing w:before="0" w:beforeAutospacing="0" w:after="0" w:afterAutospacing="0"/>
        <w:jc w:val="center"/>
        <w:rPr>
          <w:sz w:val="20"/>
          <w:szCs w:val="20"/>
        </w:rPr>
      </w:pPr>
      <w:r>
        <w:rPr>
          <w:sz w:val="20"/>
          <w:szCs w:val="20"/>
        </w:rPr>
        <w:t>4</w:t>
      </w:r>
      <w:r>
        <w:rPr>
          <w:sz w:val="20"/>
          <w:szCs w:val="20"/>
        </w:rPr>
        <w:t>8</w:t>
      </w:r>
    </w:p>
    <w:p w14:paraId="7673EA60" w14:textId="77777777" w:rsidR="00000000" w:rsidRDefault="00832D71">
      <w:pPr>
        <w:rPr>
          <w:rFonts w:eastAsia="Times New Roman"/>
        </w:rPr>
      </w:pPr>
      <w:r>
        <w:rPr>
          <w:rFonts w:eastAsia="Times New Roman"/>
        </w:rPr>
        <w:pict w14:anchorId="71DEB659">
          <v:rect id="_x0000_i1075" style="width:0;height:1.5pt" o:hralign="center" o:hrstd="t" o:hr="t" fillcolor="#a0a0a0" stroked="f"/>
        </w:pict>
      </w:r>
    </w:p>
    <w:p w14:paraId="57F36B25"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30625777" w14:textId="77777777" w:rsidR="00000000" w:rsidRDefault="00832D71">
      <w:pPr>
        <w:pStyle w:val="a3"/>
        <w:spacing w:before="200" w:beforeAutospacing="0" w:after="0" w:afterAutospacing="0"/>
        <w:jc w:val="both"/>
        <w:rPr>
          <w:sz w:val="20"/>
          <w:szCs w:val="20"/>
        </w:rPr>
      </w:pPr>
      <w:r>
        <w:rPr>
          <w:sz w:val="20"/>
          <w:szCs w:val="20"/>
        </w:rPr>
        <w:t xml:space="preserve">to early stage education companies. From 2003 to 2006 she was a General Partner at Arcadia Partners, a venture capital firm focused on the education industry. Prior to joining Arcadia, Ms. Swift served for fifteen years </w:t>
      </w:r>
      <w:r>
        <w:rPr>
          <w:sz w:val="20"/>
          <w:szCs w:val="20"/>
        </w:rPr>
        <w:t>in Massachusetts state government, becoming Massachusetts’ first woman governor in 2001. Ms. Swift also serves as an advisor to national education organizations, including Whiteboard Advisors, a leading education research, consulting and communications fir</w:t>
      </w:r>
      <w:r>
        <w:rPr>
          <w:sz w:val="20"/>
          <w:szCs w:val="20"/>
        </w:rPr>
        <w:t>m in the United States; Edmentum, a leading national provider of online learning programs, located in Bloomington, Minnesota; and as Chair of the Board of Global School of Management, a Virginia company in the hybrid school, early childhood learning and in</w:t>
      </w:r>
      <w:r>
        <w:rPr>
          <w:sz w:val="20"/>
          <w:szCs w:val="20"/>
        </w:rPr>
        <w:t>ternational school business. Ms. Swift also serves on the Board of Directors of Climb Credit, in Brooklyn, New York, an alternative finance company that provides funding for post-secondary education opportunities; and as an advisor to ESS, an education man</w:t>
      </w:r>
      <w:r>
        <w:rPr>
          <w:sz w:val="20"/>
          <w:szCs w:val="20"/>
        </w:rPr>
        <w:t>agement and staffing solution business. In July 2022, Ms. Swift became the founder and President of Cobble Hill Farm Education &amp; Rescue Center, which is a non-profit organization that provides animal rescue and support services and promotes community educa</w:t>
      </w:r>
      <w:r>
        <w:rPr>
          <w:sz w:val="20"/>
          <w:szCs w:val="20"/>
        </w:rPr>
        <w:t>tion about the benefits of farming. She has previously served on the boards of both public and private companies in the education space, including K12, Inc., Animated Speech Company, Sally Ride Science Inc., Teachers of Tomorrow and eDynamics Learning</w:t>
      </w:r>
      <w:r>
        <w:rPr>
          <w:sz w:val="20"/>
          <w:szCs w:val="20"/>
        </w:rPr>
        <w:t>.</w:t>
      </w:r>
      <w:r>
        <w:rPr>
          <w:sz w:val="20"/>
          <w:szCs w:val="20"/>
        </w:rPr>
        <w:t xml:space="preserve"> </w:t>
      </w:r>
    </w:p>
    <w:p w14:paraId="47C22EB8" w14:textId="77777777" w:rsidR="00000000" w:rsidRDefault="00832D71">
      <w:pPr>
        <w:pStyle w:val="a3"/>
        <w:spacing w:before="200" w:beforeAutospacing="0" w:after="0" w:afterAutospacing="0"/>
        <w:ind w:firstLine="555"/>
        <w:jc w:val="both"/>
        <w:rPr>
          <w:sz w:val="20"/>
          <w:szCs w:val="20"/>
        </w:rPr>
      </w:pPr>
      <w:r>
        <w:rPr>
          <w:sz w:val="20"/>
          <w:szCs w:val="20"/>
        </w:rPr>
        <w:t>Ms. Swift’s qualifications to sit on our Board, and serve as Chair of its Compensation Committee, include her strong experience in public policy and government, and her extensive knowledge of regulatory matters arising from her fifteen years in state gover</w:t>
      </w:r>
      <w:r>
        <w:rPr>
          <w:sz w:val="20"/>
          <w:szCs w:val="20"/>
        </w:rPr>
        <w:t>nment</w:t>
      </w:r>
      <w:r>
        <w:rPr>
          <w:sz w:val="20"/>
          <w:szCs w:val="20"/>
        </w:rPr>
        <w:t>.</w:t>
      </w:r>
    </w:p>
    <w:p w14:paraId="7F873569" w14:textId="77777777" w:rsidR="00000000" w:rsidRDefault="00832D71">
      <w:pPr>
        <w:pStyle w:val="a3"/>
        <w:spacing w:before="200" w:beforeAutospacing="0" w:after="0" w:afterAutospacing="0"/>
        <w:ind w:firstLine="555"/>
        <w:jc w:val="both"/>
        <w:rPr>
          <w:sz w:val="20"/>
          <w:szCs w:val="20"/>
        </w:rPr>
      </w:pPr>
      <w:r>
        <w:rPr>
          <w:sz w:val="20"/>
          <w:szCs w:val="20"/>
        </w:rPr>
        <w:t>Mr. Caldwell has served as a Supervisor since November 2012. He was a Co-Founder of New Canaan Investments, Inc. (“NCI”), a private equity investment firm, where he was one of three senior officers of the firm from 1988 to 2005. NCI was an active “f</w:t>
      </w:r>
      <w:r>
        <w:rPr>
          <w:sz w:val="20"/>
          <w:szCs w:val="20"/>
        </w:rPr>
        <w:t>ix and build” investor in packaging, chemicals, and automotive components companies. Mr. Caldwell held a number of board directorships and senior management positions in those companies until he retired in 2005. The largest of these companies was Kerr Grou</w:t>
      </w:r>
      <w:r>
        <w:rPr>
          <w:sz w:val="20"/>
          <w:szCs w:val="20"/>
        </w:rPr>
        <w:t>p, Inc., a plastic closure and bottle company where Mr. Caldwell served as Director for eight years and Chief Financial Officer for six years. From 1985 to 1988, Mr. Caldwell was head of acquisitions for Moore McCormack Resources, Inc., an oil and gas expl</w:t>
      </w:r>
      <w:r>
        <w:rPr>
          <w:sz w:val="20"/>
          <w:szCs w:val="20"/>
        </w:rPr>
        <w:t xml:space="preserve">oration, shipping, and construction materials company. Mr. Caldwell also currently serves on the Board of Trustees and as Chairman of the Investment Committee of Historic Deerfield, and as the President of the Board of The New Canaan Museum and Historical </w:t>
      </w:r>
      <w:r>
        <w:rPr>
          <w:sz w:val="20"/>
          <w:szCs w:val="20"/>
        </w:rPr>
        <w:t>Society; both of which non-profit institutions focus on enriching educational programs for K-12 children locally and nationwide</w:t>
      </w:r>
      <w:r>
        <w:rPr>
          <w:sz w:val="20"/>
          <w:szCs w:val="20"/>
        </w:rPr>
        <w:t>.</w:t>
      </w:r>
    </w:p>
    <w:p w14:paraId="011904EB" w14:textId="77777777" w:rsidR="00000000" w:rsidRDefault="00832D71">
      <w:pPr>
        <w:pStyle w:val="a3"/>
        <w:spacing w:before="200" w:beforeAutospacing="0" w:after="0" w:afterAutospacing="0"/>
        <w:ind w:firstLine="555"/>
        <w:jc w:val="both"/>
        <w:rPr>
          <w:sz w:val="20"/>
          <w:szCs w:val="20"/>
        </w:rPr>
      </w:pPr>
      <w:r>
        <w:rPr>
          <w:sz w:val="20"/>
          <w:szCs w:val="20"/>
        </w:rPr>
        <w:t>Mr. Caldwell's qualifications to sit on our Board include over forty years of successful investing in and managing of a broad r</w:t>
      </w:r>
      <w:r>
        <w:rPr>
          <w:sz w:val="20"/>
          <w:szCs w:val="20"/>
        </w:rPr>
        <w:t>ange of public and private businesses in a number of different industries. This experience has encompassed both turnaround situations, and the building of companies through internal growth and acquisitions</w:t>
      </w:r>
      <w:r>
        <w:rPr>
          <w:sz w:val="20"/>
          <w:szCs w:val="20"/>
        </w:rPr>
        <w:t>.</w:t>
      </w:r>
    </w:p>
    <w:p w14:paraId="37DE63F1" w14:textId="77777777" w:rsidR="00000000" w:rsidRDefault="00832D71">
      <w:pPr>
        <w:pStyle w:val="a3"/>
        <w:spacing w:before="200" w:beforeAutospacing="0" w:after="0" w:afterAutospacing="0"/>
        <w:ind w:firstLine="555"/>
        <w:jc w:val="both"/>
        <w:rPr>
          <w:sz w:val="20"/>
          <w:szCs w:val="20"/>
        </w:rPr>
      </w:pPr>
      <w:r>
        <w:rPr>
          <w:sz w:val="20"/>
          <w:szCs w:val="20"/>
        </w:rPr>
        <w:t>Mr. Connors has served as a Supervisor since Janu</w:t>
      </w:r>
      <w:r>
        <w:rPr>
          <w:sz w:val="20"/>
          <w:szCs w:val="20"/>
        </w:rPr>
        <w:t>ary 2017. Mr. Connors retired in September 2015 from KPMG LLP after nearly forty years in public accounting. Prior to joining KPMG in 2002, he was a partner with another large international accounting firm. During his career, he served as a senior audit an</w:t>
      </w:r>
      <w:r>
        <w:rPr>
          <w:sz w:val="20"/>
          <w:szCs w:val="20"/>
        </w:rPr>
        <w:t>d global lead partner for numerous public companies, including Fortune 500 companies. At KPMG, he was a professional practice partner, SEC Reviewing Partner and was elected to serve as a member of KPMG’s board of directors (2011-2015), where he chaired the</w:t>
      </w:r>
      <w:r>
        <w:rPr>
          <w:sz w:val="20"/>
          <w:szCs w:val="20"/>
        </w:rPr>
        <w:t xml:space="preserve"> Audit, Finance &amp; Operations Committee. Mr. Connors currently serves as a director and audit committee chair of FS Credit Real Estate Income Trust, Inc., a commercial mortgage nontraded real estate investment trust, and AdaptHealth Corp., a leading provide</w:t>
      </w:r>
      <w:r>
        <w:rPr>
          <w:sz w:val="20"/>
          <w:szCs w:val="20"/>
        </w:rPr>
        <w:t>r of home healthcare equipment and services in the United States. He previously served as a director and audit committee chair of Cardone Industries, Inc., one of the largest privately-held automotive parts remanufacturers in the world</w:t>
      </w:r>
      <w:r>
        <w:rPr>
          <w:sz w:val="20"/>
          <w:szCs w:val="20"/>
        </w:rPr>
        <w:t>.</w:t>
      </w:r>
      <w:r>
        <w:rPr>
          <w:sz w:val="20"/>
          <w:szCs w:val="20"/>
        </w:rPr>
        <w:t xml:space="preserve"> </w:t>
      </w:r>
    </w:p>
    <w:p w14:paraId="69ACF3B5" w14:textId="77777777" w:rsidR="00000000" w:rsidRDefault="00832D71">
      <w:pPr>
        <w:pStyle w:val="a3"/>
        <w:spacing w:before="200" w:beforeAutospacing="0" w:after="0" w:afterAutospacing="0"/>
        <w:ind w:firstLine="555"/>
        <w:jc w:val="both"/>
        <w:rPr>
          <w:sz w:val="20"/>
          <w:szCs w:val="20"/>
        </w:rPr>
      </w:pPr>
      <w:r>
        <w:rPr>
          <w:sz w:val="20"/>
          <w:szCs w:val="20"/>
        </w:rPr>
        <w:t>Mr. Connors’ quali</w:t>
      </w:r>
      <w:r>
        <w:rPr>
          <w:sz w:val="20"/>
          <w:szCs w:val="20"/>
        </w:rPr>
        <w:t>fications to sit on our Board, and serve as Chair of its Audit Committee, include his extensive experience as a lead audit partner for numerous public companies across a variety of industries, which enables him to provide helpful insights to the Board in c</w:t>
      </w:r>
      <w:r>
        <w:rPr>
          <w:sz w:val="20"/>
          <w:szCs w:val="20"/>
        </w:rPr>
        <w:t>onnection with its oversight of financial, accounting and internal control matters</w:t>
      </w:r>
      <w:r>
        <w:rPr>
          <w:sz w:val="20"/>
          <w:szCs w:val="20"/>
        </w:rPr>
        <w:t>.</w:t>
      </w:r>
    </w:p>
    <w:p w14:paraId="2B0E6649" w14:textId="77777777" w:rsidR="00000000" w:rsidRDefault="00832D71">
      <w:pPr>
        <w:pStyle w:val="a3"/>
        <w:spacing w:before="200" w:beforeAutospacing="0" w:after="0" w:afterAutospacing="0"/>
        <w:ind w:firstLine="555"/>
        <w:jc w:val="both"/>
        <w:rPr>
          <w:sz w:val="20"/>
          <w:szCs w:val="20"/>
        </w:rPr>
      </w:pPr>
      <w:r>
        <w:rPr>
          <w:sz w:val="20"/>
          <w:szCs w:val="20"/>
        </w:rPr>
        <w:t>Mr. Landuyt has served as a Supervisor since January 1, 2017. Since 2003, Mr. Landuyt has served as a Managing Director at Charterhouse Strategic Partners, LLC, and its pre</w:t>
      </w:r>
      <w:r>
        <w:rPr>
          <w:sz w:val="20"/>
          <w:szCs w:val="20"/>
        </w:rPr>
        <w:t>decessors (“Charterhouse”), private equity firms with a focus on build-ups, management buyouts, and growth capital investments primarily in the business services and healthcare services sectors, and has served on the Boards of Directors of a number of port</w:t>
      </w:r>
      <w:r>
        <w:rPr>
          <w:sz w:val="20"/>
          <w:szCs w:val="20"/>
        </w:rPr>
        <w:t>folio companies of those firms. From 1996 to 2003, Mr. Landuyt served as Chairman of the Board, President and Chief Executive Officer of Millennium Chemicals, Inc. (“Millennium”), and from 1983 to 1996 he served as Finance Director of Hanson plc and severa</w:t>
      </w:r>
      <w:r>
        <w:rPr>
          <w:sz w:val="20"/>
          <w:szCs w:val="20"/>
        </w:rPr>
        <w:t>l other senior executive positions with Hanson Industries, the U.S. subsidiary of Hanson plc (collectively, “Hanson,”), including Vice President and Chief Financial Officer and ultimately Director, President and Chief Executive Officer. Hanson and Millenni</w:t>
      </w:r>
      <w:r>
        <w:rPr>
          <w:sz w:val="20"/>
          <w:szCs w:val="20"/>
        </w:rPr>
        <w:t>um were both previous owners of the Partnership or its predecessor through 1996 and 1999, respectively. He joined Hanson after spending six years as a Certified Public Accountant and auditor at Price Waterhouse &amp; Co., where he rose to the position of Senio</w:t>
      </w:r>
      <w:r>
        <w:rPr>
          <w:sz w:val="20"/>
          <w:szCs w:val="20"/>
        </w:rPr>
        <w:t>r Manager. Mr. Landuyt has previously served on the Boards of Directors (including their Audit and Compensation Committees) of public companies, including Bethlehem Steel Corp., MxEnergy Holdings, Inc., a leading retail marketer of natural gas and electric</w:t>
      </w:r>
      <w:r>
        <w:rPr>
          <w:sz w:val="20"/>
          <w:szCs w:val="20"/>
        </w:rPr>
        <w:t>ity contracts, and Top Image Systems, Inc. Mr. Landuyt is also the Co-Founder and Executive Director of Celtic Charms, Inc., a non-profit therapeutic horsemanship center serving people with physical and cognitive disabilities and disorders</w:t>
      </w:r>
      <w:r>
        <w:rPr>
          <w:sz w:val="20"/>
          <w:szCs w:val="20"/>
        </w:rPr>
        <w:t>.</w:t>
      </w:r>
      <w:r>
        <w:rPr>
          <w:sz w:val="22"/>
          <w:szCs w:val="22"/>
        </w:rPr>
        <w:t xml:space="preserve"> </w:t>
      </w:r>
    </w:p>
    <w:p w14:paraId="6276B7D7" w14:textId="77777777" w:rsidR="00000000" w:rsidRDefault="00832D71">
      <w:pPr>
        <w:pStyle w:val="a3"/>
        <w:spacing w:before="200" w:beforeAutospacing="0" w:after="0" w:afterAutospacing="0"/>
        <w:ind w:firstLine="555"/>
        <w:jc w:val="both"/>
        <w:rPr>
          <w:sz w:val="20"/>
          <w:szCs w:val="20"/>
        </w:rPr>
      </w:pPr>
      <w:r>
        <w:rPr>
          <w:sz w:val="20"/>
          <w:szCs w:val="20"/>
        </w:rPr>
        <w:t xml:space="preserve">Mr. Landuyt’s </w:t>
      </w:r>
      <w:r>
        <w:rPr>
          <w:sz w:val="20"/>
          <w:szCs w:val="20"/>
        </w:rPr>
        <w:t>qualifications to sit on our Board include over forty years of financial and executive management experience for both public and private companies, including extensive experience with mergers and acquisitions and corporate governance</w:t>
      </w:r>
      <w:r>
        <w:rPr>
          <w:sz w:val="20"/>
          <w:szCs w:val="20"/>
        </w:rPr>
        <w:t>.</w:t>
      </w:r>
      <w:r>
        <w:rPr>
          <w:sz w:val="20"/>
          <w:szCs w:val="20"/>
        </w:rPr>
        <w:t xml:space="preserve"> </w:t>
      </w:r>
    </w:p>
    <w:p w14:paraId="7F778B38" w14:textId="77777777" w:rsidR="00000000" w:rsidRDefault="00832D71">
      <w:pPr>
        <w:pStyle w:val="a3"/>
        <w:spacing w:before="0" w:beforeAutospacing="0" w:after="0" w:afterAutospacing="0"/>
        <w:jc w:val="center"/>
        <w:rPr>
          <w:sz w:val="20"/>
          <w:szCs w:val="20"/>
        </w:rPr>
      </w:pPr>
      <w:r>
        <w:rPr>
          <w:sz w:val="20"/>
          <w:szCs w:val="20"/>
        </w:rPr>
        <w:t> </w:t>
      </w:r>
    </w:p>
    <w:p w14:paraId="2824D490" w14:textId="77777777" w:rsidR="00000000" w:rsidRDefault="00832D71">
      <w:pPr>
        <w:pStyle w:val="a3"/>
        <w:spacing w:before="0" w:beforeAutospacing="0" w:after="0" w:afterAutospacing="0"/>
        <w:jc w:val="center"/>
        <w:rPr>
          <w:sz w:val="20"/>
          <w:szCs w:val="20"/>
        </w:rPr>
      </w:pPr>
      <w:r>
        <w:rPr>
          <w:sz w:val="20"/>
          <w:szCs w:val="20"/>
        </w:rPr>
        <w:t>4</w:t>
      </w:r>
      <w:r>
        <w:rPr>
          <w:sz w:val="20"/>
          <w:szCs w:val="20"/>
        </w:rPr>
        <w:t>9</w:t>
      </w:r>
    </w:p>
    <w:p w14:paraId="27FB5D79" w14:textId="77777777" w:rsidR="00000000" w:rsidRDefault="00832D71">
      <w:pPr>
        <w:rPr>
          <w:rFonts w:eastAsia="Times New Roman"/>
        </w:rPr>
      </w:pPr>
      <w:r>
        <w:rPr>
          <w:rFonts w:eastAsia="Times New Roman"/>
        </w:rPr>
        <w:pict w14:anchorId="08066F38">
          <v:rect id="_x0000_i1076" style="width:0;height:1.5pt" o:hralign="center" o:hrstd="t" o:hr="t" fillcolor="#a0a0a0" stroked="f"/>
        </w:pict>
      </w:r>
    </w:p>
    <w:p w14:paraId="713DB788"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67B6CEAB" w14:textId="77777777" w:rsidR="00000000" w:rsidRDefault="00832D71">
      <w:pPr>
        <w:pStyle w:val="a3"/>
        <w:spacing w:before="200" w:beforeAutospacing="0" w:after="0" w:afterAutospacing="0"/>
        <w:jc w:val="both"/>
        <w:rPr>
          <w:sz w:val="20"/>
          <w:szCs w:val="20"/>
        </w:rPr>
      </w:pPr>
      <w:r>
        <w:rPr>
          <w:sz w:val="20"/>
          <w:szCs w:val="20"/>
        </w:rPr>
        <w:t>Additionally, his specific responsibility for supervision of the Partnership’s predecessors, as well as his subsequent board-level involvement in the distribution, petrochemica</w:t>
      </w:r>
      <w:r>
        <w:rPr>
          <w:sz w:val="20"/>
          <w:szCs w:val="20"/>
        </w:rPr>
        <w:t>l and retail energy sectors gives Mr. Landuyt extensive expertise in areas directly relevant to the business of the Partnership</w:t>
      </w:r>
      <w:r>
        <w:rPr>
          <w:sz w:val="20"/>
          <w:szCs w:val="20"/>
        </w:rPr>
        <w:t>.</w:t>
      </w:r>
    </w:p>
    <w:p w14:paraId="6B237679" w14:textId="77777777" w:rsidR="00000000" w:rsidRDefault="00832D71">
      <w:pPr>
        <w:pStyle w:val="a3"/>
        <w:spacing w:before="240" w:beforeAutospacing="0" w:after="0" w:afterAutospacing="0"/>
        <w:jc w:val="both"/>
        <w:rPr>
          <w:sz w:val="20"/>
          <w:szCs w:val="20"/>
        </w:rPr>
      </w:pPr>
      <w:r>
        <w:rPr>
          <w:b/>
          <w:bCs/>
          <w:sz w:val="20"/>
          <w:szCs w:val="20"/>
        </w:rPr>
        <w:t>Codes of Ethics and of Business Conduc</w:t>
      </w:r>
      <w:r>
        <w:rPr>
          <w:b/>
          <w:bCs/>
          <w:sz w:val="20"/>
          <w:szCs w:val="20"/>
        </w:rPr>
        <w:t>t</w:t>
      </w:r>
    </w:p>
    <w:p w14:paraId="4A84DF91" w14:textId="77777777" w:rsidR="00000000" w:rsidRDefault="00832D71">
      <w:pPr>
        <w:pStyle w:val="a3"/>
        <w:spacing w:before="120" w:beforeAutospacing="0" w:after="0" w:afterAutospacing="0"/>
        <w:ind w:firstLine="555"/>
        <w:jc w:val="both"/>
        <w:rPr>
          <w:sz w:val="20"/>
          <w:szCs w:val="20"/>
        </w:rPr>
      </w:pPr>
      <w:r>
        <w:rPr>
          <w:sz w:val="20"/>
          <w:szCs w:val="20"/>
        </w:rPr>
        <w:t>We have adopted a Code of Ethics that applies to our principal executive officer, princ</w:t>
      </w:r>
      <w:r>
        <w:rPr>
          <w:sz w:val="20"/>
          <w:szCs w:val="20"/>
        </w:rPr>
        <w:t>ipal financial officer and principal accounting officer, and a Code of Business Conduct that applies to all of our employees, officers and Supervisors. A copy of our Code of Ethics and our Code of Business Conduct is available without charge from our websi</w:t>
      </w:r>
      <w:r>
        <w:rPr>
          <w:sz w:val="20"/>
          <w:szCs w:val="20"/>
        </w:rPr>
        <w:t>te at</w:t>
      </w:r>
      <w:r>
        <w:rPr>
          <w:sz w:val="20"/>
          <w:szCs w:val="20"/>
        </w:rPr>
        <w:t xml:space="preserve"> </w:t>
      </w:r>
      <w:r>
        <w:rPr>
          <w:sz w:val="20"/>
          <w:szCs w:val="20"/>
          <w:u w:val="single"/>
        </w:rPr>
        <w:t>www.suburbanpropane.co</w:t>
      </w:r>
      <w:r>
        <w:rPr>
          <w:sz w:val="20"/>
          <w:szCs w:val="20"/>
          <w:u w:val="single"/>
        </w:rPr>
        <w:t>m</w:t>
      </w:r>
      <w:r>
        <w:rPr>
          <w:sz w:val="20"/>
          <w:szCs w:val="20"/>
        </w:rPr>
        <w:t xml:space="preserve"> or upon written request directed to: Suburban Propane Partners, L.P., Investor Relations, P.O. Box 206, Whippany, New Jersey 07981-0206. Any amendments to, or waivers from, provisions of our Code of Ethics or our Code of Busin</w:t>
      </w:r>
      <w:r>
        <w:rPr>
          <w:sz w:val="20"/>
          <w:szCs w:val="20"/>
        </w:rPr>
        <w:t>ess Conduct will be posted on our website</w:t>
      </w:r>
      <w:r>
        <w:rPr>
          <w:sz w:val="20"/>
          <w:szCs w:val="20"/>
        </w:rPr>
        <w:t>.</w:t>
      </w:r>
    </w:p>
    <w:p w14:paraId="66818ED2" w14:textId="77777777" w:rsidR="00000000" w:rsidRDefault="00832D71">
      <w:pPr>
        <w:pStyle w:val="a3"/>
        <w:spacing w:before="240" w:beforeAutospacing="0" w:after="0" w:afterAutospacing="0"/>
        <w:jc w:val="both"/>
        <w:rPr>
          <w:sz w:val="20"/>
          <w:szCs w:val="20"/>
        </w:rPr>
      </w:pPr>
      <w:r>
        <w:rPr>
          <w:b/>
          <w:bCs/>
          <w:sz w:val="20"/>
          <w:szCs w:val="20"/>
        </w:rPr>
        <w:t>Corporate Governance Guideline</w:t>
      </w:r>
      <w:r>
        <w:rPr>
          <w:b/>
          <w:bCs/>
          <w:sz w:val="20"/>
          <w:szCs w:val="20"/>
        </w:rPr>
        <w:t>s</w:t>
      </w:r>
    </w:p>
    <w:p w14:paraId="135103A1" w14:textId="77777777" w:rsidR="00000000" w:rsidRDefault="00832D71">
      <w:pPr>
        <w:pStyle w:val="a3"/>
        <w:spacing w:before="120" w:beforeAutospacing="0" w:after="0" w:afterAutospacing="0"/>
        <w:ind w:firstLine="555"/>
        <w:jc w:val="both"/>
        <w:rPr>
          <w:sz w:val="20"/>
          <w:szCs w:val="20"/>
        </w:rPr>
      </w:pPr>
      <w:r>
        <w:rPr>
          <w:sz w:val="20"/>
          <w:szCs w:val="20"/>
        </w:rPr>
        <w:t xml:space="preserve">We have adopted Corporate Governance Guidelines and Principles in accordance with the NYSE corporate governance listing standards in effect as of the date of this Annual Report. In </w:t>
      </w:r>
      <w:r>
        <w:rPr>
          <w:sz w:val="20"/>
          <w:szCs w:val="20"/>
        </w:rPr>
        <w:t>addition, we have adopted certain Corporate Governance Policies, including an Equity Holding Policy for Supervisors and Executives and an Incentive Compensation Recoupment Policy. A copy of our Corporate Governance Guidelines and Principles, as well as a c</w:t>
      </w:r>
      <w:r>
        <w:rPr>
          <w:sz w:val="20"/>
          <w:szCs w:val="20"/>
        </w:rPr>
        <w:t>opy of the Corporate Governance Policies, is available without charge from our website at</w:t>
      </w:r>
      <w:r>
        <w:rPr>
          <w:sz w:val="20"/>
          <w:szCs w:val="20"/>
        </w:rPr>
        <w:t xml:space="preserve"> </w:t>
      </w:r>
      <w:r>
        <w:rPr>
          <w:sz w:val="20"/>
          <w:szCs w:val="20"/>
          <w:u w:val="single"/>
        </w:rPr>
        <w:t>www.suburbanpropane.co</w:t>
      </w:r>
      <w:r>
        <w:rPr>
          <w:sz w:val="20"/>
          <w:szCs w:val="20"/>
          <w:u w:val="single"/>
        </w:rPr>
        <w:t>m</w:t>
      </w:r>
      <w:r>
        <w:rPr>
          <w:sz w:val="20"/>
          <w:szCs w:val="20"/>
        </w:rPr>
        <w:t xml:space="preserve"> or upon written request directed to: Suburban Propane Partners, L.P., Investor Relations, P.O. Box 206, Whippany, New Jersey 07981-0206</w:t>
      </w:r>
      <w:r>
        <w:rPr>
          <w:sz w:val="20"/>
          <w:szCs w:val="20"/>
        </w:rPr>
        <w:t>.</w:t>
      </w:r>
    </w:p>
    <w:p w14:paraId="2604FC33" w14:textId="77777777" w:rsidR="00000000" w:rsidRDefault="00832D71">
      <w:pPr>
        <w:pStyle w:val="a3"/>
        <w:spacing w:before="240" w:beforeAutospacing="0" w:after="0" w:afterAutospacing="0"/>
        <w:jc w:val="both"/>
        <w:rPr>
          <w:sz w:val="20"/>
          <w:szCs w:val="20"/>
        </w:rPr>
      </w:pPr>
      <w:r>
        <w:rPr>
          <w:b/>
          <w:bCs/>
          <w:sz w:val="20"/>
          <w:szCs w:val="20"/>
        </w:rPr>
        <w:t>Audit</w:t>
      </w:r>
      <w:r>
        <w:rPr>
          <w:b/>
          <w:bCs/>
          <w:sz w:val="20"/>
          <w:szCs w:val="20"/>
        </w:rPr>
        <w:t xml:space="preserve"> Committee Charte</w:t>
      </w:r>
      <w:r>
        <w:rPr>
          <w:b/>
          <w:bCs/>
          <w:sz w:val="20"/>
          <w:szCs w:val="20"/>
        </w:rPr>
        <w:t>r</w:t>
      </w:r>
    </w:p>
    <w:p w14:paraId="284BF9A9" w14:textId="77777777" w:rsidR="00000000" w:rsidRDefault="00832D71">
      <w:pPr>
        <w:pStyle w:val="a3"/>
        <w:spacing w:before="120" w:beforeAutospacing="0" w:after="0" w:afterAutospacing="0"/>
        <w:ind w:firstLine="555"/>
        <w:jc w:val="both"/>
        <w:rPr>
          <w:sz w:val="20"/>
          <w:szCs w:val="20"/>
        </w:rPr>
      </w:pPr>
      <w:r>
        <w:rPr>
          <w:sz w:val="20"/>
          <w:szCs w:val="20"/>
        </w:rPr>
        <w:t>We have adopted a written Audit Committee Charter in accordance with the NYSE corporate governance listing standards in effect as of the date of this Annual Report. The Audit Committee Charter is reviewed periodically to ensure that it m</w:t>
      </w:r>
      <w:r>
        <w:rPr>
          <w:sz w:val="20"/>
          <w:szCs w:val="20"/>
        </w:rPr>
        <w:t>eets all applicable legal and NYSE listing requirements. A copy of our Audit Committee Charter is available without charge from our website at</w:t>
      </w:r>
      <w:r>
        <w:rPr>
          <w:sz w:val="20"/>
          <w:szCs w:val="20"/>
        </w:rPr>
        <w:t xml:space="preserve"> </w:t>
      </w:r>
      <w:r>
        <w:rPr>
          <w:sz w:val="20"/>
          <w:szCs w:val="20"/>
          <w:u w:val="single"/>
        </w:rPr>
        <w:t>www.suburbanpropane.co</w:t>
      </w:r>
      <w:r>
        <w:rPr>
          <w:sz w:val="20"/>
          <w:szCs w:val="20"/>
          <w:u w:val="single"/>
        </w:rPr>
        <w:t>m</w:t>
      </w:r>
      <w:r>
        <w:rPr>
          <w:sz w:val="20"/>
          <w:szCs w:val="20"/>
        </w:rPr>
        <w:t xml:space="preserve"> or upon written request directed to: Suburban Propane Partners, L.P., Investor Relations,</w:t>
      </w:r>
      <w:r>
        <w:rPr>
          <w:sz w:val="20"/>
          <w:szCs w:val="20"/>
        </w:rPr>
        <w:t xml:space="preserve"> P.O. Box 206, Whippany, New Jersey 07981-0206</w:t>
      </w:r>
      <w:r>
        <w:rPr>
          <w:sz w:val="20"/>
          <w:szCs w:val="20"/>
        </w:rPr>
        <w:t>.</w:t>
      </w:r>
    </w:p>
    <w:p w14:paraId="05B586AA" w14:textId="77777777" w:rsidR="00000000" w:rsidRDefault="00832D71">
      <w:pPr>
        <w:pStyle w:val="a3"/>
        <w:spacing w:before="240" w:beforeAutospacing="0" w:after="0" w:afterAutospacing="0"/>
        <w:jc w:val="both"/>
        <w:rPr>
          <w:sz w:val="20"/>
          <w:szCs w:val="20"/>
        </w:rPr>
      </w:pPr>
      <w:r>
        <w:rPr>
          <w:b/>
          <w:bCs/>
          <w:sz w:val="20"/>
          <w:szCs w:val="20"/>
        </w:rPr>
        <w:t>Compensation Committee Charte</w:t>
      </w:r>
      <w:r>
        <w:rPr>
          <w:b/>
          <w:bCs/>
          <w:sz w:val="20"/>
          <w:szCs w:val="20"/>
        </w:rPr>
        <w:t>r</w:t>
      </w:r>
    </w:p>
    <w:p w14:paraId="1FFBD910" w14:textId="77777777" w:rsidR="00000000" w:rsidRDefault="00832D71">
      <w:pPr>
        <w:pStyle w:val="a3"/>
        <w:spacing w:before="120" w:beforeAutospacing="0" w:after="0" w:afterAutospacing="0"/>
        <w:ind w:firstLine="555"/>
        <w:jc w:val="both"/>
        <w:rPr>
          <w:sz w:val="20"/>
          <w:szCs w:val="20"/>
        </w:rPr>
      </w:pPr>
      <w:r>
        <w:rPr>
          <w:sz w:val="20"/>
          <w:szCs w:val="20"/>
        </w:rPr>
        <w:t xml:space="preserve">The Compensation Committee reviews the performance of, and sets the compensation for, all of the Partnership’s executives. It also approves the design of executive compensation </w:t>
      </w:r>
      <w:r>
        <w:rPr>
          <w:sz w:val="20"/>
          <w:szCs w:val="20"/>
        </w:rPr>
        <w:t>programs. In addition, the Compensation Committee participates in executive succession planning and management development. Three Supervisors, who are not officers or employees of the Partnership or its subsidiaries, currently serve on the Compensation Com</w:t>
      </w:r>
      <w:r>
        <w:rPr>
          <w:sz w:val="20"/>
          <w:szCs w:val="20"/>
        </w:rPr>
        <w:t>mittee. The Board of Supervisors has determined that all three current members of the Compensation Committee, Jane Swift, Matthew J. Chanin and Harold R. Logan, Jr. are independent</w:t>
      </w:r>
      <w:r>
        <w:rPr>
          <w:sz w:val="20"/>
          <w:szCs w:val="20"/>
        </w:rPr>
        <w:t>.</w:t>
      </w:r>
    </w:p>
    <w:p w14:paraId="1BC30239" w14:textId="77777777" w:rsidR="00000000" w:rsidRDefault="00832D71">
      <w:pPr>
        <w:pStyle w:val="a3"/>
        <w:spacing w:before="120" w:beforeAutospacing="0" w:after="0" w:afterAutospacing="0"/>
        <w:ind w:firstLine="555"/>
        <w:jc w:val="both"/>
        <w:rPr>
          <w:sz w:val="20"/>
          <w:szCs w:val="20"/>
        </w:rPr>
      </w:pPr>
      <w:r>
        <w:rPr>
          <w:sz w:val="20"/>
          <w:szCs w:val="20"/>
        </w:rPr>
        <w:t>During fiscal 2022 and fiscal 2021, the Compensation Committee independently retained Willis Towers Watson, a human resources consulting firm, to assist the Compensation Committee in developing certain components of the compensation packages for the Partne</w:t>
      </w:r>
      <w:r>
        <w:rPr>
          <w:sz w:val="20"/>
          <w:szCs w:val="20"/>
        </w:rPr>
        <w:t>rship’s executive officers. See Item 11, below</w:t>
      </w:r>
      <w:r>
        <w:rPr>
          <w:sz w:val="20"/>
          <w:szCs w:val="20"/>
        </w:rPr>
        <w:t>.</w:t>
      </w:r>
    </w:p>
    <w:p w14:paraId="2338FC28" w14:textId="77777777" w:rsidR="00000000" w:rsidRDefault="00832D71">
      <w:pPr>
        <w:pStyle w:val="a3"/>
        <w:spacing w:before="120" w:beforeAutospacing="0" w:after="0" w:afterAutospacing="0"/>
        <w:ind w:firstLine="555"/>
        <w:jc w:val="both"/>
        <w:rPr>
          <w:sz w:val="20"/>
          <w:szCs w:val="20"/>
        </w:rPr>
      </w:pPr>
      <w:r>
        <w:rPr>
          <w:sz w:val="20"/>
          <w:szCs w:val="20"/>
        </w:rPr>
        <w:t>We have adopted a Compensation Committee Charter in accordance with the NYSE corporate governance listing standards in effect as of the date of this Annual Report. A copy of our Compensation Committee Charter</w:t>
      </w:r>
      <w:r>
        <w:rPr>
          <w:sz w:val="20"/>
          <w:szCs w:val="20"/>
        </w:rPr>
        <w:t xml:space="preserve"> is available without charge from our website at</w:t>
      </w:r>
      <w:r>
        <w:rPr>
          <w:sz w:val="20"/>
          <w:szCs w:val="20"/>
        </w:rPr>
        <w:t xml:space="preserve"> </w:t>
      </w:r>
      <w:r>
        <w:rPr>
          <w:sz w:val="20"/>
          <w:szCs w:val="20"/>
          <w:u w:val="single"/>
        </w:rPr>
        <w:t>www.suburbanpropane.co</w:t>
      </w:r>
      <w:r>
        <w:rPr>
          <w:sz w:val="20"/>
          <w:szCs w:val="20"/>
          <w:u w:val="single"/>
        </w:rPr>
        <w:t>m</w:t>
      </w:r>
      <w:r>
        <w:rPr>
          <w:sz w:val="20"/>
          <w:szCs w:val="20"/>
        </w:rPr>
        <w:t xml:space="preserve"> or upon written request directed to: Suburban Propane Partners, L.P., Investor Relations, P.O. Box 206, Whippany, New Jersey 07981-0206</w:t>
      </w:r>
      <w:r>
        <w:rPr>
          <w:sz w:val="20"/>
          <w:szCs w:val="20"/>
        </w:rPr>
        <w:t>.</w:t>
      </w:r>
    </w:p>
    <w:p w14:paraId="5C2E4DE4" w14:textId="77777777" w:rsidR="00000000" w:rsidRDefault="00832D71">
      <w:pPr>
        <w:pStyle w:val="a3"/>
        <w:spacing w:before="240" w:beforeAutospacing="0" w:after="0" w:afterAutospacing="0"/>
        <w:jc w:val="both"/>
        <w:rPr>
          <w:sz w:val="20"/>
          <w:szCs w:val="20"/>
        </w:rPr>
      </w:pPr>
      <w:r>
        <w:rPr>
          <w:b/>
          <w:bCs/>
          <w:sz w:val="20"/>
          <w:szCs w:val="20"/>
        </w:rPr>
        <w:t>Nominating/Governance Committee Charte</w:t>
      </w:r>
      <w:r>
        <w:rPr>
          <w:b/>
          <w:bCs/>
          <w:sz w:val="20"/>
          <w:szCs w:val="20"/>
        </w:rPr>
        <w:t>r</w:t>
      </w:r>
    </w:p>
    <w:p w14:paraId="776F08FA" w14:textId="77777777" w:rsidR="00000000" w:rsidRDefault="00832D71">
      <w:pPr>
        <w:pStyle w:val="a3"/>
        <w:spacing w:before="120" w:beforeAutospacing="0" w:after="0" w:afterAutospacing="0"/>
        <w:ind w:firstLine="555"/>
        <w:jc w:val="both"/>
        <w:rPr>
          <w:sz w:val="20"/>
          <w:szCs w:val="20"/>
        </w:rPr>
      </w:pPr>
      <w:r>
        <w:rPr>
          <w:sz w:val="20"/>
          <w:szCs w:val="20"/>
        </w:rPr>
        <w:t>The No</w:t>
      </w:r>
      <w:r>
        <w:rPr>
          <w:sz w:val="20"/>
          <w:szCs w:val="20"/>
        </w:rPr>
        <w:t xml:space="preserve">minating/Governance Committee participates in Board succession planning and development and identifies individuals qualified to become Board members, recommends to the Board the persons to be nominated for election as Supervisors at any Tri-Annual Meeting </w:t>
      </w:r>
      <w:r>
        <w:rPr>
          <w:sz w:val="20"/>
          <w:szCs w:val="20"/>
        </w:rPr>
        <w:t>of the Unitholders and the persons (if any) to be elected by the Board to fill any vacancies on the Board, develops and recommends to the Board changes to the Partnership’s Corporate Governance Guidelines &amp; Principles when appropriate, and oversees the eva</w:t>
      </w:r>
      <w:r>
        <w:rPr>
          <w:sz w:val="20"/>
          <w:szCs w:val="20"/>
        </w:rPr>
        <w:t>luation of the Board and its committees. The Committee’s current members are Matthew J. Chanin (its Chair), Harold R. Logan, Jr., Jane Swift, Lawrence C. Caldwell, Terence J. Connors and William M. Landuyt, all of whom are independent in accordance with ou</w:t>
      </w:r>
      <w:r>
        <w:rPr>
          <w:sz w:val="20"/>
          <w:szCs w:val="20"/>
        </w:rPr>
        <w:t>r Corporate Governance Guidelines &amp; Principles and the rules of the NYSE</w:t>
      </w:r>
      <w:r>
        <w:rPr>
          <w:sz w:val="20"/>
          <w:szCs w:val="20"/>
        </w:rPr>
        <w:t>.</w:t>
      </w:r>
    </w:p>
    <w:p w14:paraId="79B86743" w14:textId="77777777" w:rsidR="00000000" w:rsidRDefault="00832D71">
      <w:pPr>
        <w:pStyle w:val="a3"/>
        <w:spacing w:before="120" w:beforeAutospacing="0" w:after="0" w:afterAutospacing="0"/>
        <w:ind w:firstLine="555"/>
        <w:jc w:val="both"/>
        <w:rPr>
          <w:sz w:val="20"/>
          <w:szCs w:val="20"/>
        </w:rPr>
      </w:pPr>
      <w:r>
        <w:rPr>
          <w:sz w:val="20"/>
          <w:szCs w:val="20"/>
        </w:rPr>
        <w:t>We have adopted a written Nominating/Governance Committee Charter. A copy of our Nominating/Governance Committee Charter is available without charge from our website at</w:t>
      </w:r>
      <w:r>
        <w:rPr>
          <w:sz w:val="20"/>
          <w:szCs w:val="20"/>
        </w:rPr>
        <w:t xml:space="preserve"> </w:t>
      </w:r>
      <w:r>
        <w:rPr>
          <w:sz w:val="20"/>
          <w:szCs w:val="20"/>
          <w:u w:val="single"/>
        </w:rPr>
        <w:t>www.suburbanp</w:t>
      </w:r>
      <w:r>
        <w:rPr>
          <w:sz w:val="20"/>
          <w:szCs w:val="20"/>
          <w:u w:val="single"/>
        </w:rPr>
        <w:t>ropane.co</w:t>
      </w:r>
      <w:r>
        <w:rPr>
          <w:sz w:val="20"/>
          <w:szCs w:val="20"/>
          <w:u w:val="single"/>
        </w:rPr>
        <w:t>m</w:t>
      </w:r>
      <w:r>
        <w:rPr>
          <w:sz w:val="20"/>
          <w:szCs w:val="20"/>
        </w:rPr>
        <w:t xml:space="preserve"> or upon written request directed to: Suburban Propane Partners, L.P., Investor Relations, P.O. Box 206, Whippany, New Jersey 07981-0206</w:t>
      </w:r>
      <w:r>
        <w:rPr>
          <w:sz w:val="20"/>
          <w:szCs w:val="20"/>
        </w:rPr>
        <w:t>.</w:t>
      </w:r>
    </w:p>
    <w:p w14:paraId="325E6CB4" w14:textId="77777777" w:rsidR="00000000" w:rsidRDefault="00832D71">
      <w:pPr>
        <w:pStyle w:val="a3"/>
        <w:spacing w:before="0" w:beforeAutospacing="0" w:after="0" w:afterAutospacing="0"/>
        <w:jc w:val="center"/>
        <w:rPr>
          <w:sz w:val="20"/>
          <w:szCs w:val="20"/>
        </w:rPr>
      </w:pPr>
      <w:r>
        <w:rPr>
          <w:sz w:val="20"/>
          <w:szCs w:val="20"/>
        </w:rPr>
        <w:t> </w:t>
      </w:r>
    </w:p>
    <w:p w14:paraId="6B7CF680"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0</w:t>
      </w:r>
    </w:p>
    <w:p w14:paraId="340986C9" w14:textId="77777777" w:rsidR="00000000" w:rsidRDefault="00832D71">
      <w:pPr>
        <w:rPr>
          <w:rFonts w:eastAsia="Times New Roman"/>
        </w:rPr>
      </w:pPr>
      <w:r>
        <w:rPr>
          <w:rFonts w:eastAsia="Times New Roman"/>
        </w:rPr>
        <w:pict w14:anchorId="79E5669F">
          <v:rect id="_x0000_i1077" style="width:0;height:1.5pt" o:hralign="center" o:hrstd="t" o:hr="t" fillcolor="#a0a0a0" stroked="f"/>
        </w:pict>
      </w:r>
    </w:p>
    <w:p w14:paraId="6C849147"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34C63CD7" w14:textId="77777777" w:rsidR="00000000" w:rsidRDefault="00832D71">
      <w:pPr>
        <w:pStyle w:val="a3"/>
        <w:spacing w:before="240" w:beforeAutospacing="0" w:after="0" w:afterAutospacing="0"/>
        <w:jc w:val="both"/>
        <w:rPr>
          <w:sz w:val="20"/>
          <w:szCs w:val="20"/>
        </w:rPr>
      </w:pPr>
      <w:r>
        <w:rPr>
          <w:b/>
          <w:bCs/>
          <w:sz w:val="20"/>
          <w:szCs w:val="20"/>
        </w:rPr>
        <w:t>NYSE Ann</w:t>
      </w:r>
      <w:r>
        <w:rPr>
          <w:b/>
          <w:bCs/>
          <w:sz w:val="20"/>
          <w:szCs w:val="20"/>
        </w:rPr>
        <w:t>ual CEO Certificatio</w:t>
      </w:r>
      <w:r>
        <w:rPr>
          <w:b/>
          <w:bCs/>
          <w:sz w:val="20"/>
          <w:szCs w:val="20"/>
        </w:rPr>
        <w:t>n</w:t>
      </w:r>
    </w:p>
    <w:p w14:paraId="3418DB40" w14:textId="77777777" w:rsidR="00000000" w:rsidRDefault="00832D71">
      <w:pPr>
        <w:pStyle w:val="a3"/>
        <w:spacing w:before="120" w:beforeAutospacing="0" w:after="0" w:afterAutospacing="0"/>
        <w:ind w:firstLine="555"/>
        <w:jc w:val="both"/>
        <w:rPr>
          <w:sz w:val="20"/>
          <w:szCs w:val="20"/>
        </w:rPr>
      </w:pPr>
      <w:r>
        <w:rPr>
          <w:sz w:val="20"/>
          <w:szCs w:val="20"/>
        </w:rPr>
        <w:t>The NYSE requires the Chief Executive Officer of each listed company to submit a certification indicating that the company is not in violation of the Corporate Governance listing standards of the NYSE on an annual basis. Our Chief Exe</w:t>
      </w:r>
      <w:r>
        <w:rPr>
          <w:sz w:val="20"/>
          <w:szCs w:val="20"/>
        </w:rPr>
        <w:t>cutive Officer submits his Annual CEO Certification to the NYSE each December. In December 2021, our Chief Executive Officer, Michael A. Stivala, submitted his Annual CEO Certification to the NYSE without qualification</w:t>
      </w:r>
      <w:r>
        <w:rPr>
          <w:sz w:val="20"/>
          <w:szCs w:val="20"/>
        </w:rPr>
        <w:t>.</w:t>
      </w:r>
    </w:p>
    <w:p w14:paraId="389FE33E" w14:textId="77777777" w:rsidR="00000000" w:rsidRDefault="00832D71">
      <w:pPr>
        <w:pStyle w:val="a3"/>
        <w:spacing w:before="0" w:beforeAutospacing="0" w:after="0" w:afterAutospacing="0"/>
        <w:jc w:val="center"/>
        <w:rPr>
          <w:sz w:val="20"/>
          <w:szCs w:val="20"/>
        </w:rPr>
      </w:pPr>
      <w:r>
        <w:rPr>
          <w:sz w:val="20"/>
          <w:szCs w:val="20"/>
        </w:rPr>
        <w:t> </w:t>
      </w:r>
    </w:p>
    <w:p w14:paraId="68DD95D1"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1</w:t>
      </w:r>
    </w:p>
    <w:p w14:paraId="17C95A08" w14:textId="77777777" w:rsidR="00000000" w:rsidRDefault="00832D71">
      <w:pPr>
        <w:rPr>
          <w:rFonts w:eastAsia="Times New Roman"/>
        </w:rPr>
      </w:pPr>
      <w:r>
        <w:rPr>
          <w:rFonts w:eastAsia="Times New Roman"/>
        </w:rPr>
        <w:pict w14:anchorId="709ED333">
          <v:rect id="_x0000_i1078" style="width:0;height:1.5pt" o:hralign="center" o:hrstd="t" o:hr="t" fillcolor="#a0a0a0" stroked="f"/>
        </w:pict>
      </w:r>
    </w:p>
    <w:p w14:paraId="228F95FD"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7979BD69" w14:textId="77777777" w:rsidR="00000000" w:rsidRDefault="00832D71">
      <w:pPr>
        <w:pStyle w:val="a3"/>
        <w:spacing w:before="0" w:beforeAutospacing="0" w:after="0" w:afterAutospacing="0"/>
        <w:ind w:hanging="1400"/>
        <w:jc w:val="both"/>
        <w:rPr>
          <w:sz w:val="20"/>
          <w:szCs w:val="20"/>
        </w:rPr>
      </w:pPr>
      <w:r>
        <w:rPr>
          <w:b/>
          <w:bCs/>
          <w:sz w:val="20"/>
          <w:szCs w:val="20"/>
        </w:rPr>
        <w:t>ITEM 11. EXECUT</w:t>
      </w:r>
      <w:r>
        <w:rPr>
          <w:b/>
          <w:bCs/>
          <w:sz w:val="20"/>
          <w:szCs w:val="20"/>
        </w:rPr>
        <w:t>I</w:t>
      </w:r>
      <w:r>
        <w:rPr>
          <w:b/>
          <w:bCs/>
          <w:sz w:val="20"/>
          <w:szCs w:val="20"/>
        </w:rPr>
        <w:t>VE COMPENSATIO</w:t>
      </w:r>
      <w:r>
        <w:rPr>
          <w:b/>
          <w:bCs/>
          <w:sz w:val="20"/>
          <w:szCs w:val="20"/>
        </w:rPr>
        <w:t>N</w:t>
      </w:r>
    </w:p>
    <w:p w14:paraId="4E644F51" w14:textId="77777777" w:rsidR="00000000" w:rsidRDefault="00832D71">
      <w:pPr>
        <w:pStyle w:val="a3"/>
        <w:spacing w:before="120" w:beforeAutospacing="0" w:after="0" w:afterAutospacing="0"/>
        <w:rPr>
          <w:sz w:val="20"/>
          <w:szCs w:val="20"/>
        </w:rPr>
      </w:pPr>
      <w:r>
        <w:rPr>
          <w:b/>
          <w:bCs/>
          <w:sz w:val="20"/>
          <w:szCs w:val="20"/>
        </w:rPr>
        <w:t>Compensation Discussion and Analysi</w:t>
      </w:r>
      <w:r>
        <w:rPr>
          <w:b/>
          <w:bCs/>
          <w:sz w:val="20"/>
          <w:szCs w:val="20"/>
        </w:rPr>
        <w:t>s</w:t>
      </w:r>
    </w:p>
    <w:p w14:paraId="7943BF19" w14:textId="77777777" w:rsidR="00000000" w:rsidRDefault="00832D71">
      <w:pPr>
        <w:pStyle w:val="a3"/>
        <w:spacing w:before="120" w:beforeAutospacing="0" w:after="0" w:afterAutospacing="0"/>
        <w:ind w:firstLine="555"/>
        <w:jc w:val="both"/>
        <w:rPr>
          <w:sz w:val="20"/>
          <w:szCs w:val="20"/>
        </w:rPr>
      </w:pPr>
      <w:r>
        <w:rPr>
          <w:sz w:val="20"/>
          <w:szCs w:val="20"/>
        </w:rPr>
        <w:t>This Compensation Discussion and Analysis (“CD&amp;A”) explains our executive compensation philosophy, policies and practices w</w:t>
      </w:r>
      <w:r>
        <w:rPr>
          <w:sz w:val="20"/>
          <w:szCs w:val="20"/>
        </w:rPr>
        <w:t>ith respect to those executive officers of the Partnership identified below whom we collectively refer to as our “named executive officers”</w:t>
      </w:r>
      <w:r>
        <w:rPr>
          <w:sz w:val="20"/>
          <w:szCs w:val="20"/>
        </w:rPr>
        <w:t>:</w:t>
      </w:r>
    </w:p>
    <w:p w14:paraId="370718C5" w14:textId="77777777" w:rsidR="00000000" w:rsidRDefault="00832D71">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456"/>
        <w:gridCol w:w="164"/>
        <w:gridCol w:w="4025"/>
      </w:tblGrid>
      <w:tr w:rsidR="00000000" w14:paraId="67C7D36E" w14:textId="77777777">
        <w:trPr>
          <w:tblCellSpacing w:w="15" w:type="dxa"/>
        </w:trPr>
        <w:tc>
          <w:tcPr>
            <w:tcW w:w="1847" w:type="pct"/>
            <w:vAlign w:val="center"/>
            <w:hideMark/>
          </w:tcPr>
          <w:p w14:paraId="264E0C9E" w14:textId="77777777" w:rsidR="00000000" w:rsidRDefault="00832D71">
            <w:pPr>
              <w:rPr>
                <w:sz w:val="20"/>
                <w:szCs w:val="20"/>
              </w:rPr>
            </w:pPr>
          </w:p>
        </w:tc>
        <w:tc>
          <w:tcPr>
            <w:tcW w:w="103" w:type="pct"/>
            <w:vAlign w:val="center"/>
            <w:hideMark/>
          </w:tcPr>
          <w:p w14:paraId="1B46D514" w14:textId="77777777" w:rsidR="00000000" w:rsidRDefault="00832D71">
            <w:pPr>
              <w:rPr>
                <w:rFonts w:eastAsia="Times New Roman"/>
                <w:sz w:val="20"/>
                <w:szCs w:val="20"/>
              </w:rPr>
            </w:pPr>
          </w:p>
        </w:tc>
        <w:tc>
          <w:tcPr>
            <w:tcW w:w="3049" w:type="pct"/>
            <w:vAlign w:val="center"/>
            <w:hideMark/>
          </w:tcPr>
          <w:p w14:paraId="07692547" w14:textId="77777777" w:rsidR="00000000" w:rsidRDefault="00832D71">
            <w:pPr>
              <w:rPr>
                <w:rFonts w:eastAsia="Times New Roman"/>
                <w:sz w:val="20"/>
                <w:szCs w:val="20"/>
              </w:rPr>
            </w:pPr>
          </w:p>
        </w:tc>
      </w:tr>
      <w:tr w:rsidR="00000000" w14:paraId="3AC5ABC1" w14:textId="77777777">
        <w:trPr>
          <w:trHeight w:val="160"/>
          <w:tblCellSpacing w:w="15" w:type="dxa"/>
        </w:trPr>
        <w:tc>
          <w:tcPr>
            <w:tcW w:w="0" w:type="auto"/>
            <w:vAlign w:val="bottom"/>
            <w:hideMark/>
          </w:tcPr>
          <w:p w14:paraId="78071D77"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44025DC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9D3BB50" w14:textId="77777777" w:rsidR="00000000" w:rsidRDefault="00832D71">
            <w:pPr>
              <w:pStyle w:val="a3"/>
              <w:spacing w:before="0" w:beforeAutospacing="0" w:after="0" w:afterAutospacing="0"/>
              <w:jc w:val="center"/>
              <w:rPr>
                <w:sz w:val="16"/>
                <w:szCs w:val="16"/>
              </w:rPr>
            </w:pPr>
            <w:r>
              <w:rPr>
                <w:b/>
                <w:bCs/>
                <w:sz w:val="16"/>
                <w:szCs w:val="16"/>
              </w:rPr>
              <w:t>Positio</w:t>
            </w:r>
            <w:r>
              <w:rPr>
                <w:b/>
                <w:bCs/>
                <w:sz w:val="16"/>
                <w:szCs w:val="16"/>
              </w:rPr>
              <w:t>n</w:t>
            </w:r>
          </w:p>
        </w:tc>
      </w:tr>
      <w:tr w:rsidR="00000000" w14:paraId="7D853581" w14:textId="77777777">
        <w:trPr>
          <w:trHeight w:val="200"/>
          <w:tblCellSpacing w:w="15" w:type="dxa"/>
        </w:trPr>
        <w:tc>
          <w:tcPr>
            <w:tcW w:w="0" w:type="auto"/>
            <w:hideMark/>
          </w:tcPr>
          <w:p w14:paraId="4C5ACDB9" w14:textId="77777777" w:rsidR="00000000" w:rsidRDefault="00832D71">
            <w:pPr>
              <w:pStyle w:val="a3"/>
              <w:spacing w:before="0" w:beforeAutospacing="0" w:after="0" w:afterAutospacing="0"/>
              <w:rPr>
                <w:sz w:val="20"/>
                <w:szCs w:val="20"/>
              </w:rPr>
            </w:pPr>
            <w:r>
              <w:rPr>
                <w:sz w:val="20"/>
                <w:szCs w:val="20"/>
              </w:rPr>
              <w:t>Michael A. Stival</w:t>
            </w:r>
            <w:r>
              <w:rPr>
                <w:sz w:val="20"/>
                <w:szCs w:val="20"/>
              </w:rPr>
              <w:t>a</w:t>
            </w:r>
          </w:p>
        </w:tc>
        <w:tc>
          <w:tcPr>
            <w:tcW w:w="0" w:type="auto"/>
            <w:hideMark/>
          </w:tcPr>
          <w:p w14:paraId="52931E6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1023A58" w14:textId="77777777" w:rsidR="00000000" w:rsidRDefault="00832D71">
            <w:pPr>
              <w:pStyle w:val="a3"/>
              <w:spacing w:before="0" w:beforeAutospacing="0" w:after="0" w:afterAutospacing="0"/>
              <w:rPr>
                <w:sz w:val="20"/>
                <w:szCs w:val="20"/>
              </w:rPr>
            </w:pPr>
            <w:r>
              <w:rPr>
                <w:sz w:val="20"/>
                <w:szCs w:val="20"/>
              </w:rPr>
              <w:t>President and Chief Executive Office</w:t>
            </w:r>
            <w:r>
              <w:rPr>
                <w:sz w:val="20"/>
                <w:szCs w:val="20"/>
              </w:rPr>
              <w:t>r</w:t>
            </w:r>
          </w:p>
        </w:tc>
      </w:tr>
      <w:tr w:rsidR="00000000" w14:paraId="47F2C56D" w14:textId="77777777">
        <w:trPr>
          <w:trHeight w:val="200"/>
          <w:tblCellSpacing w:w="15" w:type="dxa"/>
        </w:trPr>
        <w:tc>
          <w:tcPr>
            <w:tcW w:w="0" w:type="auto"/>
            <w:hideMark/>
          </w:tcPr>
          <w:p w14:paraId="7A6299A9" w14:textId="77777777" w:rsidR="00000000" w:rsidRDefault="00832D71">
            <w:pPr>
              <w:pStyle w:val="a3"/>
              <w:spacing w:before="0" w:beforeAutospacing="0" w:after="0" w:afterAutospacing="0"/>
              <w:rPr>
                <w:sz w:val="20"/>
                <w:szCs w:val="20"/>
              </w:rPr>
            </w:pPr>
            <w:r>
              <w:rPr>
                <w:sz w:val="20"/>
                <w:szCs w:val="20"/>
              </w:rPr>
              <w:t>Michael A. Kugli</w:t>
            </w:r>
            <w:r>
              <w:rPr>
                <w:sz w:val="20"/>
                <w:szCs w:val="20"/>
              </w:rPr>
              <w:t>n</w:t>
            </w:r>
          </w:p>
        </w:tc>
        <w:tc>
          <w:tcPr>
            <w:tcW w:w="0" w:type="auto"/>
            <w:hideMark/>
          </w:tcPr>
          <w:p w14:paraId="33ADD5B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EECA7EC" w14:textId="77777777" w:rsidR="00000000" w:rsidRDefault="00832D71">
            <w:pPr>
              <w:pStyle w:val="a3"/>
              <w:spacing w:before="0" w:beforeAutospacing="0" w:after="0" w:afterAutospacing="0"/>
              <w:rPr>
                <w:sz w:val="20"/>
                <w:szCs w:val="20"/>
              </w:rPr>
            </w:pPr>
            <w:r>
              <w:rPr>
                <w:sz w:val="20"/>
                <w:szCs w:val="20"/>
              </w:rPr>
              <w:t>Chie</w:t>
            </w:r>
            <w:r>
              <w:rPr>
                <w:sz w:val="20"/>
                <w:szCs w:val="20"/>
              </w:rPr>
              <w:t>f</w:t>
            </w:r>
            <w:r>
              <w:rPr>
                <w:rFonts w:ascii="Calibri" w:hAnsi="Calibri" w:cs="Calibri"/>
                <w:sz w:val="20"/>
                <w:szCs w:val="20"/>
              </w:rPr>
              <w:t xml:space="preserve"> </w:t>
            </w:r>
            <w:r>
              <w:rPr>
                <w:sz w:val="20"/>
                <w:szCs w:val="20"/>
              </w:rPr>
              <w:t>Financial Officer and Chief Accounting Office</w:t>
            </w:r>
            <w:r>
              <w:rPr>
                <w:sz w:val="20"/>
                <w:szCs w:val="20"/>
              </w:rPr>
              <w:t>r</w:t>
            </w:r>
          </w:p>
        </w:tc>
      </w:tr>
      <w:tr w:rsidR="00000000" w14:paraId="68412B3E" w14:textId="77777777">
        <w:trPr>
          <w:trHeight w:val="200"/>
          <w:tblCellSpacing w:w="15" w:type="dxa"/>
        </w:trPr>
        <w:tc>
          <w:tcPr>
            <w:tcW w:w="0" w:type="auto"/>
            <w:hideMark/>
          </w:tcPr>
          <w:p w14:paraId="478CC562" w14:textId="77777777" w:rsidR="00000000" w:rsidRDefault="00832D71">
            <w:pPr>
              <w:pStyle w:val="a3"/>
              <w:spacing w:before="0" w:beforeAutospacing="0" w:after="0" w:afterAutospacing="0"/>
              <w:rPr>
                <w:sz w:val="20"/>
                <w:szCs w:val="20"/>
              </w:rPr>
            </w:pPr>
            <w:r>
              <w:rPr>
                <w:sz w:val="20"/>
                <w:szCs w:val="20"/>
              </w:rPr>
              <w:t>Steven C. Boy</w:t>
            </w:r>
            <w:r>
              <w:rPr>
                <w:sz w:val="20"/>
                <w:szCs w:val="20"/>
              </w:rPr>
              <w:t>d</w:t>
            </w:r>
          </w:p>
        </w:tc>
        <w:tc>
          <w:tcPr>
            <w:tcW w:w="0" w:type="auto"/>
            <w:hideMark/>
          </w:tcPr>
          <w:p w14:paraId="7E7D11D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F21A199" w14:textId="77777777" w:rsidR="00000000" w:rsidRDefault="00832D71">
            <w:pPr>
              <w:pStyle w:val="a3"/>
              <w:spacing w:before="0" w:beforeAutospacing="0" w:after="0" w:afterAutospacing="0"/>
              <w:rPr>
                <w:sz w:val="20"/>
                <w:szCs w:val="20"/>
              </w:rPr>
            </w:pPr>
            <w:r>
              <w:rPr>
                <w:sz w:val="20"/>
                <w:szCs w:val="20"/>
              </w:rPr>
              <w:t>Chief Operating Office</w:t>
            </w:r>
            <w:r>
              <w:rPr>
                <w:sz w:val="20"/>
                <w:szCs w:val="20"/>
              </w:rPr>
              <w:t>r</w:t>
            </w:r>
          </w:p>
        </w:tc>
      </w:tr>
      <w:tr w:rsidR="00000000" w14:paraId="3089F2E3" w14:textId="77777777">
        <w:trPr>
          <w:trHeight w:val="200"/>
          <w:tblCellSpacing w:w="15" w:type="dxa"/>
        </w:trPr>
        <w:tc>
          <w:tcPr>
            <w:tcW w:w="0" w:type="auto"/>
            <w:hideMark/>
          </w:tcPr>
          <w:p w14:paraId="2724E05D" w14:textId="77777777" w:rsidR="00000000" w:rsidRDefault="00832D71">
            <w:pPr>
              <w:pStyle w:val="a3"/>
              <w:spacing w:before="0" w:beforeAutospacing="0" w:after="0" w:afterAutospacing="0"/>
              <w:rPr>
                <w:sz w:val="20"/>
                <w:szCs w:val="20"/>
              </w:rPr>
            </w:pPr>
            <w:r>
              <w:rPr>
                <w:sz w:val="20"/>
                <w:szCs w:val="20"/>
              </w:rPr>
              <w:t>Douglas T. Brinkwort</w:t>
            </w:r>
            <w:r>
              <w:rPr>
                <w:sz w:val="20"/>
                <w:szCs w:val="20"/>
              </w:rPr>
              <w:t>h</w:t>
            </w:r>
          </w:p>
        </w:tc>
        <w:tc>
          <w:tcPr>
            <w:tcW w:w="0" w:type="auto"/>
            <w:hideMark/>
          </w:tcPr>
          <w:p w14:paraId="4CC0066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DC2AD94" w14:textId="77777777" w:rsidR="00000000" w:rsidRDefault="00832D71">
            <w:pPr>
              <w:pStyle w:val="a3"/>
              <w:spacing w:before="0" w:beforeAutospacing="0" w:after="0" w:afterAutospacing="0"/>
              <w:rPr>
                <w:sz w:val="20"/>
                <w:szCs w:val="20"/>
              </w:rPr>
            </w:pPr>
            <w:r>
              <w:rPr>
                <w:sz w:val="20"/>
                <w:szCs w:val="20"/>
              </w:rPr>
              <w:t>Senior Vice President, Product Supply, Purchasing and Logistic</w:t>
            </w:r>
            <w:r>
              <w:rPr>
                <w:sz w:val="20"/>
                <w:szCs w:val="20"/>
              </w:rPr>
              <w:t>s</w:t>
            </w:r>
          </w:p>
        </w:tc>
      </w:tr>
      <w:tr w:rsidR="00000000" w14:paraId="77BCA08D" w14:textId="77777777">
        <w:trPr>
          <w:trHeight w:val="200"/>
          <w:tblCellSpacing w:w="15" w:type="dxa"/>
        </w:trPr>
        <w:tc>
          <w:tcPr>
            <w:tcW w:w="0" w:type="auto"/>
            <w:hideMark/>
          </w:tcPr>
          <w:p w14:paraId="3737CC80" w14:textId="77777777" w:rsidR="00000000" w:rsidRDefault="00832D71">
            <w:pPr>
              <w:pStyle w:val="a3"/>
              <w:spacing w:before="0" w:beforeAutospacing="0" w:after="0" w:afterAutospacing="0"/>
              <w:rPr>
                <w:sz w:val="20"/>
                <w:szCs w:val="20"/>
              </w:rPr>
            </w:pPr>
            <w:r>
              <w:rPr>
                <w:sz w:val="20"/>
                <w:szCs w:val="20"/>
              </w:rPr>
              <w:t>Neil E. Scanlo</w:t>
            </w:r>
            <w:r>
              <w:rPr>
                <w:sz w:val="20"/>
                <w:szCs w:val="20"/>
              </w:rPr>
              <w:t>n</w:t>
            </w:r>
          </w:p>
        </w:tc>
        <w:tc>
          <w:tcPr>
            <w:tcW w:w="0" w:type="auto"/>
            <w:hideMark/>
          </w:tcPr>
          <w:p w14:paraId="72AD22C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71B91FD" w14:textId="77777777" w:rsidR="00000000" w:rsidRDefault="00832D71">
            <w:pPr>
              <w:pStyle w:val="a3"/>
              <w:spacing w:before="0" w:beforeAutospacing="0" w:after="0" w:afterAutospacing="0"/>
              <w:rPr>
                <w:sz w:val="20"/>
                <w:szCs w:val="20"/>
              </w:rPr>
            </w:pPr>
            <w:r>
              <w:rPr>
                <w:sz w:val="20"/>
                <w:szCs w:val="20"/>
              </w:rPr>
              <w:t>Senior Vice President, Information Service</w:t>
            </w:r>
            <w:r>
              <w:rPr>
                <w:sz w:val="20"/>
                <w:szCs w:val="20"/>
              </w:rPr>
              <w:t>s</w:t>
            </w:r>
          </w:p>
        </w:tc>
      </w:tr>
    </w:tbl>
    <w:p w14:paraId="1A6834FD" w14:textId="77777777" w:rsidR="00000000" w:rsidRDefault="00832D71">
      <w:pPr>
        <w:pStyle w:val="a3"/>
        <w:spacing w:before="360" w:beforeAutospacing="0" w:after="0" w:afterAutospacing="0"/>
        <w:jc w:val="both"/>
        <w:rPr>
          <w:sz w:val="20"/>
          <w:szCs w:val="20"/>
        </w:rPr>
      </w:pPr>
      <w:r>
        <w:rPr>
          <w:b/>
          <w:bCs/>
          <w:sz w:val="20"/>
          <w:szCs w:val="20"/>
        </w:rPr>
        <w:t>Key Topics Covered in our CD&amp;</w:t>
      </w:r>
      <w:r>
        <w:rPr>
          <w:b/>
          <w:bCs/>
          <w:sz w:val="20"/>
          <w:szCs w:val="20"/>
        </w:rPr>
        <w:t>A</w:t>
      </w:r>
    </w:p>
    <w:p w14:paraId="2AC599D0" w14:textId="77777777" w:rsidR="00000000" w:rsidRDefault="00832D71">
      <w:pPr>
        <w:pStyle w:val="a3"/>
        <w:spacing w:before="120" w:beforeAutospacing="0" w:after="0" w:afterAutospacing="0"/>
        <w:ind w:firstLine="555"/>
        <w:jc w:val="both"/>
        <w:rPr>
          <w:sz w:val="20"/>
          <w:szCs w:val="20"/>
        </w:rPr>
      </w:pPr>
      <w:r>
        <w:rPr>
          <w:sz w:val="20"/>
          <w:szCs w:val="20"/>
        </w:rPr>
        <w:t>The following table summarizes the main areas of focus in the CD&amp;A</w:t>
      </w:r>
      <w:r>
        <w:rPr>
          <w:sz w:val="20"/>
          <w:szCs w:val="20"/>
        </w:rPr>
        <w:t>:</w:t>
      </w:r>
    </w:p>
    <w:p w14:paraId="79AA9A79" w14:textId="77777777" w:rsidR="00000000" w:rsidRDefault="00832D71">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6645"/>
      </w:tblGrid>
      <w:tr w:rsidR="00000000" w14:paraId="74E53CB5" w14:textId="77777777">
        <w:trPr>
          <w:tblCellSpacing w:w="15" w:type="dxa"/>
        </w:trPr>
        <w:tc>
          <w:tcPr>
            <w:tcW w:w="5000" w:type="pct"/>
            <w:vAlign w:val="center"/>
            <w:hideMark/>
          </w:tcPr>
          <w:p w14:paraId="20F512F6" w14:textId="77777777" w:rsidR="00000000" w:rsidRDefault="00832D71">
            <w:pPr>
              <w:rPr>
                <w:sz w:val="20"/>
                <w:szCs w:val="20"/>
              </w:rPr>
            </w:pPr>
          </w:p>
        </w:tc>
      </w:tr>
      <w:tr w:rsidR="00000000" w14:paraId="36030F33" w14:textId="77777777">
        <w:trPr>
          <w:trHeight w:val="160"/>
          <w:tblCellSpacing w:w="15" w:type="dxa"/>
        </w:trPr>
        <w:tc>
          <w:tcPr>
            <w:tcW w:w="0" w:type="auto"/>
            <w:vAlign w:val="bottom"/>
            <w:hideMark/>
          </w:tcPr>
          <w:p w14:paraId="1956E7B0" w14:textId="77777777" w:rsidR="00000000" w:rsidRDefault="00832D71">
            <w:pPr>
              <w:pStyle w:val="a3"/>
              <w:spacing w:before="0" w:beforeAutospacing="0" w:after="0" w:afterAutospacing="0"/>
              <w:rPr>
                <w:sz w:val="16"/>
                <w:szCs w:val="16"/>
              </w:rPr>
            </w:pPr>
            <w:r>
              <w:rPr>
                <w:b/>
                <w:bCs/>
                <w:sz w:val="16"/>
                <w:szCs w:val="16"/>
              </w:rPr>
              <w:t>Compensation Governanc</w:t>
            </w:r>
            <w:r>
              <w:rPr>
                <w:b/>
                <w:bCs/>
                <w:sz w:val="16"/>
                <w:szCs w:val="16"/>
              </w:rPr>
              <w:t>e</w:t>
            </w:r>
          </w:p>
        </w:tc>
      </w:tr>
      <w:tr w:rsidR="00000000" w14:paraId="54B5379C" w14:textId="77777777">
        <w:trPr>
          <w:trHeight w:val="200"/>
          <w:tblCellSpacing w:w="15" w:type="dxa"/>
        </w:trPr>
        <w:tc>
          <w:tcPr>
            <w:tcW w:w="0" w:type="auto"/>
            <w:vAlign w:val="bottom"/>
            <w:hideMark/>
          </w:tcPr>
          <w:p w14:paraId="2E6ADD36" w14:textId="77777777" w:rsidR="00000000" w:rsidRDefault="00832D71">
            <w:pPr>
              <w:pStyle w:val="a3"/>
              <w:spacing w:before="0" w:beforeAutospacing="0" w:after="0" w:afterAutospacing="0"/>
              <w:rPr>
                <w:sz w:val="20"/>
                <w:szCs w:val="20"/>
              </w:rPr>
            </w:pPr>
            <w:r>
              <w:rPr>
                <w:sz w:val="20"/>
                <w:szCs w:val="20"/>
              </w:rPr>
              <w:t>Participants in the Compensation Proces</w:t>
            </w:r>
            <w:r>
              <w:rPr>
                <w:sz w:val="20"/>
                <w:szCs w:val="20"/>
              </w:rPr>
              <w:t>s</w:t>
            </w:r>
          </w:p>
        </w:tc>
      </w:tr>
      <w:tr w:rsidR="00000000" w14:paraId="2C1F1BE5" w14:textId="77777777">
        <w:trPr>
          <w:trHeight w:val="200"/>
          <w:tblCellSpacing w:w="15" w:type="dxa"/>
        </w:trPr>
        <w:tc>
          <w:tcPr>
            <w:tcW w:w="0" w:type="auto"/>
            <w:vAlign w:val="bottom"/>
            <w:hideMark/>
          </w:tcPr>
          <w:p w14:paraId="47233117" w14:textId="77777777" w:rsidR="00000000" w:rsidRDefault="00832D71">
            <w:pPr>
              <w:pStyle w:val="a3"/>
              <w:spacing w:before="0" w:beforeAutospacing="0" w:after="0" w:afterAutospacing="0"/>
              <w:rPr>
                <w:sz w:val="20"/>
                <w:szCs w:val="20"/>
              </w:rPr>
            </w:pPr>
            <w:r>
              <w:rPr>
                <w:sz w:val="20"/>
                <w:szCs w:val="20"/>
              </w:rPr>
              <w:t>The Annual Compensation Decision Making Proces</w:t>
            </w:r>
            <w:r>
              <w:rPr>
                <w:sz w:val="20"/>
                <w:szCs w:val="20"/>
              </w:rPr>
              <w:t>s</w:t>
            </w:r>
          </w:p>
        </w:tc>
      </w:tr>
      <w:tr w:rsidR="00000000" w14:paraId="380E2332" w14:textId="77777777">
        <w:trPr>
          <w:trHeight w:val="200"/>
          <w:tblCellSpacing w:w="15" w:type="dxa"/>
        </w:trPr>
        <w:tc>
          <w:tcPr>
            <w:tcW w:w="0" w:type="auto"/>
            <w:vAlign w:val="bottom"/>
            <w:hideMark/>
          </w:tcPr>
          <w:p w14:paraId="407DE02E" w14:textId="77777777" w:rsidR="00000000" w:rsidRDefault="00832D71">
            <w:pPr>
              <w:pStyle w:val="a3"/>
              <w:spacing w:before="0" w:beforeAutospacing="0" w:after="0" w:afterAutospacing="0"/>
              <w:rPr>
                <w:sz w:val="20"/>
                <w:szCs w:val="20"/>
              </w:rPr>
            </w:pPr>
            <w:r>
              <w:rPr>
                <w:sz w:val="20"/>
                <w:szCs w:val="20"/>
              </w:rPr>
              <w:t>Risk Mitigation Policie</w:t>
            </w:r>
            <w:r>
              <w:rPr>
                <w:sz w:val="20"/>
                <w:szCs w:val="20"/>
              </w:rPr>
              <w:t>s</w:t>
            </w:r>
          </w:p>
        </w:tc>
      </w:tr>
      <w:tr w:rsidR="00000000" w14:paraId="06B947CE" w14:textId="77777777">
        <w:trPr>
          <w:trHeight w:val="403"/>
          <w:tblCellSpacing w:w="15" w:type="dxa"/>
        </w:trPr>
        <w:tc>
          <w:tcPr>
            <w:tcW w:w="0" w:type="auto"/>
            <w:vAlign w:val="bottom"/>
            <w:hideMark/>
          </w:tcPr>
          <w:p w14:paraId="116910E1" w14:textId="77777777" w:rsidR="00000000" w:rsidRDefault="00832D71">
            <w:pPr>
              <w:pStyle w:val="a3"/>
              <w:spacing w:before="0" w:beforeAutospacing="0" w:after="0" w:afterAutospacing="0"/>
              <w:rPr>
                <w:sz w:val="16"/>
                <w:szCs w:val="16"/>
              </w:rPr>
            </w:pPr>
            <w:r>
              <w:rPr>
                <w:b/>
                <w:bCs/>
                <w:sz w:val="16"/>
                <w:szCs w:val="16"/>
              </w:rPr>
              <w:t>Executive Compensation Philosoph</w:t>
            </w:r>
            <w:r>
              <w:rPr>
                <w:b/>
                <w:bCs/>
                <w:sz w:val="16"/>
                <w:szCs w:val="16"/>
              </w:rPr>
              <w:t>y</w:t>
            </w:r>
          </w:p>
        </w:tc>
      </w:tr>
      <w:tr w:rsidR="00000000" w14:paraId="7D3A23AF" w14:textId="77777777">
        <w:trPr>
          <w:trHeight w:val="200"/>
          <w:tblCellSpacing w:w="15" w:type="dxa"/>
        </w:trPr>
        <w:tc>
          <w:tcPr>
            <w:tcW w:w="0" w:type="auto"/>
            <w:vAlign w:val="bottom"/>
            <w:hideMark/>
          </w:tcPr>
          <w:p w14:paraId="0D0468EE" w14:textId="77777777" w:rsidR="00000000" w:rsidRDefault="00832D71">
            <w:pPr>
              <w:pStyle w:val="a3"/>
              <w:spacing w:before="0" w:beforeAutospacing="0" w:after="0" w:afterAutospacing="0"/>
              <w:rPr>
                <w:sz w:val="20"/>
                <w:szCs w:val="20"/>
              </w:rPr>
            </w:pPr>
            <w:r>
              <w:rPr>
                <w:sz w:val="20"/>
                <w:szCs w:val="20"/>
              </w:rPr>
              <w:t>Overvie</w:t>
            </w:r>
            <w:r>
              <w:rPr>
                <w:sz w:val="20"/>
                <w:szCs w:val="20"/>
              </w:rPr>
              <w:t>w</w:t>
            </w:r>
          </w:p>
        </w:tc>
      </w:tr>
      <w:tr w:rsidR="00000000" w14:paraId="284E1D98" w14:textId="77777777">
        <w:trPr>
          <w:trHeight w:val="200"/>
          <w:tblCellSpacing w:w="15" w:type="dxa"/>
        </w:trPr>
        <w:tc>
          <w:tcPr>
            <w:tcW w:w="0" w:type="auto"/>
            <w:vAlign w:val="bottom"/>
            <w:hideMark/>
          </w:tcPr>
          <w:p w14:paraId="3A77FDBD" w14:textId="77777777" w:rsidR="00000000" w:rsidRDefault="00832D71">
            <w:pPr>
              <w:pStyle w:val="a3"/>
              <w:spacing w:before="0" w:beforeAutospacing="0" w:after="0" w:afterAutospacing="0"/>
              <w:rPr>
                <w:sz w:val="20"/>
                <w:szCs w:val="20"/>
              </w:rPr>
            </w:pPr>
            <w:r>
              <w:rPr>
                <w:sz w:val="20"/>
                <w:szCs w:val="20"/>
              </w:rPr>
              <w:t>Pay Mi</w:t>
            </w:r>
            <w:r>
              <w:rPr>
                <w:sz w:val="20"/>
                <w:szCs w:val="20"/>
              </w:rPr>
              <w:t>x</w:t>
            </w:r>
          </w:p>
        </w:tc>
      </w:tr>
      <w:tr w:rsidR="00000000" w14:paraId="31379A91" w14:textId="77777777">
        <w:trPr>
          <w:trHeight w:val="389"/>
          <w:tblCellSpacing w:w="15" w:type="dxa"/>
        </w:trPr>
        <w:tc>
          <w:tcPr>
            <w:tcW w:w="0" w:type="auto"/>
            <w:vAlign w:val="bottom"/>
            <w:hideMark/>
          </w:tcPr>
          <w:p w14:paraId="57D21334" w14:textId="77777777" w:rsidR="00000000" w:rsidRDefault="00832D71">
            <w:pPr>
              <w:pStyle w:val="a3"/>
              <w:spacing w:before="0" w:beforeAutospacing="0" w:after="0" w:afterAutospacing="0"/>
              <w:rPr>
                <w:sz w:val="16"/>
                <w:szCs w:val="16"/>
              </w:rPr>
            </w:pPr>
            <w:r>
              <w:rPr>
                <w:b/>
                <w:bCs/>
                <w:sz w:val="16"/>
                <w:szCs w:val="16"/>
              </w:rPr>
              <w:t>Components of Compensatio</w:t>
            </w:r>
            <w:r>
              <w:rPr>
                <w:b/>
                <w:bCs/>
                <w:sz w:val="16"/>
                <w:szCs w:val="16"/>
              </w:rPr>
              <w:t>n</w:t>
            </w:r>
          </w:p>
        </w:tc>
      </w:tr>
      <w:tr w:rsidR="00000000" w14:paraId="2E95380D" w14:textId="77777777">
        <w:trPr>
          <w:trHeight w:val="200"/>
          <w:tblCellSpacing w:w="15" w:type="dxa"/>
        </w:trPr>
        <w:tc>
          <w:tcPr>
            <w:tcW w:w="0" w:type="auto"/>
            <w:vAlign w:val="bottom"/>
            <w:hideMark/>
          </w:tcPr>
          <w:p w14:paraId="3D317D00" w14:textId="77777777" w:rsidR="00000000" w:rsidRDefault="00832D71">
            <w:pPr>
              <w:pStyle w:val="a3"/>
              <w:spacing w:before="0" w:beforeAutospacing="0" w:after="0" w:afterAutospacing="0"/>
              <w:rPr>
                <w:sz w:val="20"/>
                <w:szCs w:val="20"/>
              </w:rPr>
            </w:pPr>
            <w:r>
              <w:rPr>
                <w:sz w:val="20"/>
                <w:szCs w:val="20"/>
              </w:rPr>
              <w:t>Base Salar</w:t>
            </w:r>
            <w:r>
              <w:rPr>
                <w:sz w:val="20"/>
                <w:szCs w:val="20"/>
              </w:rPr>
              <w:t>y</w:t>
            </w:r>
          </w:p>
        </w:tc>
      </w:tr>
      <w:tr w:rsidR="00000000" w14:paraId="252C326E" w14:textId="77777777">
        <w:trPr>
          <w:trHeight w:val="200"/>
          <w:tblCellSpacing w:w="15" w:type="dxa"/>
        </w:trPr>
        <w:tc>
          <w:tcPr>
            <w:tcW w:w="0" w:type="auto"/>
            <w:vAlign w:val="bottom"/>
            <w:hideMark/>
          </w:tcPr>
          <w:p w14:paraId="2D941667" w14:textId="77777777" w:rsidR="00000000" w:rsidRDefault="00832D71">
            <w:pPr>
              <w:pStyle w:val="a3"/>
              <w:spacing w:before="0" w:beforeAutospacing="0" w:after="0" w:afterAutospacing="0"/>
              <w:rPr>
                <w:sz w:val="20"/>
                <w:szCs w:val="20"/>
              </w:rPr>
            </w:pPr>
            <w:r>
              <w:rPr>
                <w:sz w:val="20"/>
                <w:szCs w:val="20"/>
              </w:rPr>
              <w:t>Annual Cash Bonu</w:t>
            </w:r>
            <w:r>
              <w:rPr>
                <w:sz w:val="20"/>
                <w:szCs w:val="20"/>
              </w:rPr>
              <w:t>s</w:t>
            </w:r>
          </w:p>
        </w:tc>
      </w:tr>
      <w:tr w:rsidR="00000000" w14:paraId="69FB3C16" w14:textId="77777777">
        <w:trPr>
          <w:trHeight w:val="200"/>
          <w:tblCellSpacing w:w="15" w:type="dxa"/>
        </w:trPr>
        <w:tc>
          <w:tcPr>
            <w:tcW w:w="0" w:type="auto"/>
            <w:vAlign w:val="bottom"/>
            <w:hideMark/>
          </w:tcPr>
          <w:p w14:paraId="2B97649A" w14:textId="77777777" w:rsidR="00000000" w:rsidRDefault="00832D71">
            <w:pPr>
              <w:pStyle w:val="a3"/>
              <w:spacing w:before="0" w:beforeAutospacing="0" w:after="0" w:afterAutospacing="0"/>
              <w:rPr>
                <w:sz w:val="20"/>
                <w:szCs w:val="20"/>
              </w:rPr>
            </w:pPr>
            <w:r>
              <w:rPr>
                <w:sz w:val="20"/>
                <w:szCs w:val="20"/>
              </w:rPr>
              <w:t>Long-Term Incentive Pla</w:t>
            </w:r>
            <w:r>
              <w:rPr>
                <w:sz w:val="20"/>
                <w:szCs w:val="20"/>
              </w:rPr>
              <w:t>n</w:t>
            </w:r>
          </w:p>
        </w:tc>
      </w:tr>
      <w:tr w:rsidR="00000000" w14:paraId="50BC2900" w14:textId="77777777">
        <w:trPr>
          <w:trHeight w:val="200"/>
          <w:tblCellSpacing w:w="15" w:type="dxa"/>
        </w:trPr>
        <w:tc>
          <w:tcPr>
            <w:tcW w:w="0" w:type="auto"/>
            <w:vAlign w:val="bottom"/>
            <w:hideMark/>
          </w:tcPr>
          <w:p w14:paraId="663D1785" w14:textId="77777777" w:rsidR="00000000" w:rsidRDefault="00832D71">
            <w:pPr>
              <w:pStyle w:val="a3"/>
              <w:spacing w:before="0" w:beforeAutospacing="0" w:after="0" w:afterAutospacing="0"/>
              <w:rPr>
                <w:sz w:val="20"/>
                <w:szCs w:val="20"/>
              </w:rPr>
            </w:pPr>
            <w:r>
              <w:rPr>
                <w:sz w:val="20"/>
                <w:szCs w:val="20"/>
              </w:rPr>
              <w:t>Restricted Unit and Phantom Unit Plan</w:t>
            </w:r>
            <w:r>
              <w:rPr>
                <w:sz w:val="20"/>
                <w:szCs w:val="20"/>
              </w:rPr>
              <w:t>s</w:t>
            </w:r>
          </w:p>
        </w:tc>
      </w:tr>
      <w:tr w:rsidR="00000000" w14:paraId="3BCCF2C1" w14:textId="77777777">
        <w:trPr>
          <w:trHeight w:val="200"/>
          <w:tblCellSpacing w:w="15" w:type="dxa"/>
        </w:trPr>
        <w:tc>
          <w:tcPr>
            <w:tcW w:w="0" w:type="auto"/>
            <w:vAlign w:val="bottom"/>
            <w:hideMark/>
          </w:tcPr>
          <w:p w14:paraId="5D7DBD1D" w14:textId="77777777" w:rsidR="00000000" w:rsidRDefault="00832D71">
            <w:pPr>
              <w:pStyle w:val="a3"/>
              <w:spacing w:before="0" w:beforeAutospacing="0" w:after="0" w:afterAutospacing="0"/>
              <w:rPr>
                <w:sz w:val="20"/>
                <w:szCs w:val="20"/>
              </w:rPr>
            </w:pPr>
            <w:r>
              <w:rPr>
                <w:sz w:val="20"/>
                <w:szCs w:val="20"/>
              </w:rPr>
              <w:t>Distribution Equivalent Rights Pla</w:t>
            </w:r>
            <w:r>
              <w:rPr>
                <w:sz w:val="20"/>
                <w:szCs w:val="20"/>
              </w:rPr>
              <w:t>n</w:t>
            </w:r>
          </w:p>
        </w:tc>
      </w:tr>
      <w:tr w:rsidR="00000000" w14:paraId="7A13B922" w14:textId="77777777">
        <w:trPr>
          <w:trHeight w:val="200"/>
          <w:tblCellSpacing w:w="15" w:type="dxa"/>
        </w:trPr>
        <w:tc>
          <w:tcPr>
            <w:tcW w:w="0" w:type="auto"/>
            <w:vAlign w:val="bottom"/>
            <w:hideMark/>
          </w:tcPr>
          <w:p w14:paraId="40899B33" w14:textId="77777777" w:rsidR="00000000" w:rsidRDefault="00832D71">
            <w:pPr>
              <w:pStyle w:val="a3"/>
              <w:spacing w:before="0" w:beforeAutospacing="0" w:after="0" w:afterAutospacing="0"/>
              <w:rPr>
                <w:sz w:val="20"/>
                <w:szCs w:val="20"/>
              </w:rPr>
            </w:pPr>
            <w:r>
              <w:rPr>
                <w:sz w:val="20"/>
                <w:szCs w:val="20"/>
              </w:rPr>
              <w:t>Benefits and Perquisite</w:t>
            </w:r>
            <w:r>
              <w:rPr>
                <w:sz w:val="20"/>
                <w:szCs w:val="20"/>
              </w:rPr>
              <w:t>s</w:t>
            </w:r>
          </w:p>
        </w:tc>
      </w:tr>
    </w:tbl>
    <w:p w14:paraId="61B243BD" w14:textId="77777777" w:rsidR="00000000" w:rsidRDefault="00832D71">
      <w:pPr>
        <w:pStyle w:val="a3"/>
        <w:spacing w:before="360" w:beforeAutospacing="0" w:after="0" w:afterAutospacing="0"/>
        <w:jc w:val="both"/>
        <w:rPr>
          <w:sz w:val="20"/>
          <w:szCs w:val="20"/>
        </w:rPr>
      </w:pPr>
      <w:r>
        <w:rPr>
          <w:b/>
          <w:bCs/>
          <w:sz w:val="20"/>
          <w:szCs w:val="20"/>
        </w:rPr>
        <w:t>Compensation Governanc</w:t>
      </w:r>
      <w:r>
        <w:rPr>
          <w:b/>
          <w:bCs/>
          <w:sz w:val="20"/>
          <w:szCs w:val="20"/>
        </w:rPr>
        <w:t>e</w:t>
      </w:r>
    </w:p>
    <w:p w14:paraId="0EDD8334" w14:textId="77777777" w:rsidR="00000000" w:rsidRDefault="00832D71">
      <w:pPr>
        <w:pStyle w:val="a3"/>
        <w:spacing w:before="120" w:beforeAutospacing="0" w:after="0" w:afterAutospacing="0"/>
        <w:jc w:val="both"/>
        <w:rPr>
          <w:sz w:val="20"/>
          <w:szCs w:val="20"/>
        </w:rPr>
      </w:pPr>
      <w:r>
        <w:rPr>
          <w:b/>
          <w:bCs/>
          <w:sz w:val="20"/>
          <w:szCs w:val="20"/>
        </w:rPr>
        <w:t>Participants in the Compensation Proces</w:t>
      </w:r>
      <w:r>
        <w:rPr>
          <w:b/>
          <w:bCs/>
          <w:sz w:val="20"/>
          <w:szCs w:val="20"/>
        </w:rPr>
        <w:t>s</w:t>
      </w:r>
    </w:p>
    <w:p w14:paraId="62FF17B0" w14:textId="77777777" w:rsidR="00000000" w:rsidRDefault="00832D71">
      <w:pPr>
        <w:pStyle w:val="a3"/>
        <w:spacing w:before="120" w:beforeAutospacing="0" w:after="0" w:afterAutospacing="0"/>
        <w:jc w:val="both"/>
        <w:rPr>
          <w:sz w:val="20"/>
          <w:szCs w:val="20"/>
        </w:rPr>
      </w:pPr>
      <w:r>
        <w:rPr>
          <w:i/>
          <w:iCs/>
          <w:sz w:val="20"/>
          <w:szCs w:val="20"/>
        </w:rPr>
        <w:t>Role of the Compensation Committe</w:t>
      </w:r>
      <w:r>
        <w:rPr>
          <w:i/>
          <w:iCs/>
          <w:sz w:val="20"/>
          <w:szCs w:val="20"/>
        </w:rPr>
        <w:t>e</w:t>
      </w:r>
    </w:p>
    <w:p w14:paraId="6F3CA4CF" w14:textId="77777777" w:rsidR="00000000" w:rsidRDefault="00832D71">
      <w:pPr>
        <w:pStyle w:val="a3"/>
        <w:spacing w:before="120" w:beforeAutospacing="0" w:after="0" w:afterAutospacing="0"/>
        <w:ind w:firstLine="555"/>
        <w:jc w:val="both"/>
        <w:rPr>
          <w:sz w:val="20"/>
          <w:szCs w:val="20"/>
        </w:rPr>
      </w:pPr>
      <w:r>
        <w:rPr>
          <w:sz w:val="20"/>
          <w:szCs w:val="20"/>
        </w:rPr>
        <w:t xml:space="preserve">The Compensation Committee </w:t>
      </w:r>
      <w:r>
        <w:rPr>
          <w:sz w:val="20"/>
          <w:szCs w:val="20"/>
        </w:rPr>
        <w:t>of our Board of Supervisors (the “Committee”) is responsible for overseeing our executive compensation program. In accordance with its charter, available on our website at</w:t>
      </w:r>
      <w:r>
        <w:rPr>
          <w:sz w:val="20"/>
          <w:szCs w:val="20"/>
        </w:rPr>
        <w:t xml:space="preserve"> </w:t>
      </w:r>
      <w:r>
        <w:rPr>
          <w:sz w:val="20"/>
          <w:szCs w:val="20"/>
          <w:u w:val="single"/>
        </w:rPr>
        <w:t>www.suburbanpropane.co</w:t>
      </w:r>
      <w:r>
        <w:rPr>
          <w:sz w:val="20"/>
          <w:szCs w:val="20"/>
          <w:u w:val="single"/>
        </w:rPr>
        <w:t>m</w:t>
      </w:r>
      <w:r>
        <w:rPr>
          <w:sz w:val="20"/>
          <w:szCs w:val="20"/>
        </w:rPr>
        <w:t>, the Committee ensures that the compensation packages provid</w:t>
      </w:r>
      <w:r>
        <w:rPr>
          <w:sz w:val="20"/>
          <w:szCs w:val="20"/>
        </w:rPr>
        <w:t>ed to our executive officers are designed in accordance with our compensation philosophy. The Committee reviews and approves the compensation packages of our managing directors, assistant vice presidents, vice presidents, senior vice presidents, and our na</w:t>
      </w:r>
      <w:r>
        <w:rPr>
          <w:sz w:val="20"/>
          <w:szCs w:val="20"/>
        </w:rPr>
        <w:t>med executive officers. The Committee establishes and oversees our general compensation philosophy in consultation with our President and Chief Executive Officer, and supplements that by seeking advice, best practices and benchmarking from outside compensa</w:t>
      </w:r>
      <w:r>
        <w:rPr>
          <w:sz w:val="20"/>
          <w:szCs w:val="20"/>
        </w:rPr>
        <w:t>tion consultants on an as needed basis</w:t>
      </w:r>
      <w:r>
        <w:rPr>
          <w:sz w:val="20"/>
          <w:szCs w:val="20"/>
        </w:rPr>
        <w:t>.</w:t>
      </w:r>
      <w:r>
        <w:rPr>
          <w:sz w:val="20"/>
          <w:szCs w:val="20"/>
        </w:rPr>
        <w:t xml:space="preserve"> </w:t>
      </w:r>
    </w:p>
    <w:p w14:paraId="048B8C4B" w14:textId="77777777" w:rsidR="00000000" w:rsidRDefault="00832D71">
      <w:pPr>
        <w:pStyle w:val="a3"/>
        <w:spacing w:before="240" w:beforeAutospacing="0" w:after="0" w:afterAutospacing="0"/>
        <w:ind w:firstLine="555"/>
        <w:jc w:val="both"/>
        <w:rPr>
          <w:sz w:val="20"/>
          <w:szCs w:val="20"/>
        </w:rPr>
      </w:pPr>
      <w:r>
        <w:rPr>
          <w:sz w:val="20"/>
          <w:szCs w:val="20"/>
        </w:rPr>
        <w:t>Among other duties, the Committee has overall responsibility for</w:t>
      </w:r>
      <w:r>
        <w:rPr>
          <w:sz w:val="20"/>
          <w:szCs w:val="20"/>
        </w:rPr>
        <w:t>:</w:t>
      </w:r>
    </w:p>
    <w:p w14:paraId="7891CCB8" w14:textId="77777777" w:rsidR="00000000" w:rsidRDefault="00832D71">
      <w:pPr>
        <w:jc w:val="both"/>
        <w:divId w:val="1190681460"/>
        <w:rPr>
          <w:rFonts w:eastAsia="Times New Roman"/>
        </w:rPr>
      </w:pPr>
      <w:r>
        <w:rPr>
          <w:rFonts w:eastAsia="Times New Roman"/>
          <w:sz w:val="20"/>
          <w:szCs w:val="20"/>
        </w:rPr>
        <w:t>•</w:t>
      </w:r>
    </w:p>
    <w:p w14:paraId="0C67A6E2" w14:textId="77777777" w:rsidR="00000000" w:rsidRDefault="00832D71">
      <w:pPr>
        <w:jc w:val="both"/>
        <w:divId w:val="403915425"/>
        <w:rPr>
          <w:rFonts w:eastAsia="Times New Roman"/>
        </w:rPr>
      </w:pPr>
      <w:r>
        <w:rPr>
          <w:rFonts w:eastAsia="Times New Roman"/>
          <w:sz w:val="20"/>
          <w:szCs w:val="20"/>
        </w:rPr>
        <w:t>Reviewing and approving the compensation of our President and Chief Executive Officer, our Chief Financial Officer, and our other executive officer</w:t>
      </w:r>
      <w:r>
        <w:rPr>
          <w:rFonts w:eastAsia="Times New Roman"/>
          <w:sz w:val="20"/>
          <w:szCs w:val="20"/>
        </w:rPr>
        <w:t>s</w:t>
      </w:r>
      <w:r>
        <w:rPr>
          <w:rFonts w:eastAsia="Times New Roman"/>
          <w:sz w:val="20"/>
          <w:szCs w:val="20"/>
        </w:rPr>
        <w:t>;</w:t>
      </w:r>
    </w:p>
    <w:p w14:paraId="7F79DF46" w14:textId="77777777" w:rsidR="00000000" w:rsidRDefault="00832D71">
      <w:pPr>
        <w:jc w:val="both"/>
        <w:divId w:val="90202731"/>
        <w:rPr>
          <w:rFonts w:eastAsia="Times New Roman"/>
        </w:rPr>
      </w:pPr>
      <w:r>
        <w:rPr>
          <w:rFonts w:eastAsia="Times New Roman"/>
          <w:sz w:val="20"/>
          <w:szCs w:val="20"/>
        </w:rPr>
        <w:t>•</w:t>
      </w:r>
    </w:p>
    <w:p w14:paraId="017782F5" w14:textId="77777777" w:rsidR="00000000" w:rsidRDefault="00832D71">
      <w:pPr>
        <w:jc w:val="both"/>
        <w:divId w:val="306394593"/>
        <w:rPr>
          <w:rFonts w:eastAsia="Times New Roman"/>
        </w:rPr>
      </w:pPr>
      <w:r>
        <w:rPr>
          <w:rFonts w:eastAsia="Times New Roman"/>
          <w:sz w:val="20"/>
          <w:szCs w:val="20"/>
        </w:rPr>
        <w:t>Reporting to the Board of Supervisors any and all decisions regarding compensation changes for our President and Chief Executive Officer and our other executive officers</w:t>
      </w:r>
      <w:r>
        <w:rPr>
          <w:rFonts w:eastAsia="Times New Roman"/>
          <w:sz w:val="20"/>
          <w:szCs w:val="20"/>
        </w:rPr>
        <w:t>;</w:t>
      </w:r>
    </w:p>
    <w:p w14:paraId="60E7B4AA" w14:textId="77777777" w:rsidR="00000000" w:rsidRDefault="00832D71">
      <w:pPr>
        <w:jc w:val="both"/>
        <w:divId w:val="510417170"/>
        <w:rPr>
          <w:rFonts w:eastAsia="Times New Roman"/>
        </w:rPr>
      </w:pPr>
      <w:r>
        <w:rPr>
          <w:rFonts w:eastAsia="Times New Roman"/>
          <w:sz w:val="20"/>
          <w:szCs w:val="20"/>
        </w:rPr>
        <w:t>•</w:t>
      </w:r>
    </w:p>
    <w:p w14:paraId="340AB86C" w14:textId="77777777" w:rsidR="00000000" w:rsidRDefault="00832D71">
      <w:pPr>
        <w:jc w:val="both"/>
        <w:divId w:val="980038450"/>
        <w:rPr>
          <w:rFonts w:eastAsia="Times New Roman"/>
        </w:rPr>
      </w:pPr>
      <w:r>
        <w:rPr>
          <w:rFonts w:eastAsia="Times New Roman"/>
          <w:sz w:val="20"/>
          <w:szCs w:val="20"/>
        </w:rPr>
        <w:t>Evaluating and approving awards under our annual cash bonus plan, awards under our Long-Term Incentive Plan, grants under our Restricted Unit Plan and Phantom Unit Plan, and grants under our Distribution Equivalent Rights Plan, as well as all other executi</w:t>
      </w:r>
      <w:r>
        <w:rPr>
          <w:rFonts w:eastAsia="Times New Roman"/>
          <w:sz w:val="20"/>
          <w:szCs w:val="20"/>
        </w:rPr>
        <w:t>ve compensation policies and programs</w:t>
      </w:r>
      <w:r>
        <w:rPr>
          <w:rFonts w:eastAsia="Times New Roman"/>
          <w:sz w:val="20"/>
          <w:szCs w:val="20"/>
        </w:rPr>
        <w:t>;</w:t>
      </w:r>
    </w:p>
    <w:p w14:paraId="1A51E44C" w14:textId="77777777" w:rsidR="00000000" w:rsidRDefault="00832D71">
      <w:pPr>
        <w:pStyle w:val="a3"/>
        <w:spacing w:before="0" w:beforeAutospacing="0" w:after="0" w:afterAutospacing="0"/>
        <w:jc w:val="center"/>
        <w:rPr>
          <w:sz w:val="20"/>
          <w:szCs w:val="20"/>
        </w:rPr>
      </w:pPr>
      <w:r>
        <w:rPr>
          <w:sz w:val="20"/>
          <w:szCs w:val="20"/>
        </w:rPr>
        <w:t> </w:t>
      </w:r>
    </w:p>
    <w:p w14:paraId="52B00203"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2</w:t>
      </w:r>
    </w:p>
    <w:p w14:paraId="454A1517" w14:textId="77777777" w:rsidR="00000000" w:rsidRDefault="00832D71">
      <w:pPr>
        <w:rPr>
          <w:rFonts w:eastAsia="Times New Roman"/>
        </w:rPr>
      </w:pPr>
      <w:r>
        <w:rPr>
          <w:rFonts w:eastAsia="Times New Roman"/>
        </w:rPr>
        <w:pict w14:anchorId="18194C08">
          <v:rect id="_x0000_i1079" style="width:0;height:1.5pt" o:hralign="center" o:hrstd="t" o:hr="t" fillcolor="#a0a0a0" stroked="f"/>
        </w:pict>
      </w:r>
    </w:p>
    <w:p w14:paraId="4617F1B1"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1F9FE114" w14:textId="77777777" w:rsidR="00000000" w:rsidRDefault="00832D71">
      <w:pPr>
        <w:jc w:val="both"/>
        <w:divId w:val="409280291"/>
        <w:rPr>
          <w:rFonts w:eastAsia="Times New Roman"/>
        </w:rPr>
      </w:pPr>
      <w:r>
        <w:rPr>
          <w:rFonts w:eastAsia="Times New Roman"/>
          <w:sz w:val="20"/>
          <w:szCs w:val="20"/>
        </w:rPr>
        <w:t>•</w:t>
      </w:r>
    </w:p>
    <w:p w14:paraId="538A8492" w14:textId="77777777" w:rsidR="00000000" w:rsidRDefault="00832D71">
      <w:pPr>
        <w:jc w:val="both"/>
        <w:divId w:val="425729504"/>
        <w:rPr>
          <w:rFonts w:eastAsia="Times New Roman"/>
        </w:rPr>
      </w:pPr>
      <w:r>
        <w:rPr>
          <w:rFonts w:eastAsia="Times New Roman"/>
          <w:sz w:val="20"/>
          <w:szCs w:val="20"/>
        </w:rPr>
        <w:t>Approving, administering and interpreting the compensation plans that constitute each component of our executive officers’ compensation packages</w:t>
      </w:r>
      <w:r>
        <w:rPr>
          <w:rFonts w:eastAsia="Times New Roman"/>
          <w:sz w:val="20"/>
          <w:szCs w:val="20"/>
        </w:rPr>
        <w:t>;</w:t>
      </w:r>
    </w:p>
    <w:p w14:paraId="040CB9BF" w14:textId="77777777" w:rsidR="00000000" w:rsidRDefault="00832D71">
      <w:pPr>
        <w:jc w:val="both"/>
        <w:divId w:val="1446385890"/>
        <w:rPr>
          <w:rFonts w:eastAsia="Times New Roman"/>
        </w:rPr>
      </w:pPr>
      <w:r>
        <w:rPr>
          <w:rFonts w:eastAsia="Times New Roman"/>
          <w:sz w:val="20"/>
          <w:szCs w:val="20"/>
        </w:rPr>
        <w:t>•</w:t>
      </w:r>
    </w:p>
    <w:p w14:paraId="773E8CA8" w14:textId="77777777" w:rsidR="00000000" w:rsidRDefault="00832D71">
      <w:pPr>
        <w:jc w:val="both"/>
        <w:divId w:val="223686655"/>
        <w:rPr>
          <w:rFonts w:eastAsia="Times New Roman"/>
        </w:rPr>
      </w:pPr>
      <w:r>
        <w:rPr>
          <w:rFonts w:eastAsia="Times New Roman"/>
          <w:sz w:val="20"/>
          <w:szCs w:val="20"/>
        </w:rPr>
        <w:t>Engaging consultants, when appropriate, to provide independent, third-party advice on executive officer-rela</w:t>
      </w:r>
      <w:r>
        <w:rPr>
          <w:rFonts w:eastAsia="Times New Roman"/>
          <w:sz w:val="20"/>
          <w:szCs w:val="20"/>
        </w:rPr>
        <w:t>ted compensation, including benchmarking data</w:t>
      </w:r>
      <w:r>
        <w:rPr>
          <w:rFonts w:eastAsia="Times New Roman"/>
          <w:sz w:val="20"/>
          <w:szCs w:val="20"/>
        </w:rPr>
        <w:t>;</w:t>
      </w:r>
    </w:p>
    <w:p w14:paraId="35A6F2AE" w14:textId="77777777" w:rsidR="00000000" w:rsidRDefault="00832D71">
      <w:pPr>
        <w:jc w:val="both"/>
        <w:divId w:val="438180507"/>
        <w:rPr>
          <w:rFonts w:eastAsia="Times New Roman"/>
        </w:rPr>
      </w:pPr>
      <w:r>
        <w:rPr>
          <w:rFonts w:eastAsia="Times New Roman"/>
          <w:sz w:val="20"/>
          <w:szCs w:val="20"/>
        </w:rPr>
        <w:t>•</w:t>
      </w:r>
    </w:p>
    <w:p w14:paraId="60B8DB8B" w14:textId="77777777" w:rsidR="00000000" w:rsidRDefault="00832D71">
      <w:pPr>
        <w:jc w:val="both"/>
        <w:divId w:val="883980827"/>
        <w:rPr>
          <w:rFonts w:eastAsia="Times New Roman"/>
        </w:rPr>
      </w:pPr>
      <w:r>
        <w:rPr>
          <w:rFonts w:eastAsia="Times New Roman"/>
          <w:sz w:val="20"/>
          <w:szCs w:val="20"/>
        </w:rPr>
        <w:t>Planning for anticipated and unexpected leadership changes by engaging in a continual process of management succession planning; an</w:t>
      </w:r>
      <w:r>
        <w:rPr>
          <w:rFonts w:eastAsia="Times New Roman"/>
          <w:sz w:val="20"/>
          <w:szCs w:val="20"/>
        </w:rPr>
        <w:t>d</w:t>
      </w:r>
    </w:p>
    <w:p w14:paraId="2ECB57A3" w14:textId="77777777" w:rsidR="00000000" w:rsidRDefault="00832D71">
      <w:pPr>
        <w:jc w:val="both"/>
        <w:divId w:val="1290933097"/>
        <w:rPr>
          <w:rFonts w:eastAsia="Times New Roman"/>
        </w:rPr>
      </w:pPr>
      <w:r>
        <w:rPr>
          <w:rFonts w:eastAsia="Times New Roman"/>
          <w:sz w:val="20"/>
          <w:szCs w:val="20"/>
        </w:rPr>
        <w:t>•</w:t>
      </w:r>
    </w:p>
    <w:p w14:paraId="49EDD085" w14:textId="77777777" w:rsidR="00000000" w:rsidRDefault="00832D71">
      <w:pPr>
        <w:jc w:val="both"/>
        <w:divId w:val="1248422584"/>
        <w:rPr>
          <w:rFonts w:eastAsia="Times New Roman"/>
        </w:rPr>
      </w:pPr>
      <w:r>
        <w:rPr>
          <w:rFonts w:eastAsia="Times New Roman"/>
          <w:sz w:val="20"/>
          <w:szCs w:val="20"/>
        </w:rPr>
        <w:t>Reviewing human capital management matters with respect to the Partnersh</w:t>
      </w:r>
      <w:r>
        <w:rPr>
          <w:rFonts w:eastAsia="Times New Roman"/>
          <w:sz w:val="20"/>
          <w:szCs w:val="20"/>
        </w:rPr>
        <w:t>ip, which may include, but are not limited to, the development, attraction, motivation and retention of personnel, employee diversity and inclusion, workplace environment and culture, and internal communications programs</w:t>
      </w:r>
      <w:r>
        <w:rPr>
          <w:rFonts w:eastAsia="Times New Roman"/>
          <w:sz w:val="20"/>
          <w:szCs w:val="20"/>
        </w:rPr>
        <w:t>.</w:t>
      </w:r>
    </w:p>
    <w:p w14:paraId="43656305" w14:textId="77777777" w:rsidR="00000000" w:rsidRDefault="00832D71">
      <w:pPr>
        <w:pStyle w:val="a3"/>
        <w:spacing w:before="0" w:beforeAutospacing="0" w:after="0" w:afterAutospacing="0"/>
        <w:jc w:val="both"/>
        <w:rPr>
          <w:sz w:val="20"/>
          <w:szCs w:val="20"/>
        </w:rPr>
      </w:pPr>
      <w:r>
        <w:rPr>
          <w:sz w:val="20"/>
          <w:szCs w:val="20"/>
        </w:rPr>
        <w:t> </w:t>
      </w:r>
    </w:p>
    <w:p w14:paraId="23949574" w14:textId="77777777" w:rsidR="00000000" w:rsidRDefault="00832D71">
      <w:pPr>
        <w:pStyle w:val="a3"/>
        <w:spacing w:before="160" w:beforeAutospacing="0" w:after="0" w:afterAutospacing="0"/>
        <w:jc w:val="both"/>
        <w:rPr>
          <w:sz w:val="20"/>
          <w:szCs w:val="20"/>
        </w:rPr>
      </w:pPr>
      <w:r>
        <w:rPr>
          <w:i/>
          <w:iCs/>
          <w:sz w:val="20"/>
          <w:szCs w:val="20"/>
        </w:rPr>
        <w:t xml:space="preserve">Role of the President and Chief </w:t>
      </w:r>
      <w:r>
        <w:rPr>
          <w:i/>
          <w:iCs/>
          <w:sz w:val="20"/>
          <w:szCs w:val="20"/>
        </w:rPr>
        <w:t>Executive Office</w:t>
      </w:r>
      <w:r>
        <w:rPr>
          <w:i/>
          <w:iCs/>
          <w:sz w:val="20"/>
          <w:szCs w:val="20"/>
        </w:rPr>
        <w:t>r</w:t>
      </w:r>
    </w:p>
    <w:p w14:paraId="1636466E" w14:textId="77777777" w:rsidR="00000000" w:rsidRDefault="00832D71">
      <w:pPr>
        <w:pStyle w:val="a3"/>
        <w:spacing w:before="120" w:beforeAutospacing="0" w:after="0" w:afterAutospacing="0"/>
        <w:ind w:firstLine="555"/>
        <w:jc w:val="both"/>
        <w:rPr>
          <w:sz w:val="20"/>
          <w:szCs w:val="20"/>
        </w:rPr>
      </w:pPr>
      <w:r>
        <w:rPr>
          <w:sz w:val="20"/>
          <w:szCs w:val="20"/>
        </w:rPr>
        <w:t>The role of our President and Chief Executive Officer in the executive compensation process is to recommend individual pay adjustments, grants of awards under our Restricted Unit Plan and Phantom Unit Plan, and other adjustments to the co</w:t>
      </w:r>
      <w:r>
        <w:rPr>
          <w:sz w:val="20"/>
          <w:szCs w:val="20"/>
        </w:rPr>
        <w:t>mpensation packages of the executive officers, other than for himself, to the Committee based on market conditions, the Partnership’s performance and individual performance. When recommending individual pay adjustments for the executive officers, our Presi</w:t>
      </w:r>
      <w:r>
        <w:rPr>
          <w:sz w:val="20"/>
          <w:szCs w:val="20"/>
        </w:rPr>
        <w:t>dent and Chief Executive Officer presents the Committee with information comparing each executive officer’s current compensation to relevant benchmark data for comparable positions</w:t>
      </w:r>
      <w:r>
        <w:rPr>
          <w:sz w:val="20"/>
          <w:szCs w:val="20"/>
        </w:rPr>
        <w:t>.</w:t>
      </w:r>
    </w:p>
    <w:p w14:paraId="3B38A1C8" w14:textId="77777777" w:rsidR="00000000" w:rsidRDefault="00832D71">
      <w:pPr>
        <w:pStyle w:val="a3"/>
        <w:spacing w:before="360" w:beforeAutospacing="0" w:after="0" w:afterAutospacing="0"/>
        <w:jc w:val="both"/>
        <w:rPr>
          <w:sz w:val="20"/>
          <w:szCs w:val="20"/>
        </w:rPr>
      </w:pPr>
      <w:r>
        <w:rPr>
          <w:i/>
          <w:iCs/>
          <w:sz w:val="20"/>
          <w:szCs w:val="20"/>
        </w:rPr>
        <w:t>Role of Outside Consultant</w:t>
      </w:r>
      <w:r>
        <w:rPr>
          <w:i/>
          <w:iCs/>
          <w:sz w:val="20"/>
          <w:szCs w:val="20"/>
        </w:rPr>
        <w:t>s</w:t>
      </w:r>
    </w:p>
    <w:p w14:paraId="06A35BDD" w14:textId="77777777" w:rsidR="00000000" w:rsidRDefault="00832D71">
      <w:pPr>
        <w:pStyle w:val="a3"/>
        <w:spacing w:before="120" w:beforeAutospacing="0" w:after="0" w:afterAutospacing="0"/>
        <w:ind w:firstLine="555"/>
        <w:jc w:val="both"/>
        <w:rPr>
          <w:sz w:val="20"/>
          <w:szCs w:val="20"/>
        </w:rPr>
      </w:pPr>
      <w:r>
        <w:rPr>
          <w:sz w:val="20"/>
          <w:szCs w:val="20"/>
        </w:rPr>
        <w:t>Prior to each Committee meeting at which execu</w:t>
      </w:r>
      <w:r>
        <w:rPr>
          <w:sz w:val="20"/>
          <w:szCs w:val="20"/>
        </w:rPr>
        <w:t>tive compensation packages are reviewed, members of the Committee are provided with benchmarking data from the Mercer Human Resource Consulting, Inc. (“Mercer”) database for comparison. The Committee’s sole use of the Mercer database is to compare and cont</w:t>
      </w:r>
      <w:r>
        <w:rPr>
          <w:sz w:val="20"/>
          <w:szCs w:val="20"/>
        </w:rPr>
        <w:t>rast our executive officers’ current base salaries, total cash compensation opportunities and total direct compensation to the data provided in the Mercer benchmarking database, which is derived from a proprietary database of surveys from over 2,489 organi</w:t>
      </w:r>
      <w:r>
        <w:rPr>
          <w:sz w:val="20"/>
          <w:szCs w:val="20"/>
        </w:rPr>
        <w:t>zations and approximately 2,156 positions that may or may not include similarly-sized national propane marketers. The use of the Mercer database provides a broad base of compensation benchmarking information for companies of a size similar to that of the P</w:t>
      </w:r>
      <w:r>
        <w:rPr>
          <w:sz w:val="20"/>
          <w:szCs w:val="20"/>
        </w:rPr>
        <w:t>artnership. There was no formal consultancy role played by Mercer. Therefore, prior to the Committee’s meetings, neither the Committee members nor our President and Chief Executive Officer met with representatives from Mercer</w:t>
      </w:r>
      <w:r>
        <w:rPr>
          <w:sz w:val="20"/>
          <w:szCs w:val="20"/>
        </w:rPr>
        <w:t>.</w:t>
      </w:r>
      <w:r>
        <w:rPr>
          <w:sz w:val="20"/>
          <w:szCs w:val="20"/>
        </w:rPr>
        <w:t xml:space="preserve"> </w:t>
      </w:r>
    </w:p>
    <w:p w14:paraId="4407D778" w14:textId="77777777" w:rsidR="00000000" w:rsidRDefault="00832D71">
      <w:pPr>
        <w:pStyle w:val="a3"/>
        <w:spacing w:before="240" w:beforeAutospacing="0" w:after="0" w:afterAutospacing="0"/>
        <w:ind w:firstLine="555"/>
        <w:jc w:val="both"/>
        <w:rPr>
          <w:sz w:val="20"/>
          <w:szCs w:val="20"/>
        </w:rPr>
      </w:pPr>
      <w:r>
        <w:rPr>
          <w:sz w:val="20"/>
          <w:szCs w:val="20"/>
        </w:rPr>
        <w:t>In addition to using the ben</w:t>
      </w:r>
      <w:r>
        <w:rPr>
          <w:sz w:val="20"/>
          <w:szCs w:val="20"/>
        </w:rPr>
        <w:t>chmarking data from the Mercer database, the Committee has utilized, since fiscal 2013, the services of Willis Towers Watson (“WTW”), a human resources consulting firm, in developing compensation packages for each of our named executive officers. During fi</w:t>
      </w:r>
      <w:r>
        <w:rPr>
          <w:sz w:val="20"/>
          <w:szCs w:val="20"/>
        </w:rPr>
        <w:t>scal 2019, the Committee engaged WTW to provide current benchmarking recommendations for each of our executive officers. These recommendations were reviewed by the Committee to evaluate and approve compensation packages for each of our named executive offi</w:t>
      </w:r>
      <w:r>
        <w:rPr>
          <w:sz w:val="20"/>
          <w:szCs w:val="20"/>
        </w:rPr>
        <w:t>cers for fiscal 2020 and for fiscal 2021. WTW benchmarked the base salaries, total cash compensation opportunities and total direct compensation of our executive officers in comparison to comparable positions, using market data for similarly-sized companie</w:t>
      </w:r>
      <w:r>
        <w:rPr>
          <w:sz w:val="20"/>
          <w:szCs w:val="20"/>
        </w:rPr>
        <w:t>s which were collected by WTW from multiple survey sources across several industries, inclusive of other energy companies in the United States. Similarly, the Committee used benchmarking data from the 2021 Mercer benchmarking database and a 2021 WTW benchm</w:t>
      </w:r>
      <w:r>
        <w:rPr>
          <w:sz w:val="20"/>
          <w:szCs w:val="20"/>
        </w:rPr>
        <w:t>arking study in reviewing and establishing executive compensation for fiscal 2022. Because the Committee has followed an informal policy of only considering increases to executive base salaries every two years, the Committee commissions WTW to update their</w:t>
      </w:r>
      <w:r>
        <w:rPr>
          <w:sz w:val="20"/>
          <w:szCs w:val="20"/>
        </w:rPr>
        <w:t xml:space="preserve"> study every two years</w:t>
      </w:r>
      <w:r>
        <w:rPr>
          <w:sz w:val="20"/>
          <w:szCs w:val="20"/>
        </w:rPr>
        <w:t>.</w:t>
      </w:r>
    </w:p>
    <w:p w14:paraId="7BE1FA8B" w14:textId="77777777" w:rsidR="00000000" w:rsidRDefault="00832D71">
      <w:pPr>
        <w:pStyle w:val="a3"/>
        <w:spacing w:before="360" w:beforeAutospacing="0" w:after="0" w:afterAutospacing="0"/>
        <w:jc w:val="both"/>
        <w:rPr>
          <w:sz w:val="20"/>
          <w:szCs w:val="20"/>
        </w:rPr>
      </w:pPr>
      <w:r>
        <w:rPr>
          <w:i/>
          <w:iCs/>
          <w:sz w:val="20"/>
          <w:szCs w:val="20"/>
        </w:rPr>
        <w:t>Our Unitholders: Say-on-Pa</w:t>
      </w:r>
      <w:r>
        <w:rPr>
          <w:i/>
          <w:iCs/>
          <w:sz w:val="20"/>
          <w:szCs w:val="20"/>
        </w:rPr>
        <w:t>y</w:t>
      </w:r>
    </w:p>
    <w:p w14:paraId="2755B28A" w14:textId="77777777" w:rsidR="00000000" w:rsidRDefault="00832D71">
      <w:pPr>
        <w:pStyle w:val="a3"/>
        <w:spacing w:before="120" w:beforeAutospacing="0" w:after="0" w:afterAutospacing="0"/>
        <w:ind w:firstLine="555"/>
        <w:jc w:val="both"/>
        <w:rPr>
          <w:sz w:val="20"/>
          <w:szCs w:val="20"/>
        </w:rPr>
      </w:pPr>
      <w:r>
        <w:rPr>
          <w:sz w:val="20"/>
          <w:szCs w:val="20"/>
        </w:rPr>
        <w:t>At their May 18, 2021 Tri-Annual Meeting, our Unitholders overwhelmingly approved an advisory resolution approving executive compensation (commonly referred to as “Say-on-Pay”). As a result, the Committee determined that no major revisions of its executive</w:t>
      </w:r>
      <w:r>
        <w:rPr>
          <w:sz w:val="20"/>
          <w:szCs w:val="20"/>
        </w:rPr>
        <w:t xml:space="preserve"> compensation practices were required. However, it remains the Committee’s practice to periodically evaluate its compensation practices for possible improvement. The following represents the 2021 Say-on-Pay voting results</w:t>
      </w:r>
      <w:r>
        <w:rPr>
          <w:sz w:val="20"/>
          <w:szCs w:val="20"/>
        </w:rPr>
        <w:t>:</w:t>
      </w:r>
    </w:p>
    <w:p w14:paraId="1DAF1E58" w14:textId="77777777" w:rsidR="00000000" w:rsidRDefault="00832D71">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125"/>
        <w:gridCol w:w="1274"/>
        <w:gridCol w:w="110"/>
        <w:gridCol w:w="160"/>
        <w:gridCol w:w="110"/>
        <w:gridCol w:w="1274"/>
        <w:gridCol w:w="110"/>
        <w:gridCol w:w="161"/>
        <w:gridCol w:w="110"/>
        <w:gridCol w:w="1274"/>
        <w:gridCol w:w="110"/>
        <w:gridCol w:w="161"/>
        <w:gridCol w:w="110"/>
        <w:gridCol w:w="1431"/>
        <w:gridCol w:w="125"/>
      </w:tblGrid>
      <w:tr w:rsidR="00000000" w14:paraId="1D0A01E7" w14:textId="77777777">
        <w:trPr>
          <w:tblCellSpacing w:w="15" w:type="dxa"/>
        </w:trPr>
        <w:tc>
          <w:tcPr>
            <w:tcW w:w="50" w:type="pct"/>
            <w:vAlign w:val="center"/>
            <w:hideMark/>
          </w:tcPr>
          <w:p w14:paraId="622BD103" w14:textId="77777777" w:rsidR="00000000" w:rsidRDefault="00832D71">
            <w:pPr>
              <w:rPr>
                <w:sz w:val="20"/>
                <w:szCs w:val="20"/>
              </w:rPr>
            </w:pPr>
          </w:p>
        </w:tc>
        <w:tc>
          <w:tcPr>
            <w:tcW w:w="1026" w:type="pct"/>
            <w:vAlign w:val="center"/>
            <w:hideMark/>
          </w:tcPr>
          <w:p w14:paraId="45FE3F06" w14:textId="77777777" w:rsidR="00000000" w:rsidRDefault="00832D71">
            <w:pPr>
              <w:rPr>
                <w:rFonts w:eastAsia="Times New Roman"/>
                <w:sz w:val="20"/>
                <w:szCs w:val="20"/>
              </w:rPr>
            </w:pPr>
          </w:p>
        </w:tc>
        <w:tc>
          <w:tcPr>
            <w:tcW w:w="50" w:type="pct"/>
            <w:vAlign w:val="center"/>
            <w:hideMark/>
          </w:tcPr>
          <w:p w14:paraId="45C4A857" w14:textId="77777777" w:rsidR="00000000" w:rsidRDefault="00832D71">
            <w:pPr>
              <w:rPr>
                <w:rFonts w:eastAsia="Times New Roman"/>
                <w:sz w:val="20"/>
                <w:szCs w:val="20"/>
              </w:rPr>
            </w:pPr>
          </w:p>
        </w:tc>
        <w:tc>
          <w:tcPr>
            <w:tcW w:w="123" w:type="pct"/>
            <w:vAlign w:val="center"/>
            <w:hideMark/>
          </w:tcPr>
          <w:p w14:paraId="247ADF4F" w14:textId="77777777" w:rsidR="00000000" w:rsidRDefault="00832D71">
            <w:pPr>
              <w:rPr>
                <w:rFonts w:eastAsia="Times New Roman"/>
                <w:sz w:val="20"/>
                <w:szCs w:val="20"/>
              </w:rPr>
            </w:pPr>
          </w:p>
        </w:tc>
        <w:tc>
          <w:tcPr>
            <w:tcW w:w="50" w:type="pct"/>
            <w:vAlign w:val="center"/>
            <w:hideMark/>
          </w:tcPr>
          <w:p w14:paraId="18D59B0A" w14:textId="77777777" w:rsidR="00000000" w:rsidRDefault="00832D71">
            <w:pPr>
              <w:rPr>
                <w:rFonts w:eastAsia="Times New Roman"/>
                <w:sz w:val="20"/>
                <w:szCs w:val="20"/>
              </w:rPr>
            </w:pPr>
          </w:p>
        </w:tc>
        <w:tc>
          <w:tcPr>
            <w:tcW w:w="1025" w:type="pct"/>
            <w:vAlign w:val="center"/>
            <w:hideMark/>
          </w:tcPr>
          <w:p w14:paraId="55A99118" w14:textId="77777777" w:rsidR="00000000" w:rsidRDefault="00832D71">
            <w:pPr>
              <w:rPr>
                <w:rFonts w:eastAsia="Times New Roman"/>
                <w:sz w:val="20"/>
                <w:szCs w:val="20"/>
              </w:rPr>
            </w:pPr>
          </w:p>
        </w:tc>
        <w:tc>
          <w:tcPr>
            <w:tcW w:w="50" w:type="pct"/>
            <w:vAlign w:val="center"/>
            <w:hideMark/>
          </w:tcPr>
          <w:p w14:paraId="653023FA" w14:textId="77777777" w:rsidR="00000000" w:rsidRDefault="00832D71">
            <w:pPr>
              <w:rPr>
                <w:rFonts w:eastAsia="Times New Roman"/>
                <w:sz w:val="20"/>
                <w:szCs w:val="20"/>
              </w:rPr>
            </w:pPr>
          </w:p>
        </w:tc>
        <w:tc>
          <w:tcPr>
            <w:tcW w:w="123" w:type="pct"/>
            <w:vAlign w:val="center"/>
            <w:hideMark/>
          </w:tcPr>
          <w:p w14:paraId="02E11AFF" w14:textId="77777777" w:rsidR="00000000" w:rsidRDefault="00832D71">
            <w:pPr>
              <w:rPr>
                <w:rFonts w:eastAsia="Times New Roman"/>
                <w:sz w:val="20"/>
                <w:szCs w:val="20"/>
              </w:rPr>
            </w:pPr>
          </w:p>
        </w:tc>
        <w:tc>
          <w:tcPr>
            <w:tcW w:w="50" w:type="pct"/>
            <w:vAlign w:val="center"/>
            <w:hideMark/>
          </w:tcPr>
          <w:p w14:paraId="10D54EB4" w14:textId="77777777" w:rsidR="00000000" w:rsidRDefault="00832D71">
            <w:pPr>
              <w:rPr>
                <w:rFonts w:eastAsia="Times New Roman"/>
                <w:sz w:val="20"/>
                <w:szCs w:val="20"/>
              </w:rPr>
            </w:pPr>
          </w:p>
        </w:tc>
        <w:tc>
          <w:tcPr>
            <w:tcW w:w="1025" w:type="pct"/>
            <w:vAlign w:val="center"/>
            <w:hideMark/>
          </w:tcPr>
          <w:p w14:paraId="62390D5B" w14:textId="77777777" w:rsidR="00000000" w:rsidRDefault="00832D71">
            <w:pPr>
              <w:rPr>
                <w:rFonts w:eastAsia="Times New Roman"/>
                <w:sz w:val="20"/>
                <w:szCs w:val="20"/>
              </w:rPr>
            </w:pPr>
          </w:p>
        </w:tc>
        <w:tc>
          <w:tcPr>
            <w:tcW w:w="50" w:type="pct"/>
            <w:vAlign w:val="center"/>
            <w:hideMark/>
          </w:tcPr>
          <w:p w14:paraId="41C25538" w14:textId="77777777" w:rsidR="00000000" w:rsidRDefault="00832D71">
            <w:pPr>
              <w:rPr>
                <w:rFonts w:eastAsia="Times New Roman"/>
                <w:sz w:val="20"/>
                <w:szCs w:val="20"/>
              </w:rPr>
            </w:pPr>
          </w:p>
        </w:tc>
        <w:tc>
          <w:tcPr>
            <w:tcW w:w="123" w:type="pct"/>
            <w:vAlign w:val="center"/>
            <w:hideMark/>
          </w:tcPr>
          <w:p w14:paraId="574C142B" w14:textId="77777777" w:rsidR="00000000" w:rsidRDefault="00832D71">
            <w:pPr>
              <w:rPr>
                <w:rFonts w:eastAsia="Times New Roman"/>
                <w:sz w:val="20"/>
                <w:szCs w:val="20"/>
              </w:rPr>
            </w:pPr>
          </w:p>
        </w:tc>
        <w:tc>
          <w:tcPr>
            <w:tcW w:w="50" w:type="pct"/>
            <w:vAlign w:val="center"/>
            <w:hideMark/>
          </w:tcPr>
          <w:p w14:paraId="1CAE92C2" w14:textId="77777777" w:rsidR="00000000" w:rsidRDefault="00832D71">
            <w:pPr>
              <w:rPr>
                <w:rFonts w:eastAsia="Times New Roman"/>
                <w:sz w:val="20"/>
                <w:szCs w:val="20"/>
              </w:rPr>
            </w:pPr>
          </w:p>
        </w:tc>
        <w:tc>
          <w:tcPr>
            <w:tcW w:w="1152" w:type="pct"/>
            <w:vAlign w:val="center"/>
            <w:hideMark/>
          </w:tcPr>
          <w:p w14:paraId="7040EDD9" w14:textId="77777777" w:rsidR="00000000" w:rsidRDefault="00832D71">
            <w:pPr>
              <w:rPr>
                <w:rFonts w:eastAsia="Times New Roman"/>
                <w:sz w:val="20"/>
                <w:szCs w:val="20"/>
              </w:rPr>
            </w:pPr>
          </w:p>
        </w:tc>
        <w:tc>
          <w:tcPr>
            <w:tcW w:w="50" w:type="pct"/>
            <w:vAlign w:val="center"/>
            <w:hideMark/>
          </w:tcPr>
          <w:p w14:paraId="05F181B7" w14:textId="77777777" w:rsidR="00000000" w:rsidRDefault="00832D71">
            <w:pPr>
              <w:rPr>
                <w:rFonts w:eastAsia="Times New Roman"/>
                <w:sz w:val="20"/>
                <w:szCs w:val="20"/>
              </w:rPr>
            </w:pPr>
          </w:p>
        </w:tc>
      </w:tr>
      <w:tr w:rsidR="00000000" w14:paraId="4DE05D80" w14:textId="77777777">
        <w:trPr>
          <w:trHeight w:val="160"/>
          <w:tblCellSpacing w:w="15" w:type="dxa"/>
        </w:trPr>
        <w:tc>
          <w:tcPr>
            <w:tcW w:w="0" w:type="auto"/>
            <w:gridSpan w:val="2"/>
            <w:vAlign w:val="bottom"/>
            <w:hideMark/>
          </w:tcPr>
          <w:p w14:paraId="23F7CC24" w14:textId="77777777" w:rsidR="00000000" w:rsidRDefault="00832D71">
            <w:pPr>
              <w:pStyle w:val="a3"/>
              <w:spacing w:before="0" w:beforeAutospacing="0" w:after="0" w:afterAutospacing="0"/>
              <w:jc w:val="center"/>
              <w:rPr>
                <w:sz w:val="16"/>
                <w:szCs w:val="16"/>
              </w:rPr>
            </w:pPr>
            <w:r>
              <w:rPr>
                <w:b/>
                <w:bCs/>
                <w:sz w:val="16"/>
                <w:szCs w:val="16"/>
              </w:rPr>
              <w:t>Fo</w:t>
            </w:r>
            <w:r>
              <w:rPr>
                <w:b/>
                <w:bCs/>
                <w:sz w:val="16"/>
                <w:szCs w:val="16"/>
              </w:rPr>
              <w:t>r</w:t>
            </w:r>
          </w:p>
        </w:tc>
        <w:tc>
          <w:tcPr>
            <w:tcW w:w="0" w:type="auto"/>
            <w:vAlign w:val="bottom"/>
            <w:hideMark/>
          </w:tcPr>
          <w:p w14:paraId="745F5705"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89A41C6"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0D9EC39" w14:textId="77777777" w:rsidR="00000000" w:rsidRDefault="00832D71">
            <w:pPr>
              <w:pStyle w:val="a3"/>
              <w:spacing w:before="0" w:beforeAutospacing="0" w:after="0" w:afterAutospacing="0"/>
              <w:jc w:val="center"/>
              <w:rPr>
                <w:sz w:val="16"/>
                <w:szCs w:val="16"/>
              </w:rPr>
            </w:pPr>
            <w:r>
              <w:rPr>
                <w:b/>
                <w:bCs/>
                <w:sz w:val="16"/>
                <w:szCs w:val="16"/>
              </w:rPr>
              <w:t>Agains</w:t>
            </w:r>
            <w:r>
              <w:rPr>
                <w:b/>
                <w:bCs/>
                <w:sz w:val="16"/>
                <w:szCs w:val="16"/>
              </w:rPr>
              <w:t>t</w:t>
            </w:r>
          </w:p>
        </w:tc>
        <w:tc>
          <w:tcPr>
            <w:tcW w:w="0" w:type="auto"/>
            <w:vAlign w:val="bottom"/>
            <w:hideMark/>
          </w:tcPr>
          <w:p w14:paraId="63480F63"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E832A25"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8F4BDD5" w14:textId="77777777" w:rsidR="00000000" w:rsidRDefault="00832D71">
            <w:pPr>
              <w:pStyle w:val="a3"/>
              <w:spacing w:before="0" w:beforeAutospacing="0" w:after="0" w:afterAutospacing="0"/>
              <w:jc w:val="center"/>
              <w:rPr>
                <w:sz w:val="16"/>
                <w:szCs w:val="16"/>
              </w:rPr>
            </w:pPr>
            <w:r>
              <w:rPr>
                <w:b/>
                <w:bCs/>
                <w:sz w:val="16"/>
                <w:szCs w:val="16"/>
              </w:rPr>
              <w:t>Abstai</w:t>
            </w:r>
            <w:r>
              <w:rPr>
                <w:b/>
                <w:bCs/>
                <w:sz w:val="16"/>
                <w:szCs w:val="16"/>
              </w:rPr>
              <w:t>n</w:t>
            </w:r>
          </w:p>
        </w:tc>
        <w:tc>
          <w:tcPr>
            <w:tcW w:w="0" w:type="auto"/>
            <w:vAlign w:val="bottom"/>
            <w:hideMark/>
          </w:tcPr>
          <w:p w14:paraId="10237FE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CEE8D7F"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6B70D0A" w14:textId="77777777" w:rsidR="00000000" w:rsidRDefault="00832D71">
            <w:pPr>
              <w:pStyle w:val="a3"/>
              <w:spacing w:before="0" w:beforeAutospacing="0" w:after="0" w:afterAutospacing="0"/>
              <w:jc w:val="center"/>
              <w:rPr>
                <w:sz w:val="16"/>
                <w:szCs w:val="16"/>
              </w:rPr>
            </w:pPr>
            <w:r>
              <w:rPr>
                <w:b/>
                <w:bCs/>
                <w:sz w:val="16"/>
                <w:szCs w:val="16"/>
              </w:rPr>
              <w:t>Broker Non-Vote</w:t>
            </w:r>
            <w:r>
              <w:rPr>
                <w:b/>
                <w:bCs/>
                <w:sz w:val="16"/>
                <w:szCs w:val="16"/>
              </w:rPr>
              <w:t>s</w:t>
            </w:r>
          </w:p>
        </w:tc>
        <w:tc>
          <w:tcPr>
            <w:tcW w:w="0" w:type="auto"/>
            <w:vAlign w:val="bottom"/>
            <w:hideMark/>
          </w:tcPr>
          <w:p w14:paraId="577C128C"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40AF433C" w14:textId="77777777">
        <w:trPr>
          <w:trHeight w:val="200"/>
          <w:tblCellSpacing w:w="15" w:type="dxa"/>
        </w:trPr>
        <w:tc>
          <w:tcPr>
            <w:tcW w:w="0" w:type="auto"/>
            <w:noWrap/>
            <w:hideMark/>
          </w:tcPr>
          <w:p w14:paraId="336FCCC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30F702A" w14:textId="77777777" w:rsidR="00000000" w:rsidRDefault="00832D71">
            <w:pPr>
              <w:pStyle w:val="a3"/>
              <w:spacing w:before="0" w:beforeAutospacing="0" w:after="0" w:afterAutospacing="0"/>
              <w:jc w:val="right"/>
              <w:rPr>
                <w:sz w:val="20"/>
                <w:szCs w:val="20"/>
              </w:rPr>
            </w:pPr>
            <w:r>
              <w:rPr>
                <w:sz w:val="20"/>
                <w:szCs w:val="20"/>
              </w:rPr>
              <w:t>22,189,18</w:t>
            </w:r>
            <w:r>
              <w:rPr>
                <w:sz w:val="20"/>
                <w:szCs w:val="20"/>
              </w:rPr>
              <w:t>3</w:t>
            </w:r>
          </w:p>
        </w:tc>
        <w:tc>
          <w:tcPr>
            <w:tcW w:w="0" w:type="auto"/>
            <w:noWrap/>
            <w:hideMark/>
          </w:tcPr>
          <w:p w14:paraId="624EE9D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86E2DEF"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05E4E63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960B541" w14:textId="77777777" w:rsidR="00000000" w:rsidRDefault="00832D71">
            <w:pPr>
              <w:pStyle w:val="a3"/>
              <w:spacing w:before="0" w:beforeAutospacing="0" w:after="0" w:afterAutospacing="0"/>
              <w:jc w:val="right"/>
              <w:rPr>
                <w:sz w:val="20"/>
                <w:szCs w:val="20"/>
              </w:rPr>
            </w:pPr>
            <w:r>
              <w:rPr>
                <w:sz w:val="20"/>
                <w:szCs w:val="20"/>
              </w:rPr>
              <w:t>2,007,03</w:t>
            </w:r>
            <w:r>
              <w:rPr>
                <w:sz w:val="20"/>
                <w:szCs w:val="20"/>
              </w:rPr>
              <w:t>1</w:t>
            </w:r>
          </w:p>
        </w:tc>
        <w:tc>
          <w:tcPr>
            <w:tcW w:w="0" w:type="auto"/>
            <w:noWrap/>
            <w:hideMark/>
          </w:tcPr>
          <w:p w14:paraId="4E16605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B79FE3C"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221B127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3A07B29" w14:textId="77777777" w:rsidR="00000000" w:rsidRDefault="00832D71">
            <w:pPr>
              <w:pStyle w:val="a3"/>
              <w:spacing w:before="0" w:beforeAutospacing="0" w:after="0" w:afterAutospacing="0"/>
              <w:jc w:val="right"/>
              <w:rPr>
                <w:sz w:val="20"/>
                <w:szCs w:val="20"/>
              </w:rPr>
            </w:pPr>
            <w:r>
              <w:rPr>
                <w:sz w:val="20"/>
                <w:szCs w:val="20"/>
              </w:rPr>
              <w:t>625,13</w:t>
            </w:r>
            <w:r>
              <w:rPr>
                <w:sz w:val="20"/>
                <w:szCs w:val="20"/>
              </w:rPr>
              <w:t>0</w:t>
            </w:r>
          </w:p>
        </w:tc>
        <w:tc>
          <w:tcPr>
            <w:tcW w:w="0" w:type="auto"/>
            <w:noWrap/>
            <w:hideMark/>
          </w:tcPr>
          <w:p w14:paraId="3EA1872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5CA7992"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3A6BBC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E7F27D9" w14:textId="77777777" w:rsidR="00000000" w:rsidRDefault="00832D71">
            <w:pPr>
              <w:pStyle w:val="a3"/>
              <w:spacing w:before="0" w:beforeAutospacing="0" w:after="0" w:afterAutospacing="0"/>
              <w:jc w:val="right"/>
              <w:rPr>
                <w:sz w:val="20"/>
                <w:szCs w:val="20"/>
              </w:rPr>
            </w:pPr>
            <w:r>
              <w:rPr>
                <w:sz w:val="20"/>
                <w:szCs w:val="20"/>
              </w:rPr>
              <w:t>20,733,27</w:t>
            </w:r>
            <w:r>
              <w:rPr>
                <w:sz w:val="20"/>
                <w:szCs w:val="20"/>
              </w:rPr>
              <w:t>0</w:t>
            </w:r>
          </w:p>
        </w:tc>
        <w:tc>
          <w:tcPr>
            <w:tcW w:w="0" w:type="auto"/>
            <w:noWrap/>
            <w:hideMark/>
          </w:tcPr>
          <w:p w14:paraId="2F288627" w14:textId="77777777" w:rsidR="00000000" w:rsidRDefault="00832D71">
            <w:pPr>
              <w:pStyle w:val="a3"/>
              <w:spacing w:before="0" w:beforeAutospacing="0" w:after="0" w:afterAutospacing="0"/>
              <w:rPr>
                <w:sz w:val="20"/>
                <w:szCs w:val="20"/>
              </w:rPr>
            </w:pPr>
            <w:r>
              <w:rPr>
                <w:sz w:val="20"/>
                <w:szCs w:val="20"/>
              </w:rPr>
              <w:t> </w:t>
            </w:r>
          </w:p>
        </w:tc>
      </w:tr>
    </w:tbl>
    <w:p w14:paraId="1EB33010" w14:textId="77777777" w:rsidR="00000000" w:rsidRDefault="00832D71">
      <w:pPr>
        <w:pStyle w:val="a3"/>
        <w:spacing w:before="0" w:beforeAutospacing="0" w:after="0" w:afterAutospacing="0"/>
        <w:rPr>
          <w:sz w:val="20"/>
          <w:szCs w:val="20"/>
        </w:rPr>
      </w:pPr>
      <w:r>
        <w:rPr>
          <w:sz w:val="20"/>
          <w:szCs w:val="20"/>
        </w:rPr>
        <w:t> </w:t>
      </w:r>
    </w:p>
    <w:p w14:paraId="5B47926E" w14:textId="77777777" w:rsidR="00000000" w:rsidRDefault="00832D71">
      <w:pPr>
        <w:pStyle w:val="a3"/>
        <w:spacing w:before="0" w:beforeAutospacing="0" w:after="0" w:afterAutospacing="0"/>
        <w:jc w:val="center"/>
        <w:rPr>
          <w:sz w:val="20"/>
          <w:szCs w:val="20"/>
        </w:rPr>
      </w:pPr>
      <w:r>
        <w:rPr>
          <w:sz w:val="20"/>
          <w:szCs w:val="20"/>
        </w:rPr>
        <w:t> </w:t>
      </w:r>
    </w:p>
    <w:p w14:paraId="63C95DC6"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3</w:t>
      </w:r>
    </w:p>
    <w:p w14:paraId="3F1F70A3" w14:textId="77777777" w:rsidR="00000000" w:rsidRDefault="00832D71">
      <w:pPr>
        <w:rPr>
          <w:rFonts w:eastAsia="Times New Roman"/>
        </w:rPr>
      </w:pPr>
      <w:r>
        <w:rPr>
          <w:rFonts w:eastAsia="Times New Roman"/>
        </w:rPr>
        <w:pict w14:anchorId="1D86962A">
          <v:rect id="_x0000_i1080" style="width:0;height:1.5pt" o:hralign="center" o:hrstd="t" o:hr="t" fillcolor="#a0a0a0" stroked="f"/>
        </w:pict>
      </w:r>
    </w:p>
    <w:p w14:paraId="3430F2C9"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54DECD21" w14:textId="77777777" w:rsidR="00000000" w:rsidRDefault="00832D71">
      <w:pPr>
        <w:pStyle w:val="a3"/>
        <w:spacing w:before="360" w:beforeAutospacing="0" w:after="0" w:afterAutospacing="0"/>
        <w:jc w:val="both"/>
        <w:rPr>
          <w:sz w:val="20"/>
          <w:szCs w:val="20"/>
        </w:rPr>
      </w:pPr>
      <w:r>
        <w:rPr>
          <w:b/>
          <w:bCs/>
          <w:sz w:val="20"/>
          <w:szCs w:val="20"/>
        </w:rPr>
        <w:t>The Annual Compensation Decision Making Proces</w:t>
      </w:r>
      <w:r>
        <w:rPr>
          <w:b/>
          <w:bCs/>
          <w:sz w:val="20"/>
          <w:szCs w:val="20"/>
        </w:rPr>
        <w:t>s</w:t>
      </w:r>
    </w:p>
    <w:p w14:paraId="0270491A" w14:textId="77777777" w:rsidR="00000000" w:rsidRDefault="00832D71">
      <w:pPr>
        <w:pStyle w:val="a3"/>
        <w:spacing w:before="120" w:beforeAutospacing="0" w:after="0" w:afterAutospacing="0"/>
        <w:jc w:val="both"/>
        <w:rPr>
          <w:sz w:val="20"/>
          <w:szCs w:val="20"/>
        </w:rPr>
      </w:pPr>
      <w:r>
        <w:rPr>
          <w:i/>
          <w:iCs/>
          <w:sz w:val="20"/>
          <w:szCs w:val="20"/>
        </w:rPr>
        <w:t>Fiscal 2022 Committee Meeting</w:t>
      </w:r>
      <w:r>
        <w:rPr>
          <w:i/>
          <w:iCs/>
          <w:sz w:val="20"/>
          <w:szCs w:val="20"/>
        </w:rPr>
        <w:t>s</w:t>
      </w:r>
    </w:p>
    <w:p w14:paraId="28B12351" w14:textId="77777777" w:rsidR="00000000" w:rsidRDefault="00832D71">
      <w:pPr>
        <w:pStyle w:val="a3"/>
        <w:spacing w:before="120" w:beforeAutospacing="0" w:after="0" w:afterAutospacing="0"/>
        <w:ind w:firstLine="555"/>
        <w:jc w:val="both"/>
        <w:rPr>
          <w:sz w:val="20"/>
          <w:szCs w:val="20"/>
        </w:rPr>
      </w:pPr>
      <w:r>
        <w:rPr>
          <w:sz w:val="20"/>
          <w:szCs w:val="20"/>
        </w:rPr>
        <w:t>The Committee usually holds three regularly-scheduled meetings during the fiscal ye</w:t>
      </w:r>
      <w:r>
        <w:rPr>
          <w:sz w:val="20"/>
          <w:szCs w:val="20"/>
        </w:rPr>
        <w:t>ar: one in October or November, one in January and one in July, and may meet at other times during the year as warranted. During fiscal 2022, the Committee chose to meet in November, January and July. The Committee finalized the fiscal 2022 compensation pa</w:t>
      </w:r>
      <w:r>
        <w:rPr>
          <w:sz w:val="20"/>
          <w:szCs w:val="20"/>
        </w:rPr>
        <w:t>ckages for our named executive officers at its November 9, 2021 meeting</w:t>
      </w:r>
      <w:r>
        <w:rPr>
          <w:sz w:val="20"/>
          <w:szCs w:val="20"/>
        </w:rPr>
        <w:t>.</w:t>
      </w:r>
    </w:p>
    <w:p w14:paraId="2EA4AF19" w14:textId="77777777" w:rsidR="00000000" w:rsidRDefault="00832D71">
      <w:pPr>
        <w:pStyle w:val="a3"/>
        <w:spacing w:before="240" w:beforeAutospacing="0" w:after="0" w:afterAutospacing="0"/>
        <w:ind w:firstLine="555"/>
        <w:jc w:val="both"/>
        <w:rPr>
          <w:sz w:val="20"/>
          <w:szCs w:val="20"/>
        </w:rPr>
      </w:pPr>
      <w:r>
        <w:rPr>
          <w:sz w:val="20"/>
          <w:szCs w:val="20"/>
        </w:rPr>
        <w:t>As in past fiscal years and as referred to above, the Committee was provided with a comprehensive analysis of each executive officer’s past and current compensation - including benchm</w:t>
      </w:r>
      <w:r>
        <w:rPr>
          <w:sz w:val="20"/>
          <w:szCs w:val="20"/>
        </w:rPr>
        <w:t>arking data for comparison - to enable it to assess and determine each executive officer’s compensation package for fiscal 2022. Prior to making its decisions regarding each named executive officer’s fiscal 2022 compensation package, the Committee reviewed</w:t>
      </w:r>
      <w:r>
        <w:rPr>
          <w:sz w:val="20"/>
          <w:szCs w:val="20"/>
        </w:rPr>
        <w:t xml:space="preserve"> the total cash compensation opportunity that was provided to each named executive officer during the previously completed fiscal year compared to the total mean cash compensation opportunity for the parallel position in the Mercer benchmarking database an</w:t>
      </w:r>
      <w:r>
        <w:rPr>
          <w:sz w:val="20"/>
          <w:szCs w:val="20"/>
        </w:rPr>
        <w:t>d to the recommendations provided by WTW in advance of the November 9, 2021 Committee meeting</w:t>
      </w:r>
      <w:r>
        <w:rPr>
          <w:sz w:val="20"/>
          <w:szCs w:val="20"/>
        </w:rPr>
        <w:t>.</w:t>
      </w:r>
      <w:r>
        <w:rPr>
          <w:sz w:val="20"/>
          <w:szCs w:val="20"/>
        </w:rPr>
        <w:t xml:space="preserve"> </w:t>
      </w:r>
    </w:p>
    <w:p w14:paraId="7EDE264C" w14:textId="77777777" w:rsidR="00000000" w:rsidRDefault="00832D71">
      <w:pPr>
        <w:pStyle w:val="a3"/>
        <w:spacing w:before="360" w:beforeAutospacing="0" w:after="0" w:afterAutospacing="0"/>
        <w:jc w:val="both"/>
        <w:rPr>
          <w:sz w:val="20"/>
          <w:szCs w:val="20"/>
        </w:rPr>
      </w:pPr>
      <w:r>
        <w:rPr>
          <w:i/>
          <w:iCs/>
          <w:sz w:val="20"/>
          <w:szCs w:val="20"/>
        </w:rPr>
        <w:t>Our Approach to Setting Compensation Package</w:t>
      </w:r>
      <w:r>
        <w:rPr>
          <w:i/>
          <w:iCs/>
          <w:sz w:val="20"/>
          <w:szCs w:val="20"/>
        </w:rPr>
        <w:t>s</w:t>
      </w:r>
    </w:p>
    <w:p w14:paraId="2B70381B" w14:textId="77777777" w:rsidR="00000000" w:rsidRDefault="00832D71">
      <w:pPr>
        <w:pStyle w:val="a3"/>
        <w:spacing w:before="120" w:beforeAutospacing="0" w:after="0" w:afterAutospacing="0"/>
        <w:ind w:firstLine="555"/>
        <w:jc w:val="both"/>
        <w:rPr>
          <w:sz w:val="20"/>
          <w:szCs w:val="20"/>
        </w:rPr>
      </w:pPr>
      <w:r>
        <w:rPr>
          <w:sz w:val="20"/>
          <w:szCs w:val="20"/>
        </w:rPr>
        <w:t>The Committee has adopted an informal policy of considering adjustments to the base salaries of our named executiv</w:t>
      </w:r>
      <w:r>
        <w:rPr>
          <w:sz w:val="20"/>
          <w:szCs w:val="20"/>
        </w:rPr>
        <w:t>e officers every two years (unless specific circumstances warrant adjustments); however, the Committee conducts an annual review of the compensation packages of all of our executive officers. In reviewing and determining the compensation packages of our na</w:t>
      </w:r>
      <w:r>
        <w:rPr>
          <w:sz w:val="20"/>
          <w:szCs w:val="20"/>
        </w:rPr>
        <w:t>med executive officers, the Committee considers a number of factors related to each executive; including, but not limited to, years of experience in current position, scope and level of responsibility, influence over the affairs of the Partnership and indi</w:t>
      </w:r>
      <w:r>
        <w:rPr>
          <w:sz w:val="20"/>
          <w:szCs w:val="20"/>
        </w:rPr>
        <w:t>vidual performance. The relative importance assigned to each of these factors by the Committee may differ from executive to executive and from year to year. As a result, different weights may be given to different components of compensation among each of o</w:t>
      </w:r>
      <w:r>
        <w:rPr>
          <w:sz w:val="20"/>
          <w:szCs w:val="20"/>
        </w:rPr>
        <w:t>ur named executive officers</w:t>
      </w:r>
      <w:r>
        <w:rPr>
          <w:sz w:val="20"/>
          <w:szCs w:val="20"/>
        </w:rPr>
        <w:t>.</w:t>
      </w:r>
    </w:p>
    <w:p w14:paraId="0B253F73" w14:textId="77777777" w:rsidR="00000000" w:rsidRDefault="00832D71">
      <w:pPr>
        <w:pStyle w:val="a3"/>
        <w:spacing w:before="240" w:beforeAutospacing="0" w:after="0" w:afterAutospacing="0"/>
        <w:ind w:firstLine="555"/>
        <w:jc w:val="both"/>
        <w:rPr>
          <w:sz w:val="20"/>
          <w:szCs w:val="20"/>
        </w:rPr>
      </w:pPr>
      <w:r>
        <w:rPr>
          <w:sz w:val="20"/>
          <w:szCs w:val="20"/>
        </w:rPr>
        <w:t xml:space="preserve">As previously stated, the Committee reviewed benchmarking data from Mercer and WTW for comparison. </w:t>
      </w:r>
      <w:r>
        <w:rPr>
          <w:sz w:val="20"/>
          <w:szCs w:val="20"/>
        </w:rPr>
        <w:t>This benchmarking data is just one of a number of factors considered by the Committee, but, in some cases, is not necessarily the most persuasive factor. The Committee compared total cash compensation opportunities (comprising base salary, annual cash bonu</w:t>
      </w:r>
      <w:r>
        <w:rPr>
          <w:sz w:val="20"/>
          <w:szCs w:val="20"/>
        </w:rPr>
        <w:t>ses and distribution equivalent rights payments) to the 5</w:t>
      </w:r>
      <w:r>
        <w:rPr>
          <w:sz w:val="20"/>
          <w:szCs w:val="20"/>
        </w:rPr>
        <w:t>0</w:t>
      </w:r>
      <w:r>
        <w:rPr>
          <w:sz w:val="13"/>
          <w:szCs w:val="13"/>
          <w:vertAlign w:val="superscript"/>
        </w:rPr>
        <w:t>t</w:t>
      </w:r>
      <w:r>
        <w:rPr>
          <w:sz w:val="13"/>
          <w:szCs w:val="13"/>
          <w:vertAlign w:val="superscript"/>
        </w:rPr>
        <w:t>h</w:t>
      </w:r>
      <w:r>
        <w:rPr>
          <w:sz w:val="20"/>
          <w:szCs w:val="20"/>
        </w:rPr>
        <w:t xml:space="preserve"> percentile for the total cash compensation opportunity for the parallel position in both the Mercer benchmarking database and the recommendations provided by WTW. The Committee compared the total</w:t>
      </w:r>
      <w:r>
        <w:rPr>
          <w:sz w:val="20"/>
          <w:szCs w:val="20"/>
        </w:rPr>
        <w:t xml:space="preserve"> direct compensation, which includes the total cash compensation opportunity plus long-term incentives (inclusive of cash settled long-term incentives and grants under the Restricted Unit Plans) to the 7</w:t>
      </w:r>
      <w:r>
        <w:rPr>
          <w:sz w:val="20"/>
          <w:szCs w:val="20"/>
        </w:rPr>
        <w:t>5</w:t>
      </w:r>
      <w:r>
        <w:rPr>
          <w:sz w:val="13"/>
          <w:szCs w:val="13"/>
          <w:vertAlign w:val="superscript"/>
        </w:rPr>
        <w:t>t</w:t>
      </w:r>
      <w:r>
        <w:rPr>
          <w:sz w:val="13"/>
          <w:szCs w:val="13"/>
          <w:vertAlign w:val="superscript"/>
        </w:rPr>
        <w:t>h</w:t>
      </w:r>
      <w:r>
        <w:rPr>
          <w:sz w:val="20"/>
          <w:szCs w:val="20"/>
        </w:rPr>
        <w:t xml:space="preserve"> percentile of the Mercer benchmarking database an</w:t>
      </w:r>
      <w:r>
        <w:rPr>
          <w:sz w:val="20"/>
          <w:szCs w:val="20"/>
        </w:rPr>
        <w:t>d the WTW benchmarking study. The Committee seeks to establish an overall compensation package for each of our executive officers that provides a competitive base salary, the opportunity to earn annual cash incentives based on annual performance targets, w</w:t>
      </w:r>
      <w:r>
        <w:rPr>
          <w:sz w:val="20"/>
          <w:szCs w:val="20"/>
        </w:rPr>
        <w:t>ith the goal of establishing a total cash compensation opportunity that reflects the 5</w:t>
      </w:r>
      <w:r>
        <w:rPr>
          <w:sz w:val="20"/>
          <w:szCs w:val="20"/>
        </w:rPr>
        <w:t>0</w:t>
      </w:r>
      <w:r>
        <w:rPr>
          <w:sz w:val="13"/>
          <w:szCs w:val="13"/>
          <w:vertAlign w:val="superscript"/>
        </w:rPr>
        <w:t>t</w:t>
      </w:r>
      <w:r>
        <w:rPr>
          <w:sz w:val="13"/>
          <w:szCs w:val="13"/>
          <w:vertAlign w:val="superscript"/>
        </w:rPr>
        <w:t>h</w:t>
      </w:r>
      <w:r>
        <w:rPr>
          <w:sz w:val="20"/>
          <w:szCs w:val="20"/>
        </w:rPr>
        <w:t xml:space="preserve"> percentile of the relevant benchmark data. The annual total cash compensation opportunity is supplemented with targeted long-term incentive opportunities, in the form</w:t>
      </w:r>
      <w:r>
        <w:rPr>
          <w:sz w:val="20"/>
          <w:szCs w:val="20"/>
        </w:rPr>
        <w:t xml:space="preserve"> of long-term performance-based awards under our Long-Term Incentive Plan and grants of awards under our Restricted Unit Plan and Phantom Unit Plan, to establish the target total direct compensation for each executive officer</w:t>
      </w:r>
      <w:r>
        <w:rPr>
          <w:sz w:val="20"/>
          <w:szCs w:val="20"/>
        </w:rPr>
        <w:t>.</w:t>
      </w:r>
      <w:r>
        <w:rPr>
          <w:sz w:val="20"/>
          <w:szCs w:val="20"/>
        </w:rPr>
        <w:t xml:space="preserve"> </w:t>
      </w:r>
    </w:p>
    <w:p w14:paraId="2EFFD7E0" w14:textId="77777777" w:rsidR="00000000" w:rsidRDefault="00832D71">
      <w:pPr>
        <w:pStyle w:val="a3"/>
        <w:spacing w:before="360" w:beforeAutospacing="0" w:after="0" w:afterAutospacing="0"/>
        <w:jc w:val="both"/>
        <w:rPr>
          <w:sz w:val="20"/>
          <w:szCs w:val="20"/>
        </w:rPr>
      </w:pPr>
      <w:r>
        <w:rPr>
          <w:i/>
          <w:iCs/>
          <w:sz w:val="20"/>
          <w:szCs w:val="20"/>
        </w:rPr>
        <w:t>Compensation Peer Grou</w:t>
      </w:r>
      <w:r>
        <w:rPr>
          <w:i/>
          <w:iCs/>
          <w:sz w:val="20"/>
          <w:szCs w:val="20"/>
        </w:rPr>
        <w:t>p</w:t>
      </w:r>
    </w:p>
    <w:p w14:paraId="28096F96" w14:textId="77777777" w:rsidR="00000000" w:rsidRDefault="00832D71">
      <w:pPr>
        <w:pStyle w:val="a3"/>
        <w:spacing w:before="120" w:beforeAutospacing="0" w:after="0" w:afterAutospacing="0"/>
        <w:ind w:firstLine="555"/>
        <w:jc w:val="both"/>
        <w:rPr>
          <w:sz w:val="20"/>
          <w:szCs w:val="20"/>
        </w:rPr>
      </w:pPr>
      <w:r>
        <w:rPr>
          <w:sz w:val="20"/>
          <w:szCs w:val="20"/>
        </w:rPr>
        <w:t xml:space="preserve">The </w:t>
      </w:r>
      <w:r>
        <w:rPr>
          <w:sz w:val="20"/>
          <w:szCs w:val="20"/>
        </w:rPr>
        <w:t>Committee bases its benchmarking on a broad base of companies of a size similar to the Partnership, and does not rely solely on a peer group of other propane marketers. The Committee takes this approach because it believes that the proximity of our headqua</w:t>
      </w:r>
      <w:r>
        <w:rPr>
          <w:sz w:val="20"/>
          <w:szCs w:val="20"/>
        </w:rPr>
        <w:t>rters to New York City and the need to realistically compete for skilled executives in an environment shared by numerous other enterprises seeking similarly skilled employees requires a broader review of the market. Furthermore, similarly-sized propane mar</w:t>
      </w:r>
      <w:r>
        <w:rPr>
          <w:sz w:val="20"/>
          <w:szCs w:val="20"/>
        </w:rPr>
        <w:t>keters (of which there are only two) compete for executives in different economic environments and have different ownership structures which may influence the comparability of compensation data for executive officer positions. This benchmarking approach ha</w:t>
      </w:r>
      <w:r>
        <w:rPr>
          <w:sz w:val="20"/>
          <w:szCs w:val="20"/>
        </w:rPr>
        <w:t>s been in place for a number of years</w:t>
      </w:r>
      <w:r>
        <w:rPr>
          <w:sz w:val="20"/>
          <w:szCs w:val="20"/>
        </w:rPr>
        <w:t>.</w:t>
      </w:r>
    </w:p>
    <w:p w14:paraId="0D0AA4B6" w14:textId="77777777" w:rsidR="00000000" w:rsidRDefault="00832D71">
      <w:pPr>
        <w:pStyle w:val="a3"/>
        <w:spacing w:before="360" w:beforeAutospacing="0" w:after="0" w:afterAutospacing="0"/>
        <w:jc w:val="both"/>
        <w:rPr>
          <w:sz w:val="20"/>
          <w:szCs w:val="20"/>
        </w:rPr>
      </w:pPr>
      <w:r>
        <w:rPr>
          <w:b/>
          <w:bCs/>
          <w:sz w:val="20"/>
          <w:szCs w:val="20"/>
        </w:rPr>
        <w:t>Executive Compensation Philosoph</w:t>
      </w:r>
      <w:r>
        <w:rPr>
          <w:b/>
          <w:bCs/>
          <w:sz w:val="20"/>
          <w:szCs w:val="20"/>
        </w:rPr>
        <w:t>y</w:t>
      </w:r>
    </w:p>
    <w:p w14:paraId="6C5D9E13" w14:textId="77777777" w:rsidR="00000000" w:rsidRDefault="00832D71">
      <w:pPr>
        <w:pStyle w:val="a3"/>
        <w:spacing w:before="120" w:beforeAutospacing="0" w:after="0" w:afterAutospacing="0"/>
        <w:jc w:val="both"/>
        <w:rPr>
          <w:sz w:val="20"/>
          <w:szCs w:val="20"/>
        </w:rPr>
      </w:pPr>
      <w:r>
        <w:rPr>
          <w:b/>
          <w:bCs/>
          <w:sz w:val="20"/>
          <w:szCs w:val="20"/>
        </w:rPr>
        <w:t>Overvie</w:t>
      </w:r>
      <w:r>
        <w:rPr>
          <w:b/>
          <w:bCs/>
          <w:sz w:val="20"/>
          <w:szCs w:val="20"/>
        </w:rPr>
        <w:t>w</w:t>
      </w:r>
    </w:p>
    <w:p w14:paraId="5E863570" w14:textId="77777777" w:rsidR="00000000" w:rsidRDefault="00832D71">
      <w:pPr>
        <w:pStyle w:val="a3"/>
        <w:spacing w:before="0" w:beforeAutospacing="0" w:after="0" w:afterAutospacing="0"/>
        <w:jc w:val="both"/>
        <w:rPr>
          <w:sz w:val="20"/>
          <w:szCs w:val="20"/>
        </w:rPr>
      </w:pPr>
      <w:r>
        <w:rPr>
          <w:sz w:val="20"/>
          <w:szCs w:val="20"/>
        </w:rPr>
        <w:t> </w:t>
      </w:r>
    </w:p>
    <w:p w14:paraId="5DBCF150" w14:textId="77777777" w:rsidR="00000000" w:rsidRDefault="00832D71">
      <w:pPr>
        <w:pStyle w:val="a3"/>
        <w:spacing w:before="0" w:beforeAutospacing="0" w:after="0" w:afterAutospacing="0"/>
        <w:ind w:firstLine="555"/>
        <w:jc w:val="both"/>
        <w:rPr>
          <w:sz w:val="20"/>
          <w:szCs w:val="20"/>
        </w:rPr>
      </w:pPr>
      <w:r>
        <w:rPr>
          <w:sz w:val="20"/>
          <w:szCs w:val="20"/>
        </w:rPr>
        <w:t>Our executive compensation program is underpinned by two core objectives</w:t>
      </w:r>
      <w:r>
        <w:rPr>
          <w:sz w:val="20"/>
          <w:szCs w:val="20"/>
        </w:rPr>
        <w:t>:</w:t>
      </w:r>
    </w:p>
    <w:p w14:paraId="34826BEB" w14:textId="77777777" w:rsidR="00000000" w:rsidRDefault="00832D71">
      <w:pPr>
        <w:pStyle w:val="a3"/>
        <w:spacing w:before="0" w:beforeAutospacing="0" w:after="0" w:afterAutospacing="0"/>
        <w:jc w:val="both"/>
        <w:rPr>
          <w:sz w:val="20"/>
          <w:szCs w:val="20"/>
        </w:rPr>
      </w:pPr>
      <w:r>
        <w:rPr>
          <w:sz w:val="20"/>
          <w:szCs w:val="20"/>
        </w:rPr>
        <w:t> </w:t>
      </w:r>
    </w:p>
    <w:p w14:paraId="0A72F8C1" w14:textId="77777777" w:rsidR="00000000" w:rsidRDefault="00832D71">
      <w:pPr>
        <w:jc w:val="both"/>
        <w:divId w:val="602230087"/>
        <w:rPr>
          <w:rFonts w:eastAsia="Times New Roman"/>
        </w:rPr>
      </w:pPr>
      <w:r>
        <w:rPr>
          <w:rFonts w:eastAsia="Times New Roman"/>
          <w:sz w:val="20"/>
          <w:szCs w:val="20"/>
        </w:rPr>
        <w:t>•</w:t>
      </w:r>
    </w:p>
    <w:p w14:paraId="77BDCA8B" w14:textId="77777777" w:rsidR="00000000" w:rsidRDefault="00832D71">
      <w:pPr>
        <w:jc w:val="both"/>
        <w:divId w:val="1893347162"/>
        <w:rPr>
          <w:rFonts w:eastAsia="Times New Roman"/>
        </w:rPr>
      </w:pPr>
      <w:r>
        <w:rPr>
          <w:rFonts w:eastAsia="Times New Roman"/>
          <w:sz w:val="20"/>
          <w:szCs w:val="20"/>
        </w:rPr>
        <w:t>To attract and retain talented executives who have the skills and experience required to achieve our goals; and</w:t>
      </w:r>
      <w:r>
        <w:rPr>
          <w:rFonts w:eastAsia="Times New Roman"/>
          <w:sz w:val="20"/>
          <w:szCs w:val="20"/>
        </w:rPr>
        <w:t xml:space="preserve"> </w:t>
      </w:r>
    </w:p>
    <w:p w14:paraId="47102CCF" w14:textId="77777777" w:rsidR="00000000" w:rsidRDefault="00832D71">
      <w:pPr>
        <w:jc w:val="both"/>
        <w:divId w:val="1483960534"/>
        <w:rPr>
          <w:rFonts w:eastAsia="Times New Roman"/>
        </w:rPr>
      </w:pPr>
      <w:r>
        <w:rPr>
          <w:rFonts w:eastAsia="Times New Roman"/>
          <w:sz w:val="20"/>
          <w:szCs w:val="20"/>
        </w:rPr>
        <w:t>•</w:t>
      </w:r>
    </w:p>
    <w:p w14:paraId="5293D3D8" w14:textId="77777777" w:rsidR="00000000" w:rsidRDefault="00832D71">
      <w:pPr>
        <w:jc w:val="both"/>
        <w:divId w:val="1012487266"/>
        <w:rPr>
          <w:rFonts w:eastAsia="Times New Roman"/>
        </w:rPr>
      </w:pPr>
      <w:r>
        <w:rPr>
          <w:rFonts w:eastAsia="Times New Roman"/>
          <w:sz w:val="20"/>
          <w:szCs w:val="20"/>
        </w:rPr>
        <w:t>To align the short-term and long-term interests of our executive officers with those of our Unitholders</w:t>
      </w:r>
      <w:r>
        <w:rPr>
          <w:rFonts w:eastAsia="Times New Roman"/>
          <w:sz w:val="20"/>
          <w:szCs w:val="20"/>
        </w:rPr>
        <w:t>.</w:t>
      </w:r>
    </w:p>
    <w:p w14:paraId="0C32ECB9" w14:textId="77777777" w:rsidR="00000000" w:rsidRDefault="00832D71">
      <w:pPr>
        <w:pStyle w:val="a3"/>
        <w:spacing w:before="0" w:beforeAutospacing="0" w:after="0" w:afterAutospacing="0"/>
        <w:jc w:val="center"/>
        <w:rPr>
          <w:sz w:val="20"/>
          <w:szCs w:val="20"/>
        </w:rPr>
      </w:pPr>
      <w:r>
        <w:rPr>
          <w:sz w:val="20"/>
          <w:szCs w:val="20"/>
        </w:rPr>
        <w:t> </w:t>
      </w:r>
    </w:p>
    <w:p w14:paraId="18B03439"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4</w:t>
      </w:r>
    </w:p>
    <w:p w14:paraId="3AD03F55" w14:textId="77777777" w:rsidR="00000000" w:rsidRDefault="00832D71">
      <w:pPr>
        <w:rPr>
          <w:rFonts w:eastAsia="Times New Roman"/>
        </w:rPr>
      </w:pPr>
      <w:r>
        <w:rPr>
          <w:rFonts w:eastAsia="Times New Roman"/>
        </w:rPr>
        <w:pict w14:anchorId="4F3B9921">
          <v:rect id="_x0000_i1081" style="width:0;height:1.5pt" o:hralign="center" o:hrstd="t" o:hr="t" fillcolor="#a0a0a0" stroked="f"/>
        </w:pict>
      </w:r>
    </w:p>
    <w:p w14:paraId="621A6470"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298BFE3F" w14:textId="77777777" w:rsidR="00000000" w:rsidRDefault="00832D71">
      <w:pPr>
        <w:pStyle w:val="a3"/>
        <w:spacing w:before="240" w:beforeAutospacing="0" w:after="0" w:afterAutospacing="0"/>
        <w:ind w:firstLine="555"/>
        <w:jc w:val="both"/>
        <w:rPr>
          <w:sz w:val="20"/>
          <w:szCs w:val="20"/>
        </w:rPr>
      </w:pPr>
      <w:r>
        <w:rPr>
          <w:sz w:val="20"/>
          <w:szCs w:val="20"/>
        </w:rPr>
        <w:t xml:space="preserve">We accomplish these objectives by providing our executive officers with compensation packages that provide a competitive base salary combined with the opportunity to earn both short-term and long-term cash incentives based on the achievement of short-term </w:t>
      </w:r>
      <w:r>
        <w:rPr>
          <w:sz w:val="20"/>
          <w:szCs w:val="20"/>
        </w:rPr>
        <w:t xml:space="preserve">and long-term performance objectives under a pay-for-performance compensation philosophy. Recognizing that certain external factors, such as the severity and unpredictability of winter weather patterns, may have a significant influence on annual financial </w:t>
      </w:r>
      <w:r>
        <w:rPr>
          <w:sz w:val="20"/>
          <w:szCs w:val="20"/>
        </w:rPr>
        <w:t>performance in any given year, the Committee evaluates additional factors in determining the amount of incentive compensation earned. We also provide our executive officers with equity-based compensation opportunities that are intended to align their inter</w:t>
      </w:r>
      <w:r>
        <w:rPr>
          <w:sz w:val="20"/>
          <w:szCs w:val="20"/>
        </w:rPr>
        <w:t>ests with those of our Unitholders. Various components of compensation provided to our executive officers are specifically linked to either short-term or long-term performance measures, and encourage equity ownership in the Partnership. Therefore, our exec</w:t>
      </w:r>
      <w:r>
        <w:rPr>
          <w:sz w:val="20"/>
          <w:szCs w:val="20"/>
        </w:rPr>
        <w:t>utive compensation packages are designed to achieve our overall goal of sustainable, profitable growth by rewarding our executive officers for behaviors that facilitate our achievement of this goal</w:t>
      </w:r>
      <w:r>
        <w:rPr>
          <w:sz w:val="20"/>
          <w:szCs w:val="20"/>
        </w:rPr>
        <w:t>.</w:t>
      </w:r>
    </w:p>
    <w:p w14:paraId="7AA57D64" w14:textId="77777777" w:rsidR="00000000" w:rsidRDefault="00832D71">
      <w:pPr>
        <w:pStyle w:val="a3"/>
        <w:spacing w:before="0" w:beforeAutospacing="0" w:after="0" w:afterAutospacing="0"/>
        <w:jc w:val="center"/>
        <w:rPr>
          <w:sz w:val="20"/>
          <w:szCs w:val="20"/>
        </w:rPr>
      </w:pPr>
      <w:r>
        <w:rPr>
          <w:sz w:val="20"/>
          <w:szCs w:val="20"/>
        </w:rPr>
        <w:t> </w:t>
      </w:r>
    </w:p>
    <w:p w14:paraId="39C8629C"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5</w:t>
      </w:r>
    </w:p>
    <w:p w14:paraId="577BC91F" w14:textId="77777777" w:rsidR="00000000" w:rsidRDefault="00832D71">
      <w:pPr>
        <w:rPr>
          <w:rFonts w:eastAsia="Times New Roman"/>
        </w:rPr>
      </w:pPr>
      <w:r>
        <w:rPr>
          <w:rFonts w:eastAsia="Times New Roman"/>
        </w:rPr>
        <w:pict w14:anchorId="3C6E78F4">
          <v:rect id="_x0000_i1082" style="width:0;height:1.5pt" o:hralign="center" o:hrstd="t" o:hr="t" fillcolor="#a0a0a0" stroked="f"/>
        </w:pict>
      </w:r>
    </w:p>
    <w:p w14:paraId="42DF8AEB"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14E13F5A" w14:textId="77777777" w:rsidR="00000000" w:rsidRDefault="00832D71">
      <w:pPr>
        <w:pStyle w:val="a3"/>
        <w:spacing w:before="240" w:beforeAutospacing="0" w:after="0" w:afterAutospacing="0"/>
        <w:ind w:firstLine="555"/>
        <w:jc w:val="both"/>
        <w:rPr>
          <w:sz w:val="20"/>
          <w:szCs w:val="20"/>
        </w:rPr>
      </w:pPr>
      <w:r>
        <w:rPr>
          <w:sz w:val="20"/>
          <w:szCs w:val="20"/>
        </w:rPr>
        <w:t>The principal components of the compensation we provide to our named executive officers are as follows</w:t>
      </w:r>
      <w:r>
        <w:rPr>
          <w:sz w:val="20"/>
          <w:szCs w:val="20"/>
        </w:rPr>
        <w:t>:</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1112"/>
        <w:gridCol w:w="118"/>
        <w:gridCol w:w="2641"/>
        <w:gridCol w:w="118"/>
        <w:gridCol w:w="2656"/>
      </w:tblGrid>
      <w:tr w:rsidR="00000000" w14:paraId="359C9889" w14:textId="77777777">
        <w:trPr>
          <w:tblCellSpacing w:w="15" w:type="dxa"/>
        </w:trPr>
        <w:tc>
          <w:tcPr>
            <w:tcW w:w="825" w:type="pct"/>
            <w:vAlign w:val="center"/>
            <w:hideMark/>
          </w:tcPr>
          <w:p w14:paraId="20481B57" w14:textId="77777777" w:rsidR="00000000" w:rsidRDefault="00832D71">
            <w:pPr>
              <w:rPr>
                <w:sz w:val="20"/>
                <w:szCs w:val="20"/>
              </w:rPr>
            </w:pPr>
          </w:p>
        </w:tc>
        <w:tc>
          <w:tcPr>
            <w:tcW w:w="68" w:type="pct"/>
            <w:vAlign w:val="center"/>
            <w:hideMark/>
          </w:tcPr>
          <w:p w14:paraId="094DA290" w14:textId="77777777" w:rsidR="00000000" w:rsidRDefault="00832D71">
            <w:pPr>
              <w:rPr>
                <w:rFonts w:eastAsia="Times New Roman"/>
                <w:sz w:val="20"/>
                <w:szCs w:val="20"/>
              </w:rPr>
            </w:pPr>
          </w:p>
        </w:tc>
        <w:tc>
          <w:tcPr>
            <w:tcW w:w="2019" w:type="pct"/>
            <w:vAlign w:val="center"/>
            <w:hideMark/>
          </w:tcPr>
          <w:p w14:paraId="02622C82" w14:textId="77777777" w:rsidR="00000000" w:rsidRDefault="00832D71">
            <w:pPr>
              <w:rPr>
                <w:rFonts w:eastAsia="Times New Roman"/>
                <w:sz w:val="20"/>
                <w:szCs w:val="20"/>
              </w:rPr>
            </w:pPr>
          </w:p>
        </w:tc>
        <w:tc>
          <w:tcPr>
            <w:tcW w:w="68" w:type="pct"/>
            <w:vAlign w:val="center"/>
            <w:hideMark/>
          </w:tcPr>
          <w:p w14:paraId="0B522191" w14:textId="77777777" w:rsidR="00000000" w:rsidRDefault="00832D71">
            <w:pPr>
              <w:rPr>
                <w:rFonts w:eastAsia="Times New Roman"/>
                <w:sz w:val="20"/>
                <w:szCs w:val="20"/>
              </w:rPr>
            </w:pPr>
          </w:p>
        </w:tc>
        <w:tc>
          <w:tcPr>
            <w:tcW w:w="2019" w:type="pct"/>
            <w:vAlign w:val="center"/>
            <w:hideMark/>
          </w:tcPr>
          <w:p w14:paraId="68DE5CD7" w14:textId="77777777" w:rsidR="00000000" w:rsidRDefault="00832D71">
            <w:pPr>
              <w:rPr>
                <w:rFonts w:eastAsia="Times New Roman"/>
                <w:sz w:val="20"/>
                <w:szCs w:val="20"/>
              </w:rPr>
            </w:pPr>
          </w:p>
        </w:tc>
      </w:tr>
      <w:tr w:rsidR="00000000" w14:paraId="38677A9A" w14:textId="77777777">
        <w:trPr>
          <w:trHeight w:val="160"/>
          <w:tblCellSpacing w:w="15" w:type="dxa"/>
        </w:trPr>
        <w:tc>
          <w:tcPr>
            <w:tcW w:w="0" w:type="auto"/>
            <w:vAlign w:val="bottom"/>
            <w:hideMark/>
          </w:tcPr>
          <w:p w14:paraId="539494AA" w14:textId="77777777" w:rsidR="00000000" w:rsidRDefault="00832D71">
            <w:pPr>
              <w:pStyle w:val="a3"/>
              <w:spacing w:before="0" w:beforeAutospacing="0" w:after="0" w:afterAutospacing="0"/>
              <w:jc w:val="center"/>
              <w:rPr>
                <w:sz w:val="16"/>
                <w:szCs w:val="16"/>
              </w:rPr>
            </w:pPr>
            <w:r>
              <w:rPr>
                <w:b/>
                <w:bCs/>
                <w:sz w:val="16"/>
                <w:szCs w:val="16"/>
              </w:rPr>
              <w:t>Componen</w:t>
            </w:r>
            <w:r>
              <w:rPr>
                <w:b/>
                <w:bCs/>
                <w:sz w:val="16"/>
                <w:szCs w:val="16"/>
              </w:rPr>
              <w:t>t</w:t>
            </w:r>
          </w:p>
        </w:tc>
        <w:tc>
          <w:tcPr>
            <w:tcW w:w="0" w:type="auto"/>
            <w:hideMark/>
          </w:tcPr>
          <w:p w14:paraId="06180FE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4260793" w14:textId="77777777" w:rsidR="00000000" w:rsidRDefault="00832D71">
            <w:pPr>
              <w:pStyle w:val="a3"/>
              <w:spacing w:before="0" w:beforeAutospacing="0" w:after="0" w:afterAutospacing="0"/>
              <w:jc w:val="center"/>
              <w:rPr>
                <w:sz w:val="16"/>
                <w:szCs w:val="16"/>
              </w:rPr>
            </w:pPr>
            <w:r>
              <w:rPr>
                <w:b/>
                <w:bCs/>
                <w:sz w:val="16"/>
                <w:szCs w:val="16"/>
              </w:rPr>
              <w:t>Purpos</w:t>
            </w:r>
            <w:r>
              <w:rPr>
                <w:b/>
                <w:bCs/>
                <w:sz w:val="16"/>
                <w:szCs w:val="16"/>
              </w:rPr>
              <w:t>e</w:t>
            </w:r>
          </w:p>
        </w:tc>
        <w:tc>
          <w:tcPr>
            <w:tcW w:w="0" w:type="auto"/>
            <w:vAlign w:val="bottom"/>
            <w:hideMark/>
          </w:tcPr>
          <w:p w14:paraId="21FD6E4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27BF4B5" w14:textId="77777777" w:rsidR="00000000" w:rsidRDefault="00832D71">
            <w:pPr>
              <w:pStyle w:val="a3"/>
              <w:spacing w:before="0" w:beforeAutospacing="0" w:after="0" w:afterAutospacing="0"/>
              <w:jc w:val="center"/>
              <w:rPr>
                <w:sz w:val="16"/>
                <w:szCs w:val="16"/>
              </w:rPr>
            </w:pPr>
            <w:r>
              <w:rPr>
                <w:b/>
                <w:bCs/>
                <w:sz w:val="16"/>
                <w:szCs w:val="16"/>
              </w:rPr>
              <w:t>Feature</w:t>
            </w:r>
            <w:r>
              <w:rPr>
                <w:b/>
                <w:bCs/>
                <w:sz w:val="16"/>
                <w:szCs w:val="16"/>
              </w:rPr>
              <w:t>s</w:t>
            </w:r>
          </w:p>
        </w:tc>
      </w:tr>
      <w:tr w:rsidR="00000000" w14:paraId="5F6AD093" w14:textId="77777777">
        <w:trPr>
          <w:trHeight w:val="200"/>
          <w:tblCellSpacing w:w="15" w:type="dxa"/>
        </w:trPr>
        <w:tc>
          <w:tcPr>
            <w:tcW w:w="0" w:type="auto"/>
            <w:hideMark/>
          </w:tcPr>
          <w:p w14:paraId="74D73E48" w14:textId="77777777" w:rsidR="00000000" w:rsidRDefault="00832D71">
            <w:pPr>
              <w:pStyle w:val="a3"/>
              <w:spacing w:before="0" w:beforeAutospacing="0" w:after="0" w:afterAutospacing="0"/>
              <w:rPr>
                <w:sz w:val="20"/>
                <w:szCs w:val="20"/>
              </w:rPr>
            </w:pPr>
            <w:r>
              <w:rPr>
                <w:sz w:val="20"/>
                <w:szCs w:val="20"/>
              </w:rPr>
              <w:t>Base Salar</w:t>
            </w:r>
            <w:r>
              <w:rPr>
                <w:sz w:val="20"/>
                <w:szCs w:val="20"/>
              </w:rPr>
              <w:t>y</w:t>
            </w:r>
          </w:p>
        </w:tc>
        <w:tc>
          <w:tcPr>
            <w:tcW w:w="0" w:type="auto"/>
            <w:hideMark/>
          </w:tcPr>
          <w:p w14:paraId="007D564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363C106" w14:textId="77777777" w:rsidR="00000000" w:rsidRDefault="00832D71">
            <w:pPr>
              <w:pStyle w:val="a3"/>
              <w:spacing w:before="0" w:beforeAutospacing="0" w:after="0" w:afterAutospacing="0"/>
              <w:rPr>
                <w:sz w:val="20"/>
                <w:szCs w:val="20"/>
              </w:rPr>
            </w:pPr>
            <w:r>
              <w:rPr>
                <w:sz w:val="20"/>
                <w:szCs w:val="20"/>
              </w:rPr>
              <w:t xml:space="preserve"> • </w:t>
            </w:r>
            <w:r>
              <w:rPr>
                <w:sz w:val="20"/>
                <w:szCs w:val="20"/>
              </w:rPr>
              <w:t>To reward individual performance,</w:t>
            </w:r>
            <w:r>
              <w:rPr>
                <w:sz w:val="20"/>
                <w:szCs w:val="20"/>
              </w:rPr>
              <w:br/>
              <w:t>   experience and scope of responsibility</w:t>
            </w:r>
            <w:r>
              <w:rPr>
                <w:sz w:val="20"/>
                <w:szCs w:val="20"/>
              </w:rPr>
              <w:br/>
              <w:t> • To be competitive with market pay</w:t>
            </w:r>
            <w:r>
              <w:rPr>
                <w:sz w:val="20"/>
                <w:szCs w:val="20"/>
              </w:rPr>
              <w:br/>
              <w:t>   practice</w:t>
            </w:r>
            <w:r>
              <w:rPr>
                <w:sz w:val="20"/>
                <w:szCs w:val="20"/>
              </w:rPr>
              <w:t>s</w:t>
            </w:r>
          </w:p>
        </w:tc>
        <w:tc>
          <w:tcPr>
            <w:tcW w:w="0" w:type="auto"/>
            <w:hideMark/>
          </w:tcPr>
          <w:p w14:paraId="04F0FE38"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2C554CAA" w14:textId="77777777" w:rsidR="00000000" w:rsidRDefault="00832D71">
            <w:pPr>
              <w:pStyle w:val="a3"/>
              <w:spacing w:before="0" w:beforeAutospacing="0" w:after="0" w:afterAutospacing="0"/>
              <w:rPr>
                <w:sz w:val="20"/>
                <w:szCs w:val="20"/>
              </w:rPr>
            </w:pPr>
            <w:r>
              <w:rPr>
                <w:sz w:val="20"/>
                <w:szCs w:val="20"/>
              </w:rPr>
              <w:t> • Reviewed and approved annually</w:t>
            </w:r>
            <w:r>
              <w:rPr>
                <w:sz w:val="20"/>
                <w:szCs w:val="20"/>
              </w:rPr>
              <w:br/>
              <w:t> • Market benchmarked</w:t>
            </w:r>
            <w:r>
              <w:rPr>
                <w:sz w:val="20"/>
                <w:szCs w:val="20"/>
              </w:rPr>
              <w:br/>
              <w:t> • Mean market salary data is considered in</w:t>
            </w:r>
            <w:r>
              <w:rPr>
                <w:sz w:val="20"/>
                <w:szCs w:val="20"/>
              </w:rPr>
              <w:br/>
              <w:t>    determining reasonable l</w:t>
            </w:r>
            <w:r>
              <w:rPr>
                <w:sz w:val="20"/>
                <w:szCs w:val="20"/>
              </w:rPr>
              <w:t>evel</w:t>
            </w:r>
            <w:r>
              <w:rPr>
                <w:sz w:val="20"/>
                <w:szCs w:val="20"/>
              </w:rPr>
              <w:t>s</w:t>
            </w:r>
          </w:p>
        </w:tc>
      </w:tr>
      <w:tr w:rsidR="00000000" w14:paraId="3ADEFE3E" w14:textId="77777777">
        <w:trPr>
          <w:trHeight w:val="200"/>
          <w:tblCellSpacing w:w="15" w:type="dxa"/>
        </w:trPr>
        <w:tc>
          <w:tcPr>
            <w:tcW w:w="0" w:type="auto"/>
            <w:hideMark/>
          </w:tcPr>
          <w:p w14:paraId="1FD087CC" w14:textId="77777777" w:rsidR="00000000" w:rsidRDefault="00832D71">
            <w:pPr>
              <w:pStyle w:val="a3"/>
              <w:spacing w:before="0" w:beforeAutospacing="0" w:after="0" w:afterAutospacing="0"/>
              <w:rPr>
                <w:sz w:val="20"/>
                <w:szCs w:val="20"/>
              </w:rPr>
            </w:pPr>
            <w:r>
              <w:rPr>
                <w:sz w:val="20"/>
                <w:szCs w:val="20"/>
              </w:rPr>
              <w:t>Annual cash incentiv</w:t>
            </w:r>
            <w:r>
              <w:rPr>
                <w:sz w:val="20"/>
                <w:szCs w:val="20"/>
              </w:rPr>
              <w:t>e</w:t>
            </w:r>
          </w:p>
        </w:tc>
        <w:tc>
          <w:tcPr>
            <w:tcW w:w="0" w:type="auto"/>
            <w:hideMark/>
          </w:tcPr>
          <w:p w14:paraId="1DF6624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024BDA5" w14:textId="77777777" w:rsidR="00000000" w:rsidRDefault="00832D71">
            <w:pPr>
              <w:pStyle w:val="a3"/>
              <w:spacing w:before="0" w:beforeAutospacing="0" w:after="0" w:afterAutospacing="0"/>
              <w:rPr>
                <w:sz w:val="20"/>
                <w:szCs w:val="20"/>
              </w:rPr>
            </w:pPr>
            <w:r>
              <w:rPr>
                <w:sz w:val="20"/>
                <w:szCs w:val="20"/>
              </w:rPr>
              <w:t> • To drive and reward the delivery of</w:t>
            </w:r>
            <w:r>
              <w:rPr>
                <w:sz w:val="20"/>
                <w:szCs w:val="20"/>
              </w:rPr>
              <w:br/>
              <w:t>   financial and operating performance</w:t>
            </w:r>
            <w:r>
              <w:rPr>
                <w:sz w:val="20"/>
                <w:szCs w:val="20"/>
              </w:rPr>
              <w:br/>
              <w:t>   during a particular fiscal yea</w:t>
            </w:r>
            <w:r>
              <w:rPr>
                <w:sz w:val="20"/>
                <w:szCs w:val="20"/>
              </w:rPr>
              <w:t>r</w:t>
            </w:r>
          </w:p>
        </w:tc>
        <w:tc>
          <w:tcPr>
            <w:tcW w:w="0" w:type="auto"/>
            <w:hideMark/>
          </w:tcPr>
          <w:p w14:paraId="6C8C2ED7"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58EDEE62" w14:textId="77777777" w:rsidR="00000000" w:rsidRDefault="00832D71">
            <w:pPr>
              <w:pStyle w:val="a3"/>
              <w:spacing w:before="0" w:beforeAutospacing="0" w:after="0" w:afterAutospacing="0"/>
              <w:rPr>
                <w:sz w:val="20"/>
                <w:szCs w:val="20"/>
              </w:rPr>
            </w:pPr>
            <w:r>
              <w:rPr>
                <w:sz w:val="20"/>
                <w:szCs w:val="20"/>
              </w:rPr>
              <w:t> • Paid in cash</w:t>
            </w:r>
            <w:r>
              <w:rPr>
                <w:sz w:val="20"/>
                <w:szCs w:val="20"/>
              </w:rPr>
              <w:br/>
              <w:t> • Based on annual EBITDA</w:t>
            </w:r>
            <w:r>
              <w:rPr>
                <w:sz w:val="20"/>
                <w:szCs w:val="20"/>
              </w:rPr>
              <w:br/>
              <w:t>    performance compared to budgeted</w:t>
            </w:r>
            <w:r>
              <w:rPr>
                <w:sz w:val="20"/>
                <w:szCs w:val="20"/>
              </w:rPr>
              <w:br/>
              <w:t>    EBITDA and other qualitativ</w:t>
            </w:r>
            <w:r>
              <w:rPr>
                <w:sz w:val="20"/>
                <w:szCs w:val="20"/>
              </w:rPr>
              <w:t>e factor</w:t>
            </w:r>
            <w:r>
              <w:rPr>
                <w:sz w:val="20"/>
                <w:szCs w:val="20"/>
              </w:rPr>
              <w:t>s</w:t>
            </w:r>
          </w:p>
        </w:tc>
      </w:tr>
      <w:tr w:rsidR="00000000" w14:paraId="2B8EC7D0" w14:textId="77777777">
        <w:trPr>
          <w:trHeight w:val="200"/>
          <w:tblCellSpacing w:w="15" w:type="dxa"/>
        </w:trPr>
        <w:tc>
          <w:tcPr>
            <w:tcW w:w="0" w:type="auto"/>
            <w:hideMark/>
          </w:tcPr>
          <w:p w14:paraId="17CC65CB" w14:textId="77777777" w:rsidR="00000000" w:rsidRDefault="00832D71">
            <w:pPr>
              <w:pStyle w:val="a3"/>
              <w:spacing w:before="0" w:beforeAutospacing="0" w:after="0" w:afterAutospacing="0"/>
              <w:rPr>
                <w:sz w:val="20"/>
                <w:szCs w:val="20"/>
              </w:rPr>
            </w:pPr>
            <w:r>
              <w:rPr>
                <w:sz w:val="20"/>
                <w:szCs w:val="20"/>
              </w:rPr>
              <w:t>Cash settled long-term incentive</w:t>
            </w:r>
            <w:r>
              <w:rPr>
                <w:sz w:val="20"/>
                <w:szCs w:val="20"/>
              </w:rPr>
              <w:t>s</w:t>
            </w:r>
          </w:p>
        </w:tc>
        <w:tc>
          <w:tcPr>
            <w:tcW w:w="0" w:type="auto"/>
            <w:hideMark/>
          </w:tcPr>
          <w:p w14:paraId="1769EB5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5767D90" w14:textId="77777777" w:rsidR="00000000" w:rsidRDefault="00832D71">
            <w:pPr>
              <w:pStyle w:val="a3"/>
              <w:spacing w:before="0" w:beforeAutospacing="0" w:after="0" w:afterAutospacing="0"/>
              <w:rPr>
                <w:sz w:val="20"/>
                <w:szCs w:val="20"/>
              </w:rPr>
            </w:pPr>
            <w:r>
              <w:rPr>
                <w:sz w:val="20"/>
                <w:szCs w:val="20"/>
              </w:rPr>
              <w:t> • To ensure alignment of our executive</w:t>
            </w:r>
            <w:r>
              <w:rPr>
                <w:sz w:val="20"/>
                <w:szCs w:val="20"/>
              </w:rPr>
              <w:br/>
              <w:t>    officers' interests with the long-term</w:t>
            </w:r>
            <w:r>
              <w:rPr>
                <w:sz w:val="20"/>
                <w:szCs w:val="20"/>
              </w:rPr>
              <w:br/>
              <w:t>    interests of our Unitholders</w:t>
            </w:r>
            <w:r>
              <w:rPr>
                <w:sz w:val="20"/>
                <w:szCs w:val="20"/>
              </w:rPr>
              <w:br/>
              <w:t> • To reward activities and practices that</w:t>
            </w:r>
            <w:r>
              <w:rPr>
                <w:sz w:val="20"/>
                <w:szCs w:val="20"/>
              </w:rPr>
              <w:br/>
              <w:t>    are conducive to sustainable, profitable</w:t>
            </w:r>
            <w:r>
              <w:rPr>
                <w:sz w:val="20"/>
                <w:szCs w:val="20"/>
              </w:rPr>
              <w:br/>
              <w:t>    g</w:t>
            </w:r>
            <w:r>
              <w:rPr>
                <w:sz w:val="20"/>
                <w:szCs w:val="20"/>
              </w:rPr>
              <w:t>rowth and long-term value creation</w:t>
            </w:r>
            <w:r>
              <w:rPr>
                <w:sz w:val="20"/>
                <w:szCs w:val="20"/>
              </w:rPr>
              <w:br/>
              <w:t> • To attract and retain skilled individual</w:t>
            </w:r>
            <w:r>
              <w:rPr>
                <w:sz w:val="20"/>
                <w:szCs w:val="20"/>
              </w:rPr>
              <w:t>s</w:t>
            </w:r>
          </w:p>
        </w:tc>
        <w:tc>
          <w:tcPr>
            <w:tcW w:w="0" w:type="auto"/>
            <w:hideMark/>
          </w:tcPr>
          <w:p w14:paraId="3DBBDB0C"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6ACF3E1D" w14:textId="77777777" w:rsidR="00000000" w:rsidRDefault="00832D71">
            <w:pPr>
              <w:pStyle w:val="a3"/>
              <w:spacing w:before="0" w:beforeAutospacing="0" w:after="0" w:afterAutospacing="0"/>
              <w:rPr>
                <w:sz w:val="20"/>
                <w:szCs w:val="20"/>
              </w:rPr>
            </w:pPr>
            <w:r>
              <w:rPr>
                <w:sz w:val="20"/>
                <w:szCs w:val="20"/>
              </w:rPr>
              <w:t>• Participants are selected by the</w:t>
            </w:r>
            <w:r>
              <w:rPr>
                <w:sz w:val="20"/>
                <w:szCs w:val="20"/>
              </w:rPr>
              <w:br/>
              <w:t>   Committee</w:t>
            </w:r>
            <w:r>
              <w:rPr>
                <w:sz w:val="20"/>
                <w:szCs w:val="20"/>
              </w:rPr>
              <w:br/>
              <w:t> • Annual awards of phantom units settled</w:t>
            </w:r>
            <w:r>
              <w:rPr>
                <w:sz w:val="20"/>
                <w:szCs w:val="20"/>
              </w:rPr>
              <w:br/>
              <w:t>   in cash</w:t>
            </w:r>
            <w:r>
              <w:rPr>
                <w:sz w:val="20"/>
                <w:szCs w:val="20"/>
              </w:rPr>
              <w:br/>
              <w:t> • Measured over a three-year period based</w:t>
            </w:r>
            <w:r>
              <w:rPr>
                <w:sz w:val="20"/>
                <w:szCs w:val="20"/>
              </w:rPr>
              <w:br/>
              <w:t>    on the level of our averag</w:t>
            </w:r>
            <w:r>
              <w:rPr>
                <w:sz w:val="20"/>
                <w:szCs w:val="20"/>
              </w:rPr>
              <w:t>e distributable</w:t>
            </w:r>
            <w:r>
              <w:rPr>
                <w:sz w:val="20"/>
                <w:szCs w:val="20"/>
              </w:rPr>
              <w:br/>
              <w:t>    cash flow over such three-year</w:t>
            </w:r>
            <w:r>
              <w:rPr>
                <w:sz w:val="20"/>
                <w:szCs w:val="20"/>
              </w:rPr>
              <w:br/>
              <w:t>    measurement period and other</w:t>
            </w:r>
            <w:r>
              <w:rPr>
                <w:sz w:val="20"/>
                <w:szCs w:val="20"/>
              </w:rPr>
              <w:br/>
              <w:t>    qualitative factor</w:t>
            </w:r>
            <w:r>
              <w:rPr>
                <w:sz w:val="20"/>
                <w:szCs w:val="20"/>
              </w:rPr>
              <w:t>s</w:t>
            </w:r>
          </w:p>
        </w:tc>
      </w:tr>
      <w:tr w:rsidR="00000000" w14:paraId="7F89EC57" w14:textId="77777777">
        <w:trPr>
          <w:trHeight w:val="200"/>
          <w:tblCellSpacing w:w="15" w:type="dxa"/>
        </w:trPr>
        <w:tc>
          <w:tcPr>
            <w:tcW w:w="0" w:type="auto"/>
            <w:hideMark/>
          </w:tcPr>
          <w:p w14:paraId="1F9431FC" w14:textId="77777777" w:rsidR="00000000" w:rsidRDefault="00832D71">
            <w:pPr>
              <w:pStyle w:val="a3"/>
              <w:spacing w:before="0" w:beforeAutospacing="0" w:after="0" w:afterAutospacing="0"/>
              <w:rPr>
                <w:sz w:val="20"/>
                <w:szCs w:val="20"/>
              </w:rPr>
            </w:pPr>
            <w:r>
              <w:rPr>
                <w:sz w:val="20"/>
                <w:szCs w:val="20"/>
              </w:rPr>
              <w:t>Restricted unit</w:t>
            </w:r>
            <w:r>
              <w:rPr>
                <w:sz w:val="20"/>
                <w:szCs w:val="20"/>
              </w:rPr>
              <w:t>s</w:t>
            </w:r>
          </w:p>
        </w:tc>
        <w:tc>
          <w:tcPr>
            <w:tcW w:w="0" w:type="auto"/>
            <w:hideMark/>
          </w:tcPr>
          <w:p w14:paraId="134E459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CD0C923" w14:textId="77777777" w:rsidR="00000000" w:rsidRDefault="00832D71">
            <w:pPr>
              <w:pStyle w:val="a3"/>
              <w:spacing w:before="0" w:beforeAutospacing="0" w:after="0" w:afterAutospacing="0"/>
              <w:rPr>
                <w:sz w:val="20"/>
                <w:szCs w:val="20"/>
              </w:rPr>
            </w:pPr>
            <w:r>
              <w:rPr>
                <w:sz w:val="20"/>
                <w:szCs w:val="20"/>
              </w:rPr>
              <w:t> • To retain the services of the recipient</w:t>
            </w:r>
            <w:r>
              <w:rPr>
                <w:sz w:val="20"/>
                <w:szCs w:val="20"/>
              </w:rPr>
              <w:br/>
              <w:t>    over the vesting period</w:t>
            </w:r>
            <w:r>
              <w:rPr>
                <w:sz w:val="20"/>
                <w:szCs w:val="20"/>
              </w:rPr>
              <w:br/>
              <w:t> • To further align the long-term interests</w:t>
            </w:r>
            <w:r>
              <w:rPr>
                <w:sz w:val="20"/>
                <w:szCs w:val="20"/>
              </w:rPr>
              <w:br/>
              <w:t>    of the re</w:t>
            </w:r>
            <w:r>
              <w:rPr>
                <w:sz w:val="20"/>
                <w:szCs w:val="20"/>
              </w:rPr>
              <w:t>cipient with the long-term</w:t>
            </w:r>
            <w:r>
              <w:rPr>
                <w:sz w:val="20"/>
                <w:szCs w:val="20"/>
              </w:rPr>
              <w:br/>
              <w:t>    interests of our Unitholders through</w:t>
            </w:r>
            <w:r>
              <w:rPr>
                <w:sz w:val="20"/>
                <w:szCs w:val="20"/>
              </w:rPr>
              <w:br/>
              <w:t>    encouragement of equity ownership</w:t>
            </w:r>
            <w:r>
              <w:rPr>
                <w:sz w:val="20"/>
                <w:szCs w:val="20"/>
              </w:rPr>
              <w:br/>
              <w:t> • To mitigate potential shortfalls in</w:t>
            </w:r>
            <w:r>
              <w:rPr>
                <w:sz w:val="20"/>
                <w:szCs w:val="20"/>
              </w:rPr>
              <w:br/>
              <w:t>    total cash compensation of our</w:t>
            </w:r>
            <w:r>
              <w:rPr>
                <w:sz w:val="20"/>
                <w:szCs w:val="20"/>
              </w:rPr>
              <w:br/>
              <w:t>    executive officers when compared</w:t>
            </w:r>
            <w:r>
              <w:rPr>
                <w:sz w:val="20"/>
                <w:szCs w:val="20"/>
              </w:rPr>
              <w:br/>
              <w:t>    to benchmarked total cash compensat</w:t>
            </w:r>
            <w:r>
              <w:rPr>
                <w:sz w:val="20"/>
                <w:szCs w:val="20"/>
              </w:rPr>
              <w:t>ion</w:t>
            </w:r>
            <w:r>
              <w:rPr>
                <w:sz w:val="20"/>
                <w:szCs w:val="20"/>
              </w:rPr>
              <w:br/>
              <w:t> • To provide an adequate compensation</w:t>
            </w:r>
            <w:r>
              <w:rPr>
                <w:sz w:val="20"/>
                <w:szCs w:val="20"/>
              </w:rPr>
              <w:br/>
              <w:t>    package in connection with an</w:t>
            </w:r>
            <w:r>
              <w:rPr>
                <w:sz w:val="20"/>
                <w:szCs w:val="20"/>
              </w:rPr>
              <w:br/>
              <w:t>    internal promotion</w:t>
            </w:r>
            <w:r>
              <w:rPr>
                <w:sz w:val="20"/>
                <w:szCs w:val="20"/>
              </w:rPr>
              <w:br/>
              <w:t> • To reward outstanding performanc</w:t>
            </w:r>
            <w:r>
              <w:rPr>
                <w:sz w:val="20"/>
                <w:szCs w:val="20"/>
              </w:rPr>
              <w:t>e</w:t>
            </w:r>
          </w:p>
        </w:tc>
        <w:tc>
          <w:tcPr>
            <w:tcW w:w="0" w:type="auto"/>
            <w:hideMark/>
          </w:tcPr>
          <w:p w14:paraId="30C1134A"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7A0DD3F9" w14:textId="77777777" w:rsidR="00000000" w:rsidRDefault="00832D71">
            <w:pPr>
              <w:pStyle w:val="a3"/>
              <w:spacing w:before="0" w:beforeAutospacing="0" w:after="0" w:afterAutospacing="0"/>
              <w:rPr>
                <w:sz w:val="20"/>
                <w:szCs w:val="20"/>
              </w:rPr>
            </w:pPr>
            <w:r>
              <w:rPr>
                <w:sz w:val="20"/>
                <w:szCs w:val="20"/>
              </w:rPr>
              <w:t> • Participants are selected by the</w:t>
            </w:r>
            <w:r>
              <w:rPr>
                <w:sz w:val="20"/>
                <w:szCs w:val="20"/>
              </w:rPr>
              <w:br/>
              <w:t>   Committee</w:t>
            </w:r>
            <w:r>
              <w:rPr>
                <w:sz w:val="20"/>
                <w:szCs w:val="20"/>
              </w:rPr>
              <w:br/>
              <w:t> • No pre-determined frequency or amounts</w:t>
            </w:r>
            <w:r>
              <w:rPr>
                <w:sz w:val="20"/>
                <w:szCs w:val="20"/>
              </w:rPr>
              <w:br/>
              <w:t>   of awards</w:t>
            </w:r>
            <w:r>
              <w:rPr>
                <w:sz w:val="20"/>
                <w:szCs w:val="20"/>
              </w:rPr>
              <w:br/>
              <w:t> • Plan provi</w:t>
            </w:r>
            <w:r>
              <w:rPr>
                <w:sz w:val="20"/>
                <w:szCs w:val="20"/>
              </w:rPr>
              <w:t>des the Committee flexibility</w:t>
            </w:r>
            <w:r>
              <w:rPr>
                <w:sz w:val="20"/>
                <w:szCs w:val="20"/>
              </w:rPr>
              <w:br/>
              <w:t>    to respond to different facts and</w:t>
            </w:r>
            <w:r>
              <w:rPr>
                <w:sz w:val="20"/>
                <w:szCs w:val="20"/>
              </w:rPr>
              <w:br/>
              <w:t>    circumstances</w:t>
            </w:r>
            <w:r>
              <w:rPr>
                <w:sz w:val="20"/>
                <w:szCs w:val="20"/>
              </w:rPr>
              <w:br/>
              <w:t> • Awards normally vest in equal thirds on</w:t>
            </w:r>
            <w:r>
              <w:rPr>
                <w:sz w:val="20"/>
                <w:szCs w:val="20"/>
              </w:rPr>
              <w:br/>
              <w:t>    the first three anniversaries of the</w:t>
            </w:r>
            <w:r>
              <w:rPr>
                <w:sz w:val="20"/>
                <w:szCs w:val="20"/>
              </w:rPr>
              <w:br/>
              <w:t>    date of grant</w:t>
            </w:r>
            <w:r>
              <w:rPr>
                <w:sz w:val="20"/>
                <w:szCs w:val="20"/>
              </w:rPr>
              <w:br/>
              <w:t> • Awards are settled in Common Unit</w:t>
            </w:r>
            <w:r>
              <w:rPr>
                <w:sz w:val="20"/>
                <w:szCs w:val="20"/>
              </w:rPr>
              <w:t>s</w:t>
            </w:r>
          </w:p>
        </w:tc>
      </w:tr>
      <w:tr w:rsidR="00000000" w14:paraId="7DB607CB" w14:textId="77777777">
        <w:trPr>
          <w:trHeight w:val="200"/>
          <w:tblCellSpacing w:w="15" w:type="dxa"/>
        </w:trPr>
        <w:tc>
          <w:tcPr>
            <w:tcW w:w="0" w:type="auto"/>
            <w:hideMark/>
          </w:tcPr>
          <w:p w14:paraId="693CD398" w14:textId="77777777" w:rsidR="00000000" w:rsidRDefault="00832D71">
            <w:pPr>
              <w:pStyle w:val="a3"/>
              <w:spacing w:before="0" w:beforeAutospacing="0" w:after="0" w:afterAutospacing="0"/>
              <w:rPr>
                <w:sz w:val="20"/>
                <w:szCs w:val="20"/>
              </w:rPr>
            </w:pPr>
            <w:r>
              <w:rPr>
                <w:sz w:val="20"/>
                <w:szCs w:val="20"/>
              </w:rPr>
              <w:t>Phantom units (beginning with fiscal 2023</w:t>
            </w:r>
            <w:r>
              <w:rPr>
                <w:sz w:val="20"/>
                <w:szCs w:val="20"/>
              </w:rPr>
              <w:t>)</w:t>
            </w:r>
          </w:p>
        </w:tc>
        <w:tc>
          <w:tcPr>
            <w:tcW w:w="0" w:type="auto"/>
            <w:hideMark/>
          </w:tcPr>
          <w:p w14:paraId="5D8E502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7A5AB28" w14:textId="77777777" w:rsidR="00000000" w:rsidRDefault="00832D71">
            <w:pPr>
              <w:pStyle w:val="a3"/>
              <w:spacing w:before="0" w:beforeAutospacing="0" w:after="0" w:afterAutospacing="0"/>
              <w:rPr>
                <w:sz w:val="20"/>
                <w:szCs w:val="20"/>
              </w:rPr>
            </w:pPr>
            <w:r>
              <w:rPr>
                <w:sz w:val="20"/>
                <w:szCs w:val="20"/>
              </w:rPr>
              <w:t> • To retain the services of the recipient</w:t>
            </w:r>
            <w:r>
              <w:rPr>
                <w:sz w:val="20"/>
                <w:szCs w:val="20"/>
              </w:rPr>
              <w:br/>
              <w:t>    over the vesting period</w:t>
            </w:r>
            <w:r>
              <w:rPr>
                <w:sz w:val="20"/>
                <w:szCs w:val="20"/>
              </w:rPr>
              <w:br/>
              <w:t> • To further align the long-term interests</w:t>
            </w:r>
            <w:r>
              <w:rPr>
                <w:sz w:val="20"/>
                <w:szCs w:val="20"/>
              </w:rPr>
              <w:br/>
              <w:t>    of the recipient with the long-term</w:t>
            </w:r>
            <w:r>
              <w:rPr>
                <w:sz w:val="20"/>
                <w:szCs w:val="20"/>
              </w:rPr>
              <w:br/>
              <w:t>    interests of our Unitholders through</w:t>
            </w:r>
            <w:r>
              <w:rPr>
                <w:sz w:val="20"/>
                <w:szCs w:val="20"/>
              </w:rPr>
              <w:br/>
              <w:t>    encourageme</w:t>
            </w:r>
            <w:r>
              <w:rPr>
                <w:sz w:val="20"/>
                <w:szCs w:val="20"/>
              </w:rPr>
              <w:t xml:space="preserve">nt of behaviors that will </w:t>
            </w:r>
            <w:r>
              <w:rPr>
                <w:sz w:val="20"/>
                <w:szCs w:val="20"/>
              </w:rPr>
              <w:br/>
              <w:t>    enhance the value of our Common Units</w:t>
            </w:r>
            <w:r>
              <w:rPr>
                <w:sz w:val="20"/>
                <w:szCs w:val="20"/>
              </w:rPr>
              <w:br/>
              <w:t> • To provide an adequate compensation</w:t>
            </w:r>
            <w:r>
              <w:rPr>
                <w:sz w:val="20"/>
                <w:szCs w:val="20"/>
              </w:rPr>
              <w:br/>
              <w:t>    package in connection with an</w:t>
            </w:r>
            <w:r>
              <w:rPr>
                <w:sz w:val="20"/>
                <w:szCs w:val="20"/>
              </w:rPr>
              <w:br/>
              <w:t>    internal promotion</w:t>
            </w:r>
            <w:r>
              <w:rPr>
                <w:sz w:val="20"/>
                <w:szCs w:val="20"/>
              </w:rPr>
              <w:br/>
              <w:t> • To reward outstanding performanc</w:t>
            </w:r>
            <w:r>
              <w:rPr>
                <w:sz w:val="20"/>
                <w:szCs w:val="20"/>
              </w:rPr>
              <w:t>e</w:t>
            </w:r>
          </w:p>
        </w:tc>
        <w:tc>
          <w:tcPr>
            <w:tcW w:w="0" w:type="auto"/>
            <w:hideMark/>
          </w:tcPr>
          <w:p w14:paraId="69A3DFD7"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4ECF31CB" w14:textId="77777777" w:rsidR="00000000" w:rsidRDefault="00832D71">
            <w:pPr>
              <w:pStyle w:val="a3"/>
              <w:spacing w:before="0" w:beforeAutospacing="0" w:after="0" w:afterAutospacing="0"/>
              <w:rPr>
                <w:sz w:val="20"/>
                <w:szCs w:val="20"/>
              </w:rPr>
            </w:pPr>
            <w:r>
              <w:rPr>
                <w:sz w:val="20"/>
                <w:szCs w:val="20"/>
              </w:rPr>
              <w:t> • Participants are selected by the</w:t>
            </w:r>
            <w:r>
              <w:rPr>
                <w:sz w:val="20"/>
                <w:szCs w:val="20"/>
              </w:rPr>
              <w:br/>
              <w:t>   Committee</w:t>
            </w:r>
            <w:r>
              <w:rPr>
                <w:sz w:val="20"/>
                <w:szCs w:val="20"/>
              </w:rPr>
              <w:br/>
              <w:t xml:space="preserve"> • </w:t>
            </w:r>
            <w:r>
              <w:rPr>
                <w:sz w:val="20"/>
                <w:szCs w:val="20"/>
              </w:rPr>
              <w:t>No pre-determined frequency or amounts</w:t>
            </w:r>
            <w:r>
              <w:rPr>
                <w:sz w:val="20"/>
                <w:szCs w:val="20"/>
              </w:rPr>
              <w:br/>
              <w:t>   of awards</w:t>
            </w:r>
            <w:r>
              <w:rPr>
                <w:sz w:val="20"/>
                <w:szCs w:val="20"/>
              </w:rPr>
              <w:br/>
              <w:t> • Plan provides the Committee flexibility</w:t>
            </w:r>
            <w:r>
              <w:rPr>
                <w:sz w:val="20"/>
                <w:szCs w:val="20"/>
              </w:rPr>
              <w:br/>
              <w:t>    to respond to different facts and</w:t>
            </w:r>
            <w:r>
              <w:rPr>
                <w:sz w:val="20"/>
                <w:szCs w:val="20"/>
              </w:rPr>
              <w:br/>
              <w:t>    circumstances</w:t>
            </w:r>
            <w:r>
              <w:rPr>
                <w:sz w:val="20"/>
                <w:szCs w:val="20"/>
              </w:rPr>
              <w:br/>
              <w:t> • Awards normally vest in equal thirds on</w:t>
            </w:r>
            <w:r>
              <w:rPr>
                <w:sz w:val="20"/>
                <w:szCs w:val="20"/>
              </w:rPr>
              <w:br/>
              <w:t>    the first three anniversaries of the</w:t>
            </w:r>
            <w:r>
              <w:rPr>
                <w:sz w:val="20"/>
                <w:szCs w:val="20"/>
              </w:rPr>
              <w:br/>
              <w:t>    date of grant</w:t>
            </w:r>
            <w:r>
              <w:rPr>
                <w:sz w:val="20"/>
                <w:szCs w:val="20"/>
              </w:rPr>
              <w:br/>
              <w:t xml:space="preserve"> • </w:t>
            </w:r>
            <w:r>
              <w:rPr>
                <w:sz w:val="20"/>
                <w:szCs w:val="20"/>
              </w:rPr>
              <w:t>Awards are settled in cas</w:t>
            </w:r>
            <w:r>
              <w:rPr>
                <w:sz w:val="20"/>
                <w:szCs w:val="20"/>
              </w:rPr>
              <w:t>h</w:t>
            </w:r>
          </w:p>
        </w:tc>
      </w:tr>
      <w:tr w:rsidR="00000000" w14:paraId="63385163" w14:textId="77777777">
        <w:trPr>
          <w:trHeight w:val="200"/>
          <w:tblCellSpacing w:w="15" w:type="dxa"/>
        </w:trPr>
        <w:tc>
          <w:tcPr>
            <w:tcW w:w="0" w:type="auto"/>
            <w:hideMark/>
          </w:tcPr>
          <w:p w14:paraId="4B55E8C9" w14:textId="77777777" w:rsidR="00000000" w:rsidRDefault="00832D71">
            <w:pPr>
              <w:pStyle w:val="a3"/>
              <w:spacing w:before="0" w:beforeAutospacing="0" w:after="0" w:afterAutospacing="0"/>
              <w:rPr>
                <w:sz w:val="20"/>
                <w:szCs w:val="20"/>
              </w:rPr>
            </w:pPr>
            <w:r>
              <w:rPr>
                <w:sz w:val="20"/>
                <w:szCs w:val="20"/>
              </w:rPr>
              <w:t>Distribution equivalent right</w:t>
            </w:r>
            <w:r>
              <w:rPr>
                <w:sz w:val="20"/>
                <w:szCs w:val="20"/>
              </w:rPr>
              <w:t>s</w:t>
            </w:r>
          </w:p>
        </w:tc>
        <w:tc>
          <w:tcPr>
            <w:tcW w:w="0" w:type="auto"/>
            <w:hideMark/>
          </w:tcPr>
          <w:p w14:paraId="39D0528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7FB6B14" w14:textId="77777777" w:rsidR="00000000" w:rsidRDefault="00832D71">
            <w:pPr>
              <w:pStyle w:val="a3"/>
              <w:spacing w:before="0" w:beforeAutospacing="0" w:after="0" w:afterAutospacing="0"/>
              <w:rPr>
                <w:sz w:val="20"/>
                <w:szCs w:val="20"/>
              </w:rPr>
            </w:pPr>
            <w:r>
              <w:rPr>
                <w:sz w:val="20"/>
                <w:szCs w:val="20"/>
              </w:rPr>
              <w:t> • To drive and reward behaviors that lead</w:t>
            </w:r>
            <w:r>
              <w:rPr>
                <w:sz w:val="20"/>
                <w:szCs w:val="20"/>
              </w:rPr>
              <w:br/>
              <w:t>    to distribution sustainability and growth</w:t>
            </w:r>
            <w:r>
              <w:rPr>
                <w:sz w:val="20"/>
                <w:szCs w:val="20"/>
              </w:rPr>
              <w:br/>
              <w:t> • To further align the interests of the</w:t>
            </w:r>
            <w:r>
              <w:rPr>
                <w:sz w:val="20"/>
                <w:szCs w:val="20"/>
              </w:rPr>
              <w:br/>
              <w:t>    recipients with the interests of our</w:t>
            </w:r>
            <w:r>
              <w:rPr>
                <w:sz w:val="20"/>
                <w:szCs w:val="20"/>
              </w:rPr>
              <w:br/>
              <w:t>    Unitholders</w:t>
            </w:r>
            <w:r>
              <w:rPr>
                <w:sz w:val="20"/>
                <w:szCs w:val="20"/>
              </w:rPr>
              <w:br/>
              <w:t> • To en</w:t>
            </w:r>
            <w:r>
              <w:rPr>
                <w:sz w:val="20"/>
                <w:szCs w:val="20"/>
              </w:rPr>
              <w:t>courage our executives to retain</w:t>
            </w:r>
            <w:r>
              <w:rPr>
                <w:sz w:val="20"/>
                <w:szCs w:val="20"/>
              </w:rPr>
              <w:br/>
              <w:t>    their holdings of our Common Units by</w:t>
            </w:r>
            <w:r>
              <w:rPr>
                <w:sz w:val="20"/>
                <w:szCs w:val="20"/>
              </w:rPr>
              <w:br/>
              <w:t>    providing them with funds to settle the</w:t>
            </w:r>
            <w:r>
              <w:rPr>
                <w:sz w:val="20"/>
                <w:szCs w:val="20"/>
              </w:rPr>
              <w:br/>
              <w:t>    income and FICA taxes on their vested</w:t>
            </w:r>
            <w:r>
              <w:rPr>
                <w:sz w:val="20"/>
                <w:szCs w:val="20"/>
              </w:rPr>
              <w:br/>
              <w:t>    restricted unit</w:t>
            </w:r>
            <w:r>
              <w:rPr>
                <w:sz w:val="20"/>
                <w:szCs w:val="20"/>
              </w:rPr>
              <w:t>s</w:t>
            </w:r>
          </w:p>
        </w:tc>
        <w:tc>
          <w:tcPr>
            <w:tcW w:w="0" w:type="auto"/>
            <w:hideMark/>
          </w:tcPr>
          <w:p w14:paraId="534783CE"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79984FBF" w14:textId="77777777" w:rsidR="00000000" w:rsidRDefault="00832D71">
            <w:pPr>
              <w:pStyle w:val="a3"/>
              <w:spacing w:before="0" w:beforeAutospacing="0" w:after="0" w:afterAutospacing="0"/>
              <w:rPr>
                <w:sz w:val="20"/>
                <w:szCs w:val="20"/>
              </w:rPr>
            </w:pPr>
            <w:r>
              <w:rPr>
                <w:sz w:val="20"/>
                <w:szCs w:val="20"/>
              </w:rPr>
              <w:t> • Participants are selected by the</w:t>
            </w:r>
            <w:r>
              <w:rPr>
                <w:sz w:val="20"/>
                <w:szCs w:val="20"/>
              </w:rPr>
              <w:br/>
              <w:t>   Committee</w:t>
            </w:r>
            <w:r>
              <w:rPr>
                <w:sz w:val="20"/>
                <w:szCs w:val="20"/>
              </w:rPr>
              <w:br/>
              <w:t> • Paid in cash</w:t>
            </w:r>
            <w:r>
              <w:rPr>
                <w:sz w:val="20"/>
                <w:szCs w:val="20"/>
              </w:rPr>
              <w:br/>
              <w:t> • Paym</w:t>
            </w:r>
            <w:r>
              <w:rPr>
                <w:sz w:val="20"/>
                <w:szCs w:val="20"/>
              </w:rPr>
              <w:t>ents are made after</w:t>
            </w:r>
            <w:r>
              <w:rPr>
                <w:sz w:val="20"/>
                <w:szCs w:val="20"/>
              </w:rPr>
              <w:br/>
              <w:t xml:space="preserve">   quarterly distributions are paid to </w:t>
            </w:r>
            <w:r>
              <w:rPr>
                <w:sz w:val="20"/>
                <w:szCs w:val="20"/>
              </w:rPr>
              <w:br/>
              <w:t xml:space="preserve">   Unitholders and based on the number of </w:t>
            </w:r>
            <w:r>
              <w:rPr>
                <w:sz w:val="20"/>
                <w:szCs w:val="20"/>
              </w:rPr>
              <w:br/>
              <w:t xml:space="preserve">   Participants' unvested restricted </w:t>
            </w:r>
            <w:r>
              <w:rPr>
                <w:sz w:val="20"/>
                <w:szCs w:val="20"/>
              </w:rPr>
              <w:br/>
              <w:t>   and phantom unit</w:t>
            </w:r>
            <w:r>
              <w:rPr>
                <w:sz w:val="20"/>
                <w:szCs w:val="20"/>
              </w:rPr>
              <w:t>s</w:t>
            </w:r>
          </w:p>
        </w:tc>
      </w:tr>
    </w:tbl>
    <w:p w14:paraId="02973EAD" w14:textId="77777777" w:rsidR="00000000" w:rsidRDefault="00832D71">
      <w:pPr>
        <w:pStyle w:val="a3"/>
        <w:spacing w:before="0" w:beforeAutospacing="0" w:after="0" w:afterAutospacing="0"/>
        <w:rPr>
          <w:sz w:val="20"/>
          <w:szCs w:val="20"/>
        </w:rPr>
      </w:pPr>
      <w:r>
        <w:rPr>
          <w:sz w:val="20"/>
          <w:szCs w:val="20"/>
        </w:rPr>
        <w:t> </w:t>
      </w:r>
    </w:p>
    <w:p w14:paraId="7F4C220D" w14:textId="77777777" w:rsidR="00000000" w:rsidRDefault="00832D71">
      <w:pPr>
        <w:pStyle w:val="a3"/>
        <w:spacing w:before="0" w:beforeAutospacing="0" w:after="0" w:afterAutospacing="0"/>
        <w:jc w:val="center"/>
        <w:rPr>
          <w:sz w:val="20"/>
          <w:szCs w:val="20"/>
        </w:rPr>
      </w:pPr>
      <w:r>
        <w:rPr>
          <w:sz w:val="20"/>
          <w:szCs w:val="20"/>
        </w:rPr>
        <w:t> </w:t>
      </w:r>
    </w:p>
    <w:p w14:paraId="26C33733"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6</w:t>
      </w:r>
    </w:p>
    <w:p w14:paraId="2A296E47" w14:textId="77777777" w:rsidR="00000000" w:rsidRDefault="00832D71">
      <w:pPr>
        <w:rPr>
          <w:rFonts w:eastAsia="Times New Roman"/>
        </w:rPr>
      </w:pPr>
      <w:r>
        <w:rPr>
          <w:rFonts w:eastAsia="Times New Roman"/>
        </w:rPr>
        <w:pict w14:anchorId="75230D0B">
          <v:rect id="_x0000_i1083" style="width:0;height:1.5pt" o:hralign="center" o:hrstd="t" o:hr="t" fillcolor="#a0a0a0" stroked="f"/>
        </w:pict>
      </w:r>
    </w:p>
    <w:p w14:paraId="12786FF7"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w:t>
        </w:r>
        <w:r>
          <w:rPr>
            <w:rStyle w:val="a4"/>
            <w:sz w:val="18"/>
            <w:szCs w:val="18"/>
          </w:rPr>
          <w:t>ontent</w:t>
        </w:r>
        <w:r>
          <w:rPr>
            <w:rStyle w:val="a4"/>
            <w:sz w:val="18"/>
            <w:szCs w:val="18"/>
          </w:rPr>
          <w:t>s</w:t>
        </w:r>
      </w:hyperlink>
    </w:p>
    <w:p w14:paraId="316C05DD" w14:textId="77777777" w:rsidR="00000000" w:rsidRDefault="00832D71">
      <w:pPr>
        <w:pStyle w:val="a3"/>
        <w:spacing w:before="240" w:beforeAutospacing="0" w:after="0" w:afterAutospacing="0"/>
        <w:ind w:firstLine="555"/>
        <w:jc w:val="both"/>
        <w:rPr>
          <w:sz w:val="20"/>
          <w:szCs w:val="20"/>
        </w:rPr>
      </w:pPr>
      <w:r>
        <w:rPr>
          <w:sz w:val="20"/>
          <w:szCs w:val="20"/>
        </w:rPr>
        <w:t>We align the short-term and long-term interests of our named executive officers with the short-term and long-term interests of our Unitholders by</w:t>
      </w:r>
      <w:r>
        <w:rPr>
          <w:sz w:val="20"/>
          <w:szCs w:val="20"/>
        </w:rPr>
        <w:t>:</w:t>
      </w:r>
    </w:p>
    <w:p w14:paraId="1829AC6E" w14:textId="77777777" w:rsidR="00000000" w:rsidRDefault="00832D71">
      <w:pPr>
        <w:pStyle w:val="a3"/>
        <w:spacing w:before="0" w:beforeAutospacing="0" w:after="0" w:afterAutospacing="0"/>
        <w:jc w:val="both"/>
        <w:rPr>
          <w:sz w:val="20"/>
          <w:szCs w:val="20"/>
        </w:rPr>
      </w:pPr>
      <w:r>
        <w:rPr>
          <w:sz w:val="20"/>
          <w:szCs w:val="20"/>
        </w:rPr>
        <w:t> </w:t>
      </w:r>
    </w:p>
    <w:p w14:paraId="11C8B3D5" w14:textId="77777777" w:rsidR="00000000" w:rsidRDefault="00832D71">
      <w:pPr>
        <w:jc w:val="both"/>
        <w:divId w:val="803042271"/>
        <w:rPr>
          <w:rFonts w:eastAsia="Times New Roman"/>
        </w:rPr>
      </w:pPr>
      <w:r>
        <w:rPr>
          <w:rFonts w:eastAsia="Times New Roman"/>
          <w:sz w:val="20"/>
          <w:szCs w:val="20"/>
        </w:rPr>
        <w:t>•</w:t>
      </w:r>
    </w:p>
    <w:p w14:paraId="5BA7AAE0" w14:textId="77777777" w:rsidR="00000000" w:rsidRDefault="00832D71">
      <w:pPr>
        <w:jc w:val="both"/>
        <w:divId w:val="1698970282"/>
        <w:rPr>
          <w:rFonts w:eastAsia="Times New Roman"/>
        </w:rPr>
      </w:pPr>
      <w:r>
        <w:rPr>
          <w:rFonts w:eastAsia="Times New Roman"/>
          <w:sz w:val="20"/>
          <w:szCs w:val="20"/>
        </w:rPr>
        <w:t>Providing our named executive officers with an annual incentive target that encourages them to achieve or exceed targeted financial results and operating performance for a particular fiscal year</w:t>
      </w:r>
      <w:r>
        <w:rPr>
          <w:rFonts w:eastAsia="Times New Roman"/>
          <w:sz w:val="20"/>
          <w:szCs w:val="20"/>
        </w:rPr>
        <w:t>;</w:t>
      </w:r>
    </w:p>
    <w:p w14:paraId="4A532B91" w14:textId="77777777" w:rsidR="00000000" w:rsidRDefault="00832D71">
      <w:pPr>
        <w:jc w:val="both"/>
        <w:divId w:val="24068314"/>
        <w:rPr>
          <w:rFonts w:eastAsia="Times New Roman"/>
        </w:rPr>
      </w:pPr>
      <w:r>
        <w:rPr>
          <w:rFonts w:eastAsia="Times New Roman"/>
          <w:sz w:val="20"/>
          <w:szCs w:val="20"/>
        </w:rPr>
        <w:t>•</w:t>
      </w:r>
    </w:p>
    <w:p w14:paraId="73BB2B7F" w14:textId="77777777" w:rsidR="00000000" w:rsidRDefault="00832D71">
      <w:pPr>
        <w:jc w:val="both"/>
        <w:divId w:val="1438911752"/>
        <w:rPr>
          <w:rFonts w:eastAsia="Times New Roman"/>
        </w:rPr>
      </w:pPr>
      <w:r>
        <w:rPr>
          <w:rFonts w:eastAsia="Times New Roman"/>
          <w:sz w:val="20"/>
          <w:szCs w:val="20"/>
        </w:rPr>
        <w:t>Providing a long-term incentive plan that encourages our n</w:t>
      </w:r>
      <w:r>
        <w:rPr>
          <w:rFonts w:eastAsia="Times New Roman"/>
          <w:sz w:val="20"/>
          <w:szCs w:val="20"/>
        </w:rPr>
        <w:t>amed executive officers to implement activities and practices conducive to sustainable, profitable growth;</w:t>
      </w:r>
      <w:r>
        <w:rPr>
          <w:rFonts w:eastAsia="Times New Roman"/>
          <w:sz w:val="20"/>
          <w:szCs w:val="20"/>
        </w:rPr>
        <w:t xml:space="preserve"> </w:t>
      </w:r>
    </w:p>
    <w:p w14:paraId="6E808E76" w14:textId="77777777" w:rsidR="00000000" w:rsidRDefault="00832D71">
      <w:pPr>
        <w:jc w:val="both"/>
        <w:divId w:val="605041857"/>
        <w:rPr>
          <w:rFonts w:eastAsia="Times New Roman"/>
        </w:rPr>
      </w:pPr>
      <w:r>
        <w:rPr>
          <w:rFonts w:eastAsia="Times New Roman"/>
          <w:sz w:val="20"/>
          <w:szCs w:val="20"/>
        </w:rPr>
        <w:t>•</w:t>
      </w:r>
    </w:p>
    <w:p w14:paraId="54E6314A" w14:textId="77777777" w:rsidR="00000000" w:rsidRDefault="00832D71">
      <w:pPr>
        <w:jc w:val="both"/>
        <w:divId w:val="1971743902"/>
        <w:rPr>
          <w:rFonts w:eastAsia="Times New Roman"/>
        </w:rPr>
      </w:pPr>
      <w:r>
        <w:rPr>
          <w:rFonts w:eastAsia="Times New Roman"/>
          <w:sz w:val="20"/>
          <w:szCs w:val="20"/>
        </w:rPr>
        <w:t>Providing our named executive officers with restricted units in order to encourage the retention of the participating executive officers and to al</w:t>
      </w:r>
      <w:r>
        <w:rPr>
          <w:rFonts w:eastAsia="Times New Roman"/>
          <w:sz w:val="20"/>
          <w:szCs w:val="20"/>
        </w:rPr>
        <w:t>ign their interests with those of our Unitholders by offering an opportunity to increase their equity ownership in the Partnership, while simultaneously encouraging behaviors conducive to the long-term appreciation of our Common Units; and</w:t>
      </w:r>
      <w:r>
        <w:rPr>
          <w:rFonts w:eastAsia="Times New Roman"/>
          <w:sz w:val="20"/>
          <w:szCs w:val="20"/>
        </w:rPr>
        <w:t xml:space="preserve"> </w:t>
      </w:r>
    </w:p>
    <w:p w14:paraId="1DFDB76E" w14:textId="77777777" w:rsidR="00000000" w:rsidRDefault="00832D71">
      <w:pPr>
        <w:jc w:val="both"/>
        <w:divId w:val="1553233608"/>
        <w:rPr>
          <w:rFonts w:eastAsia="Times New Roman"/>
        </w:rPr>
      </w:pPr>
      <w:r>
        <w:rPr>
          <w:rFonts w:eastAsia="Times New Roman"/>
          <w:sz w:val="20"/>
          <w:szCs w:val="20"/>
        </w:rPr>
        <w:t>•</w:t>
      </w:r>
    </w:p>
    <w:p w14:paraId="2972BEBE" w14:textId="77777777" w:rsidR="00000000" w:rsidRDefault="00832D71">
      <w:pPr>
        <w:jc w:val="both"/>
        <w:divId w:val="1603687993"/>
        <w:rPr>
          <w:rFonts w:eastAsia="Times New Roman"/>
        </w:rPr>
      </w:pPr>
      <w:r>
        <w:rPr>
          <w:rFonts w:eastAsia="Times New Roman"/>
          <w:sz w:val="20"/>
          <w:szCs w:val="20"/>
        </w:rPr>
        <w:t>Providing our</w:t>
      </w:r>
      <w:r>
        <w:rPr>
          <w:rFonts w:eastAsia="Times New Roman"/>
          <w:sz w:val="20"/>
          <w:szCs w:val="20"/>
        </w:rPr>
        <w:t xml:space="preserve"> named executive officers with distribution equivalent rights to encourage behaviors conducive to distribution sustainability and growth</w:t>
      </w:r>
      <w:r>
        <w:rPr>
          <w:rFonts w:eastAsia="Times New Roman"/>
          <w:sz w:val="20"/>
          <w:szCs w:val="20"/>
        </w:rPr>
        <w:t>.</w:t>
      </w:r>
    </w:p>
    <w:p w14:paraId="320C5950" w14:textId="77777777" w:rsidR="00000000" w:rsidRDefault="00832D71">
      <w:pPr>
        <w:pStyle w:val="a3"/>
        <w:spacing w:before="240" w:beforeAutospacing="0" w:after="0" w:afterAutospacing="0"/>
        <w:jc w:val="both"/>
        <w:rPr>
          <w:sz w:val="20"/>
          <w:szCs w:val="20"/>
        </w:rPr>
      </w:pPr>
      <w:r>
        <w:rPr>
          <w:b/>
          <w:bCs/>
          <w:sz w:val="20"/>
          <w:szCs w:val="20"/>
        </w:rPr>
        <w:t>Pay Mi</w:t>
      </w:r>
      <w:r>
        <w:rPr>
          <w:b/>
          <w:bCs/>
          <w:sz w:val="20"/>
          <w:szCs w:val="20"/>
        </w:rPr>
        <w:t>x</w:t>
      </w:r>
    </w:p>
    <w:p w14:paraId="1ECB272F" w14:textId="77777777" w:rsidR="00000000" w:rsidRDefault="00832D71">
      <w:pPr>
        <w:pStyle w:val="a3"/>
        <w:spacing w:before="120" w:beforeAutospacing="0" w:after="0" w:afterAutospacing="0"/>
        <w:ind w:firstLine="555"/>
        <w:jc w:val="both"/>
        <w:rPr>
          <w:sz w:val="20"/>
          <w:szCs w:val="20"/>
        </w:rPr>
      </w:pPr>
      <w:r>
        <w:rPr>
          <w:sz w:val="20"/>
          <w:szCs w:val="20"/>
        </w:rPr>
        <w:t>Under our compensation structure, each named executive officer’s “total cash compensation opportunity” consists of a mix of base salary, annual cash bonus, and distribution equivalent rights payments. In addition to the total cash compensation opportunity,</w:t>
      </w:r>
      <w:r>
        <w:rPr>
          <w:sz w:val="20"/>
          <w:szCs w:val="20"/>
        </w:rPr>
        <w:t xml:space="preserve"> each named executive officer is eligible to participate in our Long-Term Incentive Plan for the potential to earn cash settled long-term incentives and to receive grants of restricted units under our Restricted Unit Plan and grants of phantom units under </w:t>
      </w:r>
      <w:r>
        <w:rPr>
          <w:sz w:val="20"/>
          <w:szCs w:val="20"/>
        </w:rPr>
        <w:t>our Phantom Unit Plan which, when combined with the total cash compensation opportunity, represents the “total direct compensation opportunity.” This “mix” varies depending on his or her position, and the level of influence and line of sight to the activit</w:t>
      </w:r>
      <w:r>
        <w:rPr>
          <w:sz w:val="20"/>
          <w:szCs w:val="20"/>
        </w:rPr>
        <w:t>ies that can help achieve the incentive targets. The base salary for each executive officer is the only fixed component of compensation, and the Restricted Unit Plan awards are the only non-cash compensation component. Several of the cash compensation, inc</w:t>
      </w:r>
      <w:r>
        <w:rPr>
          <w:sz w:val="20"/>
          <w:szCs w:val="20"/>
        </w:rPr>
        <w:t>luding annual cash bonuses and cash settled long-term incentive compensation, is variable in nature as it is dependent upon achievement of certain performance measures</w:t>
      </w:r>
      <w:r>
        <w:rPr>
          <w:sz w:val="20"/>
          <w:szCs w:val="20"/>
        </w:rPr>
        <w:t>.</w:t>
      </w:r>
      <w:r>
        <w:rPr>
          <w:sz w:val="20"/>
          <w:szCs w:val="20"/>
        </w:rPr>
        <w:t xml:space="preserve"> </w:t>
      </w:r>
    </w:p>
    <w:p w14:paraId="72AAF6BC" w14:textId="77777777" w:rsidR="00000000" w:rsidRDefault="00832D71">
      <w:pPr>
        <w:pStyle w:val="a3"/>
        <w:spacing w:before="240" w:beforeAutospacing="0" w:after="0" w:afterAutospacing="0"/>
        <w:ind w:firstLine="555"/>
        <w:jc w:val="both"/>
        <w:rPr>
          <w:sz w:val="20"/>
          <w:szCs w:val="20"/>
        </w:rPr>
      </w:pPr>
      <w:r>
        <w:rPr>
          <w:sz w:val="20"/>
          <w:szCs w:val="20"/>
        </w:rPr>
        <w:t>In allocating among these components, in order to align the interests of our senior ex</w:t>
      </w:r>
      <w:r>
        <w:rPr>
          <w:sz w:val="20"/>
          <w:szCs w:val="20"/>
        </w:rPr>
        <w:t>ecutive officers - the executive officers having the greatest ability to influence our performance - with the interests of our Unitholders, the Committee considers it crucial to emphasize the performance-based elements of the total cash compensation opport</w:t>
      </w:r>
      <w:r>
        <w:rPr>
          <w:sz w:val="20"/>
          <w:szCs w:val="20"/>
        </w:rPr>
        <w:t xml:space="preserve">unities provided to them. Therefore, during fiscal 2022, at least 52% of the total cash compensation opportunity for our named executive officers was performance-based under our annual cash bonus and long-term incentive plans, neither of which provide for </w:t>
      </w:r>
      <w:r>
        <w:rPr>
          <w:sz w:val="20"/>
          <w:szCs w:val="20"/>
        </w:rPr>
        <w:t>guaranteed minimum payments</w:t>
      </w:r>
      <w:r>
        <w:rPr>
          <w:sz w:val="20"/>
          <w:szCs w:val="20"/>
        </w:rPr>
        <w:t>.</w:t>
      </w:r>
      <w:r>
        <w:rPr>
          <w:sz w:val="20"/>
          <w:szCs w:val="20"/>
        </w:rPr>
        <w:t xml:space="preserve"> </w:t>
      </w:r>
    </w:p>
    <w:p w14:paraId="23C88123" w14:textId="77777777" w:rsidR="00000000" w:rsidRDefault="00832D71">
      <w:pPr>
        <w:pStyle w:val="a3"/>
        <w:spacing w:before="240" w:beforeAutospacing="0" w:after="0" w:afterAutospacing="0"/>
        <w:ind w:firstLine="555"/>
        <w:jc w:val="both"/>
        <w:rPr>
          <w:sz w:val="20"/>
          <w:szCs w:val="20"/>
        </w:rPr>
      </w:pPr>
      <w:r>
        <w:rPr>
          <w:sz w:val="20"/>
          <w:szCs w:val="20"/>
        </w:rPr>
        <w:t>In reviewing and establishing compensation packages for our named executive officers for fiscal 2022, at its meeting on November 9, 2021, the Committee also reviewed information provided by WTW with respect to the mix of long-</w:t>
      </w:r>
      <w:r>
        <w:rPr>
          <w:sz w:val="20"/>
          <w:szCs w:val="20"/>
        </w:rPr>
        <w:t>term incentive opportunities for our named executive officers and certain other executive officers. In an effort to enhance the total direct compensation of these executive officers to be more competitive with the relevant benchmark data, the Committee app</w:t>
      </w:r>
      <w:r>
        <w:rPr>
          <w:sz w:val="20"/>
          <w:szCs w:val="20"/>
        </w:rPr>
        <w:t>roved an increase to the cash settled long-term incentive plan target opportunities for our named executive officers and certain other executive officers. The increase in the cash settled long-term incentive plan target opportunities also had the effect of</w:t>
      </w:r>
      <w:r>
        <w:rPr>
          <w:sz w:val="20"/>
          <w:szCs w:val="20"/>
        </w:rPr>
        <w:t xml:space="preserve"> increasing the portion of compensation with a performance-based component and therefore, the percentage of total direct compensation that is considered “at risk.” See section titled “Long-Term Incentive Plan” below for a description of the change to the L</w:t>
      </w:r>
      <w:r>
        <w:rPr>
          <w:sz w:val="20"/>
          <w:szCs w:val="20"/>
        </w:rPr>
        <w:t>TIP target awards</w:t>
      </w:r>
      <w:r>
        <w:rPr>
          <w:sz w:val="20"/>
          <w:szCs w:val="20"/>
        </w:rPr>
        <w:t>.</w:t>
      </w:r>
    </w:p>
    <w:p w14:paraId="5E0ED27C" w14:textId="77777777" w:rsidR="00000000" w:rsidRDefault="00832D71">
      <w:pPr>
        <w:pStyle w:val="a3"/>
        <w:spacing w:before="240" w:beforeAutospacing="0" w:after="0" w:afterAutospacing="0"/>
        <w:ind w:firstLine="555"/>
        <w:jc w:val="both"/>
        <w:rPr>
          <w:sz w:val="20"/>
          <w:szCs w:val="20"/>
        </w:rPr>
      </w:pPr>
      <w:r>
        <w:rPr>
          <w:sz w:val="20"/>
          <w:szCs w:val="20"/>
        </w:rPr>
        <w:t>The following table summarizes each of the components of total cash compensation as a percentage of each named executive officer’s total cash compensation opportunity for fiscal 2022, as well as the total cash compensation opportunity an</w:t>
      </w:r>
      <w:r>
        <w:rPr>
          <w:sz w:val="20"/>
          <w:szCs w:val="20"/>
        </w:rPr>
        <w:t>d the non-cash Restricted Unit Plan grants each as a percentage of the total direct compensation opportunity for fiscal 2022</w:t>
      </w:r>
      <w:r>
        <w:rPr>
          <w:sz w:val="20"/>
          <w:szCs w:val="20"/>
        </w:rPr>
        <w:t>:</w:t>
      </w:r>
    </w:p>
    <w:p w14:paraId="79ADD6C7" w14:textId="77777777" w:rsidR="00000000" w:rsidRDefault="00832D71">
      <w:pPr>
        <w:pStyle w:val="a3"/>
        <w:spacing w:before="0" w:beforeAutospacing="0" w:after="0" w:afterAutospacing="0"/>
        <w:ind w:firstLine="555"/>
        <w:jc w:val="both"/>
        <w:rPr>
          <w:sz w:val="20"/>
          <w:szCs w:val="20"/>
        </w:rPr>
      </w:pPr>
      <w:r>
        <w:rPr>
          <w:sz w:val="20"/>
          <w:szCs w:val="20"/>
        </w:rPr>
        <w:t> </w:t>
      </w:r>
    </w:p>
    <w:tbl>
      <w:tblPr>
        <w:tblW w:w="4050" w:type="pct"/>
        <w:tblCellSpacing w:w="15" w:type="dxa"/>
        <w:tblCellMar>
          <w:top w:w="15" w:type="dxa"/>
          <w:left w:w="15" w:type="dxa"/>
          <w:bottom w:w="15" w:type="dxa"/>
          <w:right w:w="15" w:type="dxa"/>
        </w:tblCellMar>
        <w:tblLook w:val="04A0" w:firstRow="1" w:lastRow="0" w:firstColumn="1" w:lastColumn="0" w:noHBand="0" w:noVBand="1"/>
      </w:tblPr>
      <w:tblGrid>
        <w:gridCol w:w="1318"/>
        <w:gridCol w:w="110"/>
        <w:gridCol w:w="524"/>
        <w:gridCol w:w="110"/>
        <w:gridCol w:w="524"/>
        <w:gridCol w:w="110"/>
        <w:gridCol w:w="692"/>
        <w:gridCol w:w="110"/>
        <w:gridCol w:w="896"/>
        <w:gridCol w:w="115"/>
        <w:gridCol w:w="1047"/>
        <w:gridCol w:w="110"/>
        <w:gridCol w:w="1062"/>
      </w:tblGrid>
      <w:tr w:rsidR="00000000" w14:paraId="4AA30EFF" w14:textId="77777777">
        <w:trPr>
          <w:tblCellSpacing w:w="15" w:type="dxa"/>
        </w:trPr>
        <w:tc>
          <w:tcPr>
            <w:tcW w:w="1110" w:type="pct"/>
            <w:vAlign w:val="center"/>
            <w:hideMark/>
          </w:tcPr>
          <w:p w14:paraId="1D159A8A" w14:textId="77777777" w:rsidR="00000000" w:rsidRDefault="00832D71">
            <w:pPr>
              <w:rPr>
                <w:sz w:val="20"/>
                <w:szCs w:val="20"/>
              </w:rPr>
            </w:pPr>
          </w:p>
        </w:tc>
        <w:tc>
          <w:tcPr>
            <w:tcW w:w="61" w:type="pct"/>
            <w:vAlign w:val="center"/>
            <w:hideMark/>
          </w:tcPr>
          <w:p w14:paraId="60D6588D" w14:textId="77777777" w:rsidR="00000000" w:rsidRDefault="00832D71">
            <w:pPr>
              <w:rPr>
                <w:rFonts w:eastAsia="Times New Roman"/>
                <w:sz w:val="20"/>
                <w:szCs w:val="20"/>
              </w:rPr>
            </w:pPr>
          </w:p>
        </w:tc>
        <w:tc>
          <w:tcPr>
            <w:tcW w:w="493" w:type="pct"/>
            <w:vAlign w:val="center"/>
            <w:hideMark/>
          </w:tcPr>
          <w:p w14:paraId="1A1010D0" w14:textId="77777777" w:rsidR="00000000" w:rsidRDefault="00832D71">
            <w:pPr>
              <w:rPr>
                <w:rFonts w:eastAsia="Times New Roman"/>
                <w:sz w:val="20"/>
                <w:szCs w:val="20"/>
              </w:rPr>
            </w:pPr>
          </w:p>
        </w:tc>
        <w:tc>
          <w:tcPr>
            <w:tcW w:w="61" w:type="pct"/>
            <w:vAlign w:val="center"/>
            <w:hideMark/>
          </w:tcPr>
          <w:p w14:paraId="7561AB24" w14:textId="77777777" w:rsidR="00000000" w:rsidRDefault="00832D71">
            <w:pPr>
              <w:rPr>
                <w:rFonts w:eastAsia="Times New Roman"/>
                <w:sz w:val="20"/>
                <w:szCs w:val="20"/>
              </w:rPr>
            </w:pPr>
          </w:p>
        </w:tc>
        <w:tc>
          <w:tcPr>
            <w:tcW w:w="493" w:type="pct"/>
            <w:vAlign w:val="center"/>
            <w:hideMark/>
          </w:tcPr>
          <w:p w14:paraId="3EEF6B08" w14:textId="77777777" w:rsidR="00000000" w:rsidRDefault="00832D71">
            <w:pPr>
              <w:rPr>
                <w:rFonts w:eastAsia="Times New Roman"/>
                <w:sz w:val="20"/>
                <w:szCs w:val="20"/>
              </w:rPr>
            </w:pPr>
          </w:p>
        </w:tc>
        <w:tc>
          <w:tcPr>
            <w:tcW w:w="61" w:type="pct"/>
            <w:vAlign w:val="center"/>
            <w:hideMark/>
          </w:tcPr>
          <w:p w14:paraId="01E9DB91" w14:textId="77777777" w:rsidR="00000000" w:rsidRDefault="00832D71">
            <w:pPr>
              <w:rPr>
                <w:rFonts w:eastAsia="Times New Roman"/>
                <w:sz w:val="20"/>
                <w:szCs w:val="20"/>
              </w:rPr>
            </w:pPr>
          </w:p>
        </w:tc>
        <w:tc>
          <w:tcPr>
            <w:tcW w:w="493" w:type="pct"/>
            <w:vAlign w:val="center"/>
            <w:hideMark/>
          </w:tcPr>
          <w:p w14:paraId="0398EBFF" w14:textId="77777777" w:rsidR="00000000" w:rsidRDefault="00832D71">
            <w:pPr>
              <w:rPr>
                <w:rFonts w:eastAsia="Times New Roman"/>
                <w:sz w:val="20"/>
                <w:szCs w:val="20"/>
              </w:rPr>
            </w:pPr>
          </w:p>
        </w:tc>
        <w:tc>
          <w:tcPr>
            <w:tcW w:w="61" w:type="pct"/>
            <w:vAlign w:val="center"/>
            <w:hideMark/>
          </w:tcPr>
          <w:p w14:paraId="1CA25076" w14:textId="77777777" w:rsidR="00000000" w:rsidRDefault="00832D71">
            <w:pPr>
              <w:rPr>
                <w:rFonts w:eastAsia="Times New Roman"/>
                <w:sz w:val="20"/>
                <w:szCs w:val="20"/>
              </w:rPr>
            </w:pPr>
          </w:p>
        </w:tc>
        <w:tc>
          <w:tcPr>
            <w:tcW w:w="556" w:type="pct"/>
            <w:vAlign w:val="center"/>
            <w:hideMark/>
          </w:tcPr>
          <w:p w14:paraId="19F57988" w14:textId="77777777" w:rsidR="00000000" w:rsidRDefault="00832D71">
            <w:pPr>
              <w:rPr>
                <w:rFonts w:eastAsia="Times New Roman"/>
                <w:sz w:val="20"/>
                <w:szCs w:val="20"/>
              </w:rPr>
            </w:pPr>
          </w:p>
        </w:tc>
        <w:tc>
          <w:tcPr>
            <w:tcW w:w="61" w:type="pct"/>
            <w:vAlign w:val="center"/>
            <w:hideMark/>
          </w:tcPr>
          <w:p w14:paraId="7944033F" w14:textId="77777777" w:rsidR="00000000" w:rsidRDefault="00832D71">
            <w:pPr>
              <w:rPr>
                <w:rFonts w:eastAsia="Times New Roman"/>
                <w:sz w:val="20"/>
                <w:szCs w:val="20"/>
              </w:rPr>
            </w:pPr>
          </w:p>
        </w:tc>
        <w:tc>
          <w:tcPr>
            <w:tcW w:w="740" w:type="pct"/>
            <w:vAlign w:val="center"/>
            <w:hideMark/>
          </w:tcPr>
          <w:p w14:paraId="413D9038" w14:textId="77777777" w:rsidR="00000000" w:rsidRDefault="00832D71">
            <w:pPr>
              <w:rPr>
                <w:rFonts w:eastAsia="Times New Roman"/>
                <w:sz w:val="20"/>
                <w:szCs w:val="20"/>
              </w:rPr>
            </w:pPr>
          </w:p>
        </w:tc>
        <w:tc>
          <w:tcPr>
            <w:tcW w:w="61" w:type="pct"/>
            <w:vAlign w:val="center"/>
            <w:hideMark/>
          </w:tcPr>
          <w:p w14:paraId="71D28E08" w14:textId="77777777" w:rsidR="00000000" w:rsidRDefault="00832D71">
            <w:pPr>
              <w:rPr>
                <w:rFonts w:eastAsia="Times New Roman"/>
                <w:sz w:val="20"/>
                <w:szCs w:val="20"/>
              </w:rPr>
            </w:pPr>
          </w:p>
        </w:tc>
        <w:tc>
          <w:tcPr>
            <w:tcW w:w="740" w:type="pct"/>
            <w:vAlign w:val="center"/>
            <w:hideMark/>
          </w:tcPr>
          <w:p w14:paraId="359FB301" w14:textId="77777777" w:rsidR="00000000" w:rsidRDefault="00832D71">
            <w:pPr>
              <w:rPr>
                <w:rFonts w:eastAsia="Times New Roman"/>
                <w:sz w:val="20"/>
                <w:szCs w:val="20"/>
              </w:rPr>
            </w:pPr>
          </w:p>
        </w:tc>
      </w:tr>
      <w:tr w:rsidR="00000000" w14:paraId="759489A0" w14:textId="77777777">
        <w:trPr>
          <w:trHeight w:val="160"/>
          <w:tblCellSpacing w:w="15" w:type="dxa"/>
        </w:trPr>
        <w:tc>
          <w:tcPr>
            <w:tcW w:w="0" w:type="auto"/>
            <w:vAlign w:val="bottom"/>
            <w:hideMark/>
          </w:tcPr>
          <w:p w14:paraId="6C831A1C"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7C8D9D54"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FD994C7" w14:textId="77777777" w:rsidR="00000000" w:rsidRDefault="00832D71">
            <w:pPr>
              <w:pStyle w:val="a3"/>
              <w:spacing w:before="0" w:beforeAutospacing="0" w:after="0" w:afterAutospacing="0"/>
              <w:jc w:val="center"/>
              <w:rPr>
                <w:sz w:val="16"/>
                <w:szCs w:val="16"/>
              </w:rPr>
            </w:pPr>
            <w:r>
              <w:rPr>
                <w:b/>
                <w:bCs/>
                <w:sz w:val="16"/>
                <w:szCs w:val="16"/>
              </w:rPr>
              <w:t>Base Salar</w:t>
            </w:r>
            <w:r>
              <w:rPr>
                <w:b/>
                <w:bCs/>
                <w:sz w:val="16"/>
                <w:szCs w:val="16"/>
              </w:rPr>
              <w:t>y</w:t>
            </w:r>
          </w:p>
        </w:tc>
        <w:tc>
          <w:tcPr>
            <w:tcW w:w="0" w:type="auto"/>
            <w:vAlign w:val="bottom"/>
            <w:hideMark/>
          </w:tcPr>
          <w:p w14:paraId="392D7A79"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0C0482E" w14:textId="77777777" w:rsidR="00000000" w:rsidRDefault="00832D71">
            <w:pPr>
              <w:pStyle w:val="a3"/>
              <w:spacing w:before="0" w:beforeAutospacing="0" w:after="0" w:afterAutospacing="0"/>
              <w:jc w:val="center"/>
              <w:rPr>
                <w:sz w:val="16"/>
                <w:szCs w:val="16"/>
              </w:rPr>
            </w:pPr>
            <w:r>
              <w:rPr>
                <w:b/>
                <w:bCs/>
                <w:sz w:val="16"/>
                <w:szCs w:val="16"/>
              </w:rPr>
              <w:t>Cash Bonus</w:t>
            </w:r>
            <w:r>
              <w:rPr>
                <w:b/>
                <w:bCs/>
                <w:sz w:val="16"/>
                <w:szCs w:val="16"/>
              </w:rPr>
              <w:br/>
              <w:t>Targe</w:t>
            </w:r>
            <w:r>
              <w:rPr>
                <w:b/>
                <w:bCs/>
                <w:sz w:val="16"/>
                <w:szCs w:val="16"/>
              </w:rPr>
              <w:t>t</w:t>
            </w:r>
          </w:p>
        </w:tc>
        <w:tc>
          <w:tcPr>
            <w:tcW w:w="0" w:type="auto"/>
            <w:hideMark/>
          </w:tcPr>
          <w:p w14:paraId="0B9DC67C"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ED4383F" w14:textId="77777777" w:rsidR="00000000" w:rsidRDefault="00832D71">
            <w:pPr>
              <w:pStyle w:val="a3"/>
              <w:spacing w:before="0" w:beforeAutospacing="0" w:after="0" w:afterAutospacing="0"/>
              <w:jc w:val="center"/>
              <w:rPr>
                <w:sz w:val="16"/>
                <w:szCs w:val="16"/>
              </w:rPr>
            </w:pPr>
            <w:r>
              <w:rPr>
                <w:b/>
                <w:bCs/>
                <w:sz w:val="16"/>
                <w:szCs w:val="16"/>
              </w:rPr>
              <w:t>Cash Settled</w:t>
            </w:r>
            <w:r>
              <w:rPr>
                <w:b/>
                <w:bCs/>
                <w:sz w:val="16"/>
                <w:szCs w:val="16"/>
              </w:rPr>
              <w:br/>
              <w:t>Long-Term</w:t>
            </w:r>
            <w:r>
              <w:rPr>
                <w:b/>
                <w:bCs/>
                <w:sz w:val="16"/>
                <w:szCs w:val="16"/>
              </w:rPr>
              <w:br/>
              <w:t>Incentiv</w:t>
            </w:r>
            <w:r>
              <w:rPr>
                <w:b/>
                <w:bCs/>
                <w:sz w:val="16"/>
                <w:szCs w:val="16"/>
              </w:rPr>
              <w:t>e</w:t>
            </w:r>
          </w:p>
        </w:tc>
        <w:tc>
          <w:tcPr>
            <w:tcW w:w="0" w:type="auto"/>
            <w:vAlign w:val="bottom"/>
            <w:hideMark/>
          </w:tcPr>
          <w:p w14:paraId="6E7EA160"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B01CD93" w14:textId="77777777" w:rsidR="00000000" w:rsidRDefault="00832D71">
            <w:pPr>
              <w:pStyle w:val="a3"/>
              <w:spacing w:before="0" w:beforeAutospacing="0" w:after="0" w:afterAutospacing="0"/>
              <w:jc w:val="center"/>
              <w:rPr>
                <w:sz w:val="16"/>
                <w:szCs w:val="16"/>
              </w:rPr>
            </w:pPr>
            <w:r>
              <w:rPr>
                <w:b/>
                <w:bCs/>
                <w:sz w:val="16"/>
                <w:szCs w:val="16"/>
              </w:rPr>
              <w:t>Distribution</w:t>
            </w:r>
            <w:r>
              <w:rPr>
                <w:b/>
                <w:bCs/>
                <w:sz w:val="16"/>
                <w:szCs w:val="16"/>
              </w:rPr>
              <w:br/>
              <w:t>Equivalent</w:t>
            </w:r>
            <w:r>
              <w:rPr>
                <w:b/>
                <w:bCs/>
                <w:sz w:val="16"/>
                <w:szCs w:val="16"/>
              </w:rPr>
              <w:br/>
              <w:t>Right</w:t>
            </w:r>
            <w:r>
              <w:rPr>
                <w:b/>
                <w:bCs/>
                <w:sz w:val="16"/>
                <w:szCs w:val="16"/>
              </w:rPr>
              <w:t>s</w:t>
            </w:r>
          </w:p>
        </w:tc>
        <w:tc>
          <w:tcPr>
            <w:tcW w:w="0" w:type="auto"/>
            <w:vAlign w:val="bottom"/>
            <w:hideMark/>
          </w:tcPr>
          <w:p w14:paraId="5F3830E1"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9B81596" w14:textId="77777777" w:rsidR="00000000" w:rsidRDefault="00832D71">
            <w:pPr>
              <w:pStyle w:val="a3"/>
              <w:spacing w:before="0" w:beforeAutospacing="0" w:after="0" w:afterAutospacing="0"/>
              <w:jc w:val="center"/>
              <w:rPr>
                <w:sz w:val="16"/>
                <w:szCs w:val="16"/>
              </w:rPr>
            </w:pPr>
            <w:r>
              <w:rPr>
                <w:b/>
                <w:bCs/>
                <w:sz w:val="16"/>
                <w:szCs w:val="16"/>
              </w:rPr>
              <w:t>Total Cash Compensation Opportunity as a Percentage of Total Direct Compensatio</w:t>
            </w:r>
            <w:r>
              <w:rPr>
                <w:b/>
                <w:bCs/>
                <w:sz w:val="16"/>
                <w:szCs w:val="16"/>
              </w:rPr>
              <w:t>n</w:t>
            </w:r>
          </w:p>
        </w:tc>
        <w:tc>
          <w:tcPr>
            <w:tcW w:w="0" w:type="auto"/>
            <w:vAlign w:val="bottom"/>
            <w:hideMark/>
          </w:tcPr>
          <w:p w14:paraId="7620D9E8"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5547EE2" w14:textId="77777777" w:rsidR="00000000" w:rsidRDefault="00832D71">
            <w:pPr>
              <w:pStyle w:val="a3"/>
              <w:spacing w:before="0" w:beforeAutospacing="0" w:after="0" w:afterAutospacing="0"/>
              <w:jc w:val="center"/>
              <w:rPr>
                <w:sz w:val="16"/>
                <w:szCs w:val="16"/>
              </w:rPr>
            </w:pPr>
            <w:r>
              <w:rPr>
                <w:b/>
                <w:bCs/>
                <w:sz w:val="16"/>
                <w:szCs w:val="16"/>
              </w:rPr>
              <w:t>Non-Cash Restricted Unit Plan Grants as a Percentage of Total Direct Compensatio</w:t>
            </w:r>
            <w:r>
              <w:rPr>
                <w:b/>
                <w:bCs/>
                <w:sz w:val="16"/>
                <w:szCs w:val="16"/>
              </w:rPr>
              <w:t>n</w:t>
            </w:r>
          </w:p>
        </w:tc>
      </w:tr>
      <w:tr w:rsidR="00000000" w14:paraId="1180367B" w14:textId="77777777">
        <w:trPr>
          <w:trHeight w:val="200"/>
          <w:tblCellSpacing w:w="15" w:type="dxa"/>
        </w:trPr>
        <w:tc>
          <w:tcPr>
            <w:tcW w:w="0" w:type="auto"/>
            <w:hideMark/>
          </w:tcPr>
          <w:p w14:paraId="5E70C40C" w14:textId="77777777" w:rsidR="00000000" w:rsidRDefault="00832D71">
            <w:pPr>
              <w:pStyle w:val="a3"/>
              <w:spacing w:before="0" w:beforeAutospacing="0" w:after="0" w:afterAutospacing="0"/>
              <w:rPr>
                <w:sz w:val="20"/>
                <w:szCs w:val="20"/>
              </w:rPr>
            </w:pPr>
            <w:r>
              <w:rPr>
                <w:sz w:val="20"/>
                <w:szCs w:val="20"/>
              </w:rPr>
              <w:t>Michael A. Stival</w:t>
            </w:r>
            <w:r>
              <w:rPr>
                <w:sz w:val="20"/>
                <w:szCs w:val="20"/>
              </w:rPr>
              <w:t>a</w:t>
            </w:r>
          </w:p>
        </w:tc>
        <w:tc>
          <w:tcPr>
            <w:tcW w:w="0" w:type="auto"/>
            <w:hideMark/>
          </w:tcPr>
          <w:p w14:paraId="271DE33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0A198AE" w14:textId="77777777" w:rsidR="00000000" w:rsidRDefault="00832D71">
            <w:pPr>
              <w:pStyle w:val="a3"/>
              <w:spacing w:before="0" w:beforeAutospacing="0" w:after="0" w:afterAutospacing="0"/>
              <w:jc w:val="center"/>
              <w:rPr>
                <w:sz w:val="20"/>
                <w:szCs w:val="20"/>
              </w:rPr>
            </w:pPr>
            <w:r>
              <w:rPr>
                <w:sz w:val="20"/>
                <w:szCs w:val="20"/>
              </w:rPr>
              <w:t>30</w:t>
            </w:r>
            <w:r>
              <w:rPr>
                <w:sz w:val="20"/>
                <w:szCs w:val="20"/>
              </w:rPr>
              <w:t>%</w:t>
            </w:r>
          </w:p>
        </w:tc>
        <w:tc>
          <w:tcPr>
            <w:tcW w:w="0" w:type="auto"/>
            <w:vAlign w:val="bottom"/>
            <w:hideMark/>
          </w:tcPr>
          <w:p w14:paraId="126B28C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408EEEE" w14:textId="77777777" w:rsidR="00000000" w:rsidRDefault="00832D71">
            <w:pPr>
              <w:pStyle w:val="a3"/>
              <w:spacing w:before="0" w:beforeAutospacing="0" w:after="0" w:afterAutospacing="0"/>
              <w:jc w:val="center"/>
              <w:rPr>
                <w:sz w:val="20"/>
                <w:szCs w:val="20"/>
              </w:rPr>
            </w:pPr>
            <w:r>
              <w:rPr>
                <w:sz w:val="20"/>
                <w:szCs w:val="20"/>
              </w:rPr>
              <w:t>36</w:t>
            </w:r>
            <w:r>
              <w:rPr>
                <w:sz w:val="20"/>
                <w:szCs w:val="20"/>
              </w:rPr>
              <w:t>%</w:t>
            </w:r>
          </w:p>
        </w:tc>
        <w:tc>
          <w:tcPr>
            <w:tcW w:w="0" w:type="auto"/>
            <w:hideMark/>
          </w:tcPr>
          <w:p w14:paraId="55C2EB9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1D5C6FE" w14:textId="77777777" w:rsidR="00000000" w:rsidRDefault="00832D71">
            <w:pPr>
              <w:pStyle w:val="a3"/>
              <w:spacing w:before="0" w:beforeAutospacing="0" w:after="0" w:afterAutospacing="0"/>
              <w:jc w:val="center"/>
              <w:rPr>
                <w:sz w:val="20"/>
                <w:szCs w:val="20"/>
              </w:rPr>
            </w:pPr>
            <w:r>
              <w:rPr>
                <w:sz w:val="20"/>
                <w:szCs w:val="20"/>
              </w:rPr>
              <w:t>27</w:t>
            </w:r>
            <w:r>
              <w:rPr>
                <w:sz w:val="20"/>
                <w:szCs w:val="20"/>
              </w:rPr>
              <w:t>%</w:t>
            </w:r>
          </w:p>
        </w:tc>
        <w:tc>
          <w:tcPr>
            <w:tcW w:w="0" w:type="auto"/>
            <w:vAlign w:val="bottom"/>
            <w:hideMark/>
          </w:tcPr>
          <w:p w14:paraId="713FD9C2"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3991DF5D" w14:textId="77777777" w:rsidR="00000000" w:rsidRDefault="00832D71">
            <w:pPr>
              <w:pStyle w:val="a3"/>
              <w:spacing w:before="0" w:beforeAutospacing="0" w:after="0" w:afterAutospacing="0"/>
              <w:jc w:val="center"/>
              <w:rPr>
                <w:sz w:val="20"/>
                <w:szCs w:val="20"/>
              </w:rPr>
            </w:pPr>
            <w:r>
              <w:rPr>
                <w:sz w:val="20"/>
                <w:szCs w:val="20"/>
              </w:rPr>
              <w:t>7</w:t>
            </w:r>
            <w:r>
              <w:rPr>
                <w:sz w:val="20"/>
                <w:szCs w:val="20"/>
              </w:rPr>
              <w:t>%</w:t>
            </w:r>
          </w:p>
        </w:tc>
        <w:tc>
          <w:tcPr>
            <w:tcW w:w="0" w:type="auto"/>
            <w:vAlign w:val="bottom"/>
            <w:hideMark/>
          </w:tcPr>
          <w:p w14:paraId="2C32BE3D"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31B900A1" w14:textId="77777777" w:rsidR="00000000" w:rsidRDefault="00832D71">
            <w:pPr>
              <w:pStyle w:val="a3"/>
              <w:spacing w:before="0" w:beforeAutospacing="0" w:after="0" w:afterAutospacing="0"/>
              <w:jc w:val="center"/>
              <w:rPr>
                <w:sz w:val="20"/>
                <w:szCs w:val="20"/>
              </w:rPr>
            </w:pPr>
            <w:r>
              <w:rPr>
                <w:sz w:val="20"/>
                <w:szCs w:val="20"/>
              </w:rPr>
              <w:t>78</w:t>
            </w:r>
            <w:r>
              <w:rPr>
                <w:sz w:val="20"/>
                <w:szCs w:val="20"/>
              </w:rPr>
              <w:t>%</w:t>
            </w:r>
          </w:p>
        </w:tc>
        <w:tc>
          <w:tcPr>
            <w:tcW w:w="0" w:type="auto"/>
            <w:vAlign w:val="bottom"/>
            <w:hideMark/>
          </w:tcPr>
          <w:p w14:paraId="2159EB7E"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11AC13CC" w14:textId="77777777" w:rsidR="00000000" w:rsidRDefault="00832D71">
            <w:pPr>
              <w:pStyle w:val="a3"/>
              <w:spacing w:before="0" w:beforeAutospacing="0" w:after="0" w:afterAutospacing="0"/>
              <w:jc w:val="center"/>
              <w:rPr>
                <w:sz w:val="20"/>
                <w:szCs w:val="20"/>
              </w:rPr>
            </w:pPr>
            <w:r>
              <w:rPr>
                <w:sz w:val="20"/>
                <w:szCs w:val="20"/>
              </w:rPr>
              <w:t>22</w:t>
            </w:r>
            <w:r>
              <w:rPr>
                <w:sz w:val="20"/>
                <w:szCs w:val="20"/>
              </w:rPr>
              <w:t>%</w:t>
            </w:r>
          </w:p>
        </w:tc>
      </w:tr>
      <w:tr w:rsidR="00000000" w14:paraId="2F8CD8CD" w14:textId="77777777">
        <w:trPr>
          <w:trHeight w:val="200"/>
          <w:tblCellSpacing w:w="15" w:type="dxa"/>
        </w:trPr>
        <w:tc>
          <w:tcPr>
            <w:tcW w:w="0" w:type="auto"/>
            <w:hideMark/>
          </w:tcPr>
          <w:p w14:paraId="7EB6B717" w14:textId="77777777" w:rsidR="00000000" w:rsidRDefault="00832D71">
            <w:pPr>
              <w:pStyle w:val="a3"/>
              <w:spacing w:before="0" w:beforeAutospacing="0" w:after="0" w:afterAutospacing="0"/>
              <w:rPr>
                <w:sz w:val="20"/>
                <w:szCs w:val="20"/>
              </w:rPr>
            </w:pPr>
            <w:r>
              <w:rPr>
                <w:sz w:val="20"/>
                <w:szCs w:val="20"/>
              </w:rPr>
              <w:t>Michael A. Kugli</w:t>
            </w:r>
            <w:r>
              <w:rPr>
                <w:sz w:val="20"/>
                <w:szCs w:val="20"/>
              </w:rPr>
              <w:t>n</w:t>
            </w:r>
          </w:p>
        </w:tc>
        <w:tc>
          <w:tcPr>
            <w:tcW w:w="0" w:type="auto"/>
            <w:hideMark/>
          </w:tcPr>
          <w:p w14:paraId="429AE63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B7EA55F" w14:textId="77777777" w:rsidR="00000000" w:rsidRDefault="00832D71">
            <w:pPr>
              <w:pStyle w:val="a3"/>
              <w:spacing w:before="0" w:beforeAutospacing="0" w:after="0" w:afterAutospacing="0"/>
              <w:jc w:val="center"/>
              <w:rPr>
                <w:sz w:val="20"/>
                <w:szCs w:val="20"/>
              </w:rPr>
            </w:pPr>
            <w:r>
              <w:rPr>
                <w:sz w:val="20"/>
                <w:szCs w:val="20"/>
              </w:rPr>
              <w:t>38</w:t>
            </w:r>
            <w:r>
              <w:rPr>
                <w:sz w:val="20"/>
                <w:szCs w:val="20"/>
              </w:rPr>
              <w:t>%</w:t>
            </w:r>
          </w:p>
        </w:tc>
        <w:tc>
          <w:tcPr>
            <w:tcW w:w="0" w:type="auto"/>
            <w:vAlign w:val="bottom"/>
            <w:hideMark/>
          </w:tcPr>
          <w:p w14:paraId="549AFBB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8B84D69" w14:textId="77777777" w:rsidR="00000000" w:rsidRDefault="00832D71">
            <w:pPr>
              <w:pStyle w:val="a3"/>
              <w:spacing w:before="0" w:beforeAutospacing="0" w:after="0" w:afterAutospacing="0"/>
              <w:jc w:val="center"/>
              <w:rPr>
                <w:sz w:val="20"/>
                <w:szCs w:val="20"/>
              </w:rPr>
            </w:pPr>
            <w:r>
              <w:rPr>
                <w:sz w:val="20"/>
                <w:szCs w:val="20"/>
              </w:rPr>
              <w:t>30</w:t>
            </w:r>
            <w:r>
              <w:rPr>
                <w:sz w:val="20"/>
                <w:szCs w:val="20"/>
              </w:rPr>
              <w:t>%</w:t>
            </w:r>
          </w:p>
        </w:tc>
        <w:tc>
          <w:tcPr>
            <w:tcW w:w="0" w:type="auto"/>
            <w:hideMark/>
          </w:tcPr>
          <w:p w14:paraId="317EA77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2EC20ED" w14:textId="77777777" w:rsidR="00000000" w:rsidRDefault="00832D71">
            <w:pPr>
              <w:pStyle w:val="a3"/>
              <w:spacing w:before="0" w:beforeAutospacing="0" w:after="0" w:afterAutospacing="0"/>
              <w:jc w:val="center"/>
              <w:rPr>
                <w:sz w:val="20"/>
                <w:szCs w:val="20"/>
              </w:rPr>
            </w:pPr>
            <w:r>
              <w:rPr>
                <w:sz w:val="20"/>
                <w:szCs w:val="20"/>
              </w:rPr>
              <w:t>23</w:t>
            </w:r>
            <w:r>
              <w:rPr>
                <w:sz w:val="20"/>
                <w:szCs w:val="20"/>
              </w:rPr>
              <w:t>%</w:t>
            </w:r>
          </w:p>
        </w:tc>
        <w:tc>
          <w:tcPr>
            <w:tcW w:w="0" w:type="auto"/>
            <w:vAlign w:val="bottom"/>
            <w:hideMark/>
          </w:tcPr>
          <w:p w14:paraId="17B81EFC"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0D8958D4" w14:textId="77777777" w:rsidR="00000000" w:rsidRDefault="00832D71">
            <w:pPr>
              <w:pStyle w:val="a3"/>
              <w:spacing w:before="0" w:beforeAutospacing="0" w:after="0" w:afterAutospacing="0"/>
              <w:jc w:val="center"/>
              <w:rPr>
                <w:sz w:val="20"/>
                <w:szCs w:val="20"/>
              </w:rPr>
            </w:pPr>
            <w:r>
              <w:rPr>
                <w:sz w:val="20"/>
                <w:szCs w:val="20"/>
              </w:rPr>
              <w:t>9</w:t>
            </w:r>
            <w:r>
              <w:rPr>
                <w:sz w:val="20"/>
                <w:szCs w:val="20"/>
              </w:rPr>
              <w:t>%</w:t>
            </w:r>
          </w:p>
        </w:tc>
        <w:tc>
          <w:tcPr>
            <w:tcW w:w="0" w:type="auto"/>
            <w:vAlign w:val="bottom"/>
            <w:hideMark/>
          </w:tcPr>
          <w:p w14:paraId="69218817"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466EDAB5" w14:textId="77777777" w:rsidR="00000000" w:rsidRDefault="00832D71">
            <w:pPr>
              <w:pStyle w:val="a3"/>
              <w:spacing w:before="0" w:beforeAutospacing="0" w:after="0" w:afterAutospacing="0"/>
              <w:jc w:val="center"/>
              <w:rPr>
                <w:sz w:val="20"/>
                <w:szCs w:val="20"/>
              </w:rPr>
            </w:pPr>
            <w:r>
              <w:rPr>
                <w:sz w:val="20"/>
                <w:szCs w:val="20"/>
              </w:rPr>
              <w:t>66</w:t>
            </w:r>
            <w:r>
              <w:rPr>
                <w:sz w:val="20"/>
                <w:szCs w:val="20"/>
              </w:rPr>
              <w:t>%</w:t>
            </w:r>
          </w:p>
        </w:tc>
        <w:tc>
          <w:tcPr>
            <w:tcW w:w="0" w:type="auto"/>
            <w:vAlign w:val="bottom"/>
            <w:hideMark/>
          </w:tcPr>
          <w:p w14:paraId="25C9315D"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32778DEF" w14:textId="77777777" w:rsidR="00000000" w:rsidRDefault="00832D71">
            <w:pPr>
              <w:pStyle w:val="a3"/>
              <w:spacing w:before="0" w:beforeAutospacing="0" w:after="0" w:afterAutospacing="0"/>
              <w:jc w:val="center"/>
              <w:rPr>
                <w:sz w:val="20"/>
                <w:szCs w:val="20"/>
              </w:rPr>
            </w:pPr>
            <w:r>
              <w:rPr>
                <w:sz w:val="20"/>
                <w:szCs w:val="20"/>
              </w:rPr>
              <w:t>34</w:t>
            </w:r>
            <w:r>
              <w:rPr>
                <w:sz w:val="20"/>
                <w:szCs w:val="20"/>
              </w:rPr>
              <w:t>%</w:t>
            </w:r>
          </w:p>
        </w:tc>
      </w:tr>
      <w:tr w:rsidR="00000000" w14:paraId="448555CE" w14:textId="77777777">
        <w:trPr>
          <w:trHeight w:val="200"/>
          <w:tblCellSpacing w:w="15" w:type="dxa"/>
        </w:trPr>
        <w:tc>
          <w:tcPr>
            <w:tcW w:w="0" w:type="auto"/>
            <w:hideMark/>
          </w:tcPr>
          <w:p w14:paraId="4965F52F" w14:textId="77777777" w:rsidR="00000000" w:rsidRDefault="00832D71">
            <w:pPr>
              <w:pStyle w:val="a3"/>
              <w:spacing w:before="0" w:beforeAutospacing="0" w:after="0" w:afterAutospacing="0"/>
              <w:rPr>
                <w:sz w:val="20"/>
                <w:szCs w:val="20"/>
              </w:rPr>
            </w:pPr>
            <w:r>
              <w:rPr>
                <w:sz w:val="20"/>
                <w:szCs w:val="20"/>
              </w:rPr>
              <w:t>Steven C. Boy</w:t>
            </w:r>
            <w:r>
              <w:rPr>
                <w:sz w:val="20"/>
                <w:szCs w:val="20"/>
              </w:rPr>
              <w:t>d</w:t>
            </w:r>
          </w:p>
        </w:tc>
        <w:tc>
          <w:tcPr>
            <w:tcW w:w="0" w:type="auto"/>
            <w:hideMark/>
          </w:tcPr>
          <w:p w14:paraId="677BD53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4AF1086" w14:textId="77777777" w:rsidR="00000000" w:rsidRDefault="00832D71">
            <w:pPr>
              <w:pStyle w:val="a3"/>
              <w:spacing w:before="0" w:beforeAutospacing="0" w:after="0" w:afterAutospacing="0"/>
              <w:jc w:val="center"/>
              <w:rPr>
                <w:sz w:val="20"/>
                <w:szCs w:val="20"/>
              </w:rPr>
            </w:pPr>
            <w:r>
              <w:rPr>
                <w:sz w:val="20"/>
                <w:szCs w:val="20"/>
              </w:rPr>
              <w:t>38</w:t>
            </w:r>
            <w:r>
              <w:rPr>
                <w:sz w:val="20"/>
                <w:szCs w:val="20"/>
              </w:rPr>
              <w:t>%</w:t>
            </w:r>
          </w:p>
        </w:tc>
        <w:tc>
          <w:tcPr>
            <w:tcW w:w="0" w:type="auto"/>
            <w:vAlign w:val="bottom"/>
            <w:hideMark/>
          </w:tcPr>
          <w:p w14:paraId="1B1995F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F9BABF4" w14:textId="77777777" w:rsidR="00000000" w:rsidRDefault="00832D71">
            <w:pPr>
              <w:pStyle w:val="a3"/>
              <w:spacing w:before="0" w:beforeAutospacing="0" w:after="0" w:afterAutospacing="0"/>
              <w:jc w:val="center"/>
              <w:rPr>
                <w:sz w:val="20"/>
                <w:szCs w:val="20"/>
              </w:rPr>
            </w:pPr>
            <w:r>
              <w:rPr>
                <w:sz w:val="20"/>
                <w:szCs w:val="20"/>
              </w:rPr>
              <w:t>30</w:t>
            </w:r>
            <w:r>
              <w:rPr>
                <w:sz w:val="20"/>
                <w:szCs w:val="20"/>
              </w:rPr>
              <w:t>%</w:t>
            </w:r>
          </w:p>
        </w:tc>
        <w:tc>
          <w:tcPr>
            <w:tcW w:w="0" w:type="auto"/>
            <w:hideMark/>
          </w:tcPr>
          <w:p w14:paraId="52208D7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5DF5E80" w14:textId="77777777" w:rsidR="00000000" w:rsidRDefault="00832D71">
            <w:pPr>
              <w:pStyle w:val="a3"/>
              <w:spacing w:before="0" w:beforeAutospacing="0" w:after="0" w:afterAutospacing="0"/>
              <w:jc w:val="center"/>
              <w:rPr>
                <w:sz w:val="20"/>
                <w:szCs w:val="20"/>
              </w:rPr>
            </w:pPr>
            <w:r>
              <w:rPr>
                <w:sz w:val="20"/>
                <w:szCs w:val="20"/>
              </w:rPr>
              <w:t>23</w:t>
            </w:r>
            <w:r>
              <w:rPr>
                <w:sz w:val="20"/>
                <w:szCs w:val="20"/>
              </w:rPr>
              <w:t>%</w:t>
            </w:r>
          </w:p>
        </w:tc>
        <w:tc>
          <w:tcPr>
            <w:tcW w:w="0" w:type="auto"/>
            <w:vAlign w:val="bottom"/>
            <w:hideMark/>
          </w:tcPr>
          <w:p w14:paraId="253939A8"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1F659DC0" w14:textId="77777777" w:rsidR="00000000" w:rsidRDefault="00832D71">
            <w:pPr>
              <w:pStyle w:val="a3"/>
              <w:spacing w:before="0" w:beforeAutospacing="0" w:after="0" w:afterAutospacing="0"/>
              <w:jc w:val="center"/>
              <w:rPr>
                <w:sz w:val="20"/>
                <w:szCs w:val="20"/>
              </w:rPr>
            </w:pPr>
            <w:r>
              <w:rPr>
                <w:sz w:val="20"/>
                <w:szCs w:val="20"/>
              </w:rPr>
              <w:t>9</w:t>
            </w:r>
            <w:r>
              <w:rPr>
                <w:sz w:val="20"/>
                <w:szCs w:val="20"/>
              </w:rPr>
              <w:t>%</w:t>
            </w:r>
          </w:p>
        </w:tc>
        <w:tc>
          <w:tcPr>
            <w:tcW w:w="0" w:type="auto"/>
            <w:vAlign w:val="bottom"/>
            <w:hideMark/>
          </w:tcPr>
          <w:p w14:paraId="18619FAD"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743769EA" w14:textId="77777777" w:rsidR="00000000" w:rsidRDefault="00832D71">
            <w:pPr>
              <w:pStyle w:val="a3"/>
              <w:spacing w:before="0" w:beforeAutospacing="0" w:after="0" w:afterAutospacing="0"/>
              <w:jc w:val="center"/>
              <w:rPr>
                <w:sz w:val="20"/>
                <w:szCs w:val="20"/>
              </w:rPr>
            </w:pPr>
            <w:r>
              <w:rPr>
                <w:sz w:val="20"/>
                <w:szCs w:val="20"/>
              </w:rPr>
              <w:t>66</w:t>
            </w:r>
            <w:r>
              <w:rPr>
                <w:sz w:val="20"/>
                <w:szCs w:val="20"/>
              </w:rPr>
              <w:t>%</w:t>
            </w:r>
          </w:p>
        </w:tc>
        <w:tc>
          <w:tcPr>
            <w:tcW w:w="0" w:type="auto"/>
            <w:vAlign w:val="bottom"/>
            <w:hideMark/>
          </w:tcPr>
          <w:p w14:paraId="0CE72D72"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1BC73693" w14:textId="77777777" w:rsidR="00000000" w:rsidRDefault="00832D71">
            <w:pPr>
              <w:pStyle w:val="a3"/>
              <w:spacing w:before="0" w:beforeAutospacing="0" w:after="0" w:afterAutospacing="0"/>
              <w:jc w:val="center"/>
              <w:rPr>
                <w:sz w:val="20"/>
                <w:szCs w:val="20"/>
              </w:rPr>
            </w:pPr>
            <w:r>
              <w:rPr>
                <w:sz w:val="20"/>
                <w:szCs w:val="20"/>
              </w:rPr>
              <w:t>34</w:t>
            </w:r>
            <w:r>
              <w:rPr>
                <w:sz w:val="20"/>
                <w:szCs w:val="20"/>
              </w:rPr>
              <w:t>%</w:t>
            </w:r>
          </w:p>
        </w:tc>
      </w:tr>
      <w:tr w:rsidR="00000000" w14:paraId="324D9392" w14:textId="77777777">
        <w:trPr>
          <w:trHeight w:val="200"/>
          <w:tblCellSpacing w:w="15" w:type="dxa"/>
        </w:trPr>
        <w:tc>
          <w:tcPr>
            <w:tcW w:w="0" w:type="auto"/>
            <w:hideMark/>
          </w:tcPr>
          <w:p w14:paraId="4A39A6B6" w14:textId="77777777" w:rsidR="00000000" w:rsidRDefault="00832D71">
            <w:pPr>
              <w:pStyle w:val="a3"/>
              <w:spacing w:before="0" w:beforeAutospacing="0" w:after="0" w:afterAutospacing="0"/>
              <w:rPr>
                <w:sz w:val="20"/>
                <w:szCs w:val="20"/>
              </w:rPr>
            </w:pPr>
            <w:r>
              <w:rPr>
                <w:sz w:val="20"/>
                <w:szCs w:val="20"/>
              </w:rPr>
              <w:t>Douglas T. Brinkwort</w:t>
            </w:r>
            <w:r>
              <w:rPr>
                <w:sz w:val="20"/>
                <w:szCs w:val="20"/>
              </w:rPr>
              <w:t>h</w:t>
            </w:r>
          </w:p>
        </w:tc>
        <w:tc>
          <w:tcPr>
            <w:tcW w:w="0" w:type="auto"/>
            <w:hideMark/>
          </w:tcPr>
          <w:p w14:paraId="20BD7D0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071E7AF" w14:textId="77777777" w:rsidR="00000000" w:rsidRDefault="00832D71">
            <w:pPr>
              <w:pStyle w:val="a3"/>
              <w:spacing w:before="0" w:beforeAutospacing="0" w:after="0" w:afterAutospacing="0"/>
              <w:jc w:val="center"/>
              <w:rPr>
                <w:sz w:val="20"/>
                <w:szCs w:val="20"/>
              </w:rPr>
            </w:pPr>
            <w:r>
              <w:rPr>
                <w:sz w:val="20"/>
                <w:szCs w:val="20"/>
              </w:rPr>
              <w:t>37</w:t>
            </w:r>
            <w:r>
              <w:rPr>
                <w:sz w:val="20"/>
                <w:szCs w:val="20"/>
              </w:rPr>
              <w:t>%</w:t>
            </w:r>
          </w:p>
        </w:tc>
        <w:tc>
          <w:tcPr>
            <w:tcW w:w="0" w:type="auto"/>
            <w:vAlign w:val="bottom"/>
            <w:hideMark/>
          </w:tcPr>
          <w:p w14:paraId="4CD1E74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BA1C225" w14:textId="77777777" w:rsidR="00000000" w:rsidRDefault="00832D71">
            <w:pPr>
              <w:pStyle w:val="a3"/>
              <w:spacing w:before="0" w:beforeAutospacing="0" w:after="0" w:afterAutospacing="0"/>
              <w:jc w:val="center"/>
              <w:rPr>
                <w:sz w:val="20"/>
                <w:szCs w:val="20"/>
              </w:rPr>
            </w:pPr>
            <w:r>
              <w:rPr>
                <w:sz w:val="20"/>
                <w:szCs w:val="20"/>
              </w:rPr>
              <w:t>30</w:t>
            </w:r>
            <w:r>
              <w:rPr>
                <w:sz w:val="20"/>
                <w:szCs w:val="20"/>
              </w:rPr>
              <w:t>%</w:t>
            </w:r>
          </w:p>
        </w:tc>
        <w:tc>
          <w:tcPr>
            <w:tcW w:w="0" w:type="auto"/>
            <w:hideMark/>
          </w:tcPr>
          <w:p w14:paraId="77A1BFE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34B3505" w14:textId="77777777" w:rsidR="00000000" w:rsidRDefault="00832D71">
            <w:pPr>
              <w:pStyle w:val="a3"/>
              <w:spacing w:before="0" w:beforeAutospacing="0" w:after="0" w:afterAutospacing="0"/>
              <w:jc w:val="center"/>
              <w:rPr>
                <w:sz w:val="20"/>
                <w:szCs w:val="20"/>
              </w:rPr>
            </w:pPr>
            <w:r>
              <w:rPr>
                <w:sz w:val="20"/>
                <w:szCs w:val="20"/>
              </w:rPr>
              <w:t>22</w:t>
            </w:r>
            <w:r>
              <w:rPr>
                <w:sz w:val="20"/>
                <w:szCs w:val="20"/>
              </w:rPr>
              <w:t>%</w:t>
            </w:r>
          </w:p>
        </w:tc>
        <w:tc>
          <w:tcPr>
            <w:tcW w:w="0" w:type="auto"/>
            <w:vAlign w:val="bottom"/>
            <w:hideMark/>
          </w:tcPr>
          <w:p w14:paraId="473DB44B"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253A72EB" w14:textId="77777777" w:rsidR="00000000" w:rsidRDefault="00832D71">
            <w:pPr>
              <w:pStyle w:val="a3"/>
              <w:spacing w:before="0" w:beforeAutospacing="0" w:after="0" w:afterAutospacing="0"/>
              <w:jc w:val="center"/>
              <w:rPr>
                <w:sz w:val="20"/>
                <w:szCs w:val="20"/>
              </w:rPr>
            </w:pPr>
            <w:r>
              <w:rPr>
                <w:sz w:val="20"/>
                <w:szCs w:val="20"/>
              </w:rPr>
              <w:t>11</w:t>
            </w:r>
            <w:r>
              <w:rPr>
                <w:sz w:val="20"/>
                <w:szCs w:val="20"/>
              </w:rPr>
              <w:t>%</w:t>
            </w:r>
          </w:p>
        </w:tc>
        <w:tc>
          <w:tcPr>
            <w:tcW w:w="0" w:type="auto"/>
            <w:vAlign w:val="bottom"/>
            <w:hideMark/>
          </w:tcPr>
          <w:p w14:paraId="4E577AC3"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0D0D5912" w14:textId="77777777" w:rsidR="00000000" w:rsidRDefault="00832D71">
            <w:pPr>
              <w:pStyle w:val="a3"/>
              <w:spacing w:before="0" w:beforeAutospacing="0" w:after="0" w:afterAutospacing="0"/>
              <w:jc w:val="center"/>
              <w:rPr>
                <w:sz w:val="20"/>
                <w:szCs w:val="20"/>
              </w:rPr>
            </w:pPr>
            <w:r>
              <w:rPr>
                <w:sz w:val="20"/>
                <w:szCs w:val="20"/>
              </w:rPr>
              <w:t>63</w:t>
            </w:r>
            <w:r>
              <w:rPr>
                <w:sz w:val="20"/>
                <w:szCs w:val="20"/>
              </w:rPr>
              <w:t>%</w:t>
            </w:r>
          </w:p>
        </w:tc>
        <w:tc>
          <w:tcPr>
            <w:tcW w:w="0" w:type="auto"/>
            <w:vAlign w:val="bottom"/>
            <w:hideMark/>
          </w:tcPr>
          <w:p w14:paraId="541EACED"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37DCF270" w14:textId="77777777" w:rsidR="00000000" w:rsidRDefault="00832D71">
            <w:pPr>
              <w:pStyle w:val="a3"/>
              <w:spacing w:before="0" w:beforeAutospacing="0" w:after="0" w:afterAutospacing="0"/>
              <w:jc w:val="center"/>
              <w:rPr>
                <w:sz w:val="20"/>
                <w:szCs w:val="20"/>
              </w:rPr>
            </w:pPr>
            <w:r>
              <w:rPr>
                <w:sz w:val="20"/>
                <w:szCs w:val="20"/>
              </w:rPr>
              <w:t>37</w:t>
            </w:r>
            <w:r>
              <w:rPr>
                <w:sz w:val="20"/>
                <w:szCs w:val="20"/>
              </w:rPr>
              <w:t>%</w:t>
            </w:r>
          </w:p>
        </w:tc>
      </w:tr>
      <w:tr w:rsidR="00000000" w14:paraId="664E2D42" w14:textId="77777777">
        <w:trPr>
          <w:trHeight w:val="200"/>
          <w:tblCellSpacing w:w="15" w:type="dxa"/>
        </w:trPr>
        <w:tc>
          <w:tcPr>
            <w:tcW w:w="0" w:type="auto"/>
            <w:hideMark/>
          </w:tcPr>
          <w:p w14:paraId="65231C8E" w14:textId="77777777" w:rsidR="00000000" w:rsidRDefault="00832D71">
            <w:pPr>
              <w:pStyle w:val="a3"/>
              <w:spacing w:before="0" w:beforeAutospacing="0" w:after="0" w:afterAutospacing="0"/>
              <w:rPr>
                <w:sz w:val="20"/>
                <w:szCs w:val="20"/>
              </w:rPr>
            </w:pPr>
            <w:r>
              <w:rPr>
                <w:sz w:val="20"/>
                <w:szCs w:val="20"/>
              </w:rPr>
              <w:t>Neil E. Scanlo</w:t>
            </w:r>
            <w:r>
              <w:rPr>
                <w:sz w:val="20"/>
                <w:szCs w:val="20"/>
              </w:rPr>
              <w:t>n</w:t>
            </w:r>
          </w:p>
        </w:tc>
        <w:tc>
          <w:tcPr>
            <w:tcW w:w="0" w:type="auto"/>
            <w:hideMark/>
          </w:tcPr>
          <w:p w14:paraId="0F0B6F9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4C4E54C" w14:textId="77777777" w:rsidR="00000000" w:rsidRDefault="00832D71">
            <w:pPr>
              <w:pStyle w:val="a3"/>
              <w:spacing w:before="0" w:beforeAutospacing="0" w:after="0" w:afterAutospacing="0"/>
              <w:jc w:val="center"/>
              <w:rPr>
                <w:sz w:val="20"/>
                <w:szCs w:val="20"/>
              </w:rPr>
            </w:pPr>
            <w:r>
              <w:rPr>
                <w:sz w:val="20"/>
                <w:szCs w:val="20"/>
              </w:rPr>
              <w:t>37</w:t>
            </w:r>
            <w:r>
              <w:rPr>
                <w:sz w:val="20"/>
                <w:szCs w:val="20"/>
              </w:rPr>
              <w:t>%</w:t>
            </w:r>
          </w:p>
        </w:tc>
        <w:tc>
          <w:tcPr>
            <w:tcW w:w="0" w:type="auto"/>
            <w:vAlign w:val="bottom"/>
            <w:hideMark/>
          </w:tcPr>
          <w:p w14:paraId="509D6E9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2A8C331" w14:textId="77777777" w:rsidR="00000000" w:rsidRDefault="00832D71">
            <w:pPr>
              <w:pStyle w:val="a3"/>
              <w:spacing w:before="0" w:beforeAutospacing="0" w:after="0" w:afterAutospacing="0"/>
              <w:jc w:val="center"/>
              <w:rPr>
                <w:sz w:val="20"/>
                <w:szCs w:val="20"/>
              </w:rPr>
            </w:pPr>
            <w:r>
              <w:rPr>
                <w:sz w:val="20"/>
                <w:szCs w:val="20"/>
              </w:rPr>
              <w:t>30</w:t>
            </w:r>
            <w:r>
              <w:rPr>
                <w:sz w:val="20"/>
                <w:szCs w:val="20"/>
              </w:rPr>
              <w:t>%</w:t>
            </w:r>
          </w:p>
        </w:tc>
        <w:tc>
          <w:tcPr>
            <w:tcW w:w="0" w:type="auto"/>
            <w:hideMark/>
          </w:tcPr>
          <w:p w14:paraId="5F54FFF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AEBDC40" w14:textId="77777777" w:rsidR="00000000" w:rsidRDefault="00832D71">
            <w:pPr>
              <w:pStyle w:val="a3"/>
              <w:spacing w:before="0" w:beforeAutospacing="0" w:after="0" w:afterAutospacing="0"/>
              <w:jc w:val="center"/>
              <w:rPr>
                <w:sz w:val="20"/>
                <w:szCs w:val="20"/>
              </w:rPr>
            </w:pPr>
            <w:r>
              <w:rPr>
                <w:sz w:val="20"/>
                <w:szCs w:val="20"/>
              </w:rPr>
              <w:t>22</w:t>
            </w:r>
            <w:r>
              <w:rPr>
                <w:sz w:val="20"/>
                <w:szCs w:val="20"/>
              </w:rPr>
              <w:t>%</w:t>
            </w:r>
          </w:p>
        </w:tc>
        <w:tc>
          <w:tcPr>
            <w:tcW w:w="0" w:type="auto"/>
            <w:vAlign w:val="bottom"/>
            <w:hideMark/>
          </w:tcPr>
          <w:p w14:paraId="256D6E53"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722E2F48" w14:textId="77777777" w:rsidR="00000000" w:rsidRDefault="00832D71">
            <w:pPr>
              <w:pStyle w:val="a3"/>
              <w:spacing w:before="0" w:beforeAutospacing="0" w:after="0" w:afterAutospacing="0"/>
              <w:jc w:val="center"/>
              <w:rPr>
                <w:sz w:val="20"/>
                <w:szCs w:val="20"/>
              </w:rPr>
            </w:pPr>
            <w:r>
              <w:rPr>
                <w:sz w:val="20"/>
                <w:szCs w:val="20"/>
              </w:rPr>
              <w:t>11</w:t>
            </w:r>
            <w:r>
              <w:rPr>
                <w:sz w:val="20"/>
                <w:szCs w:val="20"/>
              </w:rPr>
              <w:t>%</w:t>
            </w:r>
          </w:p>
        </w:tc>
        <w:tc>
          <w:tcPr>
            <w:tcW w:w="0" w:type="auto"/>
            <w:vAlign w:val="bottom"/>
            <w:hideMark/>
          </w:tcPr>
          <w:p w14:paraId="70D8C1C8"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468F13C3" w14:textId="77777777" w:rsidR="00000000" w:rsidRDefault="00832D71">
            <w:pPr>
              <w:pStyle w:val="a3"/>
              <w:spacing w:before="0" w:beforeAutospacing="0" w:after="0" w:afterAutospacing="0"/>
              <w:jc w:val="center"/>
              <w:rPr>
                <w:sz w:val="20"/>
                <w:szCs w:val="20"/>
              </w:rPr>
            </w:pPr>
            <w:r>
              <w:rPr>
                <w:sz w:val="20"/>
                <w:szCs w:val="20"/>
              </w:rPr>
              <w:t>62</w:t>
            </w:r>
            <w:r>
              <w:rPr>
                <w:sz w:val="20"/>
                <w:szCs w:val="20"/>
              </w:rPr>
              <w:t>%</w:t>
            </w:r>
          </w:p>
        </w:tc>
        <w:tc>
          <w:tcPr>
            <w:tcW w:w="0" w:type="auto"/>
            <w:vAlign w:val="bottom"/>
            <w:hideMark/>
          </w:tcPr>
          <w:p w14:paraId="79F5EE49"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6AC36D8A" w14:textId="77777777" w:rsidR="00000000" w:rsidRDefault="00832D71">
            <w:pPr>
              <w:pStyle w:val="a3"/>
              <w:spacing w:before="0" w:beforeAutospacing="0" w:after="0" w:afterAutospacing="0"/>
              <w:jc w:val="center"/>
              <w:rPr>
                <w:sz w:val="20"/>
                <w:szCs w:val="20"/>
              </w:rPr>
            </w:pPr>
            <w:r>
              <w:rPr>
                <w:sz w:val="20"/>
                <w:szCs w:val="20"/>
              </w:rPr>
              <w:t>38</w:t>
            </w:r>
            <w:r>
              <w:rPr>
                <w:sz w:val="20"/>
                <w:szCs w:val="20"/>
              </w:rPr>
              <w:t>%</w:t>
            </w:r>
          </w:p>
        </w:tc>
      </w:tr>
    </w:tbl>
    <w:p w14:paraId="602B2CEB" w14:textId="77777777" w:rsidR="00000000" w:rsidRDefault="00832D71">
      <w:pPr>
        <w:pStyle w:val="a3"/>
        <w:spacing w:before="0" w:beforeAutospacing="0" w:after="0" w:afterAutospacing="0"/>
        <w:rPr>
          <w:sz w:val="20"/>
          <w:szCs w:val="20"/>
        </w:rPr>
      </w:pPr>
      <w:r>
        <w:rPr>
          <w:sz w:val="20"/>
          <w:szCs w:val="20"/>
        </w:rPr>
        <w:t> </w:t>
      </w:r>
    </w:p>
    <w:p w14:paraId="73671B72" w14:textId="77777777" w:rsidR="00000000" w:rsidRDefault="00832D71">
      <w:pPr>
        <w:pStyle w:val="a3"/>
        <w:spacing w:before="0" w:beforeAutospacing="0" w:after="0" w:afterAutospacing="0"/>
        <w:jc w:val="center"/>
        <w:rPr>
          <w:sz w:val="20"/>
          <w:szCs w:val="20"/>
        </w:rPr>
      </w:pPr>
      <w:r>
        <w:rPr>
          <w:sz w:val="20"/>
          <w:szCs w:val="20"/>
        </w:rPr>
        <w:t> </w:t>
      </w:r>
    </w:p>
    <w:p w14:paraId="5594C9B7"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7</w:t>
      </w:r>
    </w:p>
    <w:p w14:paraId="480B6180" w14:textId="77777777" w:rsidR="00000000" w:rsidRDefault="00832D71">
      <w:pPr>
        <w:rPr>
          <w:rFonts w:eastAsia="Times New Roman"/>
        </w:rPr>
      </w:pPr>
      <w:r>
        <w:rPr>
          <w:rFonts w:eastAsia="Times New Roman"/>
        </w:rPr>
        <w:pict w14:anchorId="5CB8481E">
          <v:rect id="_x0000_i1084" style="width:0;height:1.5pt" o:hralign="center" o:hrstd="t" o:hr="t" fillcolor="#a0a0a0" stroked="f"/>
        </w:pict>
      </w:r>
    </w:p>
    <w:p w14:paraId="77A8342D"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0AE6A9E6" w14:textId="77777777" w:rsidR="00000000" w:rsidRDefault="00832D71">
      <w:pPr>
        <w:pStyle w:val="a3"/>
        <w:spacing w:before="240" w:beforeAutospacing="0" w:after="0" w:afterAutospacing="0"/>
        <w:ind w:firstLine="555"/>
        <w:jc w:val="both"/>
        <w:rPr>
          <w:sz w:val="20"/>
          <w:szCs w:val="20"/>
        </w:rPr>
      </w:pPr>
      <w:r>
        <w:rPr>
          <w:sz w:val="20"/>
          <w:szCs w:val="20"/>
        </w:rPr>
        <w:t>In reviewing and establishing compensation packages for our named executive officers for fiscal 2023, at its meeting on November 8, 2022, in accordance with its i</w:t>
      </w:r>
      <w:r>
        <w:rPr>
          <w:sz w:val="20"/>
          <w:szCs w:val="20"/>
        </w:rPr>
        <w:t>nformal policy of considering base salary increases every two years, the Committee did not make base salary adjustments. The Committee did, however, review the study provided by WTW for the fiscal 2022 adjustments, as well as the 2022 Mercer benchmark data</w:t>
      </w:r>
      <w:r>
        <w:rPr>
          <w:sz w:val="20"/>
          <w:szCs w:val="20"/>
        </w:rPr>
        <w:t>base. Specifically, both data sources were used to review and approve the target value of the non-cash Restricted Unit Plan, and cash settled Phantom Unit Plan, grants that were awarded to our named executive officers and certain other executive officers a</w:t>
      </w:r>
      <w:r>
        <w:rPr>
          <w:sz w:val="20"/>
          <w:szCs w:val="20"/>
        </w:rPr>
        <w:t>s part of their overall compensation packages for fiscal 2023</w:t>
      </w:r>
      <w:r>
        <w:rPr>
          <w:sz w:val="20"/>
          <w:szCs w:val="20"/>
        </w:rPr>
        <w:t>.</w:t>
      </w:r>
    </w:p>
    <w:p w14:paraId="4E10804C" w14:textId="77777777" w:rsidR="00000000" w:rsidRDefault="00832D71">
      <w:pPr>
        <w:pStyle w:val="a3"/>
        <w:spacing w:before="240" w:beforeAutospacing="0" w:after="0" w:afterAutospacing="0"/>
        <w:ind w:firstLine="555"/>
        <w:jc w:val="both"/>
        <w:rPr>
          <w:sz w:val="20"/>
          <w:szCs w:val="20"/>
        </w:rPr>
      </w:pPr>
      <w:r>
        <w:rPr>
          <w:sz w:val="20"/>
          <w:szCs w:val="20"/>
        </w:rPr>
        <w:t>The following table summarizes each of the components of total cash compensation as a percentage of each named executive officer’s total cash compensation opportunity for fiscal 2023, as well a</w:t>
      </w:r>
      <w:r>
        <w:rPr>
          <w:sz w:val="20"/>
          <w:szCs w:val="20"/>
        </w:rPr>
        <w:t>s the total cash compensation opportunity and the non-cash Restricted Unit Plan, and cash settled Phantom Unit Plan, grants each as a percentage of the total direct compensation opportunity for fiscal 2023</w:t>
      </w:r>
      <w:r>
        <w:rPr>
          <w:sz w:val="20"/>
          <w:szCs w:val="20"/>
        </w:rPr>
        <w:t>:</w:t>
      </w:r>
    </w:p>
    <w:p w14:paraId="6A16AFBC" w14:textId="77777777" w:rsidR="00000000" w:rsidRDefault="00832D71">
      <w:pPr>
        <w:pStyle w:val="a3"/>
        <w:spacing w:before="0" w:beforeAutospacing="0" w:after="0" w:afterAutospacing="0"/>
        <w:ind w:firstLine="555"/>
        <w:jc w:val="both"/>
        <w:rPr>
          <w:sz w:val="20"/>
          <w:szCs w:val="20"/>
        </w:rPr>
      </w:pPr>
      <w:r>
        <w:rPr>
          <w:sz w:val="20"/>
          <w:szCs w:val="20"/>
        </w:rPr>
        <w:t> </w:t>
      </w:r>
    </w:p>
    <w:tbl>
      <w:tblPr>
        <w:tblW w:w="4050" w:type="pct"/>
        <w:tblCellSpacing w:w="15" w:type="dxa"/>
        <w:tblCellMar>
          <w:top w:w="15" w:type="dxa"/>
          <w:left w:w="15" w:type="dxa"/>
          <w:bottom w:w="15" w:type="dxa"/>
          <w:right w:w="15" w:type="dxa"/>
        </w:tblCellMar>
        <w:tblLook w:val="04A0" w:firstRow="1" w:lastRow="0" w:firstColumn="1" w:lastColumn="0" w:noHBand="0" w:noVBand="1"/>
      </w:tblPr>
      <w:tblGrid>
        <w:gridCol w:w="998"/>
        <w:gridCol w:w="110"/>
        <w:gridCol w:w="505"/>
        <w:gridCol w:w="110"/>
        <w:gridCol w:w="523"/>
        <w:gridCol w:w="110"/>
        <w:gridCol w:w="692"/>
        <w:gridCol w:w="110"/>
        <w:gridCol w:w="683"/>
        <w:gridCol w:w="110"/>
        <w:gridCol w:w="896"/>
        <w:gridCol w:w="115"/>
        <w:gridCol w:w="1047"/>
        <w:gridCol w:w="110"/>
        <w:gridCol w:w="1047"/>
        <w:gridCol w:w="125"/>
      </w:tblGrid>
      <w:tr w:rsidR="00000000" w14:paraId="4207E662" w14:textId="77777777">
        <w:trPr>
          <w:tblCellSpacing w:w="15" w:type="dxa"/>
        </w:trPr>
        <w:tc>
          <w:tcPr>
            <w:tcW w:w="1111" w:type="pct"/>
            <w:vAlign w:val="center"/>
            <w:hideMark/>
          </w:tcPr>
          <w:p w14:paraId="0360AE1F" w14:textId="77777777" w:rsidR="00000000" w:rsidRDefault="00832D71">
            <w:pPr>
              <w:rPr>
                <w:sz w:val="20"/>
                <w:szCs w:val="20"/>
              </w:rPr>
            </w:pPr>
          </w:p>
        </w:tc>
        <w:tc>
          <w:tcPr>
            <w:tcW w:w="61" w:type="pct"/>
            <w:vAlign w:val="center"/>
            <w:hideMark/>
          </w:tcPr>
          <w:p w14:paraId="2F04812D" w14:textId="77777777" w:rsidR="00000000" w:rsidRDefault="00832D71">
            <w:pPr>
              <w:rPr>
                <w:rFonts w:eastAsia="Times New Roman"/>
                <w:sz w:val="20"/>
                <w:szCs w:val="20"/>
              </w:rPr>
            </w:pPr>
          </w:p>
        </w:tc>
        <w:tc>
          <w:tcPr>
            <w:tcW w:w="369" w:type="pct"/>
            <w:vAlign w:val="center"/>
            <w:hideMark/>
          </w:tcPr>
          <w:p w14:paraId="5ADC71BD" w14:textId="77777777" w:rsidR="00000000" w:rsidRDefault="00832D71">
            <w:pPr>
              <w:rPr>
                <w:rFonts w:eastAsia="Times New Roman"/>
                <w:sz w:val="20"/>
                <w:szCs w:val="20"/>
              </w:rPr>
            </w:pPr>
          </w:p>
        </w:tc>
        <w:tc>
          <w:tcPr>
            <w:tcW w:w="61" w:type="pct"/>
            <w:vAlign w:val="center"/>
            <w:hideMark/>
          </w:tcPr>
          <w:p w14:paraId="56044A0F" w14:textId="77777777" w:rsidR="00000000" w:rsidRDefault="00832D71">
            <w:pPr>
              <w:rPr>
                <w:rFonts w:eastAsia="Times New Roman"/>
                <w:sz w:val="20"/>
                <w:szCs w:val="20"/>
              </w:rPr>
            </w:pPr>
          </w:p>
        </w:tc>
        <w:tc>
          <w:tcPr>
            <w:tcW w:w="369" w:type="pct"/>
            <w:vAlign w:val="center"/>
            <w:hideMark/>
          </w:tcPr>
          <w:p w14:paraId="7D99F896" w14:textId="77777777" w:rsidR="00000000" w:rsidRDefault="00832D71">
            <w:pPr>
              <w:rPr>
                <w:rFonts w:eastAsia="Times New Roman"/>
                <w:sz w:val="20"/>
                <w:szCs w:val="20"/>
              </w:rPr>
            </w:pPr>
          </w:p>
        </w:tc>
        <w:tc>
          <w:tcPr>
            <w:tcW w:w="61" w:type="pct"/>
            <w:vAlign w:val="center"/>
            <w:hideMark/>
          </w:tcPr>
          <w:p w14:paraId="16E29C37" w14:textId="77777777" w:rsidR="00000000" w:rsidRDefault="00832D71">
            <w:pPr>
              <w:rPr>
                <w:rFonts w:eastAsia="Times New Roman"/>
                <w:sz w:val="20"/>
                <w:szCs w:val="20"/>
              </w:rPr>
            </w:pPr>
          </w:p>
        </w:tc>
        <w:tc>
          <w:tcPr>
            <w:tcW w:w="432" w:type="pct"/>
            <w:vAlign w:val="center"/>
            <w:hideMark/>
          </w:tcPr>
          <w:p w14:paraId="0E8F9811" w14:textId="77777777" w:rsidR="00000000" w:rsidRDefault="00832D71">
            <w:pPr>
              <w:rPr>
                <w:rFonts w:eastAsia="Times New Roman"/>
                <w:sz w:val="20"/>
                <w:szCs w:val="20"/>
              </w:rPr>
            </w:pPr>
          </w:p>
        </w:tc>
        <w:tc>
          <w:tcPr>
            <w:tcW w:w="61" w:type="pct"/>
            <w:vAlign w:val="center"/>
            <w:hideMark/>
          </w:tcPr>
          <w:p w14:paraId="35C96C7D" w14:textId="77777777" w:rsidR="00000000" w:rsidRDefault="00832D71">
            <w:pPr>
              <w:rPr>
                <w:rFonts w:eastAsia="Times New Roman"/>
                <w:sz w:val="20"/>
                <w:szCs w:val="20"/>
              </w:rPr>
            </w:pPr>
          </w:p>
        </w:tc>
        <w:tc>
          <w:tcPr>
            <w:tcW w:w="432" w:type="pct"/>
            <w:vAlign w:val="center"/>
            <w:hideMark/>
          </w:tcPr>
          <w:p w14:paraId="0B53C69D" w14:textId="77777777" w:rsidR="00000000" w:rsidRDefault="00832D71">
            <w:pPr>
              <w:rPr>
                <w:rFonts w:eastAsia="Times New Roman"/>
                <w:sz w:val="20"/>
                <w:szCs w:val="20"/>
              </w:rPr>
            </w:pPr>
          </w:p>
        </w:tc>
        <w:tc>
          <w:tcPr>
            <w:tcW w:w="61" w:type="pct"/>
            <w:vAlign w:val="center"/>
            <w:hideMark/>
          </w:tcPr>
          <w:p w14:paraId="27F7284A" w14:textId="77777777" w:rsidR="00000000" w:rsidRDefault="00832D71">
            <w:pPr>
              <w:rPr>
                <w:rFonts w:eastAsia="Times New Roman"/>
                <w:sz w:val="20"/>
                <w:szCs w:val="20"/>
              </w:rPr>
            </w:pPr>
          </w:p>
        </w:tc>
        <w:tc>
          <w:tcPr>
            <w:tcW w:w="556" w:type="pct"/>
            <w:vAlign w:val="center"/>
            <w:hideMark/>
          </w:tcPr>
          <w:p w14:paraId="4FD15BA6" w14:textId="77777777" w:rsidR="00000000" w:rsidRDefault="00832D71">
            <w:pPr>
              <w:rPr>
                <w:rFonts w:eastAsia="Times New Roman"/>
                <w:sz w:val="20"/>
                <w:szCs w:val="20"/>
              </w:rPr>
            </w:pPr>
          </w:p>
        </w:tc>
        <w:tc>
          <w:tcPr>
            <w:tcW w:w="61" w:type="pct"/>
            <w:vAlign w:val="center"/>
            <w:hideMark/>
          </w:tcPr>
          <w:p w14:paraId="2DB5D50F" w14:textId="77777777" w:rsidR="00000000" w:rsidRDefault="00832D71">
            <w:pPr>
              <w:rPr>
                <w:rFonts w:eastAsia="Times New Roman"/>
                <w:sz w:val="20"/>
                <w:szCs w:val="20"/>
              </w:rPr>
            </w:pPr>
          </w:p>
        </w:tc>
        <w:tc>
          <w:tcPr>
            <w:tcW w:w="617" w:type="pct"/>
            <w:vAlign w:val="center"/>
            <w:hideMark/>
          </w:tcPr>
          <w:p w14:paraId="33BB6D8D" w14:textId="77777777" w:rsidR="00000000" w:rsidRDefault="00832D71">
            <w:pPr>
              <w:rPr>
                <w:rFonts w:eastAsia="Times New Roman"/>
                <w:sz w:val="20"/>
                <w:szCs w:val="20"/>
              </w:rPr>
            </w:pPr>
          </w:p>
        </w:tc>
        <w:tc>
          <w:tcPr>
            <w:tcW w:w="61" w:type="pct"/>
            <w:vAlign w:val="center"/>
            <w:hideMark/>
          </w:tcPr>
          <w:p w14:paraId="3866908A" w14:textId="77777777" w:rsidR="00000000" w:rsidRDefault="00832D71">
            <w:pPr>
              <w:rPr>
                <w:rFonts w:eastAsia="Times New Roman"/>
                <w:sz w:val="20"/>
                <w:szCs w:val="20"/>
              </w:rPr>
            </w:pPr>
          </w:p>
        </w:tc>
        <w:tc>
          <w:tcPr>
            <w:tcW w:w="617" w:type="pct"/>
            <w:vAlign w:val="center"/>
            <w:hideMark/>
          </w:tcPr>
          <w:p w14:paraId="51C3E190" w14:textId="77777777" w:rsidR="00000000" w:rsidRDefault="00832D71">
            <w:pPr>
              <w:rPr>
                <w:rFonts w:eastAsia="Times New Roman"/>
                <w:sz w:val="20"/>
                <w:szCs w:val="20"/>
              </w:rPr>
            </w:pPr>
          </w:p>
        </w:tc>
        <w:tc>
          <w:tcPr>
            <w:tcW w:w="61" w:type="pct"/>
            <w:vAlign w:val="center"/>
            <w:hideMark/>
          </w:tcPr>
          <w:p w14:paraId="62B12C93" w14:textId="77777777" w:rsidR="00000000" w:rsidRDefault="00832D71">
            <w:pPr>
              <w:rPr>
                <w:rFonts w:eastAsia="Times New Roman"/>
                <w:sz w:val="20"/>
                <w:szCs w:val="20"/>
              </w:rPr>
            </w:pPr>
          </w:p>
        </w:tc>
      </w:tr>
      <w:tr w:rsidR="00000000" w14:paraId="029520C6" w14:textId="77777777">
        <w:trPr>
          <w:trHeight w:val="160"/>
          <w:tblCellSpacing w:w="15" w:type="dxa"/>
        </w:trPr>
        <w:tc>
          <w:tcPr>
            <w:tcW w:w="0" w:type="auto"/>
            <w:vAlign w:val="bottom"/>
            <w:hideMark/>
          </w:tcPr>
          <w:p w14:paraId="441E156B"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51287F37"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9A5368D" w14:textId="77777777" w:rsidR="00000000" w:rsidRDefault="00832D71">
            <w:pPr>
              <w:pStyle w:val="a3"/>
              <w:spacing w:before="0" w:beforeAutospacing="0" w:after="0" w:afterAutospacing="0"/>
              <w:jc w:val="center"/>
              <w:rPr>
                <w:sz w:val="16"/>
                <w:szCs w:val="16"/>
              </w:rPr>
            </w:pPr>
            <w:r>
              <w:rPr>
                <w:b/>
                <w:bCs/>
                <w:sz w:val="16"/>
                <w:szCs w:val="16"/>
              </w:rPr>
              <w:t>Base Salar</w:t>
            </w:r>
            <w:r>
              <w:rPr>
                <w:b/>
                <w:bCs/>
                <w:sz w:val="16"/>
                <w:szCs w:val="16"/>
              </w:rPr>
              <w:t>y</w:t>
            </w:r>
          </w:p>
        </w:tc>
        <w:tc>
          <w:tcPr>
            <w:tcW w:w="0" w:type="auto"/>
            <w:vAlign w:val="bottom"/>
            <w:hideMark/>
          </w:tcPr>
          <w:p w14:paraId="722A835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3FD31FD" w14:textId="77777777" w:rsidR="00000000" w:rsidRDefault="00832D71">
            <w:pPr>
              <w:pStyle w:val="a3"/>
              <w:spacing w:before="0" w:beforeAutospacing="0" w:after="0" w:afterAutospacing="0"/>
              <w:jc w:val="center"/>
              <w:rPr>
                <w:sz w:val="16"/>
                <w:szCs w:val="16"/>
              </w:rPr>
            </w:pPr>
            <w:r>
              <w:rPr>
                <w:b/>
                <w:bCs/>
                <w:sz w:val="16"/>
                <w:szCs w:val="16"/>
              </w:rPr>
              <w:t>Cash Bonus</w:t>
            </w:r>
            <w:r>
              <w:rPr>
                <w:b/>
                <w:bCs/>
                <w:sz w:val="16"/>
                <w:szCs w:val="16"/>
              </w:rPr>
              <w:br/>
              <w:t>Targe</w:t>
            </w:r>
            <w:r>
              <w:rPr>
                <w:b/>
                <w:bCs/>
                <w:sz w:val="16"/>
                <w:szCs w:val="16"/>
              </w:rPr>
              <w:t>t</w:t>
            </w:r>
          </w:p>
        </w:tc>
        <w:tc>
          <w:tcPr>
            <w:tcW w:w="0" w:type="auto"/>
            <w:hideMark/>
          </w:tcPr>
          <w:p w14:paraId="0373962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453DE1D" w14:textId="77777777" w:rsidR="00000000" w:rsidRDefault="00832D71">
            <w:pPr>
              <w:pStyle w:val="a3"/>
              <w:spacing w:before="0" w:beforeAutospacing="0" w:after="0" w:afterAutospacing="0"/>
              <w:jc w:val="center"/>
              <w:rPr>
                <w:sz w:val="16"/>
                <w:szCs w:val="16"/>
              </w:rPr>
            </w:pPr>
            <w:r>
              <w:rPr>
                <w:b/>
                <w:bCs/>
                <w:sz w:val="16"/>
                <w:szCs w:val="16"/>
              </w:rPr>
              <w:t>Cash Settled</w:t>
            </w:r>
            <w:r>
              <w:rPr>
                <w:b/>
                <w:bCs/>
                <w:sz w:val="16"/>
                <w:szCs w:val="16"/>
              </w:rPr>
              <w:br/>
              <w:t>Long-Term</w:t>
            </w:r>
            <w:r>
              <w:rPr>
                <w:b/>
                <w:bCs/>
                <w:sz w:val="16"/>
                <w:szCs w:val="16"/>
              </w:rPr>
              <w:br/>
              <w:t>Incentiv</w:t>
            </w:r>
            <w:r>
              <w:rPr>
                <w:b/>
                <w:bCs/>
                <w:sz w:val="16"/>
                <w:szCs w:val="16"/>
              </w:rPr>
              <w:t>e</w:t>
            </w:r>
          </w:p>
        </w:tc>
        <w:tc>
          <w:tcPr>
            <w:tcW w:w="0" w:type="auto"/>
            <w:hideMark/>
          </w:tcPr>
          <w:p w14:paraId="207CBBC1"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C3B9DF2" w14:textId="77777777" w:rsidR="00000000" w:rsidRDefault="00832D71">
            <w:pPr>
              <w:pStyle w:val="a3"/>
              <w:spacing w:before="0" w:beforeAutospacing="0" w:after="0" w:afterAutospacing="0"/>
              <w:jc w:val="center"/>
              <w:rPr>
                <w:sz w:val="16"/>
                <w:szCs w:val="16"/>
              </w:rPr>
            </w:pPr>
            <w:r>
              <w:rPr>
                <w:b/>
                <w:bCs/>
                <w:sz w:val="16"/>
                <w:szCs w:val="16"/>
              </w:rPr>
              <w:t>Cash Settled</w:t>
            </w:r>
            <w:r>
              <w:rPr>
                <w:b/>
                <w:bCs/>
                <w:sz w:val="16"/>
                <w:szCs w:val="16"/>
              </w:rPr>
              <w:br/>
              <w:t>Phantom Unit</w:t>
            </w:r>
            <w:r>
              <w:rPr>
                <w:b/>
                <w:bCs/>
                <w:sz w:val="16"/>
                <w:szCs w:val="16"/>
              </w:rPr>
              <w:br/>
              <w:t>Plan Grant</w:t>
            </w:r>
            <w:r>
              <w:rPr>
                <w:b/>
                <w:bCs/>
                <w:sz w:val="16"/>
                <w:szCs w:val="16"/>
              </w:rPr>
              <w:t>s</w:t>
            </w:r>
          </w:p>
        </w:tc>
        <w:tc>
          <w:tcPr>
            <w:tcW w:w="0" w:type="auto"/>
            <w:vAlign w:val="bottom"/>
            <w:hideMark/>
          </w:tcPr>
          <w:p w14:paraId="46274E0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CE8C817" w14:textId="77777777" w:rsidR="00000000" w:rsidRDefault="00832D71">
            <w:pPr>
              <w:pStyle w:val="a3"/>
              <w:spacing w:before="0" w:beforeAutospacing="0" w:after="0" w:afterAutospacing="0"/>
              <w:jc w:val="center"/>
              <w:rPr>
                <w:sz w:val="16"/>
                <w:szCs w:val="16"/>
              </w:rPr>
            </w:pPr>
            <w:r>
              <w:rPr>
                <w:b/>
                <w:bCs/>
                <w:sz w:val="16"/>
                <w:szCs w:val="16"/>
              </w:rPr>
              <w:t>Distribution</w:t>
            </w:r>
            <w:r>
              <w:rPr>
                <w:b/>
                <w:bCs/>
                <w:sz w:val="16"/>
                <w:szCs w:val="16"/>
              </w:rPr>
              <w:br/>
              <w:t>Equivalent</w:t>
            </w:r>
            <w:r>
              <w:rPr>
                <w:b/>
                <w:bCs/>
                <w:sz w:val="16"/>
                <w:szCs w:val="16"/>
              </w:rPr>
              <w:br/>
              <w:t>Right</w:t>
            </w:r>
            <w:r>
              <w:rPr>
                <w:b/>
                <w:bCs/>
                <w:sz w:val="16"/>
                <w:szCs w:val="16"/>
              </w:rPr>
              <w:t>s</w:t>
            </w:r>
          </w:p>
        </w:tc>
        <w:tc>
          <w:tcPr>
            <w:tcW w:w="0" w:type="auto"/>
            <w:vAlign w:val="bottom"/>
            <w:hideMark/>
          </w:tcPr>
          <w:p w14:paraId="395115FD"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6C559A8" w14:textId="77777777" w:rsidR="00000000" w:rsidRDefault="00832D71">
            <w:pPr>
              <w:pStyle w:val="a3"/>
              <w:spacing w:before="0" w:beforeAutospacing="0" w:after="0" w:afterAutospacing="0"/>
              <w:jc w:val="center"/>
              <w:rPr>
                <w:sz w:val="16"/>
                <w:szCs w:val="16"/>
              </w:rPr>
            </w:pPr>
            <w:r>
              <w:rPr>
                <w:b/>
                <w:bCs/>
                <w:sz w:val="16"/>
                <w:szCs w:val="16"/>
              </w:rPr>
              <w:t>Total Cash Compensation Opportunity as a Percentage of Total Direct Compensatio</w:t>
            </w:r>
            <w:r>
              <w:rPr>
                <w:b/>
                <w:bCs/>
                <w:sz w:val="16"/>
                <w:szCs w:val="16"/>
              </w:rPr>
              <w:t>n</w:t>
            </w:r>
          </w:p>
        </w:tc>
        <w:tc>
          <w:tcPr>
            <w:tcW w:w="0" w:type="auto"/>
            <w:vAlign w:val="bottom"/>
            <w:hideMark/>
          </w:tcPr>
          <w:p w14:paraId="0C0D7E91"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CBD2FF4" w14:textId="77777777" w:rsidR="00000000" w:rsidRDefault="00832D71">
            <w:pPr>
              <w:pStyle w:val="a3"/>
              <w:spacing w:before="0" w:beforeAutospacing="0" w:after="0" w:afterAutospacing="0"/>
              <w:jc w:val="center"/>
              <w:rPr>
                <w:sz w:val="16"/>
                <w:szCs w:val="16"/>
              </w:rPr>
            </w:pPr>
            <w:r>
              <w:rPr>
                <w:b/>
                <w:bCs/>
                <w:sz w:val="16"/>
                <w:szCs w:val="16"/>
              </w:rPr>
              <w:t>Non-Cash Restricted Unit Plan Grants as a Percentage of Total Direct Compensatio</w:t>
            </w:r>
            <w:r>
              <w:rPr>
                <w:b/>
                <w:bCs/>
                <w:sz w:val="16"/>
                <w:szCs w:val="16"/>
              </w:rPr>
              <w:t>n</w:t>
            </w:r>
          </w:p>
        </w:tc>
        <w:tc>
          <w:tcPr>
            <w:tcW w:w="0" w:type="auto"/>
            <w:vAlign w:val="bottom"/>
            <w:hideMark/>
          </w:tcPr>
          <w:p w14:paraId="00E59516"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4520A43" w14:textId="77777777">
        <w:trPr>
          <w:trHeight w:val="200"/>
          <w:tblCellSpacing w:w="15" w:type="dxa"/>
        </w:trPr>
        <w:tc>
          <w:tcPr>
            <w:tcW w:w="0" w:type="auto"/>
            <w:hideMark/>
          </w:tcPr>
          <w:p w14:paraId="2E16ECC0" w14:textId="77777777" w:rsidR="00000000" w:rsidRDefault="00832D71">
            <w:pPr>
              <w:pStyle w:val="a3"/>
              <w:spacing w:before="0" w:beforeAutospacing="0" w:after="0" w:afterAutospacing="0"/>
              <w:rPr>
                <w:sz w:val="20"/>
                <w:szCs w:val="20"/>
              </w:rPr>
            </w:pPr>
            <w:r>
              <w:rPr>
                <w:sz w:val="20"/>
                <w:szCs w:val="20"/>
              </w:rPr>
              <w:t>Michael A. Stival</w:t>
            </w:r>
            <w:r>
              <w:rPr>
                <w:sz w:val="20"/>
                <w:szCs w:val="20"/>
              </w:rPr>
              <w:t>a</w:t>
            </w:r>
          </w:p>
        </w:tc>
        <w:tc>
          <w:tcPr>
            <w:tcW w:w="0" w:type="auto"/>
            <w:hideMark/>
          </w:tcPr>
          <w:p w14:paraId="4085562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64703E6" w14:textId="77777777" w:rsidR="00000000" w:rsidRDefault="00832D71">
            <w:pPr>
              <w:pStyle w:val="a3"/>
              <w:spacing w:before="0" w:beforeAutospacing="0" w:after="0" w:afterAutospacing="0"/>
              <w:jc w:val="center"/>
              <w:rPr>
                <w:sz w:val="20"/>
                <w:szCs w:val="20"/>
              </w:rPr>
            </w:pPr>
            <w:r>
              <w:rPr>
                <w:sz w:val="20"/>
                <w:szCs w:val="20"/>
              </w:rPr>
              <w:t>28</w:t>
            </w:r>
            <w:r>
              <w:rPr>
                <w:sz w:val="20"/>
                <w:szCs w:val="20"/>
              </w:rPr>
              <w:t>%</w:t>
            </w:r>
          </w:p>
        </w:tc>
        <w:tc>
          <w:tcPr>
            <w:tcW w:w="0" w:type="auto"/>
            <w:vAlign w:val="bottom"/>
            <w:hideMark/>
          </w:tcPr>
          <w:p w14:paraId="7D6D7C1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C3EBA59" w14:textId="77777777" w:rsidR="00000000" w:rsidRDefault="00832D71">
            <w:pPr>
              <w:pStyle w:val="a3"/>
              <w:spacing w:before="0" w:beforeAutospacing="0" w:after="0" w:afterAutospacing="0"/>
              <w:jc w:val="center"/>
              <w:rPr>
                <w:sz w:val="20"/>
                <w:szCs w:val="20"/>
              </w:rPr>
            </w:pPr>
            <w:r>
              <w:rPr>
                <w:sz w:val="20"/>
                <w:szCs w:val="20"/>
              </w:rPr>
              <w:t>34</w:t>
            </w:r>
            <w:r>
              <w:rPr>
                <w:sz w:val="20"/>
                <w:szCs w:val="20"/>
              </w:rPr>
              <w:t>%</w:t>
            </w:r>
          </w:p>
        </w:tc>
        <w:tc>
          <w:tcPr>
            <w:tcW w:w="0" w:type="auto"/>
            <w:hideMark/>
          </w:tcPr>
          <w:p w14:paraId="3D7FDE7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D8772D8" w14:textId="77777777" w:rsidR="00000000" w:rsidRDefault="00832D71">
            <w:pPr>
              <w:pStyle w:val="a3"/>
              <w:spacing w:before="0" w:beforeAutospacing="0" w:after="0" w:afterAutospacing="0"/>
              <w:jc w:val="center"/>
              <w:rPr>
                <w:sz w:val="20"/>
                <w:szCs w:val="20"/>
              </w:rPr>
            </w:pPr>
            <w:r>
              <w:rPr>
                <w:sz w:val="20"/>
                <w:szCs w:val="20"/>
              </w:rPr>
              <w:t>26</w:t>
            </w:r>
            <w:r>
              <w:rPr>
                <w:sz w:val="20"/>
                <w:szCs w:val="20"/>
              </w:rPr>
              <w:t>%</w:t>
            </w:r>
          </w:p>
        </w:tc>
        <w:tc>
          <w:tcPr>
            <w:tcW w:w="0" w:type="auto"/>
            <w:hideMark/>
          </w:tcPr>
          <w:p w14:paraId="004DB7F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0973CFF" w14:textId="77777777" w:rsidR="00000000" w:rsidRDefault="00832D71">
            <w:pPr>
              <w:pStyle w:val="a3"/>
              <w:spacing w:before="0" w:beforeAutospacing="0" w:after="0" w:afterAutospacing="0"/>
              <w:jc w:val="center"/>
              <w:rPr>
                <w:sz w:val="20"/>
                <w:szCs w:val="20"/>
              </w:rPr>
            </w:pPr>
            <w:r>
              <w:rPr>
                <w:sz w:val="20"/>
                <w:szCs w:val="20"/>
              </w:rPr>
              <w:t>7</w:t>
            </w:r>
            <w:r>
              <w:rPr>
                <w:sz w:val="20"/>
                <w:szCs w:val="20"/>
              </w:rPr>
              <w:t>%</w:t>
            </w:r>
          </w:p>
        </w:tc>
        <w:tc>
          <w:tcPr>
            <w:tcW w:w="0" w:type="auto"/>
            <w:vAlign w:val="bottom"/>
            <w:hideMark/>
          </w:tcPr>
          <w:p w14:paraId="050BDA4F"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32C2B821"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w:t>
            </w:r>
          </w:p>
        </w:tc>
        <w:tc>
          <w:tcPr>
            <w:tcW w:w="0" w:type="auto"/>
            <w:vAlign w:val="bottom"/>
            <w:hideMark/>
          </w:tcPr>
          <w:p w14:paraId="731EA300"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79602F1B" w14:textId="77777777" w:rsidR="00000000" w:rsidRDefault="00832D71">
            <w:pPr>
              <w:pStyle w:val="a3"/>
              <w:spacing w:before="0" w:beforeAutospacing="0" w:after="0" w:afterAutospacing="0"/>
              <w:jc w:val="center"/>
              <w:rPr>
                <w:sz w:val="20"/>
                <w:szCs w:val="20"/>
              </w:rPr>
            </w:pPr>
            <w:r>
              <w:rPr>
                <w:sz w:val="20"/>
                <w:szCs w:val="20"/>
              </w:rPr>
              <w:t>82</w:t>
            </w:r>
            <w:r>
              <w:rPr>
                <w:sz w:val="20"/>
                <w:szCs w:val="20"/>
              </w:rPr>
              <w:t>%</w:t>
            </w:r>
          </w:p>
        </w:tc>
        <w:tc>
          <w:tcPr>
            <w:tcW w:w="0" w:type="auto"/>
            <w:vAlign w:val="bottom"/>
            <w:hideMark/>
          </w:tcPr>
          <w:p w14:paraId="79FC259A"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593B7C74" w14:textId="77777777" w:rsidR="00000000" w:rsidRDefault="00832D71">
            <w:pPr>
              <w:pStyle w:val="a3"/>
              <w:spacing w:before="0" w:beforeAutospacing="0" w:after="0" w:afterAutospacing="0"/>
              <w:jc w:val="center"/>
              <w:rPr>
                <w:sz w:val="20"/>
                <w:szCs w:val="20"/>
              </w:rPr>
            </w:pPr>
            <w:r>
              <w:rPr>
                <w:sz w:val="20"/>
                <w:szCs w:val="20"/>
              </w:rPr>
              <w:t>18</w:t>
            </w:r>
            <w:r>
              <w:rPr>
                <w:sz w:val="20"/>
                <w:szCs w:val="20"/>
              </w:rPr>
              <w:t>%</w:t>
            </w:r>
          </w:p>
        </w:tc>
        <w:tc>
          <w:tcPr>
            <w:tcW w:w="0" w:type="auto"/>
            <w:vAlign w:val="bottom"/>
            <w:hideMark/>
          </w:tcPr>
          <w:p w14:paraId="5A22638D" w14:textId="77777777" w:rsidR="00000000" w:rsidRDefault="00832D71">
            <w:pPr>
              <w:pStyle w:val="a3"/>
              <w:spacing w:before="0" w:beforeAutospacing="0" w:after="0" w:afterAutospacing="0"/>
              <w:jc w:val="center"/>
              <w:rPr>
                <w:sz w:val="20"/>
                <w:szCs w:val="20"/>
              </w:rPr>
            </w:pPr>
            <w:r>
              <w:rPr>
                <w:sz w:val="20"/>
                <w:szCs w:val="20"/>
              </w:rPr>
              <w:t> </w:t>
            </w:r>
          </w:p>
        </w:tc>
      </w:tr>
      <w:tr w:rsidR="00000000" w14:paraId="2D9334B5" w14:textId="77777777">
        <w:trPr>
          <w:trHeight w:val="200"/>
          <w:tblCellSpacing w:w="15" w:type="dxa"/>
        </w:trPr>
        <w:tc>
          <w:tcPr>
            <w:tcW w:w="0" w:type="auto"/>
            <w:hideMark/>
          </w:tcPr>
          <w:p w14:paraId="0A6097B7" w14:textId="77777777" w:rsidR="00000000" w:rsidRDefault="00832D71">
            <w:pPr>
              <w:pStyle w:val="a3"/>
              <w:spacing w:before="0" w:beforeAutospacing="0" w:after="0" w:afterAutospacing="0"/>
              <w:rPr>
                <w:sz w:val="20"/>
                <w:szCs w:val="20"/>
              </w:rPr>
            </w:pPr>
            <w:r>
              <w:rPr>
                <w:sz w:val="20"/>
                <w:szCs w:val="20"/>
              </w:rPr>
              <w:t>Michael A. Kugli</w:t>
            </w:r>
            <w:r>
              <w:rPr>
                <w:sz w:val="20"/>
                <w:szCs w:val="20"/>
              </w:rPr>
              <w:t>n</w:t>
            </w:r>
          </w:p>
        </w:tc>
        <w:tc>
          <w:tcPr>
            <w:tcW w:w="0" w:type="auto"/>
            <w:hideMark/>
          </w:tcPr>
          <w:p w14:paraId="36A9063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D5F8748" w14:textId="77777777" w:rsidR="00000000" w:rsidRDefault="00832D71">
            <w:pPr>
              <w:pStyle w:val="a3"/>
              <w:spacing w:before="0" w:beforeAutospacing="0" w:after="0" w:afterAutospacing="0"/>
              <w:jc w:val="center"/>
              <w:rPr>
                <w:sz w:val="20"/>
                <w:szCs w:val="20"/>
              </w:rPr>
            </w:pPr>
            <w:r>
              <w:rPr>
                <w:sz w:val="20"/>
                <w:szCs w:val="20"/>
              </w:rPr>
              <w:t>30</w:t>
            </w:r>
            <w:r>
              <w:rPr>
                <w:sz w:val="20"/>
                <w:szCs w:val="20"/>
              </w:rPr>
              <w:t>%</w:t>
            </w:r>
          </w:p>
        </w:tc>
        <w:tc>
          <w:tcPr>
            <w:tcW w:w="0" w:type="auto"/>
            <w:vAlign w:val="bottom"/>
            <w:hideMark/>
          </w:tcPr>
          <w:p w14:paraId="24D583D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E2F88CD" w14:textId="77777777" w:rsidR="00000000" w:rsidRDefault="00832D71">
            <w:pPr>
              <w:pStyle w:val="a3"/>
              <w:spacing w:before="0" w:beforeAutospacing="0" w:after="0" w:afterAutospacing="0"/>
              <w:jc w:val="center"/>
              <w:rPr>
                <w:sz w:val="20"/>
                <w:szCs w:val="20"/>
              </w:rPr>
            </w:pPr>
            <w:r>
              <w:rPr>
                <w:sz w:val="20"/>
                <w:szCs w:val="20"/>
              </w:rPr>
              <w:t>24</w:t>
            </w:r>
            <w:r>
              <w:rPr>
                <w:sz w:val="20"/>
                <w:szCs w:val="20"/>
              </w:rPr>
              <w:t>%</w:t>
            </w:r>
          </w:p>
        </w:tc>
        <w:tc>
          <w:tcPr>
            <w:tcW w:w="0" w:type="auto"/>
            <w:hideMark/>
          </w:tcPr>
          <w:p w14:paraId="709FF51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38969CA" w14:textId="77777777" w:rsidR="00000000" w:rsidRDefault="00832D71">
            <w:pPr>
              <w:pStyle w:val="a3"/>
              <w:spacing w:before="0" w:beforeAutospacing="0" w:after="0" w:afterAutospacing="0"/>
              <w:jc w:val="center"/>
              <w:rPr>
                <w:sz w:val="20"/>
                <w:szCs w:val="20"/>
              </w:rPr>
            </w:pPr>
            <w:r>
              <w:rPr>
                <w:sz w:val="20"/>
                <w:szCs w:val="20"/>
              </w:rPr>
              <w:t>18</w:t>
            </w:r>
            <w:r>
              <w:rPr>
                <w:sz w:val="20"/>
                <w:szCs w:val="20"/>
              </w:rPr>
              <w:t>%</w:t>
            </w:r>
          </w:p>
        </w:tc>
        <w:tc>
          <w:tcPr>
            <w:tcW w:w="0" w:type="auto"/>
            <w:hideMark/>
          </w:tcPr>
          <w:p w14:paraId="09AC315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DEDB0F8" w14:textId="77777777" w:rsidR="00000000" w:rsidRDefault="00832D71">
            <w:pPr>
              <w:pStyle w:val="a3"/>
              <w:spacing w:before="0" w:beforeAutospacing="0" w:after="0" w:afterAutospacing="0"/>
              <w:jc w:val="center"/>
              <w:rPr>
                <w:sz w:val="20"/>
                <w:szCs w:val="20"/>
              </w:rPr>
            </w:pPr>
            <w:r>
              <w:rPr>
                <w:sz w:val="20"/>
                <w:szCs w:val="20"/>
              </w:rPr>
              <w:t>21</w:t>
            </w:r>
            <w:r>
              <w:rPr>
                <w:sz w:val="20"/>
                <w:szCs w:val="20"/>
              </w:rPr>
              <w:t>%</w:t>
            </w:r>
          </w:p>
        </w:tc>
        <w:tc>
          <w:tcPr>
            <w:tcW w:w="0" w:type="auto"/>
            <w:vAlign w:val="bottom"/>
            <w:hideMark/>
          </w:tcPr>
          <w:p w14:paraId="12AAF62F"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43B3259E" w14:textId="77777777" w:rsidR="00000000" w:rsidRDefault="00832D71">
            <w:pPr>
              <w:pStyle w:val="a3"/>
              <w:spacing w:before="0" w:beforeAutospacing="0" w:after="0" w:afterAutospacing="0"/>
              <w:jc w:val="center"/>
              <w:rPr>
                <w:sz w:val="20"/>
                <w:szCs w:val="20"/>
              </w:rPr>
            </w:pPr>
            <w:r>
              <w:rPr>
                <w:sz w:val="20"/>
                <w:szCs w:val="20"/>
              </w:rPr>
              <w:t>7</w:t>
            </w:r>
            <w:r>
              <w:rPr>
                <w:sz w:val="20"/>
                <w:szCs w:val="20"/>
              </w:rPr>
              <w:t>%</w:t>
            </w:r>
          </w:p>
        </w:tc>
        <w:tc>
          <w:tcPr>
            <w:tcW w:w="0" w:type="auto"/>
            <w:vAlign w:val="bottom"/>
            <w:hideMark/>
          </w:tcPr>
          <w:p w14:paraId="4AB6EF3F"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67051D59" w14:textId="77777777" w:rsidR="00000000" w:rsidRDefault="00832D71">
            <w:pPr>
              <w:pStyle w:val="a3"/>
              <w:spacing w:before="0" w:beforeAutospacing="0" w:after="0" w:afterAutospacing="0"/>
              <w:jc w:val="center"/>
              <w:rPr>
                <w:sz w:val="20"/>
                <w:szCs w:val="20"/>
              </w:rPr>
            </w:pPr>
            <w:r>
              <w:rPr>
                <w:sz w:val="20"/>
                <w:szCs w:val="20"/>
              </w:rPr>
              <w:t>79</w:t>
            </w:r>
            <w:r>
              <w:rPr>
                <w:sz w:val="20"/>
                <w:szCs w:val="20"/>
              </w:rPr>
              <w:t>%</w:t>
            </w:r>
          </w:p>
        </w:tc>
        <w:tc>
          <w:tcPr>
            <w:tcW w:w="0" w:type="auto"/>
            <w:vAlign w:val="bottom"/>
            <w:hideMark/>
          </w:tcPr>
          <w:p w14:paraId="4A43DAE3"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28312476" w14:textId="77777777" w:rsidR="00000000" w:rsidRDefault="00832D71">
            <w:pPr>
              <w:pStyle w:val="a3"/>
              <w:spacing w:before="0" w:beforeAutospacing="0" w:after="0" w:afterAutospacing="0"/>
              <w:jc w:val="center"/>
              <w:rPr>
                <w:sz w:val="20"/>
                <w:szCs w:val="20"/>
              </w:rPr>
            </w:pPr>
            <w:r>
              <w:rPr>
                <w:sz w:val="20"/>
                <w:szCs w:val="20"/>
              </w:rPr>
              <w:t>21</w:t>
            </w:r>
            <w:r>
              <w:rPr>
                <w:sz w:val="20"/>
                <w:szCs w:val="20"/>
              </w:rPr>
              <w:t>%</w:t>
            </w:r>
          </w:p>
        </w:tc>
        <w:tc>
          <w:tcPr>
            <w:tcW w:w="0" w:type="auto"/>
            <w:vAlign w:val="bottom"/>
            <w:hideMark/>
          </w:tcPr>
          <w:p w14:paraId="00508F39" w14:textId="77777777" w:rsidR="00000000" w:rsidRDefault="00832D71">
            <w:pPr>
              <w:pStyle w:val="a3"/>
              <w:spacing w:before="0" w:beforeAutospacing="0" w:after="0" w:afterAutospacing="0"/>
              <w:jc w:val="center"/>
              <w:rPr>
                <w:sz w:val="20"/>
                <w:szCs w:val="20"/>
              </w:rPr>
            </w:pPr>
            <w:r>
              <w:rPr>
                <w:sz w:val="20"/>
                <w:szCs w:val="20"/>
              </w:rPr>
              <w:t> </w:t>
            </w:r>
          </w:p>
        </w:tc>
      </w:tr>
      <w:tr w:rsidR="00000000" w14:paraId="31F1795F" w14:textId="77777777">
        <w:trPr>
          <w:trHeight w:val="200"/>
          <w:tblCellSpacing w:w="15" w:type="dxa"/>
        </w:trPr>
        <w:tc>
          <w:tcPr>
            <w:tcW w:w="0" w:type="auto"/>
            <w:hideMark/>
          </w:tcPr>
          <w:p w14:paraId="0359C3AC" w14:textId="77777777" w:rsidR="00000000" w:rsidRDefault="00832D71">
            <w:pPr>
              <w:pStyle w:val="a3"/>
              <w:spacing w:before="0" w:beforeAutospacing="0" w:after="0" w:afterAutospacing="0"/>
              <w:rPr>
                <w:sz w:val="20"/>
                <w:szCs w:val="20"/>
              </w:rPr>
            </w:pPr>
            <w:r>
              <w:rPr>
                <w:sz w:val="20"/>
                <w:szCs w:val="20"/>
              </w:rPr>
              <w:t>Steven C. Boy</w:t>
            </w:r>
            <w:r>
              <w:rPr>
                <w:sz w:val="20"/>
                <w:szCs w:val="20"/>
              </w:rPr>
              <w:t>d</w:t>
            </w:r>
          </w:p>
        </w:tc>
        <w:tc>
          <w:tcPr>
            <w:tcW w:w="0" w:type="auto"/>
            <w:hideMark/>
          </w:tcPr>
          <w:p w14:paraId="25B45D0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3618A38" w14:textId="77777777" w:rsidR="00000000" w:rsidRDefault="00832D71">
            <w:pPr>
              <w:pStyle w:val="a3"/>
              <w:spacing w:before="0" w:beforeAutospacing="0" w:after="0" w:afterAutospacing="0"/>
              <w:jc w:val="center"/>
              <w:rPr>
                <w:sz w:val="20"/>
                <w:szCs w:val="20"/>
              </w:rPr>
            </w:pPr>
            <w:r>
              <w:rPr>
                <w:sz w:val="20"/>
                <w:szCs w:val="20"/>
              </w:rPr>
              <w:t>30</w:t>
            </w:r>
            <w:r>
              <w:rPr>
                <w:sz w:val="20"/>
                <w:szCs w:val="20"/>
              </w:rPr>
              <w:t>%</w:t>
            </w:r>
          </w:p>
        </w:tc>
        <w:tc>
          <w:tcPr>
            <w:tcW w:w="0" w:type="auto"/>
            <w:vAlign w:val="bottom"/>
            <w:hideMark/>
          </w:tcPr>
          <w:p w14:paraId="2000546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7B3710D" w14:textId="77777777" w:rsidR="00000000" w:rsidRDefault="00832D71">
            <w:pPr>
              <w:pStyle w:val="a3"/>
              <w:spacing w:before="0" w:beforeAutospacing="0" w:after="0" w:afterAutospacing="0"/>
              <w:jc w:val="center"/>
              <w:rPr>
                <w:sz w:val="20"/>
                <w:szCs w:val="20"/>
              </w:rPr>
            </w:pPr>
            <w:r>
              <w:rPr>
                <w:sz w:val="20"/>
                <w:szCs w:val="20"/>
              </w:rPr>
              <w:t>24</w:t>
            </w:r>
            <w:r>
              <w:rPr>
                <w:sz w:val="20"/>
                <w:szCs w:val="20"/>
              </w:rPr>
              <w:t>%</w:t>
            </w:r>
          </w:p>
        </w:tc>
        <w:tc>
          <w:tcPr>
            <w:tcW w:w="0" w:type="auto"/>
            <w:hideMark/>
          </w:tcPr>
          <w:p w14:paraId="4A04D3F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643A4AF" w14:textId="77777777" w:rsidR="00000000" w:rsidRDefault="00832D71">
            <w:pPr>
              <w:pStyle w:val="a3"/>
              <w:spacing w:before="0" w:beforeAutospacing="0" w:after="0" w:afterAutospacing="0"/>
              <w:jc w:val="center"/>
              <w:rPr>
                <w:sz w:val="20"/>
                <w:szCs w:val="20"/>
              </w:rPr>
            </w:pPr>
            <w:r>
              <w:rPr>
                <w:sz w:val="20"/>
                <w:szCs w:val="20"/>
              </w:rPr>
              <w:t>18</w:t>
            </w:r>
            <w:r>
              <w:rPr>
                <w:sz w:val="20"/>
                <w:szCs w:val="20"/>
              </w:rPr>
              <w:t>%</w:t>
            </w:r>
          </w:p>
        </w:tc>
        <w:tc>
          <w:tcPr>
            <w:tcW w:w="0" w:type="auto"/>
            <w:hideMark/>
          </w:tcPr>
          <w:p w14:paraId="5C11A92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C927C35" w14:textId="77777777" w:rsidR="00000000" w:rsidRDefault="00832D71">
            <w:pPr>
              <w:pStyle w:val="a3"/>
              <w:spacing w:before="0" w:beforeAutospacing="0" w:after="0" w:afterAutospacing="0"/>
              <w:jc w:val="center"/>
              <w:rPr>
                <w:sz w:val="20"/>
                <w:szCs w:val="20"/>
              </w:rPr>
            </w:pPr>
            <w:r>
              <w:rPr>
                <w:sz w:val="20"/>
                <w:szCs w:val="20"/>
              </w:rPr>
              <w:t>21</w:t>
            </w:r>
            <w:r>
              <w:rPr>
                <w:sz w:val="20"/>
                <w:szCs w:val="20"/>
              </w:rPr>
              <w:t>%</w:t>
            </w:r>
          </w:p>
        </w:tc>
        <w:tc>
          <w:tcPr>
            <w:tcW w:w="0" w:type="auto"/>
            <w:vAlign w:val="bottom"/>
            <w:hideMark/>
          </w:tcPr>
          <w:p w14:paraId="0AB3C497"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2D898556" w14:textId="77777777" w:rsidR="00000000" w:rsidRDefault="00832D71">
            <w:pPr>
              <w:pStyle w:val="a3"/>
              <w:spacing w:before="0" w:beforeAutospacing="0" w:after="0" w:afterAutospacing="0"/>
              <w:jc w:val="center"/>
              <w:rPr>
                <w:sz w:val="20"/>
                <w:szCs w:val="20"/>
              </w:rPr>
            </w:pPr>
            <w:r>
              <w:rPr>
                <w:sz w:val="20"/>
                <w:szCs w:val="20"/>
              </w:rPr>
              <w:t>7</w:t>
            </w:r>
            <w:r>
              <w:rPr>
                <w:sz w:val="20"/>
                <w:szCs w:val="20"/>
              </w:rPr>
              <w:t>%</w:t>
            </w:r>
          </w:p>
        </w:tc>
        <w:tc>
          <w:tcPr>
            <w:tcW w:w="0" w:type="auto"/>
            <w:vAlign w:val="bottom"/>
            <w:hideMark/>
          </w:tcPr>
          <w:p w14:paraId="0FCCFBBA"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45E1CCFC" w14:textId="77777777" w:rsidR="00000000" w:rsidRDefault="00832D71">
            <w:pPr>
              <w:pStyle w:val="a3"/>
              <w:spacing w:before="0" w:beforeAutospacing="0" w:after="0" w:afterAutospacing="0"/>
              <w:jc w:val="center"/>
              <w:rPr>
                <w:sz w:val="20"/>
                <w:szCs w:val="20"/>
              </w:rPr>
            </w:pPr>
            <w:r>
              <w:rPr>
                <w:sz w:val="20"/>
                <w:szCs w:val="20"/>
              </w:rPr>
              <w:t>80</w:t>
            </w:r>
            <w:r>
              <w:rPr>
                <w:sz w:val="20"/>
                <w:szCs w:val="20"/>
              </w:rPr>
              <w:t>%</w:t>
            </w:r>
          </w:p>
        </w:tc>
        <w:tc>
          <w:tcPr>
            <w:tcW w:w="0" w:type="auto"/>
            <w:vAlign w:val="bottom"/>
            <w:hideMark/>
          </w:tcPr>
          <w:p w14:paraId="0281C527"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47752855" w14:textId="77777777" w:rsidR="00000000" w:rsidRDefault="00832D71">
            <w:pPr>
              <w:pStyle w:val="a3"/>
              <w:spacing w:before="0" w:beforeAutospacing="0" w:after="0" w:afterAutospacing="0"/>
              <w:jc w:val="center"/>
              <w:rPr>
                <w:sz w:val="20"/>
                <w:szCs w:val="20"/>
              </w:rPr>
            </w:pPr>
            <w:r>
              <w:rPr>
                <w:sz w:val="20"/>
                <w:szCs w:val="20"/>
              </w:rPr>
              <w:t>20</w:t>
            </w:r>
            <w:r>
              <w:rPr>
                <w:sz w:val="20"/>
                <w:szCs w:val="20"/>
              </w:rPr>
              <w:t>%</w:t>
            </w:r>
          </w:p>
        </w:tc>
        <w:tc>
          <w:tcPr>
            <w:tcW w:w="0" w:type="auto"/>
            <w:vAlign w:val="bottom"/>
            <w:hideMark/>
          </w:tcPr>
          <w:p w14:paraId="74992370" w14:textId="77777777" w:rsidR="00000000" w:rsidRDefault="00832D71">
            <w:pPr>
              <w:pStyle w:val="a3"/>
              <w:spacing w:before="0" w:beforeAutospacing="0" w:after="0" w:afterAutospacing="0"/>
              <w:jc w:val="center"/>
              <w:rPr>
                <w:sz w:val="20"/>
                <w:szCs w:val="20"/>
              </w:rPr>
            </w:pPr>
            <w:r>
              <w:rPr>
                <w:sz w:val="20"/>
                <w:szCs w:val="20"/>
              </w:rPr>
              <w:t> </w:t>
            </w:r>
          </w:p>
        </w:tc>
      </w:tr>
      <w:tr w:rsidR="00000000" w14:paraId="3385F26D" w14:textId="77777777">
        <w:trPr>
          <w:trHeight w:val="200"/>
          <w:tblCellSpacing w:w="15" w:type="dxa"/>
        </w:trPr>
        <w:tc>
          <w:tcPr>
            <w:tcW w:w="0" w:type="auto"/>
            <w:hideMark/>
          </w:tcPr>
          <w:p w14:paraId="17CA0AC1" w14:textId="77777777" w:rsidR="00000000" w:rsidRDefault="00832D71">
            <w:pPr>
              <w:pStyle w:val="a3"/>
              <w:spacing w:before="0" w:beforeAutospacing="0" w:after="0" w:afterAutospacing="0"/>
              <w:rPr>
                <w:sz w:val="20"/>
                <w:szCs w:val="20"/>
              </w:rPr>
            </w:pPr>
            <w:r>
              <w:rPr>
                <w:sz w:val="20"/>
                <w:szCs w:val="20"/>
              </w:rPr>
              <w:t>Douglas T. Brinkwort</w:t>
            </w:r>
            <w:r>
              <w:rPr>
                <w:sz w:val="20"/>
                <w:szCs w:val="20"/>
              </w:rPr>
              <w:t>h</w:t>
            </w:r>
          </w:p>
        </w:tc>
        <w:tc>
          <w:tcPr>
            <w:tcW w:w="0" w:type="auto"/>
            <w:hideMark/>
          </w:tcPr>
          <w:p w14:paraId="3D0B4E6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5CB9969" w14:textId="77777777" w:rsidR="00000000" w:rsidRDefault="00832D71">
            <w:pPr>
              <w:pStyle w:val="a3"/>
              <w:spacing w:before="0" w:beforeAutospacing="0" w:after="0" w:afterAutospacing="0"/>
              <w:jc w:val="center"/>
              <w:rPr>
                <w:sz w:val="20"/>
                <w:szCs w:val="20"/>
              </w:rPr>
            </w:pPr>
            <w:r>
              <w:rPr>
                <w:sz w:val="20"/>
                <w:szCs w:val="20"/>
              </w:rPr>
              <w:t>29</w:t>
            </w:r>
            <w:r>
              <w:rPr>
                <w:sz w:val="20"/>
                <w:szCs w:val="20"/>
              </w:rPr>
              <w:t>%</w:t>
            </w:r>
          </w:p>
        </w:tc>
        <w:tc>
          <w:tcPr>
            <w:tcW w:w="0" w:type="auto"/>
            <w:vAlign w:val="bottom"/>
            <w:hideMark/>
          </w:tcPr>
          <w:p w14:paraId="1EC942B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A120E39" w14:textId="77777777" w:rsidR="00000000" w:rsidRDefault="00832D71">
            <w:pPr>
              <w:pStyle w:val="a3"/>
              <w:spacing w:before="0" w:beforeAutospacing="0" w:after="0" w:afterAutospacing="0"/>
              <w:jc w:val="center"/>
              <w:rPr>
                <w:sz w:val="20"/>
                <w:szCs w:val="20"/>
              </w:rPr>
            </w:pPr>
            <w:r>
              <w:rPr>
                <w:sz w:val="20"/>
                <w:szCs w:val="20"/>
              </w:rPr>
              <w:t>23</w:t>
            </w:r>
            <w:r>
              <w:rPr>
                <w:sz w:val="20"/>
                <w:szCs w:val="20"/>
              </w:rPr>
              <w:t>%</w:t>
            </w:r>
          </w:p>
        </w:tc>
        <w:tc>
          <w:tcPr>
            <w:tcW w:w="0" w:type="auto"/>
            <w:hideMark/>
          </w:tcPr>
          <w:p w14:paraId="11B8781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CE342CC" w14:textId="77777777" w:rsidR="00000000" w:rsidRDefault="00832D71">
            <w:pPr>
              <w:pStyle w:val="a3"/>
              <w:spacing w:before="0" w:beforeAutospacing="0" w:after="0" w:afterAutospacing="0"/>
              <w:jc w:val="center"/>
              <w:rPr>
                <w:sz w:val="20"/>
                <w:szCs w:val="20"/>
              </w:rPr>
            </w:pPr>
            <w:r>
              <w:rPr>
                <w:sz w:val="20"/>
                <w:szCs w:val="20"/>
              </w:rPr>
              <w:t>17</w:t>
            </w:r>
            <w:r>
              <w:rPr>
                <w:sz w:val="20"/>
                <w:szCs w:val="20"/>
              </w:rPr>
              <w:t>%</w:t>
            </w:r>
          </w:p>
        </w:tc>
        <w:tc>
          <w:tcPr>
            <w:tcW w:w="0" w:type="auto"/>
            <w:hideMark/>
          </w:tcPr>
          <w:p w14:paraId="65867A6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312A9A4" w14:textId="77777777" w:rsidR="00000000" w:rsidRDefault="00832D71">
            <w:pPr>
              <w:pStyle w:val="a3"/>
              <w:spacing w:before="0" w:beforeAutospacing="0" w:after="0" w:afterAutospacing="0"/>
              <w:jc w:val="center"/>
              <w:rPr>
                <w:sz w:val="20"/>
                <w:szCs w:val="20"/>
              </w:rPr>
            </w:pPr>
            <w:r>
              <w:rPr>
                <w:sz w:val="20"/>
                <w:szCs w:val="20"/>
              </w:rPr>
              <w:t>23</w:t>
            </w:r>
            <w:r>
              <w:rPr>
                <w:sz w:val="20"/>
                <w:szCs w:val="20"/>
              </w:rPr>
              <w:t>%</w:t>
            </w:r>
          </w:p>
        </w:tc>
        <w:tc>
          <w:tcPr>
            <w:tcW w:w="0" w:type="auto"/>
            <w:vAlign w:val="bottom"/>
            <w:hideMark/>
          </w:tcPr>
          <w:p w14:paraId="2E02EBD2"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411D98DA" w14:textId="77777777" w:rsidR="00000000" w:rsidRDefault="00832D71">
            <w:pPr>
              <w:pStyle w:val="a3"/>
              <w:spacing w:before="0" w:beforeAutospacing="0" w:after="0" w:afterAutospacing="0"/>
              <w:jc w:val="center"/>
              <w:rPr>
                <w:sz w:val="20"/>
                <w:szCs w:val="20"/>
              </w:rPr>
            </w:pPr>
            <w:r>
              <w:rPr>
                <w:sz w:val="20"/>
                <w:szCs w:val="20"/>
              </w:rPr>
              <w:t>8</w:t>
            </w:r>
            <w:r>
              <w:rPr>
                <w:sz w:val="20"/>
                <w:szCs w:val="20"/>
              </w:rPr>
              <w:t>%</w:t>
            </w:r>
          </w:p>
        </w:tc>
        <w:tc>
          <w:tcPr>
            <w:tcW w:w="0" w:type="auto"/>
            <w:vAlign w:val="bottom"/>
            <w:hideMark/>
          </w:tcPr>
          <w:p w14:paraId="277DBA90"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1D6AF836" w14:textId="77777777" w:rsidR="00000000" w:rsidRDefault="00832D71">
            <w:pPr>
              <w:pStyle w:val="a3"/>
              <w:spacing w:before="0" w:beforeAutospacing="0" w:after="0" w:afterAutospacing="0"/>
              <w:jc w:val="center"/>
              <w:rPr>
                <w:sz w:val="20"/>
                <w:szCs w:val="20"/>
              </w:rPr>
            </w:pPr>
            <w:r>
              <w:rPr>
                <w:sz w:val="20"/>
                <w:szCs w:val="20"/>
              </w:rPr>
              <w:t>78</w:t>
            </w:r>
            <w:r>
              <w:rPr>
                <w:sz w:val="20"/>
                <w:szCs w:val="20"/>
              </w:rPr>
              <w:t>%</w:t>
            </w:r>
          </w:p>
        </w:tc>
        <w:tc>
          <w:tcPr>
            <w:tcW w:w="0" w:type="auto"/>
            <w:vAlign w:val="bottom"/>
            <w:hideMark/>
          </w:tcPr>
          <w:p w14:paraId="2BC0F78D"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24E59E16" w14:textId="77777777" w:rsidR="00000000" w:rsidRDefault="00832D71">
            <w:pPr>
              <w:pStyle w:val="a3"/>
              <w:spacing w:before="0" w:beforeAutospacing="0" w:after="0" w:afterAutospacing="0"/>
              <w:jc w:val="center"/>
              <w:rPr>
                <w:sz w:val="20"/>
                <w:szCs w:val="20"/>
              </w:rPr>
            </w:pPr>
            <w:r>
              <w:rPr>
                <w:sz w:val="20"/>
                <w:szCs w:val="20"/>
              </w:rPr>
              <w:t>22</w:t>
            </w:r>
            <w:r>
              <w:rPr>
                <w:sz w:val="20"/>
                <w:szCs w:val="20"/>
              </w:rPr>
              <w:t>%</w:t>
            </w:r>
          </w:p>
        </w:tc>
        <w:tc>
          <w:tcPr>
            <w:tcW w:w="0" w:type="auto"/>
            <w:vAlign w:val="bottom"/>
            <w:hideMark/>
          </w:tcPr>
          <w:p w14:paraId="17EE7EDF" w14:textId="77777777" w:rsidR="00000000" w:rsidRDefault="00832D71">
            <w:pPr>
              <w:pStyle w:val="a3"/>
              <w:spacing w:before="0" w:beforeAutospacing="0" w:after="0" w:afterAutospacing="0"/>
              <w:jc w:val="center"/>
              <w:rPr>
                <w:sz w:val="20"/>
                <w:szCs w:val="20"/>
              </w:rPr>
            </w:pPr>
            <w:r>
              <w:rPr>
                <w:sz w:val="20"/>
                <w:szCs w:val="20"/>
              </w:rPr>
              <w:t> </w:t>
            </w:r>
          </w:p>
        </w:tc>
      </w:tr>
      <w:tr w:rsidR="00000000" w14:paraId="5B1EC735" w14:textId="77777777">
        <w:trPr>
          <w:trHeight w:val="200"/>
          <w:tblCellSpacing w:w="15" w:type="dxa"/>
        </w:trPr>
        <w:tc>
          <w:tcPr>
            <w:tcW w:w="0" w:type="auto"/>
            <w:hideMark/>
          </w:tcPr>
          <w:p w14:paraId="34B20907" w14:textId="77777777" w:rsidR="00000000" w:rsidRDefault="00832D71">
            <w:pPr>
              <w:pStyle w:val="a3"/>
              <w:spacing w:before="0" w:beforeAutospacing="0" w:after="0" w:afterAutospacing="0"/>
              <w:rPr>
                <w:sz w:val="20"/>
                <w:szCs w:val="20"/>
              </w:rPr>
            </w:pPr>
            <w:r>
              <w:rPr>
                <w:sz w:val="20"/>
                <w:szCs w:val="20"/>
              </w:rPr>
              <w:t>Neil E. Scanlo</w:t>
            </w:r>
            <w:r>
              <w:rPr>
                <w:sz w:val="20"/>
                <w:szCs w:val="20"/>
              </w:rPr>
              <w:t>n</w:t>
            </w:r>
          </w:p>
        </w:tc>
        <w:tc>
          <w:tcPr>
            <w:tcW w:w="0" w:type="auto"/>
            <w:hideMark/>
          </w:tcPr>
          <w:p w14:paraId="2D112BA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6C59FC3" w14:textId="77777777" w:rsidR="00000000" w:rsidRDefault="00832D71">
            <w:pPr>
              <w:pStyle w:val="a3"/>
              <w:spacing w:before="0" w:beforeAutospacing="0" w:after="0" w:afterAutospacing="0"/>
              <w:jc w:val="center"/>
              <w:rPr>
                <w:sz w:val="20"/>
                <w:szCs w:val="20"/>
              </w:rPr>
            </w:pPr>
            <w:r>
              <w:rPr>
                <w:sz w:val="20"/>
                <w:szCs w:val="20"/>
              </w:rPr>
              <w:t>28</w:t>
            </w:r>
            <w:r>
              <w:rPr>
                <w:sz w:val="20"/>
                <w:szCs w:val="20"/>
              </w:rPr>
              <w:t>%</w:t>
            </w:r>
          </w:p>
        </w:tc>
        <w:tc>
          <w:tcPr>
            <w:tcW w:w="0" w:type="auto"/>
            <w:vAlign w:val="bottom"/>
            <w:hideMark/>
          </w:tcPr>
          <w:p w14:paraId="668E9E6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85EE554" w14:textId="77777777" w:rsidR="00000000" w:rsidRDefault="00832D71">
            <w:pPr>
              <w:pStyle w:val="a3"/>
              <w:spacing w:before="0" w:beforeAutospacing="0" w:after="0" w:afterAutospacing="0"/>
              <w:jc w:val="center"/>
              <w:rPr>
                <w:sz w:val="20"/>
                <w:szCs w:val="20"/>
              </w:rPr>
            </w:pPr>
            <w:r>
              <w:rPr>
                <w:sz w:val="20"/>
                <w:szCs w:val="20"/>
              </w:rPr>
              <w:t>23</w:t>
            </w:r>
            <w:r>
              <w:rPr>
                <w:sz w:val="20"/>
                <w:szCs w:val="20"/>
              </w:rPr>
              <w:t>%</w:t>
            </w:r>
          </w:p>
        </w:tc>
        <w:tc>
          <w:tcPr>
            <w:tcW w:w="0" w:type="auto"/>
            <w:hideMark/>
          </w:tcPr>
          <w:p w14:paraId="3B90852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252225C" w14:textId="77777777" w:rsidR="00000000" w:rsidRDefault="00832D71">
            <w:pPr>
              <w:pStyle w:val="a3"/>
              <w:spacing w:before="0" w:beforeAutospacing="0" w:after="0" w:afterAutospacing="0"/>
              <w:jc w:val="center"/>
              <w:rPr>
                <w:sz w:val="20"/>
                <w:szCs w:val="20"/>
              </w:rPr>
            </w:pPr>
            <w:r>
              <w:rPr>
                <w:sz w:val="20"/>
                <w:szCs w:val="20"/>
              </w:rPr>
              <w:t>17</w:t>
            </w:r>
            <w:r>
              <w:rPr>
                <w:sz w:val="20"/>
                <w:szCs w:val="20"/>
              </w:rPr>
              <w:t>%</w:t>
            </w:r>
          </w:p>
        </w:tc>
        <w:tc>
          <w:tcPr>
            <w:tcW w:w="0" w:type="auto"/>
            <w:hideMark/>
          </w:tcPr>
          <w:p w14:paraId="13FCE57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7FAAE23" w14:textId="77777777" w:rsidR="00000000" w:rsidRDefault="00832D71">
            <w:pPr>
              <w:pStyle w:val="a3"/>
              <w:spacing w:before="0" w:beforeAutospacing="0" w:after="0" w:afterAutospacing="0"/>
              <w:jc w:val="center"/>
              <w:rPr>
                <w:sz w:val="20"/>
                <w:szCs w:val="20"/>
              </w:rPr>
            </w:pPr>
            <w:r>
              <w:rPr>
                <w:sz w:val="20"/>
                <w:szCs w:val="20"/>
              </w:rPr>
              <w:t>23</w:t>
            </w:r>
            <w:r>
              <w:rPr>
                <w:sz w:val="20"/>
                <w:szCs w:val="20"/>
              </w:rPr>
              <w:t>%</w:t>
            </w:r>
          </w:p>
        </w:tc>
        <w:tc>
          <w:tcPr>
            <w:tcW w:w="0" w:type="auto"/>
            <w:vAlign w:val="bottom"/>
            <w:hideMark/>
          </w:tcPr>
          <w:p w14:paraId="16F75440"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2967E56E" w14:textId="77777777" w:rsidR="00000000" w:rsidRDefault="00832D71">
            <w:pPr>
              <w:pStyle w:val="a3"/>
              <w:spacing w:before="0" w:beforeAutospacing="0" w:after="0" w:afterAutospacing="0"/>
              <w:jc w:val="center"/>
              <w:rPr>
                <w:sz w:val="20"/>
                <w:szCs w:val="20"/>
              </w:rPr>
            </w:pPr>
            <w:r>
              <w:rPr>
                <w:sz w:val="20"/>
                <w:szCs w:val="20"/>
              </w:rPr>
              <w:t>9</w:t>
            </w:r>
            <w:r>
              <w:rPr>
                <w:sz w:val="20"/>
                <w:szCs w:val="20"/>
              </w:rPr>
              <w:t>%</w:t>
            </w:r>
          </w:p>
        </w:tc>
        <w:tc>
          <w:tcPr>
            <w:tcW w:w="0" w:type="auto"/>
            <w:vAlign w:val="bottom"/>
            <w:hideMark/>
          </w:tcPr>
          <w:p w14:paraId="11D9800F"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601283C8" w14:textId="77777777" w:rsidR="00000000" w:rsidRDefault="00832D71">
            <w:pPr>
              <w:pStyle w:val="a3"/>
              <w:spacing w:before="0" w:beforeAutospacing="0" w:after="0" w:afterAutospacing="0"/>
              <w:jc w:val="center"/>
              <w:rPr>
                <w:sz w:val="20"/>
                <w:szCs w:val="20"/>
              </w:rPr>
            </w:pPr>
            <w:r>
              <w:rPr>
                <w:sz w:val="20"/>
                <w:szCs w:val="20"/>
              </w:rPr>
              <w:t>78</w:t>
            </w:r>
            <w:r>
              <w:rPr>
                <w:sz w:val="20"/>
                <w:szCs w:val="20"/>
              </w:rPr>
              <w:t>%</w:t>
            </w:r>
          </w:p>
        </w:tc>
        <w:tc>
          <w:tcPr>
            <w:tcW w:w="0" w:type="auto"/>
            <w:vAlign w:val="bottom"/>
            <w:hideMark/>
          </w:tcPr>
          <w:p w14:paraId="415682AC"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2EDFD35B" w14:textId="77777777" w:rsidR="00000000" w:rsidRDefault="00832D71">
            <w:pPr>
              <w:pStyle w:val="a3"/>
              <w:spacing w:before="0" w:beforeAutospacing="0" w:after="0" w:afterAutospacing="0"/>
              <w:jc w:val="center"/>
              <w:rPr>
                <w:sz w:val="20"/>
                <w:szCs w:val="20"/>
              </w:rPr>
            </w:pPr>
            <w:r>
              <w:rPr>
                <w:sz w:val="20"/>
                <w:szCs w:val="20"/>
              </w:rPr>
              <w:t>22</w:t>
            </w:r>
            <w:r>
              <w:rPr>
                <w:sz w:val="20"/>
                <w:szCs w:val="20"/>
              </w:rPr>
              <w:t>%</w:t>
            </w:r>
          </w:p>
        </w:tc>
        <w:tc>
          <w:tcPr>
            <w:tcW w:w="0" w:type="auto"/>
            <w:vAlign w:val="bottom"/>
            <w:hideMark/>
          </w:tcPr>
          <w:p w14:paraId="5BBC1FDA" w14:textId="77777777" w:rsidR="00000000" w:rsidRDefault="00832D71">
            <w:pPr>
              <w:pStyle w:val="a3"/>
              <w:spacing w:before="0" w:beforeAutospacing="0" w:after="0" w:afterAutospacing="0"/>
              <w:jc w:val="center"/>
              <w:rPr>
                <w:sz w:val="20"/>
                <w:szCs w:val="20"/>
              </w:rPr>
            </w:pPr>
            <w:r>
              <w:rPr>
                <w:sz w:val="20"/>
                <w:szCs w:val="20"/>
              </w:rPr>
              <w:t> </w:t>
            </w:r>
          </w:p>
        </w:tc>
      </w:tr>
    </w:tbl>
    <w:p w14:paraId="46CD345D" w14:textId="77777777" w:rsidR="00000000" w:rsidRDefault="00832D71">
      <w:pPr>
        <w:pStyle w:val="a3"/>
        <w:spacing w:before="240" w:beforeAutospacing="0" w:after="0" w:afterAutospacing="0"/>
        <w:jc w:val="both"/>
        <w:rPr>
          <w:sz w:val="20"/>
          <w:szCs w:val="20"/>
        </w:rPr>
      </w:pPr>
      <w:r>
        <w:rPr>
          <w:i/>
          <w:iCs/>
          <w:sz w:val="20"/>
          <w:szCs w:val="20"/>
        </w:rPr>
        <w:t>Total Direct Compensation for Our President and Chief Executive Office</w:t>
      </w:r>
      <w:r>
        <w:rPr>
          <w:i/>
          <w:iCs/>
          <w:sz w:val="20"/>
          <w:szCs w:val="20"/>
        </w:rPr>
        <w:t>r</w:t>
      </w:r>
    </w:p>
    <w:p w14:paraId="495EB425" w14:textId="77777777" w:rsidR="00000000" w:rsidRDefault="00832D71">
      <w:pPr>
        <w:pStyle w:val="a3"/>
        <w:spacing w:before="160" w:beforeAutospacing="0" w:after="0" w:afterAutospacing="0"/>
        <w:ind w:firstLine="555"/>
        <w:jc w:val="both"/>
        <w:rPr>
          <w:sz w:val="20"/>
          <w:szCs w:val="20"/>
        </w:rPr>
      </w:pPr>
      <w:r>
        <w:rPr>
          <w:sz w:val="20"/>
          <w:szCs w:val="20"/>
        </w:rPr>
        <w:t>At its meeting on November 9, 2021, the Committee reviewed a detailed benchmarking analysis of the components of total direct compensation for our President and Chief Executive Officer</w:t>
      </w:r>
      <w:r>
        <w:rPr>
          <w:sz w:val="20"/>
          <w:szCs w:val="20"/>
        </w:rPr>
        <w:t xml:space="preserve"> prepared by WTW in making decisions regarding structural changes to his compensation for fiscal 2022. Mr. Stivala has been the Partnership’s President and Chief Executive Officer since September 2014, and has navigated the Partnership through an extraordi</w:t>
      </w:r>
      <w:r>
        <w:rPr>
          <w:sz w:val="20"/>
          <w:szCs w:val="20"/>
        </w:rPr>
        <w:t xml:space="preserve">narily challenging operating environment during his tenure, while also beginning to shift the strategic focus of the Partnership toward the build out of a renewable energy platform. In reviewing the relevant benchmark data for similar-sized companies, the </w:t>
      </w:r>
      <w:r>
        <w:rPr>
          <w:sz w:val="20"/>
          <w:szCs w:val="20"/>
        </w:rPr>
        <w:t>Committee acknowledged a significant shortfall in the total cash compensation opportunity for Mr. Stivala compared to the 5</w:t>
      </w:r>
      <w:r>
        <w:rPr>
          <w:sz w:val="20"/>
          <w:szCs w:val="20"/>
        </w:rPr>
        <w:t>0</w:t>
      </w:r>
      <w:r>
        <w:rPr>
          <w:sz w:val="13"/>
          <w:szCs w:val="13"/>
          <w:vertAlign w:val="superscript"/>
        </w:rPr>
        <w:t>t</w:t>
      </w:r>
      <w:r>
        <w:rPr>
          <w:sz w:val="13"/>
          <w:szCs w:val="13"/>
          <w:vertAlign w:val="superscript"/>
        </w:rPr>
        <w:t>h</w:t>
      </w:r>
      <w:r>
        <w:rPr>
          <w:sz w:val="20"/>
          <w:szCs w:val="20"/>
        </w:rPr>
        <w:t xml:space="preserve"> percentile of the benchmark total cash compensation opportunity. In an effort to begin to close the gap on the perceived shortfal</w:t>
      </w:r>
      <w:r>
        <w:rPr>
          <w:sz w:val="20"/>
          <w:szCs w:val="20"/>
        </w:rPr>
        <w:t>l in the overall compensation structure for our President and Chief Executive Officer compared to the relevant benchmark, a number of changes were made to his compensation package for fiscal 2022. As part of the structural changes to the compensation packa</w:t>
      </w:r>
      <w:r>
        <w:rPr>
          <w:sz w:val="20"/>
          <w:szCs w:val="20"/>
        </w:rPr>
        <w:t>ge for our President and Chief Executive Officer, the Committee shifted a higher percentage of the total direct compensation opportunity to performance-based compensation under the Committee’s pay for performance philosophy</w:t>
      </w:r>
      <w:r>
        <w:rPr>
          <w:sz w:val="20"/>
          <w:szCs w:val="20"/>
        </w:rPr>
        <w:t>.</w:t>
      </w:r>
    </w:p>
    <w:p w14:paraId="5131B98B" w14:textId="77777777" w:rsidR="00000000" w:rsidRDefault="00832D71">
      <w:pPr>
        <w:pStyle w:val="a3"/>
        <w:spacing w:before="160" w:beforeAutospacing="0" w:after="0" w:afterAutospacing="0"/>
        <w:jc w:val="both"/>
        <w:rPr>
          <w:sz w:val="20"/>
          <w:szCs w:val="20"/>
        </w:rPr>
      </w:pPr>
      <w:r>
        <w:rPr>
          <w:sz w:val="20"/>
          <w:szCs w:val="20"/>
        </w:rPr>
        <w:t xml:space="preserve">The following were the changes </w:t>
      </w:r>
      <w:r>
        <w:rPr>
          <w:sz w:val="20"/>
          <w:szCs w:val="20"/>
        </w:rPr>
        <w:t>to the total direct compensation opportunity for our President and Chief Executive Officer for fiscal 2022</w:t>
      </w:r>
      <w:r>
        <w:rPr>
          <w:sz w:val="20"/>
          <w:szCs w:val="20"/>
        </w:rPr>
        <w:t>:</w:t>
      </w:r>
    </w:p>
    <w:p w14:paraId="7BA7FBFC" w14:textId="77777777" w:rsidR="00000000" w:rsidRDefault="00832D71">
      <w:pPr>
        <w:pStyle w:val="a3"/>
        <w:spacing w:before="12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966"/>
        <w:gridCol w:w="160"/>
        <w:gridCol w:w="111"/>
        <w:gridCol w:w="1334"/>
        <w:gridCol w:w="227"/>
        <w:gridCol w:w="160"/>
        <w:gridCol w:w="111"/>
        <w:gridCol w:w="1334"/>
        <w:gridCol w:w="242"/>
      </w:tblGrid>
      <w:tr w:rsidR="00000000" w14:paraId="2E363D23" w14:textId="77777777">
        <w:trPr>
          <w:tblCellSpacing w:w="15" w:type="dxa"/>
        </w:trPr>
        <w:tc>
          <w:tcPr>
            <w:tcW w:w="2407" w:type="pct"/>
            <w:vAlign w:val="center"/>
            <w:hideMark/>
          </w:tcPr>
          <w:p w14:paraId="767AE15D" w14:textId="77777777" w:rsidR="00000000" w:rsidRDefault="00832D71">
            <w:pPr>
              <w:rPr>
                <w:sz w:val="20"/>
                <w:szCs w:val="20"/>
              </w:rPr>
            </w:pPr>
          </w:p>
        </w:tc>
        <w:tc>
          <w:tcPr>
            <w:tcW w:w="62" w:type="pct"/>
            <w:vAlign w:val="center"/>
            <w:hideMark/>
          </w:tcPr>
          <w:p w14:paraId="63249F80" w14:textId="77777777" w:rsidR="00000000" w:rsidRDefault="00832D71">
            <w:pPr>
              <w:rPr>
                <w:rFonts w:eastAsia="Times New Roman"/>
                <w:sz w:val="20"/>
                <w:szCs w:val="20"/>
              </w:rPr>
            </w:pPr>
          </w:p>
        </w:tc>
        <w:tc>
          <w:tcPr>
            <w:tcW w:w="50" w:type="pct"/>
            <w:vAlign w:val="center"/>
            <w:hideMark/>
          </w:tcPr>
          <w:p w14:paraId="0F07CEF0" w14:textId="77777777" w:rsidR="00000000" w:rsidRDefault="00832D71">
            <w:pPr>
              <w:rPr>
                <w:rFonts w:eastAsia="Times New Roman"/>
                <w:sz w:val="20"/>
                <w:szCs w:val="20"/>
              </w:rPr>
            </w:pPr>
          </w:p>
        </w:tc>
        <w:tc>
          <w:tcPr>
            <w:tcW w:w="1133" w:type="pct"/>
            <w:vAlign w:val="center"/>
            <w:hideMark/>
          </w:tcPr>
          <w:p w14:paraId="399A9412" w14:textId="77777777" w:rsidR="00000000" w:rsidRDefault="00832D71">
            <w:pPr>
              <w:rPr>
                <w:rFonts w:eastAsia="Times New Roman"/>
                <w:sz w:val="20"/>
                <w:szCs w:val="20"/>
              </w:rPr>
            </w:pPr>
          </w:p>
        </w:tc>
        <w:tc>
          <w:tcPr>
            <w:tcW w:w="50" w:type="pct"/>
            <w:vAlign w:val="center"/>
            <w:hideMark/>
          </w:tcPr>
          <w:p w14:paraId="7A2F49EE" w14:textId="77777777" w:rsidR="00000000" w:rsidRDefault="00832D71">
            <w:pPr>
              <w:rPr>
                <w:rFonts w:eastAsia="Times New Roman"/>
                <w:sz w:val="20"/>
                <w:szCs w:val="20"/>
              </w:rPr>
            </w:pPr>
          </w:p>
        </w:tc>
        <w:tc>
          <w:tcPr>
            <w:tcW w:w="63" w:type="pct"/>
            <w:vAlign w:val="center"/>
            <w:hideMark/>
          </w:tcPr>
          <w:p w14:paraId="03343609" w14:textId="77777777" w:rsidR="00000000" w:rsidRDefault="00832D71">
            <w:pPr>
              <w:rPr>
                <w:rFonts w:eastAsia="Times New Roman"/>
                <w:sz w:val="20"/>
                <w:szCs w:val="20"/>
              </w:rPr>
            </w:pPr>
          </w:p>
        </w:tc>
        <w:tc>
          <w:tcPr>
            <w:tcW w:w="50" w:type="pct"/>
            <w:vAlign w:val="center"/>
            <w:hideMark/>
          </w:tcPr>
          <w:p w14:paraId="0509B371" w14:textId="77777777" w:rsidR="00000000" w:rsidRDefault="00832D71">
            <w:pPr>
              <w:rPr>
                <w:rFonts w:eastAsia="Times New Roman"/>
                <w:sz w:val="20"/>
                <w:szCs w:val="20"/>
              </w:rPr>
            </w:pPr>
          </w:p>
        </w:tc>
        <w:tc>
          <w:tcPr>
            <w:tcW w:w="1133" w:type="pct"/>
            <w:vAlign w:val="center"/>
            <w:hideMark/>
          </w:tcPr>
          <w:p w14:paraId="6035A40F" w14:textId="77777777" w:rsidR="00000000" w:rsidRDefault="00832D71">
            <w:pPr>
              <w:rPr>
                <w:rFonts w:eastAsia="Times New Roman"/>
                <w:sz w:val="20"/>
                <w:szCs w:val="20"/>
              </w:rPr>
            </w:pPr>
          </w:p>
        </w:tc>
        <w:tc>
          <w:tcPr>
            <w:tcW w:w="50" w:type="pct"/>
            <w:vAlign w:val="center"/>
            <w:hideMark/>
          </w:tcPr>
          <w:p w14:paraId="04E3B227" w14:textId="77777777" w:rsidR="00000000" w:rsidRDefault="00832D71">
            <w:pPr>
              <w:rPr>
                <w:rFonts w:eastAsia="Times New Roman"/>
                <w:sz w:val="20"/>
                <w:szCs w:val="20"/>
              </w:rPr>
            </w:pPr>
          </w:p>
        </w:tc>
      </w:tr>
      <w:tr w:rsidR="00000000" w14:paraId="30139741" w14:textId="77777777">
        <w:trPr>
          <w:trHeight w:val="160"/>
          <w:tblCellSpacing w:w="15" w:type="dxa"/>
        </w:trPr>
        <w:tc>
          <w:tcPr>
            <w:tcW w:w="0" w:type="auto"/>
            <w:vAlign w:val="bottom"/>
            <w:hideMark/>
          </w:tcPr>
          <w:p w14:paraId="71D43FAE" w14:textId="77777777" w:rsidR="00000000" w:rsidRDefault="00832D71">
            <w:pPr>
              <w:pStyle w:val="a3"/>
              <w:spacing w:before="0" w:beforeAutospacing="0" w:after="0" w:afterAutospacing="0"/>
              <w:jc w:val="center"/>
              <w:rPr>
                <w:sz w:val="16"/>
                <w:szCs w:val="16"/>
              </w:rPr>
            </w:pPr>
            <w:r>
              <w:rPr>
                <w:b/>
                <w:bCs/>
                <w:sz w:val="16"/>
                <w:szCs w:val="16"/>
              </w:rPr>
              <w:t>Components of Total Direct Compensatio</w:t>
            </w:r>
            <w:r>
              <w:rPr>
                <w:b/>
                <w:bCs/>
                <w:sz w:val="16"/>
                <w:szCs w:val="16"/>
              </w:rPr>
              <w:t>n</w:t>
            </w:r>
          </w:p>
        </w:tc>
        <w:tc>
          <w:tcPr>
            <w:tcW w:w="0" w:type="auto"/>
            <w:hideMark/>
          </w:tcPr>
          <w:p w14:paraId="769BD97D"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3F3842C" w14:textId="77777777" w:rsidR="00000000" w:rsidRDefault="00832D71">
            <w:pPr>
              <w:pStyle w:val="a3"/>
              <w:spacing w:before="0" w:beforeAutospacing="0" w:after="0" w:afterAutospacing="0"/>
              <w:jc w:val="center"/>
              <w:rPr>
                <w:sz w:val="16"/>
                <w:szCs w:val="16"/>
              </w:rPr>
            </w:pPr>
            <w:r>
              <w:rPr>
                <w:b/>
                <w:bCs/>
                <w:sz w:val="16"/>
                <w:szCs w:val="16"/>
              </w:rPr>
              <w:t xml:space="preserve">Fiscal 2021 </w:t>
            </w:r>
            <w:r>
              <w:rPr>
                <w:b/>
                <w:bCs/>
                <w:sz w:val="16"/>
                <w:szCs w:val="16"/>
              </w:rPr>
              <w:br/>
              <w:t>Total Direct Compensatio</w:t>
            </w:r>
            <w:r>
              <w:rPr>
                <w:b/>
                <w:bCs/>
                <w:sz w:val="16"/>
                <w:szCs w:val="16"/>
              </w:rPr>
              <w:t>n</w:t>
            </w:r>
          </w:p>
        </w:tc>
        <w:tc>
          <w:tcPr>
            <w:tcW w:w="0" w:type="auto"/>
            <w:vAlign w:val="bottom"/>
            <w:hideMark/>
          </w:tcPr>
          <w:p w14:paraId="40227E40"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652372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B1B1EE7" w14:textId="77777777" w:rsidR="00000000" w:rsidRDefault="00832D71">
            <w:pPr>
              <w:pStyle w:val="a3"/>
              <w:spacing w:before="0" w:beforeAutospacing="0" w:after="0" w:afterAutospacing="0"/>
              <w:jc w:val="center"/>
              <w:rPr>
                <w:sz w:val="16"/>
                <w:szCs w:val="16"/>
              </w:rPr>
            </w:pPr>
            <w:r>
              <w:rPr>
                <w:b/>
                <w:bCs/>
                <w:sz w:val="16"/>
                <w:szCs w:val="16"/>
              </w:rPr>
              <w:t>Fiscal 2022</w:t>
            </w:r>
            <w:r>
              <w:rPr>
                <w:b/>
                <w:bCs/>
                <w:sz w:val="16"/>
                <w:szCs w:val="16"/>
              </w:rPr>
              <w:br/>
            </w:r>
            <w:r>
              <w:rPr>
                <w:b/>
                <w:bCs/>
                <w:sz w:val="16"/>
                <w:szCs w:val="16"/>
              </w:rPr>
              <w:t>Total Direct Compensatio</w:t>
            </w:r>
            <w:r>
              <w:rPr>
                <w:b/>
                <w:bCs/>
                <w:sz w:val="16"/>
                <w:szCs w:val="16"/>
              </w:rPr>
              <w:t>n</w:t>
            </w:r>
          </w:p>
        </w:tc>
        <w:tc>
          <w:tcPr>
            <w:tcW w:w="0" w:type="auto"/>
            <w:vAlign w:val="bottom"/>
            <w:hideMark/>
          </w:tcPr>
          <w:p w14:paraId="7A7D32D2"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150B5E3" w14:textId="77777777">
        <w:trPr>
          <w:trHeight w:val="200"/>
          <w:tblCellSpacing w:w="15" w:type="dxa"/>
        </w:trPr>
        <w:tc>
          <w:tcPr>
            <w:tcW w:w="0" w:type="auto"/>
            <w:hideMark/>
          </w:tcPr>
          <w:p w14:paraId="7A9E60EA" w14:textId="77777777" w:rsidR="00000000" w:rsidRDefault="00832D71">
            <w:pPr>
              <w:pStyle w:val="a3"/>
              <w:spacing w:before="0" w:beforeAutospacing="0" w:after="0" w:afterAutospacing="0"/>
              <w:rPr>
                <w:sz w:val="20"/>
                <w:szCs w:val="20"/>
              </w:rPr>
            </w:pPr>
            <w:r>
              <w:rPr>
                <w:sz w:val="20"/>
                <w:szCs w:val="20"/>
              </w:rPr>
              <w:t>Base Salar</w:t>
            </w:r>
            <w:r>
              <w:rPr>
                <w:sz w:val="20"/>
                <w:szCs w:val="20"/>
              </w:rPr>
              <w:t>y</w:t>
            </w:r>
          </w:p>
        </w:tc>
        <w:tc>
          <w:tcPr>
            <w:tcW w:w="0" w:type="auto"/>
            <w:hideMark/>
          </w:tcPr>
          <w:p w14:paraId="28F8FC14"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72EB438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68AC86B" w14:textId="77777777" w:rsidR="00000000" w:rsidRDefault="00832D71">
            <w:pPr>
              <w:pStyle w:val="a3"/>
              <w:spacing w:before="0" w:beforeAutospacing="0" w:after="0" w:afterAutospacing="0"/>
              <w:jc w:val="right"/>
              <w:rPr>
                <w:sz w:val="20"/>
                <w:szCs w:val="20"/>
              </w:rPr>
            </w:pPr>
            <w:r>
              <w:rPr>
                <w:sz w:val="20"/>
                <w:szCs w:val="20"/>
              </w:rPr>
              <w:t>600,00</w:t>
            </w:r>
            <w:r>
              <w:rPr>
                <w:sz w:val="20"/>
                <w:szCs w:val="20"/>
              </w:rPr>
              <w:t>0</w:t>
            </w:r>
          </w:p>
        </w:tc>
        <w:tc>
          <w:tcPr>
            <w:tcW w:w="0" w:type="auto"/>
            <w:noWrap/>
            <w:vAlign w:val="bottom"/>
            <w:hideMark/>
          </w:tcPr>
          <w:p w14:paraId="55378F3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F7DB207"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2423A53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685ED53" w14:textId="77777777" w:rsidR="00000000" w:rsidRDefault="00832D71">
            <w:pPr>
              <w:pStyle w:val="a3"/>
              <w:spacing w:before="0" w:beforeAutospacing="0" w:after="0" w:afterAutospacing="0"/>
              <w:jc w:val="right"/>
              <w:rPr>
                <w:sz w:val="20"/>
                <w:szCs w:val="20"/>
              </w:rPr>
            </w:pPr>
            <w:r>
              <w:rPr>
                <w:sz w:val="20"/>
                <w:szCs w:val="20"/>
              </w:rPr>
              <w:t>820,00</w:t>
            </w:r>
            <w:r>
              <w:rPr>
                <w:sz w:val="20"/>
                <w:szCs w:val="20"/>
              </w:rPr>
              <w:t>0</w:t>
            </w:r>
          </w:p>
        </w:tc>
        <w:tc>
          <w:tcPr>
            <w:tcW w:w="0" w:type="auto"/>
            <w:noWrap/>
            <w:vAlign w:val="bottom"/>
            <w:hideMark/>
          </w:tcPr>
          <w:p w14:paraId="5AEE416C" w14:textId="77777777" w:rsidR="00000000" w:rsidRDefault="00832D71">
            <w:pPr>
              <w:pStyle w:val="a3"/>
              <w:spacing w:before="0" w:beforeAutospacing="0" w:after="0" w:afterAutospacing="0"/>
              <w:rPr>
                <w:sz w:val="20"/>
                <w:szCs w:val="20"/>
              </w:rPr>
            </w:pPr>
            <w:r>
              <w:rPr>
                <w:sz w:val="20"/>
                <w:szCs w:val="20"/>
              </w:rPr>
              <w:t> </w:t>
            </w:r>
          </w:p>
        </w:tc>
      </w:tr>
      <w:tr w:rsidR="00000000" w14:paraId="11A8DC2C" w14:textId="77777777">
        <w:trPr>
          <w:trHeight w:val="200"/>
          <w:tblCellSpacing w:w="15" w:type="dxa"/>
        </w:trPr>
        <w:tc>
          <w:tcPr>
            <w:tcW w:w="0" w:type="auto"/>
            <w:hideMark/>
          </w:tcPr>
          <w:p w14:paraId="105E7D4A" w14:textId="77777777" w:rsidR="00000000" w:rsidRDefault="00832D71">
            <w:pPr>
              <w:pStyle w:val="a3"/>
              <w:spacing w:before="0" w:beforeAutospacing="0" w:after="0" w:afterAutospacing="0"/>
              <w:rPr>
                <w:sz w:val="20"/>
                <w:szCs w:val="20"/>
              </w:rPr>
            </w:pPr>
            <w:r>
              <w:rPr>
                <w:sz w:val="20"/>
                <w:szCs w:val="20"/>
              </w:rPr>
              <w:t xml:space="preserve">Annual Bonus Target </w:t>
            </w:r>
            <w:r>
              <w:rPr>
                <w:sz w:val="20"/>
                <w:szCs w:val="20"/>
              </w:rPr>
              <w:t>%</w:t>
            </w:r>
          </w:p>
        </w:tc>
        <w:tc>
          <w:tcPr>
            <w:tcW w:w="0" w:type="auto"/>
            <w:hideMark/>
          </w:tcPr>
          <w:p w14:paraId="13F93FB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C0E784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2284838"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14:paraId="4E674C08"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6BDCB7E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D871EF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3BA9BC1" w14:textId="77777777" w:rsidR="00000000" w:rsidRDefault="00832D71">
            <w:pPr>
              <w:pStyle w:val="a3"/>
              <w:spacing w:before="0" w:beforeAutospacing="0" w:after="0" w:afterAutospacing="0"/>
              <w:jc w:val="right"/>
              <w:rPr>
                <w:sz w:val="20"/>
                <w:szCs w:val="20"/>
              </w:rPr>
            </w:pPr>
            <w:r>
              <w:rPr>
                <w:sz w:val="20"/>
                <w:szCs w:val="20"/>
              </w:rPr>
              <w:t>12</w:t>
            </w:r>
            <w:r>
              <w:rPr>
                <w:sz w:val="20"/>
                <w:szCs w:val="20"/>
              </w:rPr>
              <w:t>0</w:t>
            </w:r>
          </w:p>
        </w:tc>
        <w:tc>
          <w:tcPr>
            <w:tcW w:w="0" w:type="auto"/>
            <w:noWrap/>
            <w:vAlign w:val="bottom"/>
            <w:hideMark/>
          </w:tcPr>
          <w:p w14:paraId="78F60849" w14:textId="77777777" w:rsidR="00000000" w:rsidRDefault="00832D71">
            <w:pPr>
              <w:pStyle w:val="a3"/>
              <w:spacing w:before="0" w:beforeAutospacing="0" w:after="0" w:afterAutospacing="0"/>
              <w:rPr>
                <w:sz w:val="20"/>
                <w:szCs w:val="20"/>
              </w:rPr>
            </w:pPr>
            <w:r>
              <w:rPr>
                <w:sz w:val="20"/>
                <w:szCs w:val="20"/>
              </w:rPr>
              <w:t>%</w:t>
            </w:r>
          </w:p>
        </w:tc>
      </w:tr>
      <w:tr w:rsidR="00000000" w14:paraId="616CD725" w14:textId="77777777">
        <w:trPr>
          <w:trHeight w:val="200"/>
          <w:tblCellSpacing w:w="15" w:type="dxa"/>
        </w:trPr>
        <w:tc>
          <w:tcPr>
            <w:tcW w:w="0" w:type="auto"/>
            <w:hideMark/>
          </w:tcPr>
          <w:p w14:paraId="16133D02" w14:textId="77777777" w:rsidR="00000000" w:rsidRDefault="00832D71">
            <w:pPr>
              <w:pStyle w:val="a3"/>
              <w:spacing w:before="0" w:beforeAutospacing="0" w:after="0" w:afterAutospacing="0"/>
              <w:rPr>
                <w:sz w:val="20"/>
                <w:szCs w:val="20"/>
              </w:rPr>
            </w:pPr>
            <w:r>
              <w:rPr>
                <w:sz w:val="20"/>
                <w:szCs w:val="20"/>
              </w:rPr>
              <w:t xml:space="preserve">Annual Bonus Target </w:t>
            </w:r>
            <w:r>
              <w:rPr>
                <w:sz w:val="20"/>
                <w:szCs w:val="20"/>
              </w:rPr>
              <w:t>$</w:t>
            </w:r>
          </w:p>
        </w:tc>
        <w:tc>
          <w:tcPr>
            <w:tcW w:w="0" w:type="auto"/>
            <w:hideMark/>
          </w:tcPr>
          <w:p w14:paraId="7B1831F7"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6A41D26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A32AFFB" w14:textId="77777777" w:rsidR="00000000" w:rsidRDefault="00832D71">
            <w:pPr>
              <w:pStyle w:val="a3"/>
              <w:spacing w:before="0" w:beforeAutospacing="0" w:after="0" w:afterAutospacing="0"/>
              <w:jc w:val="right"/>
              <w:rPr>
                <w:sz w:val="20"/>
                <w:szCs w:val="20"/>
              </w:rPr>
            </w:pPr>
            <w:r>
              <w:rPr>
                <w:sz w:val="20"/>
                <w:szCs w:val="20"/>
              </w:rPr>
              <w:t>600,00</w:t>
            </w:r>
            <w:r>
              <w:rPr>
                <w:sz w:val="20"/>
                <w:szCs w:val="20"/>
              </w:rPr>
              <w:t>0</w:t>
            </w:r>
          </w:p>
        </w:tc>
        <w:tc>
          <w:tcPr>
            <w:tcW w:w="0" w:type="auto"/>
            <w:noWrap/>
            <w:vAlign w:val="bottom"/>
            <w:hideMark/>
          </w:tcPr>
          <w:p w14:paraId="0596313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DEAB65D"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6062EE2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E56CBB2" w14:textId="77777777" w:rsidR="00000000" w:rsidRDefault="00832D71">
            <w:pPr>
              <w:pStyle w:val="a3"/>
              <w:spacing w:before="0" w:beforeAutospacing="0" w:after="0" w:afterAutospacing="0"/>
              <w:jc w:val="right"/>
              <w:rPr>
                <w:sz w:val="20"/>
                <w:szCs w:val="20"/>
              </w:rPr>
            </w:pPr>
            <w:r>
              <w:rPr>
                <w:sz w:val="20"/>
                <w:szCs w:val="20"/>
              </w:rPr>
              <w:t>984,00</w:t>
            </w:r>
            <w:r>
              <w:rPr>
                <w:sz w:val="20"/>
                <w:szCs w:val="20"/>
              </w:rPr>
              <w:t>0</w:t>
            </w:r>
          </w:p>
        </w:tc>
        <w:tc>
          <w:tcPr>
            <w:tcW w:w="0" w:type="auto"/>
            <w:noWrap/>
            <w:vAlign w:val="bottom"/>
            <w:hideMark/>
          </w:tcPr>
          <w:p w14:paraId="72D145BA" w14:textId="77777777" w:rsidR="00000000" w:rsidRDefault="00832D71">
            <w:pPr>
              <w:pStyle w:val="a3"/>
              <w:spacing w:before="0" w:beforeAutospacing="0" w:after="0" w:afterAutospacing="0"/>
              <w:rPr>
                <w:sz w:val="20"/>
                <w:szCs w:val="20"/>
              </w:rPr>
            </w:pPr>
            <w:r>
              <w:rPr>
                <w:sz w:val="20"/>
                <w:szCs w:val="20"/>
              </w:rPr>
              <w:t> </w:t>
            </w:r>
          </w:p>
        </w:tc>
      </w:tr>
      <w:tr w:rsidR="00000000" w14:paraId="7AC5A293" w14:textId="77777777">
        <w:trPr>
          <w:trHeight w:val="200"/>
          <w:tblCellSpacing w:w="15" w:type="dxa"/>
        </w:trPr>
        <w:tc>
          <w:tcPr>
            <w:tcW w:w="0" w:type="auto"/>
            <w:hideMark/>
          </w:tcPr>
          <w:p w14:paraId="278699E8" w14:textId="77777777" w:rsidR="00000000" w:rsidRDefault="00832D71">
            <w:pPr>
              <w:pStyle w:val="a3"/>
              <w:spacing w:before="0" w:beforeAutospacing="0" w:after="0" w:afterAutospacing="0"/>
              <w:rPr>
                <w:sz w:val="20"/>
                <w:szCs w:val="20"/>
              </w:rPr>
            </w:pPr>
            <w:r>
              <w:rPr>
                <w:sz w:val="20"/>
                <w:szCs w:val="20"/>
              </w:rPr>
              <w:t>Distribution Equivalent Rights Payment</w:t>
            </w:r>
            <w:r>
              <w:rPr>
                <w:sz w:val="20"/>
                <w:szCs w:val="20"/>
              </w:rPr>
              <w:t>s</w:t>
            </w:r>
          </w:p>
        </w:tc>
        <w:tc>
          <w:tcPr>
            <w:tcW w:w="0" w:type="auto"/>
            <w:hideMark/>
          </w:tcPr>
          <w:p w14:paraId="71CB2F99"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1AEDE40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351226E" w14:textId="77777777" w:rsidR="00000000" w:rsidRDefault="00832D71">
            <w:pPr>
              <w:pStyle w:val="a3"/>
              <w:spacing w:before="0" w:beforeAutospacing="0" w:after="0" w:afterAutospacing="0"/>
              <w:jc w:val="right"/>
              <w:rPr>
                <w:sz w:val="20"/>
                <w:szCs w:val="20"/>
              </w:rPr>
            </w:pPr>
            <w:r>
              <w:rPr>
                <w:sz w:val="20"/>
                <w:szCs w:val="20"/>
              </w:rPr>
              <w:t>141,25</w:t>
            </w:r>
            <w:r>
              <w:rPr>
                <w:sz w:val="20"/>
                <w:szCs w:val="20"/>
              </w:rPr>
              <w:t>3</w:t>
            </w:r>
          </w:p>
        </w:tc>
        <w:tc>
          <w:tcPr>
            <w:tcW w:w="0" w:type="auto"/>
            <w:noWrap/>
            <w:vAlign w:val="bottom"/>
            <w:hideMark/>
          </w:tcPr>
          <w:p w14:paraId="4AA2998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AE9638E"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469D144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320C663" w14:textId="77777777" w:rsidR="00000000" w:rsidRDefault="00832D71">
            <w:pPr>
              <w:pStyle w:val="a3"/>
              <w:spacing w:before="0" w:beforeAutospacing="0" w:after="0" w:afterAutospacing="0"/>
              <w:jc w:val="right"/>
              <w:rPr>
                <w:sz w:val="20"/>
                <w:szCs w:val="20"/>
              </w:rPr>
            </w:pPr>
            <w:r>
              <w:rPr>
                <w:sz w:val="20"/>
                <w:szCs w:val="20"/>
              </w:rPr>
              <w:t>159,10</w:t>
            </w:r>
            <w:r>
              <w:rPr>
                <w:sz w:val="20"/>
                <w:szCs w:val="20"/>
              </w:rPr>
              <w:t>0</w:t>
            </w:r>
          </w:p>
        </w:tc>
        <w:tc>
          <w:tcPr>
            <w:tcW w:w="0" w:type="auto"/>
            <w:noWrap/>
            <w:vAlign w:val="bottom"/>
            <w:hideMark/>
          </w:tcPr>
          <w:p w14:paraId="6B677378" w14:textId="77777777" w:rsidR="00000000" w:rsidRDefault="00832D71">
            <w:pPr>
              <w:pStyle w:val="a3"/>
              <w:spacing w:before="0" w:beforeAutospacing="0" w:after="0" w:afterAutospacing="0"/>
              <w:rPr>
                <w:sz w:val="20"/>
                <w:szCs w:val="20"/>
              </w:rPr>
            </w:pPr>
            <w:r>
              <w:rPr>
                <w:sz w:val="20"/>
                <w:szCs w:val="20"/>
              </w:rPr>
              <w:t> </w:t>
            </w:r>
          </w:p>
        </w:tc>
      </w:tr>
      <w:tr w:rsidR="00000000" w14:paraId="50C10624" w14:textId="77777777">
        <w:trPr>
          <w:trHeight w:val="200"/>
          <w:tblCellSpacing w:w="15" w:type="dxa"/>
        </w:trPr>
        <w:tc>
          <w:tcPr>
            <w:tcW w:w="0" w:type="auto"/>
            <w:hideMark/>
          </w:tcPr>
          <w:p w14:paraId="0AFAD578" w14:textId="77777777" w:rsidR="00000000" w:rsidRDefault="00832D71">
            <w:pPr>
              <w:pStyle w:val="a3"/>
              <w:spacing w:before="0" w:beforeAutospacing="0" w:after="0" w:afterAutospacing="0"/>
              <w:rPr>
                <w:sz w:val="20"/>
                <w:szCs w:val="20"/>
              </w:rPr>
            </w:pPr>
            <w:r>
              <w:rPr>
                <w:sz w:val="20"/>
                <w:szCs w:val="20"/>
              </w:rPr>
              <w:t>Total Cash Compensation Opportunit</w:t>
            </w:r>
            <w:r>
              <w:rPr>
                <w:sz w:val="20"/>
                <w:szCs w:val="20"/>
              </w:rPr>
              <w:t>y</w:t>
            </w:r>
          </w:p>
        </w:tc>
        <w:tc>
          <w:tcPr>
            <w:tcW w:w="0" w:type="auto"/>
            <w:hideMark/>
          </w:tcPr>
          <w:p w14:paraId="53DC1E01"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3E77FC2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C1164AC" w14:textId="77777777" w:rsidR="00000000" w:rsidRDefault="00832D71">
            <w:pPr>
              <w:pStyle w:val="a3"/>
              <w:spacing w:before="0" w:beforeAutospacing="0" w:after="0" w:afterAutospacing="0"/>
              <w:jc w:val="right"/>
              <w:rPr>
                <w:sz w:val="20"/>
                <w:szCs w:val="20"/>
              </w:rPr>
            </w:pPr>
            <w:r>
              <w:rPr>
                <w:sz w:val="20"/>
                <w:szCs w:val="20"/>
              </w:rPr>
              <w:t>1,341,25</w:t>
            </w:r>
            <w:r>
              <w:rPr>
                <w:sz w:val="20"/>
                <w:szCs w:val="20"/>
              </w:rPr>
              <w:t>3</w:t>
            </w:r>
          </w:p>
        </w:tc>
        <w:tc>
          <w:tcPr>
            <w:tcW w:w="0" w:type="auto"/>
            <w:noWrap/>
            <w:vAlign w:val="bottom"/>
            <w:hideMark/>
          </w:tcPr>
          <w:p w14:paraId="624FE1A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D912607"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346CAA4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7CCD6BB" w14:textId="77777777" w:rsidR="00000000" w:rsidRDefault="00832D71">
            <w:pPr>
              <w:pStyle w:val="a3"/>
              <w:spacing w:before="0" w:beforeAutospacing="0" w:after="0" w:afterAutospacing="0"/>
              <w:jc w:val="right"/>
              <w:rPr>
                <w:sz w:val="20"/>
                <w:szCs w:val="20"/>
              </w:rPr>
            </w:pPr>
            <w:r>
              <w:rPr>
                <w:sz w:val="20"/>
                <w:szCs w:val="20"/>
              </w:rPr>
              <w:t>1,963,10</w:t>
            </w:r>
            <w:r>
              <w:rPr>
                <w:sz w:val="20"/>
                <w:szCs w:val="20"/>
              </w:rPr>
              <w:t>0</w:t>
            </w:r>
          </w:p>
        </w:tc>
        <w:tc>
          <w:tcPr>
            <w:tcW w:w="0" w:type="auto"/>
            <w:noWrap/>
            <w:vAlign w:val="bottom"/>
            <w:hideMark/>
          </w:tcPr>
          <w:p w14:paraId="1856B095" w14:textId="77777777" w:rsidR="00000000" w:rsidRDefault="00832D71">
            <w:pPr>
              <w:pStyle w:val="a3"/>
              <w:spacing w:before="0" w:beforeAutospacing="0" w:after="0" w:afterAutospacing="0"/>
              <w:rPr>
                <w:sz w:val="20"/>
                <w:szCs w:val="20"/>
              </w:rPr>
            </w:pPr>
            <w:r>
              <w:rPr>
                <w:sz w:val="20"/>
                <w:szCs w:val="20"/>
              </w:rPr>
              <w:t> </w:t>
            </w:r>
          </w:p>
        </w:tc>
      </w:tr>
      <w:tr w:rsidR="00000000" w14:paraId="25FE9489" w14:textId="77777777">
        <w:trPr>
          <w:trHeight w:val="200"/>
          <w:tblCellSpacing w:w="15" w:type="dxa"/>
        </w:trPr>
        <w:tc>
          <w:tcPr>
            <w:tcW w:w="0" w:type="auto"/>
            <w:hideMark/>
          </w:tcPr>
          <w:p w14:paraId="18156DE5" w14:textId="77777777" w:rsidR="00000000" w:rsidRDefault="00832D71">
            <w:pPr>
              <w:pStyle w:val="a3"/>
              <w:spacing w:before="0" w:beforeAutospacing="0" w:after="0" w:afterAutospacing="0"/>
              <w:rPr>
                <w:sz w:val="20"/>
                <w:szCs w:val="20"/>
              </w:rPr>
            </w:pPr>
            <w:r>
              <w:rPr>
                <w:sz w:val="20"/>
                <w:szCs w:val="20"/>
              </w:rPr>
              <w:t xml:space="preserve">LTIP Target </w:t>
            </w:r>
            <w:r>
              <w:rPr>
                <w:sz w:val="20"/>
                <w:szCs w:val="20"/>
              </w:rPr>
              <w:t>$</w:t>
            </w:r>
          </w:p>
        </w:tc>
        <w:tc>
          <w:tcPr>
            <w:tcW w:w="0" w:type="auto"/>
            <w:hideMark/>
          </w:tcPr>
          <w:p w14:paraId="0925A35E"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3F8F0F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04106D5" w14:textId="77777777" w:rsidR="00000000" w:rsidRDefault="00832D71">
            <w:pPr>
              <w:pStyle w:val="a3"/>
              <w:spacing w:before="0" w:beforeAutospacing="0" w:after="0" w:afterAutospacing="0"/>
              <w:jc w:val="right"/>
              <w:rPr>
                <w:sz w:val="20"/>
                <w:szCs w:val="20"/>
              </w:rPr>
            </w:pPr>
            <w:r>
              <w:rPr>
                <w:sz w:val="20"/>
                <w:szCs w:val="20"/>
              </w:rPr>
              <w:t>300,00</w:t>
            </w:r>
            <w:r>
              <w:rPr>
                <w:sz w:val="20"/>
                <w:szCs w:val="20"/>
              </w:rPr>
              <w:t>0</w:t>
            </w:r>
          </w:p>
        </w:tc>
        <w:tc>
          <w:tcPr>
            <w:tcW w:w="0" w:type="auto"/>
            <w:noWrap/>
            <w:vAlign w:val="bottom"/>
            <w:hideMark/>
          </w:tcPr>
          <w:p w14:paraId="59AFB75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519C459"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88E6B9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AC250DA" w14:textId="77777777" w:rsidR="00000000" w:rsidRDefault="00832D71">
            <w:pPr>
              <w:pStyle w:val="a3"/>
              <w:spacing w:before="0" w:beforeAutospacing="0" w:after="0" w:afterAutospacing="0"/>
              <w:jc w:val="right"/>
              <w:rPr>
                <w:sz w:val="20"/>
                <w:szCs w:val="20"/>
              </w:rPr>
            </w:pPr>
            <w:r>
              <w:rPr>
                <w:sz w:val="20"/>
                <w:szCs w:val="20"/>
              </w:rPr>
              <w:t>738,00</w:t>
            </w:r>
            <w:r>
              <w:rPr>
                <w:sz w:val="20"/>
                <w:szCs w:val="20"/>
              </w:rPr>
              <w:t>0</w:t>
            </w:r>
          </w:p>
        </w:tc>
        <w:tc>
          <w:tcPr>
            <w:tcW w:w="0" w:type="auto"/>
            <w:noWrap/>
            <w:vAlign w:val="bottom"/>
            <w:hideMark/>
          </w:tcPr>
          <w:p w14:paraId="6BA4A298" w14:textId="77777777" w:rsidR="00000000" w:rsidRDefault="00832D71">
            <w:pPr>
              <w:pStyle w:val="a3"/>
              <w:spacing w:before="0" w:beforeAutospacing="0" w:after="0" w:afterAutospacing="0"/>
              <w:rPr>
                <w:sz w:val="20"/>
                <w:szCs w:val="20"/>
              </w:rPr>
            </w:pPr>
            <w:r>
              <w:rPr>
                <w:sz w:val="20"/>
                <w:szCs w:val="20"/>
              </w:rPr>
              <w:t> </w:t>
            </w:r>
          </w:p>
        </w:tc>
      </w:tr>
      <w:tr w:rsidR="00000000" w14:paraId="7EC9038D" w14:textId="77777777">
        <w:trPr>
          <w:trHeight w:val="200"/>
          <w:tblCellSpacing w:w="15" w:type="dxa"/>
        </w:trPr>
        <w:tc>
          <w:tcPr>
            <w:tcW w:w="0" w:type="auto"/>
            <w:hideMark/>
          </w:tcPr>
          <w:p w14:paraId="3295143A" w14:textId="77777777" w:rsidR="00000000" w:rsidRDefault="00832D71">
            <w:pPr>
              <w:pStyle w:val="a3"/>
              <w:spacing w:before="0" w:beforeAutospacing="0" w:after="0" w:afterAutospacing="0"/>
              <w:rPr>
                <w:sz w:val="20"/>
                <w:szCs w:val="20"/>
              </w:rPr>
            </w:pPr>
            <w:r>
              <w:rPr>
                <w:sz w:val="20"/>
                <w:szCs w:val="20"/>
              </w:rPr>
              <w:t xml:space="preserve">Restricted Unit Plan Award </w:t>
            </w:r>
            <w:r>
              <w:rPr>
                <w:sz w:val="20"/>
                <w:szCs w:val="20"/>
              </w:rPr>
              <w:t>$</w:t>
            </w:r>
          </w:p>
        </w:tc>
        <w:tc>
          <w:tcPr>
            <w:tcW w:w="0" w:type="auto"/>
            <w:hideMark/>
          </w:tcPr>
          <w:p w14:paraId="1C35C15A"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554749B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AE4289B" w14:textId="77777777" w:rsidR="00000000" w:rsidRDefault="00832D71">
            <w:pPr>
              <w:pStyle w:val="a3"/>
              <w:spacing w:before="0" w:beforeAutospacing="0" w:after="0" w:afterAutospacing="0"/>
              <w:jc w:val="right"/>
              <w:rPr>
                <w:sz w:val="20"/>
                <w:szCs w:val="20"/>
              </w:rPr>
            </w:pPr>
            <w:r>
              <w:rPr>
                <w:sz w:val="20"/>
                <w:szCs w:val="20"/>
              </w:rPr>
              <w:t>1,050,09</w:t>
            </w:r>
            <w:r>
              <w:rPr>
                <w:sz w:val="20"/>
                <w:szCs w:val="20"/>
              </w:rPr>
              <w:t>0</w:t>
            </w:r>
          </w:p>
        </w:tc>
        <w:tc>
          <w:tcPr>
            <w:tcW w:w="0" w:type="auto"/>
            <w:noWrap/>
            <w:vAlign w:val="bottom"/>
            <w:hideMark/>
          </w:tcPr>
          <w:p w14:paraId="0DF6997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869B422"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1A3050A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A92B10B" w14:textId="77777777" w:rsidR="00000000" w:rsidRDefault="00832D71">
            <w:pPr>
              <w:pStyle w:val="a3"/>
              <w:spacing w:before="0" w:beforeAutospacing="0" w:after="0" w:afterAutospacing="0"/>
              <w:jc w:val="right"/>
              <w:rPr>
                <w:sz w:val="20"/>
                <w:szCs w:val="20"/>
              </w:rPr>
            </w:pPr>
            <w:r>
              <w:rPr>
                <w:sz w:val="20"/>
                <w:szCs w:val="20"/>
              </w:rPr>
              <w:t>744,24</w:t>
            </w:r>
            <w:r>
              <w:rPr>
                <w:sz w:val="20"/>
                <w:szCs w:val="20"/>
              </w:rPr>
              <w:t>7</w:t>
            </w:r>
          </w:p>
        </w:tc>
        <w:tc>
          <w:tcPr>
            <w:tcW w:w="0" w:type="auto"/>
            <w:noWrap/>
            <w:vAlign w:val="bottom"/>
            <w:hideMark/>
          </w:tcPr>
          <w:p w14:paraId="789ECA6F" w14:textId="77777777" w:rsidR="00000000" w:rsidRDefault="00832D71">
            <w:pPr>
              <w:pStyle w:val="a3"/>
              <w:spacing w:before="0" w:beforeAutospacing="0" w:after="0" w:afterAutospacing="0"/>
              <w:rPr>
                <w:sz w:val="20"/>
                <w:szCs w:val="20"/>
              </w:rPr>
            </w:pPr>
            <w:r>
              <w:rPr>
                <w:sz w:val="20"/>
                <w:szCs w:val="20"/>
              </w:rPr>
              <w:t> </w:t>
            </w:r>
          </w:p>
        </w:tc>
      </w:tr>
      <w:tr w:rsidR="00000000" w14:paraId="55D147A4" w14:textId="77777777">
        <w:trPr>
          <w:trHeight w:val="200"/>
          <w:tblCellSpacing w:w="15" w:type="dxa"/>
        </w:trPr>
        <w:tc>
          <w:tcPr>
            <w:tcW w:w="0" w:type="auto"/>
            <w:hideMark/>
          </w:tcPr>
          <w:p w14:paraId="009A228D" w14:textId="77777777" w:rsidR="00000000" w:rsidRDefault="00832D71">
            <w:pPr>
              <w:pStyle w:val="a3"/>
              <w:spacing w:before="0" w:beforeAutospacing="0" w:after="0" w:afterAutospacing="0"/>
              <w:rPr>
                <w:sz w:val="20"/>
                <w:szCs w:val="20"/>
              </w:rPr>
            </w:pPr>
            <w:r>
              <w:rPr>
                <w:sz w:val="20"/>
                <w:szCs w:val="20"/>
              </w:rPr>
              <w:t>Total Direct Compensation Opportunit</w:t>
            </w:r>
            <w:r>
              <w:rPr>
                <w:sz w:val="20"/>
                <w:szCs w:val="20"/>
              </w:rPr>
              <w:t>y</w:t>
            </w:r>
          </w:p>
        </w:tc>
        <w:tc>
          <w:tcPr>
            <w:tcW w:w="0" w:type="auto"/>
            <w:hideMark/>
          </w:tcPr>
          <w:p w14:paraId="342C251C"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1C986B4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E5777EA" w14:textId="77777777" w:rsidR="00000000" w:rsidRDefault="00832D71">
            <w:pPr>
              <w:pStyle w:val="a3"/>
              <w:spacing w:before="0" w:beforeAutospacing="0" w:after="0" w:afterAutospacing="0"/>
              <w:jc w:val="right"/>
              <w:rPr>
                <w:sz w:val="20"/>
                <w:szCs w:val="20"/>
              </w:rPr>
            </w:pPr>
            <w:r>
              <w:rPr>
                <w:sz w:val="20"/>
                <w:szCs w:val="20"/>
              </w:rPr>
              <w:t>2,691,34</w:t>
            </w:r>
            <w:r>
              <w:rPr>
                <w:sz w:val="20"/>
                <w:szCs w:val="20"/>
              </w:rPr>
              <w:t>3</w:t>
            </w:r>
          </w:p>
        </w:tc>
        <w:tc>
          <w:tcPr>
            <w:tcW w:w="0" w:type="auto"/>
            <w:noWrap/>
            <w:vAlign w:val="bottom"/>
            <w:hideMark/>
          </w:tcPr>
          <w:p w14:paraId="1CA01F4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5DD42D2"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545947D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0251710" w14:textId="77777777" w:rsidR="00000000" w:rsidRDefault="00832D71">
            <w:pPr>
              <w:pStyle w:val="a3"/>
              <w:spacing w:before="0" w:beforeAutospacing="0" w:after="0" w:afterAutospacing="0"/>
              <w:jc w:val="right"/>
              <w:rPr>
                <w:sz w:val="20"/>
                <w:szCs w:val="20"/>
              </w:rPr>
            </w:pPr>
            <w:r>
              <w:rPr>
                <w:sz w:val="20"/>
                <w:szCs w:val="20"/>
              </w:rPr>
              <w:t>3,445,34</w:t>
            </w:r>
            <w:r>
              <w:rPr>
                <w:sz w:val="20"/>
                <w:szCs w:val="20"/>
              </w:rPr>
              <w:t>7</w:t>
            </w:r>
          </w:p>
        </w:tc>
        <w:tc>
          <w:tcPr>
            <w:tcW w:w="0" w:type="auto"/>
            <w:noWrap/>
            <w:vAlign w:val="bottom"/>
            <w:hideMark/>
          </w:tcPr>
          <w:p w14:paraId="29F27723" w14:textId="77777777" w:rsidR="00000000" w:rsidRDefault="00832D71">
            <w:pPr>
              <w:pStyle w:val="a3"/>
              <w:spacing w:before="0" w:beforeAutospacing="0" w:after="0" w:afterAutospacing="0"/>
              <w:rPr>
                <w:sz w:val="20"/>
                <w:szCs w:val="20"/>
              </w:rPr>
            </w:pPr>
            <w:r>
              <w:rPr>
                <w:sz w:val="20"/>
                <w:szCs w:val="20"/>
              </w:rPr>
              <w:t> </w:t>
            </w:r>
          </w:p>
        </w:tc>
      </w:tr>
      <w:tr w:rsidR="00000000" w14:paraId="6C136D74" w14:textId="77777777">
        <w:trPr>
          <w:trHeight w:val="200"/>
          <w:tblCellSpacing w:w="15" w:type="dxa"/>
        </w:trPr>
        <w:tc>
          <w:tcPr>
            <w:tcW w:w="0" w:type="auto"/>
            <w:hideMark/>
          </w:tcPr>
          <w:p w14:paraId="58B64335" w14:textId="77777777" w:rsidR="00000000" w:rsidRDefault="00832D71">
            <w:pPr>
              <w:pStyle w:val="a3"/>
              <w:spacing w:before="0" w:beforeAutospacing="0" w:after="0" w:afterAutospacing="0"/>
              <w:rPr>
                <w:sz w:val="20"/>
                <w:szCs w:val="20"/>
              </w:rPr>
            </w:pPr>
            <w:r>
              <w:rPr>
                <w:sz w:val="20"/>
                <w:szCs w:val="20"/>
              </w:rPr>
              <w:t>Performance-Based % of Total Direct Compensation Opportunit</w:t>
            </w:r>
            <w:r>
              <w:rPr>
                <w:sz w:val="20"/>
                <w:szCs w:val="20"/>
              </w:rPr>
              <w:t>y</w:t>
            </w:r>
          </w:p>
        </w:tc>
        <w:tc>
          <w:tcPr>
            <w:tcW w:w="0" w:type="auto"/>
            <w:hideMark/>
          </w:tcPr>
          <w:p w14:paraId="633D1FEB"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3AFE682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CEE0AE3" w14:textId="77777777" w:rsidR="00000000" w:rsidRDefault="00832D71">
            <w:pPr>
              <w:pStyle w:val="a3"/>
              <w:spacing w:before="0" w:beforeAutospacing="0" w:after="0" w:afterAutospacing="0"/>
              <w:jc w:val="right"/>
              <w:rPr>
                <w:sz w:val="20"/>
                <w:szCs w:val="20"/>
              </w:rPr>
            </w:pPr>
            <w:r>
              <w:rPr>
                <w:sz w:val="20"/>
                <w:szCs w:val="20"/>
              </w:rPr>
              <w:t>3</w:t>
            </w:r>
            <w:r>
              <w:rPr>
                <w:sz w:val="20"/>
                <w:szCs w:val="20"/>
              </w:rPr>
              <w:t>3</w:t>
            </w:r>
          </w:p>
        </w:tc>
        <w:tc>
          <w:tcPr>
            <w:tcW w:w="0" w:type="auto"/>
            <w:noWrap/>
            <w:vAlign w:val="bottom"/>
            <w:hideMark/>
          </w:tcPr>
          <w:p w14:paraId="63249030"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0CBC6698"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32B890F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D9D181C" w14:textId="77777777" w:rsidR="00000000" w:rsidRDefault="00832D71">
            <w:pPr>
              <w:pStyle w:val="a3"/>
              <w:spacing w:before="0" w:beforeAutospacing="0" w:after="0" w:afterAutospacing="0"/>
              <w:jc w:val="right"/>
              <w:rPr>
                <w:sz w:val="20"/>
                <w:szCs w:val="20"/>
              </w:rPr>
            </w:pPr>
            <w:r>
              <w:rPr>
                <w:sz w:val="20"/>
                <w:szCs w:val="20"/>
              </w:rPr>
              <w:t>5</w:t>
            </w:r>
            <w:r>
              <w:rPr>
                <w:sz w:val="20"/>
                <w:szCs w:val="20"/>
              </w:rPr>
              <w:t>0</w:t>
            </w:r>
          </w:p>
        </w:tc>
        <w:tc>
          <w:tcPr>
            <w:tcW w:w="0" w:type="auto"/>
            <w:noWrap/>
            <w:vAlign w:val="bottom"/>
            <w:hideMark/>
          </w:tcPr>
          <w:p w14:paraId="3EB2CA9B" w14:textId="77777777" w:rsidR="00000000" w:rsidRDefault="00832D71">
            <w:pPr>
              <w:pStyle w:val="a3"/>
              <w:spacing w:before="0" w:beforeAutospacing="0" w:after="0" w:afterAutospacing="0"/>
              <w:rPr>
                <w:sz w:val="20"/>
                <w:szCs w:val="20"/>
              </w:rPr>
            </w:pPr>
            <w:r>
              <w:rPr>
                <w:sz w:val="20"/>
                <w:szCs w:val="20"/>
              </w:rPr>
              <w:t>%</w:t>
            </w:r>
          </w:p>
        </w:tc>
      </w:tr>
    </w:tbl>
    <w:p w14:paraId="405AF07B" w14:textId="77777777" w:rsidR="00000000" w:rsidRDefault="00832D71">
      <w:pPr>
        <w:pStyle w:val="a3"/>
        <w:spacing w:before="240" w:beforeAutospacing="0" w:after="0" w:afterAutospacing="0"/>
        <w:ind w:firstLine="555"/>
        <w:jc w:val="both"/>
        <w:rPr>
          <w:sz w:val="20"/>
          <w:szCs w:val="20"/>
        </w:rPr>
      </w:pPr>
      <w:r>
        <w:rPr>
          <w:sz w:val="20"/>
          <w:szCs w:val="20"/>
        </w:rPr>
        <w:t>In summary, as a result of these structural changes to the compensation package for our President and Chief Executive Officer, the total cash compensation opportunity was more reflective of the 5</w:t>
      </w:r>
      <w:r>
        <w:rPr>
          <w:sz w:val="20"/>
          <w:szCs w:val="20"/>
        </w:rPr>
        <w:t>0</w:t>
      </w:r>
      <w:r>
        <w:rPr>
          <w:sz w:val="13"/>
          <w:szCs w:val="13"/>
          <w:vertAlign w:val="superscript"/>
        </w:rPr>
        <w:t>t</w:t>
      </w:r>
      <w:r>
        <w:rPr>
          <w:sz w:val="13"/>
          <w:szCs w:val="13"/>
          <w:vertAlign w:val="superscript"/>
        </w:rPr>
        <w:t>h</w:t>
      </w:r>
      <w:r>
        <w:rPr>
          <w:sz w:val="20"/>
          <w:szCs w:val="20"/>
        </w:rPr>
        <w:t xml:space="preserve"> percentile for the relevant benchmark and the percentage </w:t>
      </w:r>
      <w:r>
        <w:rPr>
          <w:sz w:val="20"/>
          <w:szCs w:val="20"/>
        </w:rPr>
        <w:t>of “at risk” compensation for fiscal 2022 increased from 33% to 50%</w:t>
      </w:r>
      <w:r>
        <w:rPr>
          <w:sz w:val="20"/>
          <w:szCs w:val="20"/>
        </w:rPr>
        <w:t>.</w:t>
      </w:r>
    </w:p>
    <w:p w14:paraId="7BC8638A" w14:textId="77777777" w:rsidR="00000000" w:rsidRDefault="00832D71">
      <w:pPr>
        <w:pStyle w:val="a3"/>
        <w:spacing w:before="240" w:beforeAutospacing="0" w:after="0" w:afterAutospacing="0"/>
        <w:ind w:firstLine="555"/>
        <w:jc w:val="both"/>
        <w:rPr>
          <w:sz w:val="20"/>
          <w:szCs w:val="20"/>
        </w:rPr>
      </w:pPr>
      <w:r>
        <w:rPr>
          <w:sz w:val="20"/>
          <w:szCs w:val="20"/>
        </w:rPr>
        <w:t>In accordance with its informal policy of only considering base salary increases every two years, at its November 8, 2022 meeting, the Committee did not consider a salary increase for Mr.</w:t>
      </w:r>
      <w:r>
        <w:rPr>
          <w:sz w:val="20"/>
          <w:szCs w:val="20"/>
        </w:rPr>
        <w:t xml:space="preserve"> Stivala for fiscal 2023. Instead, the Committee focused its efforts on reviewin</w:t>
      </w:r>
      <w:r>
        <w:rPr>
          <w:sz w:val="20"/>
          <w:szCs w:val="20"/>
        </w:rPr>
        <w:t>g</w:t>
      </w:r>
      <w:r>
        <w:rPr>
          <w:sz w:val="20"/>
          <w:szCs w:val="20"/>
        </w:rPr>
        <w:t xml:space="preserve"> </w:t>
      </w:r>
    </w:p>
    <w:p w14:paraId="519FA290" w14:textId="77777777" w:rsidR="00000000" w:rsidRDefault="00832D71">
      <w:pPr>
        <w:pStyle w:val="a3"/>
        <w:spacing w:before="0" w:beforeAutospacing="0" w:after="0" w:afterAutospacing="0"/>
        <w:jc w:val="center"/>
        <w:rPr>
          <w:sz w:val="20"/>
          <w:szCs w:val="20"/>
        </w:rPr>
      </w:pPr>
      <w:r>
        <w:rPr>
          <w:sz w:val="20"/>
          <w:szCs w:val="20"/>
        </w:rPr>
        <w:t> </w:t>
      </w:r>
    </w:p>
    <w:p w14:paraId="742C4AD9"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8</w:t>
      </w:r>
    </w:p>
    <w:p w14:paraId="62404D2F" w14:textId="77777777" w:rsidR="00000000" w:rsidRDefault="00832D71">
      <w:pPr>
        <w:rPr>
          <w:rFonts w:eastAsia="Times New Roman"/>
        </w:rPr>
      </w:pPr>
      <w:r>
        <w:rPr>
          <w:rFonts w:eastAsia="Times New Roman"/>
        </w:rPr>
        <w:pict w14:anchorId="24B3A11C">
          <v:rect id="_x0000_i1085" style="width:0;height:1.5pt" o:hralign="center" o:hrstd="t" o:hr="t" fillcolor="#a0a0a0" stroked="f"/>
        </w:pict>
      </w:r>
    </w:p>
    <w:p w14:paraId="57DDE2B5"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764F2366" w14:textId="77777777" w:rsidR="00000000" w:rsidRDefault="00832D71">
      <w:pPr>
        <w:pStyle w:val="a3"/>
        <w:spacing w:before="240" w:beforeAutospacing="0" w:after="0" w:afterAutospacing="0"/>
        <w:jc w:val="both"/>
        <w:rPr>
          <w:sz w:val="20"/>
          <w:szCs w:val="20"/>
        </w:rPr>
      </w:pPr>
      <w:r>
        <w:rPr>
          <w:sz w:val="20"/>
          <w:szCs w:val="20"/>
        </w:rPr>
        <w:t xml:space="preserve">benchmark data to determine an appropriate target value of an award under </w:t>
      </w:r>
      <w:r>
        <w:rPr>
          <w:sz w:val="20"/>
          <w:szCs w:val="20"/>
        </w:rPr>
        <w:t>the Restricted Unit Plan and the Phantom Unit Plan for Mr. Stivala for fiscal 2023. Similar to Mr. Stivala’s fiscal 2022 compensation package, his total cash compensation opportunity is reflective of the 50th percentile for the relevant benchmark and the p</w:t>
      </w:r>
      <w:r>
        <w:rPr>
          <w:sz w:val="20"/>
          <w:szCs w:val="20"/>
        </w:rPr>
        <w:t>ercentage of “at risk” compensation for fiscal 2023 is 49%. The following summarizes the total direct compensation opportunity for our President and Chief Executive Officer for fiscal 2023</w:t>
      </w:r>
      <w:r>
        <w:rPr>
          <w:sz w:val="20"/>
          <w:szCs w:val="20"/>
        </w:rPr>
        <w:t>:</w:t>
      </w:r>
    </w:p>
    <w:p w14:paraId="550E049A" w14:textId="77777777" w:rsidR="00000000" w:rsidRDefault="00832D71">
      <w:pPr>
        <w:pStyle w:val="a3"/>
        <w:spacing w:before="0" w:beforeAutospacing="0" w:after="0" w:afterAutospacing="0"/>
        <w:jc w:val="both"/>
        <w:rPr>
          <w:sz w:val="20"/>
          <w:szCs w:val="20"/>
        </w:rPr>
      </w:pPr>
      <w:r>
        <w:rPr>
          <w:sz w:val="20"/>
          <w:szCs w:val="20"/>
        </w:rPr>
        <w:t> </w:t>
      </w:r>
    </w:p>
    <w:tbl>
      <w:tblPr>
        <w:tblW w:w="4050" w:type="pct"/>
        <w:tblCellSpacing w:w="15" w:type="dxa"/>
        <w:tblCellMar>
          <w:top w:w="15" w:type="dxa"/>
          <w:left w:w="15" w:type="dxa"/>
          <w:bottom w:w="15" w:type="dxa"/>
          <w:right w:w="15" w:type="dxa"/>
        </w:tblCellMar>
        <w:tblLook w:val="04A0" w:firstRow="1" w:lastRow="0" w:firstColumn="1" w:lastColumn="0" w:noHBand="0" w:noVBand="1"/>
      </w:tblPr>
      <w:tblGrid>
        <w:gridCol w:w="4417"/>
        <w:gridCol w:w="160"/>
        <w:gridCol w:w="111"/>
        <w:gridCol w:w="1798"/>
        <w:gridCol w:w="242"/>
      </w:tblGrid>
      <w:tr w:rsidR="00000000" w14:paraId="2E13C452" w14:textId="77777777">
        <w:trPr>
          <w:tblCellSpacing w:w="15" w:type="dxa"/>
        </w:trPr>
        <w:tc>
          <w:tcPr>
            <w:tcW w:w="3397" w:type="pct"/>
            <w:vAlign w:val="center"/>
            <w:hideMark/>
          </w:tcPr>
          <w:p w14:paraId="15D36E3A" w14:textId="77777777" w:rsidR="00000000" w:rsidRDefault="00832D71">
            <w:pPr>
              <w:rPr>
                <w:sz w:val="20"/>
                <w:szCs w:val="20"/>
              </w:rPr>
            </w:pPr>
          </w:p>
        </w:tc>
        <w:tc>
          <w:tcPr>
            <w:tcW w:w="93" w:type="pct"/>
            <w:vAlign w:val="center"/>
            <w:hideMark/>
          </w:tcPr>
          <w:p w14:paraId="6B385839" w14:textId="77777777" w:rsidR="00000000" w:rsidRDefault="00832D71">
            <w:pPr>
              <w:rPr>
                <w:rFonts w:eastAsia="Times New Roman"/>
                <w:sz w:val="20"/>
                <w:szCs w:val="20"/>
              </w:rPr>
            </w:pPr>
          </w:p>
        </w:tc>
        <w:tc>
          <w:tcPr>
            <w:tcW w:w="50" w:type="pct"/>
            <w:vAlign w:val="center"/>
            <w:hideMark/>
          </w:tcPr>
          <w:p w14:paraId="6B9D628A" w14:textId="77777777" w:rsidR="00000000" w:rsidRDefault="00832D71">
            <w:pPr>
              <w:rPr>
                <w:rFonts w:eastAsia="Times New Roman"/>
                <w:sz w:val="20"/>
                <w:szCs w:val="20"/>
              </w:rPr>
            </w:pPr>
          </w:p>
        </w:tc>
        <w:tc>
          <w:tcPr>
            <w:tcW w:w="1408" w:type="pct"/>
            <w:vAlign w:val="center"/>
            <w:hideMark/>
          </w:tcPr>
          <w:p w14:paraId="0FDA2E43" w14:textId="77777777" w:rsidR="00000000" w:rsidRDefault="00832D71">
            <w:pPr>
              <w:rPr>
                <w:rFonts w:eastAsia="Times New Roman"/>
                <w:sz w:val="20"/>
                <w:szCs w:val="20"/>
              </w:rPr>
            </w:pPr>
          </w:p>
        </w:tc>
        <w:tc>
          <w:tcPr>
            <w:tcW w:w="50" w:type="pct"/>
            <w:vAlign w:val="center"/>
            <w:hideMark/>
          </w:tcPr>
          <w:p w14:paraId="402D89FF" w14:textId="77777777" w:rsidR="00000000" w:rsidRDefault="00832D71">
            <w:pPr>
              <w:rPr>
                <w:rFonts w:eastAsia="Times New Roman"/>
                <w:sz w:val="20"/>
                <w:szCs w:val="20"/>
              </w:rPr>
            </w:pPr>
          </w:p>
        </w:tc>
      </w:tr>
      <w:tr w:rsidR="00000000" w14:paraId="65F05586" w14:textId="77777777">
        <w:trPr>
          <w:trHeight w:val="160"/>
          <w:tblCellSpacing w:w="15" w:type="dxa"/>
        </w:trPr>
        <w:tc>
          <w:tcPr>
            <w:tcW w:w="0" w:type="auto"/>
            <w:vAlign w:val="bottom"/>
            <w:hideMark/>
          </w:tcPr>
          <w:p w14:paraId="475F389C" w14:textId="77777777" w:rsidR="00000000" w:rsidRDefault="00832D71">
            <w:pPr>
              <w:pStyle w:val="a3"/>
              <w:spacing w:before="0" w:beforeAutospacing="0" w:after="0" w:afterAutospacing="0"/>
              <w:jc w:val="center"/>
              <w:rPr>
                <w:sz w:val="16"/>
                <w:szCs w:val="16"/>
              </w:rPr>
            </w:pPr>
            <w:r>
              <w:rPr>
                <w:b/>
                <w:bCs/>
                <w:sz w:val="16"/>
                <w:szCs w:val="16"/>
              </w:rPr>
              <w:t>Components of Total Direct Compensatio</w:t>
            </w:r>
            <w:r>
              <w:rPr>
                <w:b/>
                <w:bCs/>
                <w:sz w:val="16"/>
                <w:szCs w:val="16"/>
              </w:rPr>
              <w:t>n</w:t>
            </w:r>
          </w:p>
        </w:tc>
        <w:tc>
          <w:tcPr>
            <w:tcW w:w="0" w:type="auto"/>
            <w:hideMark/>
          </w:tcPr>
          <w:p w14:paraId="2B0B82B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3A1F88C" w14:textId="77777777" w:rsidR="00000000" w:rsidRDefault="00832D71">
            <w:pPr>
              <w:pStyle w:val="a3"/>
              <w:spacing w:before="0" w:beforeAutospacing="0" w:after="0" w:afterAutospacing="0"/>
              <w:jc w:val="center"/>
              <w:rPr>
                <w:sz w:val="16"/>
                <w:szCs w:val="16"/>
              </w:rPr>
            </w:pPr>
            <w:r>
              <w:rPr>
                <w:b/>
                <w:bCs/>
                <w:sz w:val="16"/>
                <w:szCs w:val="16"/>
              </w:rPr>
              <w:t xml:space="preserve">Fiscal 2023 </w:t>
            </w:r>
            <w:r>
              <w:rPr>
                <w:b/>
                <w:bCs/>
                <w:sz w:val="16"/>
                <w:szCs w:val="16"/>
              </w:rPr>
              <w:br/>
              <w:t>Total Direct Compensatio</w:t>
            </w:r>
            <w:r>
              <w:rPr>
                <w:b/>
                <w:bCs/>
                <w:sz w:val="16"/>
                <w:szCs w:val="16"/>
              </w:rPr>
              <w:t>n</w:t>
            </w:r>
          </w:p>
        </w:tc>
        <w:tc>
          <w:tcPr>
            <w:tcW w:w="0" w:type="auto"/>
            <w:vAlign w:val="bottom"/>
            <w:hideMark/>
          </w:tcPr>
          <w:p w14:paraId="27C905CD"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52A39EA3" w14:textId="77777777">
        <w:trPr>
          <w:trHeight w:val="200"/>
          <w:tblCellSpacing w:w="15" w:type="dxa"/>
        </w:trPr>
        <w:tc>
          <w:tcPr>
            <w:tcW w:w="0" w:type="auto"/>
            <w:hideMark/>
          </w:tcPr>
          <w:p w14:paraId="500DDD88" w14:textId="77777777" w:rsidR="00000000" w:rsidRDefault="00832D71">
            <w:pPr>
              <w:pStyle w:val="a3"/>
              <w:spacing w:before="0" w:beforeAutospacing="0" w:after="0" w:afterAutospacing="0"/>
              <w:rPr>
                <w:sz w:val="20"/>
                <w:szCs w:val="20"/>
              </w:rPr>
            </w:pPr>
            <w:r>
              <w:rPr>
                <w:sz w:val="20"/>
                <w:szCs w:val="20"/>
              </w:rPr>
              <w:t>Base Salar</w:t>
            </w:r>
            <w:r>
              <w:rPr>
                <w:sz w:val="20"/>
                <w:szCs w:val="20"/>
              </w:rPr>
              <w:t>y</w:t>
            </w:r>
          </w:p>
        </w:tc>
        <w:tc>
          <w:tcPr>
            <w:tcW w:w="0" w:type="auto"/>
            <w:hideMark/>
          </w:tcPr>
          <w:p w14:paraId="3EF87ACE"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5D8C06D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FEFC71D" w14:textId="77777777" w:rsidR="00000000" w:rsidRDefault="00832D71">
            <w:pPr>
              <w:pStyle w:val="a3"/>
              <w:spacing w:before="0" w:beforeAutospacing="0" w:after="0" w:afterAutospacing="0"/>
              <w:jc w:val="right"/>
              <w:rPr>
                <w:sz w:val="20"/>
                <w:szCs w:val="20"/>
              </w:rPr>
            </w:pPr>
            <w:r>
              <w:rPr>
                <w:sz w:val="20"/>
                <w:szCs w:val="20"/>
              </w:rPr>
              <w:t>820,00</w:t>
            </w:r>
            <w:r>
              <w:rPr>
                <w:sz w:val="20"/>
                <w:szCs w:val="20"/>
              </w:rPr>
              <w:t>0</w:t>
            </w:r>
          </w:p>
        </w:tc>
        <w:tc>
          <w:tcPr>
            <w:tcW w:w="0" w:type="auto"/>
            <w:noWrap/>
            <w:vAlign w:val="bottom"/>
            <w:hideMark/>
          </w:tcPr>
          <w:p w14:paraId="0CB68F49" w14:textId="77777777" w:rsidR="00000000" w:rsidRDefault="00832D71">
            <w:pPr>
              <w:pStyle w:val="a3"/>
              <w:spacing w:before="0" w:beforeAutospacing="0" w:after="0" w:afterAutospacing="0"/>
              <w:rPr>
                <w:sz w:val="20"/>
                <w:szCs w:val="20"/>
              </w:rPr>
            </w:pPr>
            <w:r>
              <w:rPr>
                <w:sz w:val="20"/>
                <w:szCs w:val="20"/>
              </w:rPr>
              <w:t> </w:t>
            </w:r>
          </w:p>
        </w:tc>
      </w:tr>
      <w:tr w:rsidR="00000000" w14:paraId="593E66C6" w14:textId="77777777">
        <w:trPr>
          <w:trHeight w:val="200"/>
          <w:tblCellSpacing w:w="15" w:type="dxa"/>
        </w:trPr>
        <w:tc>
          <w:tcPr>
            <w:tcW w:w="0" w:type="auto"/>
            <w:hideMark/>
          </w:tcPr>
          <w:p w14:paraId="6A09B91D" w14:textId="77777777" w:rsidR="00000000" w:rsidRDefault="00832D71">
            <w:pPr>
              <w:pStyle w:val="a3"/>
              <w:spacing w:before="0" w:beforeAutospacing="0" w:after="0" w:afterAutospacing="0"/>
              <w:rPr>
                <w:sz w:val="20"/>
                <w:szCs w:val="20"/>
              </w:rPr>
            </w:pPr>
            <w:r>
              <w:rPr>
                <w:sz w:val="20"/>
                <w:szCs w:val="20"/>
              </w:rPr>
              <w:t xml:space="preserve">Annual Bonus Target </w:t>
            </w:r>
            <w:r>
              <w:rPr>
                <w:sz w:val="20"/>
                <w:szCs w:val="20"/>
              </w:rPr>
              <w:t>%</w:t>
            </w:r>
          </w:p>
        </w:tc>
        <w:tc>
          <w:tcPr>
            <w:tcW w:w="0" w:type="auto"/>
            <w:hideMark/>
          </w:tcPr>
          <w:p w14:paraId="120F8EF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9EB5B4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518FD85" w14:textId="77777777" w:rsidR="00000000" w:rsidRDefault="00832D71">
            <w:pPr>
              <w:pStyle w:val="a3"/>
              <w:spacing w:before="0" w:beforeAutospacing="0" w:after="0" w:afterAutospacing="0"/>
              <w:jc w:val="right"/>
              <w:rPr>
                <w:sz w:val="20"/>
                <w:szCs w:val="20"/>
              </w:rPr>
            </w:pPr>
            <w:r>
              <w:rPr>
                <w:sz w:val="20"/>
                <w:szCs w:val="20"/>
              </w:rPr>
              <w:t>12</w:t>
            </w:r>
            <w:r>
              <w:rPr>
                <w:sz w:val="20"/>
                <w:szCs w:val="20"/>
              </w:rPr>
              <w:t>0</w:t>
            </w:r>
          </w:p>
        </w:tc>
        <w:tc>
          <w:tcPr>
            <w:tcW w:w="0" w:type="auto"/>
            <w:noWrap/>
            <w:vAlign w:val="bottom"/>
            <w:hideMark/>
          </w:tcPr>
          <w:p w14:paraId="3AC2AB9D" w14:textId="77777777" w:rsidR="00000000" w:rsidRDefault="00832D71">
            <w:pPr>
              <w:pStyle w:val="a3"/>
              <w:spacing w:before="0" w:beforeAutospacing="0" w:after="0" w:afterAutospacing="0"/>
              <w:rPr>
                <w:sz w:val="20"/>
                <w:szCs w:val="20"/>
              </w:rPr>
            </w:pPr>
            <w:r>
              <w:rPr>
                <w:sz w:val="20"/>
                <w:szCs w:val="20"/>
              </w:rPr>
              <w:t>%</w:t>
            </w:r>
          </w:p>
        </w:tc>
      </w:tr>
      <w:tr w:rsidR="00000000" w14:paraId="0A0C1162" w14:textId="77777777">
        <w:trPr>
          <w:trHeight w:val="200"/>
          <w:tblCellSpacing w:w="15" w:type="dxa"/>
        </w:trPr>
        <w:tc>
          <w:tcPr>
            <w:tcW w:w="0" w:type="auto"/>
            <w:hideMark/>
          </w:tcPr>
          <w:p w14:paraId="49F9915F" w14:textId="77777777" w:rsidR="00000000" w:rsidRDefault="00832D71">
            <w:pPr>
              <w:pStyle w:val="a3"/>
              <w:spacing w:before="0" w:beforeAutospacing="0" w:after="0" w:afterAutospacing="0"/>
              <w:rPr>
                <w:sz w:val="20"/>
                <w:szCs w:val="20"/>
              </w:rPr>
            </w:pPr>
            <w:r>
              <w:rPr>
                <w:sz w:val="20"/>
                <w:szCs w:val="20"/>
              </w:rPr>
              <w:t xml:space="preserve">Annual Bonus Target </w:t>
            </w:r>
            <w:r>
              <w:rPr>
                <w:sz w:val="20"/>
                <w:szCs w:val="20"/>
              </w:rPr>
              <w:t>$</w:t>
            </w:r>
          </w:p>
        </w:tc>
        <w:tc>
          <w:tcPr>
            <w:tcW w:w="0" w:type="auto"/>
            <w:hideMark/>
          </w:tcPr>
          <w:p w14:paraId="064AC261"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7D0FC70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153FFF5" w14:textId="77777777" w:rsidR="00000000" w:rsidRDefault="00832D71">
            <w:pPr>
              <w:pStyle w:val="a3"/>
              <w:spacing w:before="0" w:beforeAutospacing="0" w:after="0" w:afterAutospacing="0"/>
              <w:jc w:val="right"/>
              <w:rPr>
                <w:sz w:val="20"/>
                <w:szCs w:val="20"/>
              </w:rPr>
            </w:pPr>
            <w:r>
              <w:rPr>
                <w:sz w:val="20"/>
                <w:szCs w:val="20"/>
              </w:rPr>
              <w:t>984,00</w:t>
            </w:r>
            <w:r>
              <w:rPr>
                <w:sz w:val="20"/>
                <w:szCs w:val="20"/>
              </w:rPr>
              <w:t>0</w:t>
            </w:r>
          </w:p>
        </w:tc>
        <w:tc>
          <w:tcPr>
            <w:tcW w:w="0" w:type="auto"/>
            <w:noWrap/>
            <w:vAlign w:val="bottom"/>
            <w:hideMark/>
          </w:tcPr>
          <w:p w14:paraId="6E8F49B8" w14:textId="77777777" w:rsidR="00000000" w:rsidRDefault="00832D71">
            <w:pPr>
              <w:pStyle w:val="a3"/>
              <w:spacing w:before="0" w:beforeAutospacing="0" w:after="0" w:afterAutospacing="0"/>
              <w:rPr>
                <w:sz w:val="20"/>
                <w:szCs w:val="20"/>
              </w:rPr>
            </w:pPr>
            <w:r>
              <w:rPr>
                <w:sz w:val="20"/>
                <w:szCs w:val="20"/>
              </w:rPr>
              <w:t> </w:t>
            </w:r>
          </w:p>
        </w:tc>
      </w:tr>
      <w:tr w:rsidR="00000000" w14:paraId="3DA34360" w14:textId="77777777">
        <w:trPr>
          <w:trHeight w:val="200"/>
          <w:tblCellSpacing w:w="15" w:type="dxa"/>
        </w:trPr>
        <w:tc>
          <w:tcPr>
            <w:tcW w:w="0" w:type="auto"/>
            <w:hideMark/>
          </w:tcPr>
          <w:p w14:paraId="0C0381B2" w14:textId="77777777" w:rsidR="00000000" w:rsidRDefault="00832D71">
            <w:pPr>
              <w:pStyle w:val="a3"/>
              <w:spacing w:before="0" w:beforeAutospacing="0" w:after="0" w:afterAutospacing="0"/>
              <w:rPr>
                <w:sz w:val="20"/>
                <w:szCs w:val="20"/>
              </w:rPr>
            </w:pPr>
            <w:r>
              <w:rPr>
                <w:sz w:val="20"/>
                <w:szCs w:val="20"/>
              </w:rPr>
              <w:t>Distribution Equivalent Rights Payment</w:t>
            </w:r>
            <w:r>
              <w:rPr>
                <w:sz w:val="20"/>
                <w:szCs w:val="20"/>
              </w:rPr>
              <w:t>s</w:t>
            </w:r>
          </w:p>
        </w:tc>
        <w:tc>
          <w:tcPr>
            <w:tcW w:w="0" w:type="auto"/>
            <w:hideMark/>
          </w:tcPr>
          <w:p w14:paraId="7D9339C4"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141C059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20E8523" w14:textId="77777777" w:rsidR="00000000" w:rsidRDefault="00832D71">
            <w:pPr>
              <w:pStyle w:val="a3"/>
              <w:spacing w:before="0" w:beforeAutospacing="0" w:after="0" w:afterAutospacing="0"/>
              <w:jc w:val="right"/>
              <w:rPr>
                <w:sz w:val="20"/>
                <w:szCs w:val="20"/>
              </w:rPr>
            </w:pPr>
            <w:r>
              <w:rPr>
                <w:sz w:val="20"/>
                <w:szCs w:val="20"/>
              </w:rPr>
              <w:t>156,53</w:t>
            </w:r>
            <w:r>
              <w:rPr>
                <w:sz w:val="20"/>
                <w:szCs w:val="20"/>
              </w:rPr>
              <w:t>2</w:t>
            </w:r>
          </w:p>
        </w:tc>
        <w:tc>
          <w:tcPr>
            <w:tcW w:w="0" w:type="auto"/>
            <w:noWrap/>
            <w:vAlign w:val="bottom"/>
            <w:hideMark/>
          </w:tcPr>
          <w:p w14:paraId="5216540C" w14:textId="77777777" w:rsidR="00000000" w:rsidRDefault="00832D71">
            <w:pPr>
              <w:pStyle w:val="a3"/>
              <w:spacing w:before="0" w:beforeAutospacing="0" w:after="0" w:afterAutospacing="0"/>
              <w:rPr>
                <w:sz w:val="20"/>
                <w:szCs w:val="20"/>
              </w:rPr>
            </w:pPr>
            <w:r>
              <w:rPr>
                <w:sz w:val="20"/>
                <w:szCs w:val="20"/>
              </w:rPr>
              <w:t> </w:t>
            </w:r>
          </w:p>
        </w:tc>
      </w:tr>
      <w:tr w:rsidR="00000000" w14:paraId="5EC6CB46" w14:textId="77777777">
        <w:trPr>
          <w:trHeight w:val="200"/>
          <w:tblCellSpacing w:w="15" w:type="dxa"/>
        </w:trPr>
        <w:tc>
          <w:tcPr>
            <w:tcW w:w="0" w:type="auto"/>
            <w:hideMark/>
          </w:tcPr>
          <w:p w14:paraId="3B5C8CBF" w14:textId="77777777" w:rsidR="00000000" w:rsidRDefault="00832D71">
            <w:pPr>
              <w:pStyle w:val="a3"/>
              <w:spacing w:before="0" w:beforeAutospacing="0" w:after="0" w:afterAutospacing="0"/>
              <w:rPr>
                <w:sz w:val="20"/>
                <w:szCs w:val="20"/>
              </w:rPr>
            </w:pPr>
            <w:r>
              <w:rPr>
                <w:sz w:val="20"/>
                <w:szCs w:val="20"/>
              </w:rPr>
              <w:t>Total Cash Compensation Opportunit</w:t>
            </w:r>
            <w:r>
              <w:rPr>
                <w:sz w:val="20"/>
                <w:szCs w:val="20"/>
              </w:rPr>
              <w:t>y</w:t>
            </w:r>
          </w:p>
        </w:tc>
        <w:tc>
          <w:tcPr>
            <w:tcW w:w="0" w:type="auto"/>
            <w:hideMark/>
          </w:tcPr>
          <w:p w14:paraId="6890512D"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3872AB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37EF350" w14:textId="77777777" w:rsidR="00000000" w:rsidRDefault="00832D71">
            <w:pPr>
              <w:pStyle w:val="a3"/>
              <w:spacing w:before="0" w:beforeAutospacing="0" w:after="0" w:afterAutospacing="0"/>
              <w:jc w:val="right"/>
              <w:rPr>
                <w:sz w:val="20"/>
                <w:szCs w:val="20"/>
              </w:rPr>
            </w:pPr>
            <w:r>
              <w:rPr>
                <w:sz w:val="20"/>
                <w:szCs w:val="20"/>
              </w:rPr>
              <w:t>1,960,53</w:t>
            </w:r>
            <w:r>
              <w:rPr>
                <w:sz w:val="20"/>
                <w:szCs w:val="20"/>
              </w:rPr>
              <w:t>2</w:t>
            </w:r>
          </w:p>
        </w:tc>
        <w:tc>
          <w:tcPr>
            <w:tcW w:w="0" w:type="auto"/>
            <w:noWrap/>
            <w:vAlign w:val="bottom"/>
            <w:hideMark/>
          </w:tcPr>
          <w:p w14:paraId="68494AC8" w14:textId="77777777" w:rsidR="00000000" w:rsidRDefault="00832D71">
            <w:pPr>
              <w:pStyle w:val="a3"/>
              <w:spacing w:before="0" w:beforeAutospacing="0" w:after="0" w:afterAutospacing="0"/>
              <w:rPr>
                <w:sz w:val="20"/>
                <w:szCs w:val="20"/>
              </w:rPr>
            </w:pPr>
            <w:r>
              <w:rPr>
                <w:sz w:val="20"/>
                <w:szCs w:val="20"/>
              </w:rPr>
              <w:t> </w:t>
            </w:r>
          </w:p>
        </w:tc>
      </w:tr>
      <w:tr w:rsidR="00000000" w14:paraId="0281079B" w14:textId="77777777">
        <w:trPr>
          <w:trHeight w:val="200"/>
          <w:tblCellSpacing w:w="15" w:type="dxa"/>
        </w:trPr>
        <w:tc>
          <w:tcPr>
            <w:tcW w:w="0" w:type="auto"/>
            <w:hideMark/>
          </w:tcPr>
          <w:p w14:paraId="0B71167F" w14:textId="77777777" w:rsidR="00000000" w:rsidRDefault="00832D71">
            <w:pPr>
              <w:pStyle w:val="a3"/>
              <w:spacing w:before="0" w:beforeAutospacing="0" w:after="0" w:afterAutospacing="0"/>
              <w:rPr>
                <w:sz w:val="20"/>
                <w:szCs w:val="20"/>
              </w:rPr>
            </w:pPr>
            <w:r>
              <w:rPr>
                <w:sz w:val="20"/>
                <w:szCs w:val="20"/>
              </w:rPr>
              <w:t xml:space="preserve">LTIP Target </w:t>
            </w:r>
            <w:r>
              <w:rPr>
                <w:sz w:val="20"/>
                <w:szCs w:val="20"/>
              </w:rPr>
              <w:t>$</w:t>
            </w:r>
          </w:p>
        </w:tc>
        <w:tc>
          <w:tcPr>
            <w:tcW w:w="0" w:type="auto"/>
            <w:hideMark/>
          </w:tcPr>
          <w:p w14:paraId="0C78C65B"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105E37B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98C838F" w14:textId="77777777" w:rsidR="00000000" w:rsidRDefault="00832D71">
            <w:pPr>
              <w:pStyle w:val="a3"/>
              <w:spacing w:before="0" w:beforeAutospacing="0" w:after="0" w:afterAutospacing="0"/>
              <w:jc w:val="right"/>
              <w:rPr>
                <w:sz w:val="20"/>
                <w:szCs w:val="20"/>
              </w:rPr>
            </w:pPr>
            <w:r>
              <w:rPr>
                <w:sz w:val="20"/>
                <w:szCs w:val="20"/>
              </w:rPr>
              <w:t>738,00</w:t>
            </w:r>
            <w:r>
              <w:rPr>
                <w:sz w:val="20"/>
                <w:szCs w:val="20"/>
              </w:rPr>
              <w:t>0</w:t>
            </w:r>
          </w:p>
        </w:tc>
        <w:tc>
          <w:tcPr>
            <w:tcW w:w="0" w:type="auto"/>
            <w:noWrap/>
            <w:vAlign w:val="bottom"/>
            <w:hideMark/>
          </w:tcPr>
          <w:p w14:paraId="6E9FC622" w14:textId="77777777" w:rsidR="00000000" w:rsidRDefault="00832D71">
            <w:pPr>
              <w:pStyle w:val="a3"/>
              <w:spacing w:before="0" w:beforeAutospacing="0" w:after="0" w:afterAutospacing="0"/>
              <w:rPr>
                <w:sz w:val="20"/>
                <w:szCs w:val="20"/>
              </w:rPr>
            </w:pPr>
            <w:r>
              <w:rPr>
                <w:sz w:val="20"/>
                <w:szCs w:val="20"/>
              </w:rPr>
              <w:t> </w:t>
            </w:r>
          </w:p>
        </w:tc>
      </w:tr>
      <w:tr w:rsidR="00000000" w14:paraId="4792FF6E" w14:textId="77777777">
        <w:trPr>
          <w:trHeight w:val="200"/>
          <w:tblCellSpacing w:w="15" w:type="dxa"/>
        </w:trPr>
        <w:tc>
          <w:tcPr>
            <w:tcW w:w="0" w:type="auto"/>
            <w:hideMark/>
          </w:tcPr>
          <w:p w14:paraId="2B0D8586" w14:textId="77777777" w:rsidR="00000000" w:rsidRDefault="00832D71">
            <w:pPr>
              <w:pStyle w:val="a3"/>
              <w:spacing w:before="0" w:beforeAutospacing="0" w:after="0" w:afterAutospacing="0"/>
              <w:rPr>
                <w:sz w:val="20"/>
                <w:szCs w:val="20"/>
              </w:rPr>
            </w:pPr>
            <w:r>
              <w:rPr>
                <w:sz w:val="20"/>
                <w:szCs w:val="20"/>
              </w:rPr>
              <w:t xml:space="preserve">Restricted Unit Plan Award </w:t>
            </w:r>
            <w:r>
              <w:rPr>
                <w:sz w:val="20"/>
                <w:szCs w:val="20"/>
              </w:rPr>
              <w:t>$</w:t>
            </w:r>
          </w:p>
        </w:tc>
        <w:tc>
          <w:tcPr>
            <w:tcW w:w="0" w:type="auto"/>
            <w:hideMark/>
          </w:tcPr>
          <w:p w14:paraId="40C832B5"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5B4E301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1985A4B" w14:textId="77777777" w:rsidR="00000000" w:rsidRDefault="00832D71">
            <w:pPr>
              <w:pStyle w:val="a3"/>
              <w:spacing w:before="0" w:beforeAutospacing="0" w:after="0" w:afterAutospacing="0"/>
              <w:jc w:val="right"/>
              <w:rPr>
                <w:sz w:val="20"/>
                <w:szCs w:val="20"/>
              </w:rPr>
            </w:pPr>
            <w:r>
              <w:rPr>
                <w:sz w:val="20"/>
                <w:szCs w:val="20"/>
              </w:rPr>
              <w:t>629,52</w:t>
            </w:r>
            <w:r>
              <w:rPr>
                <w:sz w:val="20"/>
                <w:szCs w:val="20"/>
              </w:rPr>
              <w:t>6</w:t>
            </w:r>
          </w:p>
        </w:tc>
        <w:tc>
          <w:tcPr>
            <w:tcW w:w="0" w:type="auto"/>
            <w:noWrap/>
            <w:vAlign w:val="bottom"/>
            <w:hideMark/>
          </w:tcPr>
          <w:p w14:paraId="2CCCCAF6" w14:textId="77777777" w:rsidR="00000000" w:rsidRDefault="00832D71">
            <w:pPr>
              <w:pStyle w:val="a3"/>
              <w:spacing w:before="0" w:beforeAutospacing="0" w:after="0" w:afterAutospacing="0"/>
              <w:rPr>
                <w:sz w:val="20"/>
                <w:szCs w:val="20"/>
              </w:rPr>
            </w:pPr>
            <w:r>
              <w:rPr>
                <w:sz w:val="20"/>
                <w:szCs w:val="20"/>
              </w:rPr>
              <w:t> </w:t>
            </w:r>
          </w:p>
        </w:tc>
      </w:tr>
      <w:tr w:rsidR="00000000" w14:paraId="219EA97E" w14:textId="77777777">
        <w:trPr>
          <w:trHeight w:val="200"/>
          <w:tblCellSpacing w:w="15" w:type="dxa"/>
        </w:trPr>
        <w:tc>
          <w:tcPr>
            <w:tcW w:w="0" w:type="auto"/>
            <w:hideMark/>
          </w:tcPr>
          <w:p w14:paraId="6D5E0469" w14:textId="77777777" w:rsidR="00000000" w:rsidRDefault="00832D71">
            <w:pPr>
              <w:pStyle w:val="a3"/>
              <w:spacing w:before="0" w:beforeAutospacing="0" w:after="0" w:afterAutospacing="0"/>
              <w:rPr>
                <w:sz w:val="20"/>
                <w:szCs w:val="20"/>
              </w:rPr>
            </w:pPr>
            <w:r>
              <w:rPr>
                <w:sz w:val="20"/>
                <w:szCs w:val="20"/>
              </w:rPr>
              <w:t xml:space="preserve">Phantom Unit Plan Award </w:t>
            </w:r>
            <w:r>
              <w:rPr>
                <w:sz w:val="20"/>
                <w:szCs w:val="20"/>
              </w:rPr>
              <w:t>$</w:t>
            </w:r>
          </w:p>
        </w:tc>
        <w:tc>
          <w:tcPr>
            <w:tcW w:w="0" w:type="auto"/>
            <w:hideMark/>
          </w:tcPr>
          <w:p w14:paraId="4ADC2E19"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7BE15BF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F91AEE8" w14:textId="77777777" w:rsidR="00000000" w:rsidRDefault="00832D71">
            <w:pPr>
              <w:pStyle w:val="a3"/>
              <w:spacing w:before="0" w:beforeAutospacing="0" w:after="0" w:afterAutospacing="0"/>
              <w:jc w:val="right"/>
              <w:rPr>
                <w:sz w:val="20"/>
                <w:szCs w:val="20"/>
              </w:rPr>
            </w:pPr>
            <w:r>
              <w:rPr>
                <w:sz w:val="20"/>
                <w:szCs w:val="20"/>
              </w:rPr>
              <w:t>190,00</w:t>
            </w:r>
            <w:r>
              <w:rPr>
                <w:sz w:val="20"/>
                <w:szCs w:val="20"/>
              </w:rPr>
              <w:t>0</w:t>
            </w:r>
          </w:p>
        </w:tc>
        <w:tc>
          <w:tcPr>
            <w:tcW w:w="0" w:type="auto"/>
            <w:noWrap/>
            <w:vAlign w:val="bottom"/>
            <w:hideMark/>
          </w:tcPr>
          <w:p w14:paraId="62EFB925" w14:textId="77777777" w:rsidR="00000000" w:rsidRDefault="00832D71">
            <w:pPr>
              <w:pStyle w:val="a3"/>
              <w:spacing w:before="0" w:beforeAutospacing="0" w:after="0" w:afterAutospacing="0"/>
              <w:rPr>
                <w:sz w:val="20"/>
                <w:szCs w:val="20"/>
              </w:rPr>
            </w:pPr>
            <w:r>
              <w:rPr>
                <w:sz w:val="20"/>
                <w:szCs w:val="20"/>
              </w:rPr>
              <w:t> </w:t>
            </w:r>
          </w:p>
        </w:tc>
      </w:tr>
      <w:tr w:rsidR="00000000" w14:paraId="7286F8A1" w14:textId="77777777">
        <w:trPr>
          <w:trHeight w:val="200"/>
          <w:tblCellSpacing w:w="15" w:type="dxa"/>
        </w:trPr>
        <w:tc>
          <w:tcPr>
            <w:tcW w:w="0" w:type="auto"/>
            <w:hideMark/>
          </w:tcPr>
          <w:p w14:paraId="5ED91393" w14:textId="77777777" w:rsidR="00000000" w:rsidRDefault="00832D71">
            <w:pPr>
              <w:pStyle w:val="a3"/>
              <w:spacing w:before="0" w:beforeAutospacing="0" w:after="0" w:afterAutospacing="0"/>
              <w:rPr>
                <w:sz w:val="20"/>
                <w:szCs w:val="20"/>
              </w:rPr>
            </w:pPr>
            <w:r>
              <w:rPr>
                <w:sz w:val="20"/>
                <w:szCs w:val="20"/>
              </w:rPr>
              <w:t>Total Direct Compensation Opportunit</w:t>
            </w:r>
            <w:r>
              <w:rPr>
                <w:sz w:val="20"/>
                <w:szCs w:val="20"/>
              </w:rPr>
              <w:t>y</w:t>
            </w:r>
          </w:p>
        </w:tc>
        <w:tc>
          <w:tcPr>
            <w:tcW w:w="0" w:type="auto"/>
            <w:hideMark/>
          </w:tcPr>
          <w:p w14:paraId="48D0CF36"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DAA182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16E0362" w14:textId="77777777" w:rsidR="00000000" w:rsidRDefault="00832D71">
            <w:pPr>
              <w:pStyle w:val="a3"/>
              <w:spacing w:before="0" w:beforeAutospacing="0" w:after="0" w:afterAutospacing="0"/>
              <w:jc w:val="right"/>
              <w:rPr>
                <w:sz w:val="20"/>
                <w:szCs w:val="20"/>
              </w:rPr>
            </w:pPr>
            <w:r>
              <w:rPr>
                <w:sz w:val="20"/>
                <w:szCs w:val="20"/>
              </w:rPr>
              <w:t>3,518,05</w:t>
            </w:r>
            <w:r>
              <w:rPr>
                <w:sz w:val="20"/>
                <w:szCs w:val="20"/>
              </w:rPr>
              <w:t>8</w:t>
            </w:r>
          </w:p>
        </w:tc>
        <w:tc>
          <w:tcPr>
            <w:tcW w:w="0" w:type="auto"/>
            <w:noWrap/>
            <w:vAlign w:val="bottom"/>
            <w:hideMark/>
          </w:tcPr>
          <w:p w14:paraId="0484B7AC" w14:textId="77777777" w:rsidR="00000000" w:rsidRDefault="00832D71">
            <w:pPr>
              <w:pStyle w:val="a3"/>
              <w:spacing w:before="0" w:beforeAutospacing="0" w:after="0" w:afterAutospacing="0"/>
              <w:rPr>
                <w:sz w:val="20"/>
                <w:szCs w:val="20"/>
              </w:rPr>
            </w:pPr>
            <w:r>
              <w:rPr>
                <w:sz w:val="20"/>
                <w:szCs w:val="20"/>
              </w:rPr>
              <w:t> </w:t>
            </w:r>
          </w:p>
        </w:tc>
      </w:tr>
      <w:tr w:rsidR="00000000" w14:paraId="63707334" w14:textId="77777777">
        <w:trPr>
          <w:trHeight w:val="200"/>
          <w:tblCellSpacing w:w="15" w:type="dxa"/>
        </w:trPr>
        <w:tc>
          <w:tcPr>
            <w:tcW w:w="0" w:type="auto"/>
            <w:hideMark/>
          </w:tcPr>
          <w:p w14:paraId="3EFD2CB4" w14:textId="77777777" w:rsidR="00000000" w:rsidRDefault="00832D71">
            <w:pPr>
              <w:pStyle w:val="a3"/>
              <w:spacing w:before="0" w:beforeAutospacing="0" w:after="0" w:afterAutospacing="0"/>
              <w:rPr>
                <w:sz w:val="20"/>
                <w:szCs w:val="20"/>
              </w:rPr>
            </w:pPr>
            <w:r>
              <w:rPr>
                <w:sz w:val="20"/>
                <w:szCs w:val="20"/>
              </w:rPr>
              <w:t>Performance-Based % of Total Direct Compensation Opportunit</w:t>
            </w:r>
            <w:r>
              <w:rPr>
                <w:sz w:val="20"/>
                <w:szCs w:val="20"/>
              </w:rPr>
              <w:t>y</w:t>
            </w:r>
          </w:p>
        </w:tc>
        <w:tc>
          <w:tcPr>
            <w:tcW w:w="0" w:type="auto"/>
            <w:hideMark/>
          </w:tcPr>
          <w:p w14:paraId="11A8C4BE"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12906E3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9E0E881" w14:textId="77777777" w:rsidR="00000000" w:rsidRDefault="00832D71">
            <w:pPr>
              <w:pStyle w:val="a3"/>
              <w:spacing w:before="0" w:beforeAutospacing="0" w:after="0" w:afterAutospacing="0"/>
              <w:jc w:val="right"/>
              <w:rPr>
                <w:sz w:val="20"/>
                <w:szCs w:val="20"/>
              </w:rPr>
            </w:pPr>
            <w:r>
              <w:rPr>
                <w:sz w:val="20"/>
                <w:szCs w:val="20"/>
              </w:rPr>
              <w:t>4</w:t>
            </w:r>
            <w:r>
              <w:rPr>
                <w:sz w:val="20"/>
                <w:szCs w:val="20"/>
              </w:rPr>
              <w:t>9</w:t>
            </w:r>
          </w:p>
        </w:tc>
        <w:tc>
          <w:tcPr>
            <w:tcW w:w="0" w:type="auto"/>
            <w:noWrap/>
            <w:vAlign w:val="bottom"/>
            <w:hideMark/>
          </w:tcPr>
          <w:p w14:paraId="5444835D" w14:textId="77777777" w:rsidR="00000000" w:rsidRDefault="00832D71">
            <w:pPr>
              <w:pStyle w:val="a3"/>
              <w:spacing w:before="0" w:beforeAutospacing="0" w:after="0" w:afterAutospacing="0"/>
              <w:rPr>
                <w:sz w:val="20"/>
                <w:szCs w:val="20"/>
              </w:rPr>
            </w:pPr>
            <w:r>
              <w:rPr>
                <w:sz w:val="20"/>
                <w:szCs w:val="20"/>
              </w:rPr>
              <w:t>%</w:t>
            </w:r>
          </w:p>
        </w:tc>
      </w:tr>
    </w:tbl>
    <w:p w14:paraId="6C008BB9" w14:textId="77777777" w:rsidR="00000000" w:rsidRDefault="00832D71">
      <w:pPr>
        <w:pStyle w:val="a3"/>
        <w:spacing w:before="160" w:beforeAutospacing="0" w:after="0" w:afterAutospacing="0"/>
        <w:jc w:val="both"/>
        <w:rPr>
          <w:sz w:val="20"/>
          <w:szCs w:val="20"/>
        </w:rPr>
      </w:pPr>
      <w:r>
        <w:rPr>
          <w:b/>
          <w:bCs/>
          <w:sz w:val="20"/>
          <w:szCs w:val="20"/>
        </w:rPr>
        <w:t>Components of Compensatio</w:t>
      </w:r>
      <w:r>
        <w:rPr>
          <w:b/>
          <w:bCs/>
          <w:sz w:val="20"/>
          <w:szCs w:val="20"/>
        </w:rPr>
        <w:t>n</w:t>
      </w:r>
    </w:p>
    <w:p w14:paraId="6BFD1F62" w14:textId="77777777" w:rsidR="00000000" w:rsidRDefault="00832D71">
      <w:pPr>
        <w:pStyle w:val="a3"/>
        <w:spacing w:before="120" w:beforeAutospacing="0" w:after="0" w:afterAutospacing="0"/>
        <w:jc w:val="both"/>
        <w:rPr>
          <w:sz w:val="20"/>
          <w:szCs w:val="20"/>
        </w:rPr>
      </w:pPr>
      <w:r>
        <w:rPr>
          <w:b/>
          <w:bCs/>
          <w:sz w:val="20"/>
          <w:szCs w:val="20"/>
        </w:rPr>
        <w:t>Base Salar</w:t>
      </w:r>
      <w:r>
        <w:rPr>
          <w:b/>
          <w:bCs/>
          <w:sz w:val="20"/>
          <w:szCs w:val="20"/>
        </w:rPr>
        <w:t>y</w:t>
      </w:r>
    </w:p>
    <w:p w14:paraId="68A9D116" w14:textId="77777777" w:rsidR="00000000" w:rsidRDefault="00832D71">
      <w:pPr>
        <w:pStyle w:val="a3"/>
        <w:spacing w:before="120" w:beforeAutospacing="0" w:after="0" w:afterAutospacing="0"/>
        <w:ind w:firstLine="555"/>
        <w:jc w:val="both"/>
        <w:rPr>
          <w:sz w:val="20"/>
          <w:szCs w:val="20"/>
        </w:rPr>
      </w:pPr>
      <w:r>
        <w:rPr>
          <w:sz w:val="20"/>
          <w:szCs w:val="20"/>
        </w:rPr>
        <w:t>Using the process outlined in the section above titled “The Annual Compensation Decision Making Process,” at its November 9, 2021 meeting, the Committee approved new base salaries for our named executive officers for fiscal 2022</w:t>
      </w:r>
      <w:r>
        <w:rPr>
          <w:sz w:val="20"/>
          <w:szCs w:val="20"/>
        </w:rPr>
        <w:t>.</w:t>
      </w:r>
    </w:p>
    <w:p w14:paraId="55C714C7" w14:textId="77777777" w:rsidR="00000000" w:rsidRDefault="00832D71">
      <w:pPr>
        <w:pStyle w:val="a3"/>
        <w:spacing w:before="120" w:beforeAutospacing="0" w:after="0" w:afterAutospacing="0"/>
        <w:ind w:firstLine="555"/>
        <w:jc w:val="both"/>
        <w:rPr>
          <w:sz w:val="20"/>
          <w:szCs w:val="20"/>
        </w:rPr>
      </w:pPr>
      <w:r>
        <w:rPr>
          <w:sz w:val="20"/>
          <w:szCs w:val="20"/>
        </w:rPr>
        <w:t>The following base salarie</w:t>
      </w:r>
      <w:r>
        <w:rPr>
          <w:sz w:val="20"/>
          <w:szCs w:val="20"/>
        </w:rPr>
        <w:t>s were in effect during fiscal 2022 and fiscal 2021 for our named executive officers</w:t>
      </w:r>
      <w:r>
        <w:rPr>
          <w:sz w:val="20"/>
          <w:szCs w:val="20"/>
        </w:rPr>
        <w:t>:</w:t>
      </w:r>
    </w:p>
    <w:p w14:paraId="517503B0" w14:textId="77777777" w:rsidR="00000000" w:rsidRDefault="00832D71">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770"/>
        <w:gridCol w:w="116"/>
        <w:gridCol w:w="160"/>
        <w:gridCol w:w="1044"/>
        <w:gridCol w:w="110"/>
        <w:gridCol w:w="116"/>
        <w:gridCol w:w="160"/>
        <w:gridCol w:w="1044"/>
        <w:gridCol w:w="125"/>
      </w:tblGrid>
      <w:tr w:rsidR="00000000" w14:paraId="0D5A3747" w14:textId="77777777">
        <w:trPr>
          <w:tblCellSpacing w:w="15" w:type="dxa"/>
        </w:trPr>
        <w:tc>
          <w:tcPr>
            <w:tcW w:w="2960" w:type="pct"/>
            <w:vAlign w:val="center"/>
            <w:hideMark/>
          </w:tcPr>
          <w:p w14:paraId="111B5846" w14:textId="77777777" w:rsidR="00000000" w:rsidRDefault="00832D71">
            <w:pPr>
              <w:rPr>
                <w:sz w:val="20"/>
                <w:szCs w:val="20"/>
              </w:rPr>
            </w:pPr>
          </w:p>
        </w:tc>
        <w:tc>
          <w:tcPr>
            <w:tcW w:w="94" w:type="pct"/>
            <w:vAlign w:val="center"/>
            <w:hideMark/>
          </w:tcPr>
          <w:p w14:paraId="61162708" w14:textId="77777777" w:rsidR="00000000" w:rsidRDefault="00832D71">
            <w:pPr>
              <w:rPr>
                <w:rFonts w:eastAsia="Times New Roman"/>
                <w:sz w:val="20"/>
                <w:szCs w:val="20"/>
              </w:rPr>
            </w:pPr>
          </w:p>
        </w:tc>
        <w:tc>
          <w:tcPr>
            <w:tcW w:w="50" w:type="pct"/>
            <w:vAlign w:val="center"/>
            <w:hideMark/>
          </w:tcPr>
          <w:p w14:paraId="29E44130" w14:textId="77777777" w:rsidR="00000000" w:rsidRDefault="00832D71">
            <w:pPr>
              <w:rPr>
                <w:rFonts w:eastAsia="Times New Roman"/>
                <w:sz w:val="20"/>
                <w:szCs w:val="20"/>
              </w:rPr>
            </w:pPr>
          </w:p>
        </w:tc>
        <w:tc>
          <w:tcPr>
            <w:tcW w:w="824" w:type="pct"/>
            <w:vAlign w:val="center"/>
            <w:hideMark/>
          </w:tcPr>
          <w:p w14:paraId="34A59BC4" w14:textId="77777777" w:rsidR="00000000" w:rsidRDefault="00832D71">
            <w:pPr>
              <w:rPr>
                <w:rFonts w:eastAsia="Times New Roman"/>
                <w:sz w:val="20"/>
                <w:szCs w:val="20"/>
              </w:rPr>
            </w:pPr>
          </w:p>
        </w:tc>
        <w:tc>
          <w:tcPr>
            <w:tcW w:w="50" w:type="pct"/>
            <w:vAlign w:val="center"/>
            <w:hideMark/>
          </w:tcPr>
          <w:p w14:paraId="50557310" w14:textId="77777777" w:rsidR="00000000" w:rsidRDefault="00832D71">
            <w:pPr>
              <w:rPr>
                <w:rFonts w:eastAsia="Times New Roman"/>
                <w:sz w:val="20"/>
                <w:szCs w:val="20"/>
              </w:rPr>
            </w:pPr>
          </w:p>
        </w:tc>
        <w:tc>
          <w:tcPr>
            <w:tcW w:w="94" w:type="pct"/>
            <w:vAlign w:val="center"/>
            <w:hideMark/>
          </w:tcPr>
          <w:p w14:paraId="792C03E0" w14:textId="77777777" w:rsidR="00000000" w:rsidRDefault="00832D71">
            <w:pPr>
              <w:rPr>
                <w:rFonts w:eastAsia="Times New Roman"/>
                <w:sz w:val="20"/>
                <w:szCs w:val="20"/>
              </w:rPr>
            </w:pPr>
          </w:p>
        </w:tc>
        <w:tc>
          <w:tcPr>
            <w:tcW w:w="50" w:type="pct"/>
            <w:vAlign w:val="center"/>
            <w:hideMark/>
          </w:tcPr>
          <w:p w14:paraId="289DAB20" w14:textId="77777777" w:rsidR="00000000" w:rsidRDefault="00832D71">
            <w:pPr>
              <w:rPr>
                <w:rFonts w:eastAsia="Times New Roman"/>
                <w:sz w:val="20"/>
                <w:szCs w:val="20"/>
              </w:rPr>
            </w:pPr>
          </w:p>
        </w:tc>
        <w:tc>
          <w:tcPr>
            <w:tcW w:w="824" w:type="pct"/>
            <w:vAlign w:val="center"/>
            <w:hideMark/>
          </w:tcPr>
          <w:p w14:paraId="43BAC31E" w14:textId="77777777" w:rsidR="00000000" w:rsidRDefault="00832D71">
            <w:pPr>
              <w:rPr>
                <w:rFonts w:eastAsia="Times New Roman"/>
                <w:sz w:val="20"/>
                <w:szCs w:val="20"/>
              </w:rPr>
            </w:pPr>
          </w:p>
        </w:tc>
        <w:tc>
          <w:tcPr>
            <w:tcW w:w="50" w:type="pct"/>
            <w:vAlign w:val="center"/>
            <w:hideMark/>
          </w:tcPr>
          <w:p w14:paraId="6EDC1D3A" w14:textId="77777777" w:rsidR="00000000" w:rsidRDefault="00832D71">
            <w:pPr>
              <w:rPr>
                <w:rFonts w:eastAsia="Times New Roman"/>
                <w:sz w:val="20"/>
                <w:szCs w:val="20"/>
              </w:rPr>
            </w:pPr>
          </w:p>
        </w:tc>
      </w:tr>
      <w:tr w:rsidR="00000000" w14:paraId="2DD63F76" w14:textId="77777777">
        <w:trPr>
          <w:trHeight w:val="160"/>
          <w:tblCellSpacing w:w="15" w:type="dxa"/>
        </w:trPr>
        <w:tc>
          <w:tcPr>
            <w:tcW w:w="0" w:type="auto"/>
            <w:vAlign w:val="bottom"/>
            <w:hideMark/>
          </w:tcPr>
          <w:p w14:paraId="59076659"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0BEE501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082F0BF" w14:textId="77777777" w:rsidR="00000000" w:rsidRDefault="00832D71">
            <w:pPr>
              <w:pStyle w:val="a3"/>
              <w:spacing w:before="0" w:beforeAutospacing="0" w:after="0" w:afterAutospacing="0"/>
              <w:jc w:val="center"/>
              <w:rPr>
                <w:sz w:val="16"/>
                <w:szCs w:val="16"/>
              </w:rPr>
            </w:pPr>
            <w:r>
              <w:rPr>
                <w:b/>
                <w:bCs/>
                <w:sz w:val="16"/>
                <w:szCs w:val="16"/>
              </w:rPr>
              <w:t>Fiscal 2022</w:t>
            </w:r>
            <w:r>
              <w:rPr>
                <w:b/>
                <w:bCs/>
                <w:sz w:val="16"/>
                <w:szCs w:val="16"/>
              </w:rPr>
              <w:br/>
              <w:t>Base Salar</w:t>
            </w:r>
            <w:r>
              <w:rPr>
                <w:b/>
                <w:bCs/>
                <w:sz w:val="16"/>
                <w:szCs w:val="16"/>
              </w:rPr>
              <w:t>y</w:t>
            </w:r>
          </w:p>
        </w:tc>
        <w:tc>
          <w:tcPr>
            <w:tcW w:w="0" w:type="auto"/>
            <w:vAlign w:val="bottom"/>
            <w:hideMark/>
          </w:tcPr>
          <w:p w14:paraId="4A5AB54A"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4E9B2E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481D5CF" w14:textId="77777777" w:rsidR="00000000" w:rsidRDefault="00832D71">
            <w:pPr>
              <w:pStyle w:val="a3"/>
              <w:spacing w:before="0" w:beforeAutospacing="0" w:after="0" w:afterAutospacing="0"/>
              <w:jc w:val="center"/>
              <w:rPr>
                <w:sz w:val="16"/>
                <w:szCs w:val="16"/>
              </w:rPr>
            </w:pPr>
            <w:r>
              <w:rPr>
                <w:b/>
                <w:bCs/>
                <w:sz w:val="16"/>
                <w:szCs w:val="16"/>
              </w:rPr>
              <w:t>Fiscal 2021</w:t>
            </w:r>
            <w:r>
              <w:rPr>
                <w:b/>
                <w:bCs/>
                <w:sz w:val="16"/>
                <w:szCs w:val="16"/>
              </w:rPr>
              <w:br/>
              <w:t>Base Salar</w:t>
            </w:r>
            <w:r>
              <w:rPr>
                <w:b/>
                <w:bCs/>
                <w:sz w:val="16"/>
                <w:szCs w:val="16"/>
              </w:rPr>
              <w:t>y</w:t>
            </w:r>
          </w:p>
        </w:tc>
        <w:tc>
          <w:tcPr>
            <w:tcW w:w="0" w:type="auto"/>
            <w:vAlign w:val="bottom"/>
            <w:hideMark/>
          </w:tcPr>
          <w:p w14:paraId="63F44A60"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6AFA8126" w14:textId="77777777">
        <w:trPr>
          <w:trHeight w:val="200"/>
          <w:tblCellSpacing w:w="15" w:type="dxa"/>
        </w:trPr>
        <w:tc>
          <w:tcPr>
            <w:tcW w:w="0" w:type="auto"/>
            <w:vAlign w:val="bottom"/>
            <w:hideMark/>
          </w:tcPr>
          <w:p w14:paraId="0F4D4BA4" w14:textId="77777777" w:rsidR="00000000" w:rsidRDefault="00832D71">
            <w:pPr>
              <w:pStyle w:val="a3"/>
              <w:spacing w:before="0" w:beforeAutospacing="0" w:after="0" w:afterAutospacing="0"/>
              <w:rPr>
                <w:sz w:val="20"/>
                <w:szCs w:val="20"/>
              </w:rPr>
            </w:pPr>
            <w:r>
              <w:rPr>
                <w:sz w:val="20"/>
                <w:szCs w:val="20"/>
              </w:rPr>
              <w:t>Michael A. Stival</w:t>
            </w:r>
            <w:r>
              <w:rPr>
                <w:sz w:val="20"/>
                <w:szCs w:val="20"/>
              </w:rPr>
              <w:t>a</w:t>
            </w:r>
          </w:p>
        </w:tc>
        <w:tc>
          <w:tcPr>
            <w:tcW w:w="0" w:type="auto"/>
            <w:hideMark/>
          </w:tcPr>
          <w:p w14:paraId="235B87C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974B5C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D6EA75A" w14:textId="77777777" w:rsidR="00000000" w:rsidRDefault="00832D71">
            <w:pPr>
              <w:pStyle w:val="a3"/>
              <w:spacing w:before="0" w:beforeAutospacing="0" w:after="0" w:afterAutospacing="0"/>
              <w:jc w:val="right"/>
              <w:rPr>
                <w:sz w:val="20"/>
                <w:szCs w:val="20"/>
              </w:rPr>
            </w:pPr>
            <w:r>
              <w:rPr>
                <w:sz w:val="20"/>
                <w:szCs w:val="20"/>
              </w:rPr>
              <w:t>820,00</w:t>
            </w:r>
            <w:r>
              <w:rPr>
                <w:sz w:val="20"/>
                <w:szCs w:val="20"/>
              </w:rPr>
              <w:t>0</w:t>
            </w:r>
          </w:p>
        </w:tc>
        <w:tc>
          <w:tcPr>
            <w:tcW w:w="0" w:type="auto"/>
            <w:noWrap/>
            <w:vAlign w:val="bottom"/>
            <w:hideMark/>
          </w:tcPr>
          <w:p w14:paraId="7916FE8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22FBB9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C3D5AF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8D782E8" w14:textId="77777777" w:rsidR="00000000" w:rsidRDefault="00832D71">
            <w:pPr>
              <w:pStyle w:val="a3"/>
              <w:spacing w:before="0" w:beforeAutospacing="0" w:after="0" w:afterAutospacing="0"/>
              <w:jc w:val="right"/>
              <w:rPr>
                <w:sz w:val="20"/>
                <w:szCs w:val="20"/>
              </w:rPr>
            </w:pPr>
            <w:r>
              <w:rPr>
                <w:sz w:val="20"/>
                <w:szCs w:val="20"/>
              </w:rPr>
              <w:t>600,00</w:t>
            </w:r>
            <w:r>
              <w:rPr>
                <w:sz w:val="20"/>
                <w:szCs w:val="20"/>
              </w:rPr>
              <w:t>0</w:t>
            </w:r>
          </w:p>
        </w:tc>
        <w:tc>
          <w:tcPr>
            <w:tcW w:w="0" w:type="auto"/>
            <w:noWrap/>
            <w:vAlign w:val="bottom"/>
            <w:hideMark/>
          </w:tcPr>
          <w:p w14:paraId="5EC5F2A5" w14:textId="77777777" w:rsidR="00000000" w:rsidRDefault="00832D71">
            <w:pPr>
              <w:pStyle w:val="a3"/>
              <w:spacing w:before="0" w:beforeAutospacing="0" w:after="0" w:afterAutospacing="0"/>
              <w:rPr>
                <w:sz w:val="20"/>
                <w:szCs w:val="20"/>
              </w:rPr>
            </w:pPr>
            <w:r>
              <w:rPr>
                <w:sz w:val="20"/>
                <w:szCs w:val="20"/>
              </w:rPr>
              <w:t> </w:t>
            </w:r>
          </w:p>
        </w:tc>
      </w:tr>
      <w:tr w:rsidR="00000000" w14:paraId="25E944F2" w14:textId="77777777">
        <w:trPr>
          <w:trHeight w:val="200"/>
          <w:tblCellSpacing w:w="15" w:type="dxa"/>
        </w:trPr>
        <w:tc>
          <w:tcPr>
            <w:tcW w:w="0" w:type="auto"/>
            <w:vAlign w:val="bottom"/>
            <w:hideMark/>
          </w:tcPr>
          <w:p w14:paraId="27398D83" w14:textId="77777777" w:rsidR="00000000" w:rsidRDefault="00832D71">
            <w:pPr>
              <w:pStyle w:val="a3"/>
              <w:spacing w:before="0" w:beforeAutospacing="0" w:after="0" w:afterAutospacing="0"/>
              <w:rPr>
                <w:sz w:val="20"/>
                <w:szCs w:val="20"/>
              </w:rPr>
            </w:pPr>
            <w:r>
              <w:rPr>
                <w:sz w:val="20"/>
                <w:szCs w:val="20"/>
              </w:rPr>
              <w:t>Michael A. Kugli</w:t>
            </w:r>
            <w:r>
              <w:rPr>
                <w:sz w:val="20"/>
                <w:szCs w:val="20"/>
              </w:rPr>
              <w:t>n</w:t>
            </w:r>
          </w:p>
        </w:tc>
        <w:tc>
          <w:tcPr>
            <w:tcW w:w="0" w:type="auto"/>
            <w:hideMark/>
          </w:tcPr>
          <w:p w14:paraId="65F6940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F9AE98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4FCBC7A" w14:textId="77777777" w:rsidR="00000000" w:rsidRDefault="00832D71">
            <w:pPr>
              <w:pStyle w:val="a3"/>
              <w:spacing w:before="0" w:beforeAutospacing="0" w:after="0" w:afterAutospacing="0"/>
              <w:jc w:val="right"/>
              <w:rPr>
                <w:sz w:val="20"/>
                <w:szCs w:val="20"/>
              </w:rPr>
            </w:pPr>
            <w:r>
              <w:rPr>
                <w:sz w:val="20"/>
                <w:szCs w:val="20"/>
              </w:rPr>
              <w:t>450,00</w:t>
            </w:r>
            <w:r>
              <w:rPr>
                <w:sz w:val="20"/>
                <w:szCs w:val="20"/>
              </w:rPr>
              <w:t>0</w:t>
            </w:r>
          </w:p>
        </w:tc>
        <w:tc>
          <w:tcPr>
            <w:tcW w:w="0" w:type="auto"/>
            <w:noWrap/>
            <w:vAlign w:val="bottom"/>
            <w:hideMark/>
          </w:tcPr>
          <w:p w14:paraId="5ED75A2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6AA6F1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374DF4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5A5C443" w14:textId="77777777" w:rsidR="00000000" w:rsidRDefault="00832D71">
            <w:pPr>
              <w:pStyle w:val="a3"/>
              <w:spacing w:before="0" w:beforeAutospacing="0" w:after="0" w:afterAutospacing="0"/>
              <w:jc w:val="right"/>
              <w:rPr>
                <w:sz w:val="20"/>
                <w:szCs w:val="20"/>
              </w:rPr>
            </w:pPr>
            <w:r>
              <w:rPr>
                <w:sz w:val="20"/>
                <w:szCs w:val="20"/>
              </w:rPr>
              <w:t>400,00</w:t>
            </w:r>
            <w:r>
              <w:rPr>
                <w:sz w:val="20"/>
                <w:szCs w:val="20"/>
              </w:rPr>
              <w:t>0</w:t>
            </w:r>
          </w:p>
        </w:tc>
        <w:tc>
          <w:tcPr>
            <w:tcW w:w="0" w:type="auto"/>
            <w:noWrap/>
            <w:vAlign w:val="bottom"/>
            <w:hideMark/>
          </w:tcPr>
          <w:p w14:paraId="03671DA7" w14:textId="77777777" w:rsidR="00000000" w:rsidRDefault="00832D71">
            <w:pPr>
              <w:pStyle w:val="a3"/>
              <w:spacing w:before="0" w:beforeAutospacing="0" w:after="0" w:afterAutospacing="0"/>
              <w:rPr>
                <w:sz w:val="20"/>
                <w:szCs w:val="20"/>
              </w:rPr>
            </w:pPr>
            <w:r>
              <w:rPr>
                <w:sz w:val="20"/>
                <w:szCs w:val="20"/>
              </w:rPr>
              <w:t> </w:t>
            </w:r>
          </w:p>
        </w:tc>
      </w:tr>
      <w:tr w:rsidR="00000000" w14:paraId="5C52C3D1" w14:textId="77777777">
        <w:trPr>
          <w:trHeight w:val="200"/>
          <w:tblCellSpacing w:w="15" w:type="dxa"/>
        </w:trPr>
        <w:tc>
          <w:tcPr>
            <w:tcW w:w="0" w:type="auto"/>
            <w:vAlign w:val="bottom"/>
            <w:hideMark/>
          </w:tcPr>
          <w:p w14:paraId="0106B103" w14:textId="77777777" w:rsidR="00000000" w:rsidRDefault="00832D71">
            <w:pPr>
              <w:pStyle w:val="a3"/>
              <w:spacing w:before="0" w:beforeAutospacing="0" w:after="0" w:afterAutospacing="0"/>
              <w:rPr>
                <w:sz w:val="20"/>
                <w:szCs w:val="20"/>
              </w:rPr>
            </w:pPr>
            <w:r>
              <w:rPr>
                <w:sz w:val="20"/>
                <w:szCs w:val="20"/>
              </w:rPr>
              <w:t>Steven C. Boy</w:t>
            </w:r>
            <w:r>
              <w:rPr>
                <w:sz w:val="20"/>
                <w:szCs w:val="20"/>
              </w:rPr>
              <w:t>d</w:t>
            </w:r>
          </w:p>
        </w:tc>
        <w:tc>
          <w:tcPr>
            <w:tcW w:w="0" w:type="auto"/>
            <w:hideMark/>
          </w:tcPr>
          <w:p w14:paraId="78C1834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2D6F83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BFC3F4C" w14:textId="77777777" w:rsidR="00000000" w:rsidRDefault="00832D71">
            <w:pPr>
              <w:pStyle w:val="a3"/>
              <w:spacing w:before="0" w:beforeAutospacing="0" w:after="0" w:afterAutospacing="0"/>
              <w:jc w:val="right"/>
              <w:rPr>
                <w:sz w:val="20"/>
                <w:szCs w:val="20"/>
              </w:rPr>
            </w:pPr>
            <w:r>
              <w:rPr>
                <w:sz w:val="20"/>
                <w:szCs w:val="20"/>
              </w:rPr>
              <w:t>460,00</w:t>
            </w:r>
            <w:r>
              <w:rPr>
                <w:sz w:val="20"/>
                <w:szCs w:val="20"/>
              </w:rPr>
              <w:t>0</w:t>
            </w:r>
          </w:p>
        </w:tc>
        <w:tc>
          <w:tcPr>
            <w:tcW w:w="0" w:type="auto"/>
            <w:noWrap/>
            <w:vAlign w:val="bottom"/>
            <w:hideMark/>
          </w:tcPr>
          <w:p w14:paraId="17153C1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4AF5DB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6AB8FD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EB950AB" w14:textId="77777777" w:rsidR="00000000" w:rsidRDefault="00832D71">
            <w:pPr>
              <w:pStyle w:val="a3"/>
              <w:spacing w:before="0" w:beforeAutospacing="0" w:after="0" w:afterAutospacing="0"/>
              <w:jc w:val="right"/>
              <w:rPr>
                <w:sz w:val="20"/>
                <w:szCs w:val="20"/>
              </w:rPr>
            </w:pPr>
            <w:r>
              <w:rPr>
                <w:sz w:val="20"/>
                <w:szCs w:val="20"/>
              </w:rPr>
              <w:t>400,00</w:t>
            </w:r>
            <w:r>
              <w:rPr>
                <w:sz w:val="20"/>
                <w:szCs w:val="20"/>
              </w:rPr>
              <w:t>0</w:t>
            </w:r>
          </w:p>
        </w:tc>
        <w:tc>
          <w:tcPr>
            <w:tcW w:w="0" w:type="auto"/>
            <w:noWrap/>
            <w:vAlign w:val="bottom"/>
            <w:hideMark/>
          </w:tcPr>
          <w:p w14:paraId="165880D2" w14:textId="77777777" w:rsidR="00000000" w:rsidRDefault="00832D71">
            <w:pPr>
              <w:pStyle w:val="a3"/>
              <w:spacing w:before="0" w:beforeAutospacing="0" w:after="0" w:afterAutospacing="0"/>
              <w:rPr>
                <w:sz w:val="20"/>
                <w:szCs w:val="20"/>
              </w:rPr>
            </w:pPr>
            <w:r>
              <w:rPr>
                <w:sz w:val="20"/>
                <w:szCs w:val="20"/>
              </w:rPr>
              <w:t> </w:t>
            </w:r>
          </w:p>
        </w:tc>
      </w:tr>
      <w:tr w:rsidR="00000000" w14:paraId="0978BF0C" w14:textId="77777777">
        <w:trPr>
          <w:trHeight w:val="200"/>
          <w:tblCellSpacing w:w="15" w:type="dxa"/>
        </w:trPr>
        <w:tc>
          <w:tcPr>
            <w:tcW w:w="0" w:type="auto"/>
            <w:vAlign w:val="bottom"/>
            <w:hideMark/>
          </w:tcPr>
          <w:p w14:paraId="6E2F065C" w14:textId="77777777" w:rsidR="00000000" w:rsidRDefault="00832D71">
            <w:pPr>
              <w:pStyle w:val="a3"/>
              <w:spacing w:before="0" w:beforeAutospacing="0" w:after="0" w:afterAutospacing="0"/>
              <w:rPr>
                <w:sz w:val="20"/>
                <w:szCs w:val="20"/>
              </w:rPr>
            </w:pPr>
            <w:r>
              <w:rPr>
                <w:sz w:val="20"/>
                <w:szCs w:val="20"/>
              </w:rPr>
              <w:t>Douglas T. Brinkwort</w:t>
            </w:r>
            <w:r>
              <w:rPr>
                <w:sz w:val="20"/>
                <w:szCs w:val="20"/>
              </w:rPr>
              <w:t>h</w:t>
            </w:r>
          </w:p>
        </w:tc>
        <w:tc>
          <w:tcPr>
            <w:tcW w:w="0" w:type="auto"/>
            <w:hideMark/>
          </w:tcPr>
          <w:p w14:paraId="1D13E4A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F3847A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D2232E7" w14:textId="77777777" w:rsidR="00000000" w:rsidRDefault="00832D71">
            <w:pPr>
              <w:pStyle w:val="a3"/>
              <w:spacing w:before="0" w:beforeAutospacing="0" w:after="0" w:afterAutospacing="0"/>
              <w:jc w:val="right"/>
              <w:rPr>
                <w:sz w:val="20"/>
                <w:szCs w:val="20"/>
              </w:rPr>
            </w:pPr>
            <w:r>
              <w:rPr>
                <w:sz w:val="20"/>
                <w:szCs w:val="20"/>
              </w:rPr>
              <w:t>400,00</w:t>
            </w:r>
            <w:r>
              <w:rPr>
                <w:sz w:val="20"/>
                <w:szCs w:val="20"/>
              </w:rPr>
              <w:t>0</w:t>
            </w:r>
          </w:p>
        </w:tc>
        <w:tc>
          <w:tcPr>
            <w:tcW w:w="0" w:type="auto"/>
            <w:noWrap/>
            <w:vAlign w:val="bottom"/>
            <w:hideMark/>
          </w:tcPr>
          <w:p w14:paraId="3407A23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3E6A06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1A3438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F62D59B" w14:textId="77777777" w:rsidR="00000000" w:rsidRDefault="00832D71">
            <w:pPr>
              <w:pStyle w:val="a3"/>
              <w:spacing w:before="0" w:beforeAutospacing="0" w:after="0" w:afterAutospacing="0"/>
              <w:jc w:val="right"/>
              <w:rPr>
                <w:sz w:val="20"/>
                <w:szCs w:val="20"/>
              </w:rPr>
            </w:pPr>
            <w:r>
              <w:rPr>
                <w:sz w:val="20"/>
                <w:szCs w:val="20"/>
              </w:rPr>
              <w:t>360,00</w:t>
            </w:r>
            <w:r>
              <w:rPr>
                <w:sz w:val="20"/>
                <w:szCs w:val="20"/>
              </w:rPr>
              <w:t>0</w:t>
            </w:r>
          </w:p>
        </w:tc>
        <w:tc>
          <w:tcPr>
            <w:tcW w:w="0" w:type="auto"/>
            <w:noWrap/>
            <w:vAlign w:val="bottom"/>
            <w:hideMark/>
          </w:tcPr>
          <w:p w14:paraId="1DA9784C" w14:textId="77777777" w:rsidR="00000000" w:rsidRDefault="00832D71">
            <w:pPr>
              <w:pStyle w:val="a3"/>
              <w:spacing w:before="0" w:beforeAutospacing="0" w:after="0" w:afterAutospacing="0"/>
              <w:rPr>
                <w:sz w:val="20"/>
                <w:szCs w:val="20"/>
              </w:rPr>
            </w:pPr>
            <w:r>
              <w:rPr>
                <w:sz w:val="20"/>
                <w:szCs w:val="20"/>
              </w:rPr>
              <w:t> </w:t>
            </w:r>
          </w:p>
        </w:tc>
      </w:tr>
      <w:tr w:rsidR="00000000" w14:paraId="3A2A8C96" w14:textId="77777777">
        <w:trPr>
          <w:trHeight w:val="200"/>
          <w:tblCellSpacing w:w="15" w:type="dxa"/>
        </w:trPr>
        <w:tc>
          <w:tcPr>
            <w:tcW w:w="0" w:type="auto"/>
            <w:vAlign w:val="bottom"/>
            <w:hideMark/>
          </w:tcPr>
          <w:p w14:paraId="7845F51D" w14:textId="77777777" w:rsidR="00000000" w:rsidRDefault="00832D71">
            <w:pPr>
              <w:pStyle w:val="a3"/>
              <w:spacing w:before="0" w:beforeAutospacing="0" w:after="0" w:afterAutospacing="0"/>
              <w:rPr>
                <w:sz w:val="20"/>
                <w:szCs w:val="20"/>
              </w:rPr>
            </w:pPr>
            <w:r>
              <w:rPr>
                <w:sz w:val="20"/>
                <w:szCs w:val="20"/>
              </w:rPr>
              <w:t>Neil E. Scanlo</w:t>
            </w:r>
            <w:r>
              <w:rPr>
                <w:sz w:val="20"/>
                <w:szCs w:val="20"/>
              </w:rPr>
              <w:t>n</w:t>
            </w:r>
          </w:p>
        </w:tc>
        <w:tc>
          <w:tcPr>
            <w:tcW w:w="0" w:type="auto"/>
            <w:hideMark/>
          </w:tcPr>
          <w:p w14:paraId="2ED95DD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3F2925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BE60AFE" w14:textId="77777777" w:rsidR="00000000" w:rsidRDefault="00832D71">
            <w:pPr>
              <w:pStyle w:val="a3"/>
              <w:spacing w:before="0" w:beforeAutospacing="0" w:after="0" w:afterAutospacing="0"/>
              <w:jc w:val="right"/>
              <w:rPr>
                <w:sz w:val="20"/>
                <w:szCs w:val="20"/>
              </w:rPr>
            </w:pPr>
            <w:r>
              <w:rPr>
                <w:sz w:val="20"/>
                <w:szCs w:val="20"/>
              </w:rPr>
              <w:t>350,00</w:t>
            </w:r>
            <w:r>
              <w:rPr>
                <w:sz w:val="20"/>
                <w:szCs w:val="20"/>
              </w:rPr>
              <w:t>0</w:t>
            </w:r>
          </w:p>
        </w:tc>
        <w:tc>
          <w:tcPr>
            <w:tcW w:w="0" w:type="auto"/>
            <w:noWrap/>
            <w:vAlign w:val="bottom"/>
            <w:hideMark/>
          </w:tcPr>
          <w:p w14:paraId="7340B33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42882C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12DC38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3B273C7" w14:textId="77777777" w:rsidR="00000000" w:rsidRDefault="00832D71">
            <w:pPr>
              <w:pStyle w:val="a3"/>
              <w:spacing w:before="0" w:beforeAutospacing="0" w:after="0" w:afterAutospacing="0"/>
              <w:jc w:val="right"/>
              <w:rPr>
                <w:sz w:val="20"/>
                <w:szCs w:val="20"/>
              </w:rPr>
            </w:pPr>
            <w:r>
              <w:rPr>
                <w:sz w:val="20"/>
                <w:szCs w:val="20"/>
              </w:rPr>
              <w:t>320,00</w:t>
            </w:r>
            <w:r>
              <w:rPr>
                <w:sz w:val="20"/>
                <w:szCs w:val="20"/>
              </w:rPr>
              <w:t>0</w:t>
            </w:r>
          </w:p>
        </w:tc>
        <w:tc>
          <w:tcPr>
            <w:tcW w:w="0" w:type="auto"/>
            <w:noWrap/>
            <w:vAlign w:val="bottom"/>
            <w:hideMark/>
          </w:tcPr>
          <w:p w14:paraId="70103E15" w14:textId="77777777" w:rsidR="00000000" w:rsidRDefault="00832D71">
            <w:pPr>
              <w:pStyle w:val="a3"/>
              <w:spacing w:before="0" w:beforeAutospacing="0" w:after="0" w:afterAutospacing="0"/>
              <w:rPr>
                <w:sz w:val="20"/>
                <w:szCs w:val="20"/>
              </w:rPr>
            </w:pPr>
            <w:r>
              <w:rPr>
                <w:sz w:val="20"/>
                <w:szCs w:val="20"/>
              </w:rPr>
              <w:t> </w:t>
            </w:r>
          </w:p>
        </w:tc>
      </w:tr>
    </w:tbl>
    <w:p w14:paraId="0D603222" w14:textId="77777777" w:rsidR="00000000" w:rsidRDefault="00832D71">
      <w:pPr>
        <w:pStyle w:val="a3"/>
        <w:spacing w:before="0" w:beforeAutospacing="0" w:after="0" w:afterAutospacing="0"/>
        <w:jc w:val="both"/>
        <w:rPr>
          <w:sz w:val="20"/>
          <w:szCs w:val="20"/>
        </w:rPr>
      </w:pPr>
      <w:r>
        <w:rPr>
          <w:sz w:val="20"/>
          <w:szCs w:val="20"/>
        </w:rPr>
        <w:t> </w:t>
      </w:r>
    </w:p>
    <w:p w14:paraId="3E6FFB73" w14:textId="77777777" w:rsidR="00000000" w:rsidRDefault="00832D71">
      <w:pPr>
        <w:pStyle w:val="a3"/>
        <w:spacing w:before="0" w:beforeAutospacing="0" w:after="0" w:afterAutospacing="0"/>
        <w:jc w:val="both"/>
        <w:rPr>
          <w:sz w:val="20"/>
          <w:szCs w:val="20"/>
        </w:rPr>
      </w:pPr>
      <w:r>
        <w:rPr>
          <w:sz w:val="20"/>
          <w:szCs w:val="20"/>
        </w:rPr>
        <w:t>The base salaries paid to our named executive officers in fiscal 2022, fiscal 2021 and fiscal 2020 are reported in the column titled “Salary” in the Summary Compensation Table below</w:t>
      </w:r>
      <w:r>
        <w:rPr>
          <w:sz w:val="20"/>
          <w:szCs w:val="20"/>
        </w:rPr>
        <w:t>.</w:t>
      </w:r>
    </w:p>
    <w:p w14:paraId="690E2DFC" w14:textId="77777777" w:rsidR="00000000" w:rsidRDefault="00832D71">
      <w:pPr>
        <w:pStyle w:val="a3"/>
        <w:spacing w:before="0" w:beforeAutospacing="0" w:after="0" w:afterAutospacing="0"/>
        <w:jc w:val="both"/>
        <w:rPr>
          <w:sz w:val="20"/>
          <w:szCs w:val="20"/>
        </w:rPr>
      </w:pPr>
      <w:r>
        <w:rPr>
          <w:sz w:val="20"/>
          <w:szCs w:val="20"/>
        </w:rPr>
        <w:t> </w:t>
      </w:r>
    </w:p>
    <w:p w14:paraId="60071A20" w14:textId="77777777" w:rsidR="00000000" w:rsidRDefault="00832D71">
      <w:pPr>
        <w:pStyle w:val="a3"/>
        <w:spacing w:before="40" w:beforeAutospacing="0" w:after="0" w:afterAutospacing="0"/>
        <w:ind w:firstLine="555"/>
        <w:jc w:val="both"/>
        <w:rPr>
          <w:sz w:val="20"/>
          <w:szCs w:val="20"/>
        </w:rPr>
      </w:pPr>
      <w:r>
        <w:rPr>
          <w:sz w:val="20"/>
          <w:szCs w:val="20"/>
        </w:rPr>
        <w:t>Consistent with the Committee’s informal policy of considering adjustme</w:t>
      </w:r>
      <w:r>
        <w:rPr>
          <w:sz w:val="20"/>
          <w:szCs w:val="20"/>
        </w:rPr>
        <w:t>nts to the base salaries of our named executive officers every two years (unless specific circumstances were deemed by the Committee to necessitate a base salary adjustment), at its November 8, 2022 meeting, the Committee approved the following base salari</w:t>
      </w:r>
      <w:r>
        <w:rPr>
          <w:sz w:val="20"/>
          <w:szCs w:val="20"/>
        </w:rPr>
        <w:t>es, which were identical to the fiscal 2022 base salaries, for fiscal 2023</w:t>
      </w:r>
      <w:r>
        <w:rPr>
          <w:sz w:val="20"/>
          <w:szCs w:val="20"/>
        </w:rPr>
        <w:t>:</w:t>
      </w:r>
      <w:r>
        <w:rPr>
          <w:sz w:val="20"/>
          <w:szCs w:val="20"/>
        </w:rPr>
        <w:t xml:space="preserve"> </w:t>
      </w:r>
    </w:p>
    <w:p w14:paraId="0B8227F4" w14:textId="77777777" w:rsidR="00000000" w:rsidRDefault="00832D71">
      <w:pPr>
        <w:pStyle w:val="a3"/>
        <w:spacing w:before="4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825"/>
        <w:gridCol w:w="166"/>
        <w:gridCol w:w="160"/>
        <w:gridCol w:w="1369"/>
        <w:gridCol w:w="125"/>
      </w:tblGrid>
      <w:tr w:rsidR="00000000" w14:paraId="494304B8" w14:textId="77777777">
        <w:trPr>
          <w:tblCellSpacing w:w="15" w:type="dxa"/>
        </w:trPr>
        <w:tc>
          <w:tcPr>
            <w:tcW w:w="3717" w:type="pct"/>
            <w:vAlign w:val="center"/>
            <w:hideMark/>
          </w:tcPr>
          <w:p w14:paraId="1B436574" w14:textId="77777777" w:rsidR="00000000" w:rsidRDefault="00832D71">
            <w:pPr>
              <w:rPr>
                <w:sz w:val="20"/>
                <w:szCs w:val="20"/>
              </w:rPr>
            </w:pPr>
          </w:p>
        </w:tc>
        <w:tc>
          <w:tcPr>
            <w:tcW w:w="126" w:type="pct"/>
            <w:vAlign w:val="center"/>
            <w:hideMark/>
          </w:tcPr>
          <w:p w14:paraId="0397D442" w14:textId="77777777" w:rsidR="00000000" w:rsidRDefault="00832D71">
            <w:pPr>
              <w:rPr>
                <w:rFonts w:eastAsia="Times New Roman"/>
                <w:sz w:val="20"/>
                <w:szCs w:val="20"/>
              </w:rPr>
            </w:pPr>
          </w:p>
        </w:tc>
        <w:tc>
          <w:tcPr>
            <w:tcW w:w="50" w:type="pct"/>
            <w:vAlign w:val="center"/>
            <w:hideMark/>
          </w:tcPr>
          <w:p w14:paraId="72B69588" w14:textId="77777777" w:rsidR="00000000" w:rsidRDefault="00832D71">
            <w:pPr>
              <w:rPr>
                <w:rFonts w:eastAsia="Times New Roman"/>
                <w:sz w:val="20"/>
                <w:szCs w:val="20"/>
              </w:rPr>
            </w:pPr>
          </w:p>
        </w:tc>
        <w:tc>
          <w:tcPr>
            <w:tcW w:w="1056" w:type="pct"/>
            <w:vAlign w:val="center"/>
            <w:hideMark/>
          </w:tcPr>
          <w:p w14:paraId="61936D07" w14:textId="77777777" w:rsidR="00000000" w:rsidRDefault="00832D71">
            <w:pPr>
              <w:rPr>
                <w:rFonts w:eastAsia="Times New Roman"/>
                <w:sz w:val="20"/>
                <w:szCs w:val="20"/>
              </w:rPr>
            </w:pPr>
          </w:p>
        </w:tc>
        <w:tc>
          <w:tcPr>
            <w:tcW w:w="50" w:type="pct"/>
            <w:vAlign w:val="center"/>
            <w:hideMark/>
          </w:tcPr>
          <w:p w14:paraId="6FCA91A9" w14:textId="77777777" w:rsidR="00000000" w:rsidRDefault="00832D71">
            <w:pPr>
              <w:rPr>
                <w:rFonts w:eastAsia="Times New Roman"/>
                <w:sz w:val="20"/>
                <w:szCs w:val="20"/>
              </w:rPr>
            </w:pPr>
          </w:p>
        </w:tc>
      </w:tr>
      <w:tr w:rsidR="00000000" w14:paraId="410ECD1D" w14:textId="77777777">
        <w:trPr>
          <w:trHeight w:val="160"/>
          <w:tblCellSpacing w:w="15" w:type="dxa"/>
        </w:trPr>
        <w:tc>
          <w:tcPr>
            <w:tcW w:w="0" w:type="auto"/>
            <w:vAlign w:val="bottom"/>
            <w:hideMark/>
          </w:tcPr>
          <w:p w14:paraId="2B18D84B"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732E79B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900D585" w14:textId="77777777" w:rsidR="00000000" w:rsidRDefault="00832D71">
            <w:pPr>
              <w:pStyle w:val="a3"/>
              <w:spacing w:before="0" w:beforeAutospacing="0" w:after="0" w:afterAutospacing="0"/>
              <w:jc w:val="center"/>
              <w:rPr>
                <w:sz w:val="16"/>
                <w:szCs w:val="16"/>
              </w:rPr>
            </w:pPr>
            <w:r>
              <w:rPr>
                <w:b/>
                <w:bCs/>
                <w:sz w:val="16"/>
                <w:szCs w:val="16"/>
              </w:rPr>
              <w:t>Fiscal 2023</w:t>
            </w:r>
            <w:r>
              <w:rPr>
                <w:b/>
                <w:bCs/>
                <w:sz w:val="16"/>
                <w:szCs w:val="16"/>
              </w:rPr>
              <w:br/>
              <w:t>Base Salar</w:t>
            </w:r>
            <w:r>
              <w:rPr>
                <w:b/>
                <w:bCs/>
                <w:sz w:val="16"/>
                <w:szCs w:val="16"/>
              </w:rPr>
              <w:t>y</w:t>
            </w:r>
          </w:p>
        </w:tc>
        <w:tc>
          <w:tcPr>
            <w:tcW w:w="0" w:type="auto"/>
            <w:vAlign w:val="bottom"/>
            <w:hideMark/>
          </w:tcPr>
          <w:p w14:paraId="100C4063"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417D564C" w14:textId="77777777">
        <w:trPr>
          <w:trHeight w:val="200"/>
          <w:tblCellSpacing w:w="15" w:type="dxa"/>
        </w:trPr>
        <w:tc>
          <w:tcPr>
            <w:tcW w:w="0" w:type="auto"/>
            <w:vAlign w:val="bottom"/>
            <w:hideMark/>
          </w:tcPr>
          <w:p w14:paraId="6FDF9F62" w14:textId="77777777" w:rsidR="00000000" w:rsidRDefault="00832D71">
            <w:pPr>
              <w:pStyle w:val="a3"/>
              <w:spacing w:before="0" w:beforeAutospacing="0" w:after="0" w:afterAutospacing="0"/>
              <w:rPr>
                <w:sz w:val="20"/>
                <w:szCs w:val="20"/>
              </w:rPr>
            </w:pPr>
            <w:r>
              <w:rPr>
                <w:sz w:val="20"/>
                <w:szCs w:val="20"/>
              </w:rPr>
              <w:t>Michael A. Stival</w:t>
            </w:r>
            <w:r>
              <w:rPr>
                <w:sz w:val="20"/>
                <w:szCs w:val="20"/>
              </w:rPr>
              <w:t>a</w:t>
            </w:r>
          </w:p>
        </w:tc>
        <w:tc>
          <w:tcPr>
            <w:tcW w:w="0" w:type="auto"/>
            <w:hideMark/>
          </w:tcPr>
          <w:p w14:paraId="70F2683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E95CCE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3E233D9" w14:textId="77777777" w:rsidR="00000000" w:rsidRDefault="00832D71">
            <w:pPr>
              <w:pStyle w:val="a3"/>
              <w:spacing w:before="0" w:beforeAutospacing="0" w:after="0" w:afterAutospacing="0"/>
              <w:jc w:val="right"/>
              <w:rPr>
                <w:sz w:val="20"/>
                <w:szCs w:val="20"/>
              </w:rPr>
            </w:pPr>
            <w:r>
              <w:rPr>
                <w:sz w:val="20"/>
                <w:szCs w:val="20"/>
              </w:rPr>
              <w:t>820,00</w:t>
            </w:r>
            <w:r>
              <w:rPr>
                <w:sz w:val="20"/>
                <w:szCs w:val="20"/>
              </w:rPr>
              <w:t>0</w:t>
            </w:r>
          </w:p>
        </w:tc>
        <w:tc>
          <w:tcPr>
            <w:tcW w:w="0" w:type="auto"/>
            <w:noWrap/>
            <w:vAlign w:val="bottom"/>
            <w:hideMark/>
          </w:tcPr>
          <w:p w14:paraId="47EBF0AF" w14:textId="77777777" w:rsidR="00000000" w:rsidRDefault="00832D71">
            <w:pPr>
              <w:pStyle w:val="a3"/>
              <w:spacing w:before="0" w:beforeAutospacing="0" w:after="0" w:afterAutospacing="0"/>
              <w:rPr>
                <w:sz w:val="20"/>
                <w:szCs w:val="20"/>
              </w:rPr>
            </w:pPr>
            <w:r>
              <w:rPr>
                <w:sz w:val="20"/>
                <w:szCs w:val="20"/>
              </w:rPr>
              <w:t> </w:t>
            </w:r>
          </w:p>
        </w:tc>
      </w:tr>
      <w:tr w:rsidR="00000000" w14:paraId="33234F87" w14:textId="77777777">
        <w:trPr>
          <w:trHeight w:val="200"/>
          <w:tblCellSpacing w:w="15" w:type="dxa"/>
        </w:trPr>
        <w:tc>
          <w:tcPr>
            <w:tcW w:w="0" w:type="auto"/>
            <w:vAlign w:val="bottom"/>
            <w:hideMark/>
          </w:tcPr>
          <w:p w14:paraId="00646A98" w14:textId="77777777" w:rsidR="00000000" w:rsidRDefault="00832D71">
            <w:pPr>
              <w:pStyle w:val="a3"/>
              <w:spacing w:before="0" w:beforeAutospacing="0" w:after="0" w:afterAutospacing="0"/>
              <w:rPr>
                <w:sz w:val="20"/>
                <w:szCs w:val="20"/>
              </w:rPr>
            </w:pPr>
            <w:r>
              <w:rPr>
                <w:sz w:val="20"/>
                <w:szCs w:val="20"/>
              </w:rPr>
              <w:t>Michael A. Kugli</w:t>
            </w:r>
            <w:r>
              <w:rPr>
                <w:sz w:val="20"/>
                <w:szCs w:val="20"/>
              </w:rPr>
              <w:t>n</w:t>
            </w:r>
          </w:p>
        </w:tc>
        <w:tc>
          <w:tcPr>
            <w:tcW w:w="0" w:type="auto"/>
            <w:hideMark/>
          </w:tcPr>
          <w:p w14:paraId="2759F98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1C74FC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64C0D9D" w14:textId="77777777" w:rsidR="00000000" w:rsidRDefault="00832D71">
            <w:pPr>
              <w:pStyle w:val="a3"/>
              <w:spacing w:before="0" w:beforeAutospacing="0" w:after="0" w:afterAutospacing="0"/>
              <w:jc w:val="right"/>
              <w:rPr>
                <w:sz w:val="20"/>
                <w:szCs w:val="20"/>
              </w:rPr>
            </w:pPr>
            <w:r>
              <w:rPr>
                <w:sz w:val="20"/>
                <w:szCs w:val="20"/>
              </w:rPr>
              <w:t>450,00</w:t>
            </w:r>
            <w:r>
              <w:rPr>
                <w:sz w:val="20"/>
                <w:szCs w:val="20"/>
              </w:rPr>
              <w:t>0</w:t>
            </w:r>
          </w:p>
        </w:tc>
        <w:tc>
          <w:tcPr>
            <w:tcW w:w="0" w:type="auto"/>
            <w:noWrap/>
            <w:vAlign w:val="bottom"/>
            <w:hideMark/>
          </w:tcPr>
          <w:p w14:paraId="7EB2F9BA" w14:textId="77777777" w:rsidR="00000000" w:rsidRDefault="00832D71">
            <w:pPr>
              <w:pStyle w:val="a3"/>
              <w:spacing w:before="0" w:beforeAutospacing="0" w:after="0" w:afterAutospacing="0"/>
              <w:rPr>
                <w:sz w:val="20"/>
                <w:szCs w:val="20"/>
              </w:rPr>
            </w:pPr>
            <w:r>
              <w:rPr>
                <w:sz w:val="20"/>
                <w:szCs w:val="20"/>
              </w:rPr>
              <w:t> </w:t>
            </w:r>
          </w:p>
        </w:tc>
      </w:tr>
      <w:tr w:rsidR="00000000" w14:paraId="52BEE7AD" w14:textId="77777777">
        <w:trPr>
          <w:trHeight w:val="200"/>
          <w:tblCellSpacing w:w="15" w:type="dxa"/>
        </w:trPr>
        <w:tc>
          <w:tcPr>
            <w:tcW w:w="0" w:type="auto"/>
            <w:vAlign w:val="bottom"/>
            <w:hideMark/>
          </w:tcPr>
          <w:p w14:paraId="6CAECABA" w14:textId="77777777" w:rsidR="00000000" w:rsidRDefault="00832D71">
            <w:pPr>
              <w:pStyle w:val="a3"/>
              <w:spacing w:before="0" w:beforeAutospacing="0" w:after="0" w:afterAutospacing="0"/>
              <w:rPr>
                <w:sz w:val="20"/>
                <w:szCs w:val="20"/>
              </w:rPr>
            </w:pPr>
            <w:r>
              <w:rPr>
                <w:sz w:val="20"/>
                <w:szCs w:val="20"/>
              </w:rPr>
              <w:t>Steven C. Boy</w:t>
            </w:r>
            <w:r>
              <w:rPr>
                <w:sz w:val="20"/>
                <w:szCs w:val="20"/>
              </w:rPr>
              <w:t>d</w:t>
            </w:r>
          </w:p>
        </w:tc>
        <w:tc>
          <w:tcPr>
            <w:tcW w:w="0" w:type="auto"/>
            <w:hideMark/>
          </w:tcPr>
          <w:p w14:paraId="08A435D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EB30F2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6599AB8" w14:textId="77777777" w:rsidR="00000000" w:rsidRDefault="00832D71">
            <w:pPr>
              <w:pStyle w:val="a3"/>
              <w:spacing w:before="0" w:beforeAutospacing="0" w:after="0" w:afterAutospacing="0"/>
              <w:jc w:val="right"/>
              <w:rPr>
                <w:sz w:val="20"/>
                <w:szCs w:val="20"/>
              </w:rPr>
            </w:pPr>
            <w:r>
              <w:rPr>
                <w:sz w:val="20"/>
                <w:szCs w:val="20"/>
              </w:rPr>
              <w:t>460,00</w:t>
            </w:r>
            <w:r>
              <w:rPr>
                <w:sz w:val="20"/>
                <w:szCs w:val="20"/>
              </w:rPr>
              <w:t>0</w:t>
            </w:r>
          </w:p>
        </w:tc>
        <w:tc>
          <w:tcPr>
            <w:tcW w:w="0" w:type="auto"/>
            <w:noWrap/>
            <w:vAlign w:val="bottom"/>
            <w:hideMark/>
          </w:tcPr>
          <w:p w14:paraId="4691643A" w14:textId="77777777" w:rsidR="00000000" w:rsidRDefault="00832D71">
            <w:pPr>
              <w:pStyle w:val="a3"/>
              <w:spacing w:before="0" w:beforeAutospacing="0" w:after="0" w:afterAutospacing="0"/>
              <w:rPr>
                <w:sz w:val="20"/>
                <w:szCs w:val="20"/>
              </w:rPr>
            </w:pPr>
            <w:r>
              <w:rPr>
                <w:sz w:val="20"/>
                <w:szCs w:val="20"/>
              </w:rPr>
              <w:t> </w:t>
            </w:r>
          </w:p>
        </w:tc>
      </w:tr>
      <w:tr w:rsidR="00000000" w14:paraId="55BF0C1F" w14:textId="77777777">
        <w:trPr>
          <w:trHeight w:val="200"/>
          <w:tblCellSpacing w:w="15" w:type="dxa"/>
        </w:trPr>
        <w:tc>
          <w:tcPr>
            <w:tcW w:w="0" w:type="auto"/>
            <w:vAlign w:val="bottom"/>
            <w:hideMark/>
          </w:tcPr>
          <w:p w14:paraId="00CAB330" w14:textId="77777777" w:rsidR="00000000" w:rsidRDefault="00832D71">
            <w:pPr>
              <w:pStyle w:val="a3"/>
              <w:spacing w:before="0" w:beforeAutospacing="0" w:after="0" w:afterAutospacing="0"/>
              <w:rPr>
                <w:sz w:val="20"/>
                <w:szCs w:val="20"/>
              </w:rPr>
            </w:pPr>
            <w:r>
              <w:rPr>
                <w:sz w:val="20"/>
                <w:szCs w:val="20"/>
              </w:rPr>
              <w:t>Douglas T. Brinkwort</w:t>
            </w:r>
            <w:r>
              <w:rPr>
                <w:sz w:val="20"/>
                <w:szCs w:val="20"/>
              </w:rPr>
              <w:t>h</w:t>
            </w:r>
          </w:p>
        </w:tc>
        <w:tc>
          <w:tcPr>
            <w:tcW w:w="0" w:type="auto"/>
            <w:hideMark/>
          </w:tcPr>
          <w:p w14:paraId="7B48FC0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9F945E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AFA83B5" w14:textId="77777777" w:rsidR="00000000" w:rsidRDefault="00832D71">
            <w:pPr>
              <w:pStyle w:val="a3"/>
              <w:spacing w:before="0" w:beforeAutospacing="0" w:after="0" w:afterAutospacing="0"/>
              <w:jc w:val="right"/>
              <w:rPr>
                <w:sz w:val="20"/>
                <w:szCs w:val="20"/>
              </w:rPr>
            </w:pPr>
            <w:r>
              <w:rPr>
                <w:sz w:val="20"/>
                <w:szCs w:val="20"/>
              </w:rPr>
              <w:t>400,00</w:t>
            </w:r>
            <w:r>
              <w:rPr>
                <w:sz w:val="20"/>
                <w:szCs w:val="20"/>
              </w:rPr>
              <w:t>0</w:t>
            </w:r>
          </w:p>
        </w:tc>
        <w:tc>
          <w:tcPr>
            <w:tcW w:w="0" w:type="auto"/>
            <w:noWrap/>
            <w:vAlign w:val="bottom"/>
            <w:hideMark/>
          </w:tcPr>
          <w:p w14:paraId="679B8EB8" w14:textId="77777777" w:rsidR="00000000" w:rsidRDefault="00832D71">
            <w:pPr>
              <w:pStyle w:val="a3"/>
              <w:spacing w:before="0" w:beforeAutospacing="0" w:after="0" w:afterAutospacing="0"/>
              <w:rPr>
                <w:sz w:val="20"/>
                <w:szCs w:val="20"/>
              </w:rPr>
            </w:pPr>
            <w:r>
              <w:rPr>
                <w:sz w:val="20"/>
                <w:szCs w:val="20"/>
              </w:rPr>
              <w:t> </w:t>
            </w:r>
          </w:p>
        </w:tc>
      </w:tr>
      <w:tr w:rsidR="00000000" w14:paraId="2ACA0ECC" w14:textId="77777777">
        <w:trPr>
          <w:trHeight w:val="200"/>
          <w:tblCellSpacing w:w="15" w:type="dxa"/>
        </w:trPr>
        <w:tc>
          <w:tcPr>
            <w:tcW w:w="0" w:type="auto"/>
            <w:vAlign w:val="bottom"/>
            <w:hideMark/>
          </w:tcPr>
          <w:p w14:paraId="1D40F4F4" w14:textId="77777777" w:rsidR="00000000" w:rsidRDefault="00832D71">
            <w:pPr>
              <w:pStyle w:val="a3"/>
              <w:spacing w:before="0" w:beforeAutospacing="0" w:after="0" w:afterAutospacing="0"/>
              <w:rPr>
                <w:sz w:val="20"/>
                <w:szCs w:val="20"/>
              </w:rPr>
            </w:pPr>
            <w:r>
              <w:rPr>
                <w:sz w:val="20"/>
                <w:szCs w:val="20"/>
              </w:rPr>
              <w:t>Neil E. Scanlo</w:t>
            </w:r>
            <w:r>
              <w:rPr>
                <w:sz w:val="20"/>
                <w:szCs w:val="20"/>
              </w:rPr>
              <w:t>n</w:t>
            </w:r>
          </w:p>
        </w:tc>
        <w:tc>
          <w:tcPr>
            <w:tcW w:w="0" w:type="auto"/>
            <w:hideMark/>
          </w:tcPr>
          <w:p w14:paraId="6001F98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6CD7A9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3E3E910" w14:textId="77777777" w:rsidR="00000000" w:rsidRDefault="00832D71">
            <w:pPr>
              <w:pStyle w:val="a3"/>
              <w:spacing w:before="0" w:beforeAutospacing="0" w:after="0" w:afterAutospacing="0"/>
              <w:jc w:val="right"/>
              <w:rPr>
                <w:sz w:val="20"/>
                <w:szCs w:val="20"/>
              </w:rPr>
            </w:pPr>
            <w:r>
              <w:rPr>
                <w:sz w:val="20"/>
                <w:szCs w:val="20"/>
              </w:rPr>
              <w:t>350,00</w:t>
            </w:r>
            <w:r>
              <w:rPr>
                <w:sz w:val="20"/>
                <w:szCs w:val="20"/>
              </w:rPr>
              <w:t>0</w:t>
            </w:r>
          </w:p>
        </w:tc>
        <w:tc>
          <w:tcPr>
            <w:tcW w:w="0" w:type="auto"/>
            <w:noWrap/>
            <w:vAlign w:val="bottom"/>
            <w:hideMark/>
          </w:tcPr>
          <w:p w14:paraId="6970E33A" w14:textId="77777777" w:rsidR="00000000" w:rsidRDefault="00832D71">
            <w:pPr>
              <w:pStyle w:val="a3"/>
              <w:spacing w:before="0" w:beforeAutospacing="0" w:after="0" w:afterAutospacing="0"/>
              <w:rPr>
                <w:sz w:val="20"/>
                <w:szCs w:val="20"/>
              </w:rPr>
            </w:pPr>
            <w:r>
              <w:rPr>
                <w:sz w:val="20"/>
                <w:szCs w:val="20"/>
              </w:rPr>
              <w:t> </w:t>
            </w:r>
          </w:p>
        </w:tc>
      </w:tr>
    </w:tbl>
    <w:p w14:paraId="24A68313" w14:textId="77777777" w:rsidR="00000000" w:rsidRDefault="00832D71">
      <w:pPr>
        <w:pStyle w:val="a3"/>
        <w:spacing w:before="360" w:beforeAutospacing="0" w:after="0" w:afterAutospacing="0"/>
        <w:jc w:val="both"/>
        <w:rPr>
          <w:sz w:val="20"/>
          <w:szCs w:val="20"/>
        </w:rPr>
      </w:pPr>
      <w:r>
        <w:rPr>
          <w:b/>
          <w:bCs/>
          <w:sz w:val="20"/>
          <w:szCs w:val="20"/>
        </w:rPr>
        <w:t>Annual Cash Bonus Pla</w:t>
      </w:r>
      <w:r>
        <w:rPr>
          <w:b/>
          <w:bCs/>
          <w:sz w:val="20"/>
          <w:szCs w:val="20"/>
        </w:rPr>
        <w:t>n</w:t>
      </w:r>
    </w:p>
    <w:p w14:paraId="22FF3703" w14:textId="77777777" w:rsidR="00000000" w:rsidRDefault="00832D71">
      <w:pPr>
        <w:pStyle w:val="a3"/>
        <w:spacing w:before="120" w:beforeAutospacing="0" w:after="0" w:afterAutospacing="0"/>
        <w:ind w:firstLine="555"/>
        <w:jc w:val="both"/>
        <w:rPr>
          <w:sz w:val="20"/>
          <w:szCs w:val="20"/>
        </w:rPr>
      </w:pPr>
      <w:r>
        <w:rPr>
          <w:sz w:val="20"/>
          <w:szCs w:val="20"/>
        </w:rPr>
        <w:t>The Committee uses the annual cash bonus plan (which falls within the Securities and Exchange Commission’s definition of a “Non-Equity Incentive Plan” for the purposes of the Summary Compensation Table and otherwise) to provide a cash incentive award to ce</w:t>
      </w:r>
      <w:r>
        <w:rPr>
          <w:sz w:val="20"/>
          <w:szCs w:val="20"/>
        </w:rPr>
        <w:t>rtain hourly and salaried employees; including our named executive officers, for the attainment of EBITDA targets for the particular fiscal year, in accordance with the annual budget approved by our Board of Supervisors at the beginning of the fiscal year,</w:t>
      </w:r>
      <w:r>
        <w:rPr>
          <w:sz w:val="20"/>
          <w:szCs w:val="20"/>
        </w:rPr>
        <w:t xml:space="preserve"> and other qualitative factors</w:t>
      </w:r>
      <w:r>
        <w:rPr>
          <w:sz w:val="20"/>
          <w:szCs w:val="20"/>
        </w:rPr>
        <w:t>.</w:t>
      </w:r>
      <w:r>
        <w:rPr>
          <w:sz w:val="20"/>
          <w:szCs w:val="20"/>
        </w:rPr>
        <w:t xml:space="preserve"> </w:t>
      </w:r>
    </w:p>
    <w:p w14:paraId="33EE3007" w14:textId="77777777" w:rsidR="00000000" w:rsidRDefault="00832D71">
      <w:pPr>
        <w:pStyle w:val="a3"/>
        <w:spacing w:before="160" w:beforeAutospacing="0" w:after="0" w:afterAutospacing="0"/>
        <w:ind w:firstLine="408"/>
        <w:jc w:val="both"/>
        <w:rPr>
          <w:sz w:val="20"/>
          <w:szCs w:val="20"/>
        </w:rPr>
      </w:pPr>
      <w:r>
        <w:rPr>
          <w:sz w:val="20"/>
          <w:szCs w:val="20"/>
        </w:rPr>
        <w:t> </w:t>
      </w:r>
    </w:p>
    <w:p w14:paraId="53B55063" w14:textId="77777777" w:rsidR="00000000" w:rsidRDefault="00832D71">
      <w:pPr>
        <w:pStyle w:val="a3"/>
        <w:spacing w:before="0" w:beforeAutospacing="0" w:after="0" w:afterAutospacing="0"/>
        <w:rPr>
          <w:sz w:val="20"/>
          <w:szCs w:val="20"/>
        </w:rPr>
      </w:pPr>
      <w:r>
        <w:rPr>
          <w:sz w:val="20"/>
          <w:szCs w:val="20"/>
        </w:rPr>
        <w:t> </w:t>
      </w:r>
    </w:p>
    <w:p w14:paraId="6DD9C99E" w14:textId="77777777" w:rsidR="00000000" w:rsidRDefault="00832D71">
      <w:pPr>
        <w:pStyle w:val="a3"/>
        <w:spacing w:before="0" w:beforeAutospacing="0" w:after="0" w:afterAutospacing="0"/>
        <w:jc w:val="center"/>
        <w:rPr>
          <w:sz w:val="20"/>
          <w:szCs w:val="20"/>
        </w:rPr>
      </w:pPr>
      <w:r>
        <w:rPr>
          <w:sz w:val="20"/>
          <w:szCs w:val="20"/>
        </w:rPr>
        <w:t> </w:t>
      </w:r>
    </w:p>
    <w:p w14:paraId="5718A291" w14:textId="77777777" w:rsidR="00000000" w:rsidRDefault="00832D71">
      <w:pPr>
        <w:pStyle w:val="a3"/>
        <w:spacing w:before="0" w:beforeAutospacing="0" w:after="0" w:afterAutospacing="0"/>
        <w:jc w:val="center"/>
        <w:rPr>
          <w:sz w:val="20"/>
          <w:szCs w:val="20"/>
        </w:rPr>
      </w:pPr>
      <w:r>
        <w:rPr>
          <w:sz w:val="20"/>
          <w:szCs w:val="20"/>
        </w:rPr>
        <w:t>5</w:t>
      </w:r>
      <w:r>
        <w:rPr>
          <w:sz w:val="20"/>
          <w:szCs w:val="20"/>
        </w:rPr>
        <w:t>9</w:t>
      </w:r>
    </w:p>
    <w:p w14:paraId="67216B5E" w14:textId="77777777" w:rsidR="00000000" w:rsidRDefault="00832D71">
      <w:pPr>
        <w:rPr>
          <w:rFonts w:eastAsia="Times New Roman"/>
        </w:rPr>
      </w:pPr>
      <w:r>
        <w:rPr>
          <w:rFonts w:eastAsia="Times New Roman"/>
        </w:rPr>
        <w:pict w14:anchorId="1A386C77">
          <v:rect id="_x0000_i1086" style="width:0;height:1.5pt" o:hralign="center" o:hrstd="t" o:hr="t" fillcolor="#a0a0a0" stroked="f"/>
        </w:pict>
      </w:r>
    </w:p>
    <w:p w14:paraId="0820D50F"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6E9A671B" w14:textId="77777777" w:rsidR="00000000" w:rsidRDefault="00832D71">
      <w:pPr>
        <w:pStyle w:val="a3"/>
        <w:spacing w:before="0" w:beforeAutospacing="0" w:after="0" w:afterAutospacing="0"/>
        <w:rPr>
          <w:sz w:val="20"/>
          <w:szCs w:val="20"/>
        </w:rPr>
      </w:pPr>
      <w:r>
        <w:rPr>
          <w:i/>
          <w:iCs/>
          <w:sz w:val="20"/>
          <w:szCs w:val="20"/>
        </w:rPr>
        <w:t>Components of Annual Cash Bonus Pla</w:t>
      </w:r>
      <w:r>
        <w:rPr>
          <w:i/>
          <w:iCs/>
          <w:sz w:val="20"/>
          <w:szCs w:val="20"/>
        </w:rPr>
        <w:t>n</w:t>
      </w:r>
    </w:p>
    <w:p w14:paraId="34725BAA" w14:textId="77777777" w:rsidR="00000000" w:rsidRDefault="00832D71">
      <w:pPr>
        <w:pStyle w:val="a3"/>
        <w:spacing w:before="120" w:beforeAutospacing="0" w:after="0" w:afterAutospacing="0"/>
        <w:rPr>
          <w:sz w:val="20"/>
          <w:szCs w:val="20"/>
        </w:rPr>
      </w:pPr>
      <w:r>
        <w:rPr>
          <w:i/>
          <w:iCs/>
          <w:sz w:val="20"/>
          <w:szCs w:val="20"/>
        </w:rPr>
        <w:t>Definition</w:t>
      </w:r>
      <w:r>
        <w:rPr>
          <w:i/>
          <w:iCs/>
          <w:sz w:val="20"/>
          <w:szCs w:val="20"/>
        </w:rPr>
        <w:t>s</w:t>
      </w:r>
    </w:p>
    <w:p w14:paraId="22334F1E" w14:textId="77777777" w:rsidR="00000000" w:rsidRDefault="00832D71">
      <w:pPr>
        <w:pStyle w:val="a3"/>
        <w:spacing w:before="120" w:beforeAutospacing="0" w:after="0" w:afterAutospacing="0"/>
        <w:ind w:firstLine="555"/>
        <w:jc w:val="both"/>
        <w:rPr>
          <w:sz w:val="20"/>
          <w:szCs w:val="20"/>
        </w:rPr>
      </w:pPr>
      <w:r>
        <w:rPr>
          <w:sz w:val="20"/>
          <w:szCs w:val="20"/>
        </w:rPr>
        <w:t>Actual EBITDA: represents net income before deducting interest expense, income taxes, depreciation and amortizati</w:t>
      </w:r>
      <w:r>
        <w:rPr>
          <w:sz w:val="20"/>
          <w:szCs w:val="20"/>
        </w:rPr>
        <w:t>on</w:t>
      </w:r>
      <w:r>
        <w:rPr>
          <w:sz w:val="20"/>
          <w:szCs w:val="20"/>
        </w:rPr>
        <w:t>.</w:t>
      </w:r>
    </w:p>
    <w:p w14:paraId="256EFAE1" w14:textId="77777777" w:rsidR="00000000" w:rsidRDefault="00832D71">
      <w:pPr>
        <w:pStyle w:val="a3"/>
        <w:spacing w:before="240" w:beforeAutospacing="0" w:after="0" w:afterAutospacing="0"/>
        <w:ind w:firstLine="555"/>
        <w:jc w:val="both"/>
        <w:rPr>
          <w:sz w:val="20"/>
          <w:szCs w:val="20"/>
        </w:rPr>
      </w:pPr>
      <w:r>
        <w:rPr>
          <w:sz w:val="20"/>
          <w:szCs w:val="20"/>
        </w:rPr>
        <w:t>Actual Adjusted EBITDA: represents Actual EBITDA adjusted for various items, including, but not limited to: unrealized non-cash gains or losses on changes in the fair value of derivative instruments; gains or losses on sale of businesses; acquisition a</w:t>
      </w:r>
      <w:r>
        <w:rPr>
          <w:sz w:val="20"/>
          <w:szCs w:val="20"/>
        </w:rPr>
        <w:t>nd integration-related costs; multi-employer pension plan withdrawal charges; pension settlement charges; and losses on debt extinguishment</w:t>
      </w:r>
      <w:r>
        <w:rPr>
          <w:sz w:val="20"/>
          <w:szCs w:val="20"/>
        </w:rPr>
        <w:t>.</w:t>
      </w:r>
      <w:r>
        <w:rPr>
          <w:sz w:val="20"/>
          <w:szCs w:val="20"/>
        </w:rPr>
        <w:t xml:space="preserve"> </w:t>
      </w:r>
    </w:p>
    <w:p w14:paraId="2D9B606F" w14:textId="77777777" w:rsidR="00000000" w:rsidRDefault="00832D71">
      <w:pPr>
        <w:pStyle w:val="a3"/>
        <w:spacing w:before="240" w:beforeAutospacing="0" w:after="0" w:afterAutospacing="0"/>
        <w:ind w:firstLine="555"/>
        <w:jc w:val="both"/>
        <w:rPr>
          <w:sz w:val="20"/>
          <w:szCs w:val="20"/>
        </w:rPr>
      </w:pPr>
      <w:r>
        <w:rPr>
          <w:sz w:val="20"/>
          <w:szCs w:val="20"/>
        </w:rPr>
        <w:t>Budgeted EBITDA: represents our target budgeted EBITDA developed using a bottom-up process factoring in reasonable</w:t>
      </w:r>
      <w:r>
        <w:rPr>
          <w:sz w:val="20"/>
          <w:szCs w:val="20"/>
        </w:rPr>
        <w:t xml:space="preserve"> growth targets from the prior year’s performance, while at the same time attempting to reach a balance between a target that is reasonably achievable, yet not assured</w:t>
      </w:r>
      <w:r>
        <w:rPr>
          <w:sz w:val="20"/>
          <w:szCs w:val="20"/>
        </w:rPr>
        <w:t>.</w:t>
      </w:r>
    </w:p>
    <w:p w14:paraId="3CCF3BDF" w14:textId="77777777" w:rsidR="00000000" w:rsidRDefault="00832D71">
      <w:pPr>
        <w:pStyle w:val="a3"/>
        <w:spacing w:before="240" w:beforeAutospacing="0" w:after="0" w:afterAutospacing="0"/>
        <w:ind w:firstLine="555"/>
        <w:jc w:val="both"/>
        <w:rPr>
          <w:sz w:val="20"/>
          <w:szCs w:val="20"/>
        </w:rPr>
      </w:pPr>
      <w:r>
        <w:rPr>
          <w:sz w:val="20"/>
          <w:szCs w:val="20"/>
        </w:rPr>
        <w:t>The annual cash bonus plan contains two separate measurement components as follows</w:t>
      </w:r>
      <w:r>
        <w:rPr>
          <w:sz w:val="20"/>
          <w:szCs w:val="20"/>
        </w:rPr>
        <w:t>:</w:t>
      </w:r>
    </w:p>
    <w:p w14:paraId="7538A0AB" w14:textId="77777777" w:rsidR="00000000" w:rsidRDefault="00832D71">
      <w:pPr>
        <w:jc w:val="both"/>
        <w:divId w:val="419061238"/>
        <w:rPr>
          <w:rFonts w:eastAsia="Times New Roman"/>
        </w:rPr>
      </w:pPr>
      <w:r>
        <w:rPr>
          <w:rFonts w:eastAsia="Times New Roman"/>
          <w:sz w:val="20"/>
          <w:szCs w:val="20"/>
        </w:rPr>
        <w:t>•</w:t>
      </w:r>
    </w:p>
    <w:p w14:paraId="1878A4FA" w14:textId="77777777" w:rsidR="00000000" w:rsidRDefault="00832D71">
      <w:pPr>
        <w:jc w:val="both"/>
        <w:divId w:val="1269696386"/>
        <w:rPr>
          <w:rFonts w:eastAsia="Times New Roman"/>
        </w:rPr>
      </w:pPr>
      <w:r>
        <w:rPr>
          <w:rFonts w:eastAsia="Times New Roman"/>
          <w:sz w:val="20"/>
          <w:szCs w:val="20"/>
        </w:rPr>
        <w:t>P</w:t>
      </w:r>
      <w:r>
        <w:rPr>
          <w:rFonts w:eastAsia="Times New Roman"/>
          <w:sz w:val="20"/>
          <w:szCs w:val="20"/>
        </w:rPr>
        <w:t>erformance-based component in which Actual Adjusted EBITDA is compared to Budgeted EBITDA; and</w:t>
      </w:r>
      <w:r>
        <w:rPr>
          <w:rFonts w:eastAsia="Times New Roman"/>
          <w:sz w:val="20"/>
          <w:szCs w:val="20"/>
        </w:rPr>
        <w:t xml:space="preserve"> </w:t>
      </w:r>
    </w:p>
    <w:p w14:paraId="675DD12D" w14:textId="77777777" w:rsidR="00000000" w:rsidRDefault="00832D71">
      <w:pPr>
        <w:jc w:val="both"/>
        <w:divId w:val="1843664666"/>
        <w:rPr>
          <w:rFonts w:eastAsia="Times New Roman"/>
        </w:rPr>
      </w:pPr>
      <w:r>
        <w:rPr>
          <w:rFonts w:eastAsia="Times New Roman"/>
          <w:sz w:val="20"/>
          <w:szCs w:val="20"/>
        </w:rPr>
        <w:t>•</w:t>
      </w:r>
    </w:p>
    <w:p w14:paraId="152E9AB2" w14:textId="77777777" w:rsidR="00000000" w:rsidRDefault="00832D71">
      <w:pPr>
        <w:jc w:val="both"/>
        <w:divId w:val="1466892734"/>
        <w:rPr>
          <w:rFonts w:eastAsia="Times New Roman"/>
        </w:rPr>
      </w:pPr>
      <w:r>
        <w:rPr>
          <w:rFonts w:eastAsia="Times New Roman"/>
          <w:sz w:val="20"/>
          <w:szCs w:val="20"/>
        </w:rPr>
        <w:t>Scorecard-based component in which up to 35% of the target cash bonus may be awarded by the Comm</w:t>
      </w:r>
      <w:r>
        <w:rPr>
          <w:rFonts w:eastAsia="Times New Roman"/>
          <w:sz w:val="20"/>
          <w:szCs w:val="20"/>
        </w:rPr>
        <w:t>ittee, as an enhancement to the performance-based component, based on their evaluation of several qualitative scorecard items that include the following: key safety statistics compared to the prior year, customer base trends compared to the prior year, adv</w:t>
      </w:r>
      <w:r>
        <w:rPr>
          <w:rFonts w:eastAsia="Times New Roman"/>
          <w:sz w:val="20"/>
          <w:szCs w:val="20"/>
        </w:rPr>
        <w:t>ancement of the</w:t>
      </w:r>
      <w:r>
        <w:rPr>
          <w:rFonts w:eastAsia="Times New Roman"/>
          <w:sz w:val="20"/>
          <w:szCs w:val="20"/>
        </w:rPr>
        <w:t xml:space="preserve"> </w:t>
      </w:r>
      <w:r>
        <w:rPr>
          <w:rFonts w:eastAsia="Times New Roman"/>
          <w:b/>
          <w:bCs/>
          <w:i/>
          <w:iCs/>
          <w:sz w:val="20"/>
          <w:szCs w:val="20"/>
        </w:rPr>
        <w:t>Go Green with Suburban Propan</w:t>
      </w:r>
      <w:r>
        <w:rPr>
          <w:rFonts w:eastAsia="Times New Roman"/>
          <w:b/>
          <w:bCs/>
          <w:i/>
          <w:iCs/>
          <w:sz w:val="20"/>
          <w:szCs w:val="20"/>
        </w:rPr>
        <w:t>e</w:t>
      </w:r>
      <w:r>
        <w:rPr>
          <w:rFonts w:eastAsia="Times New Roman"/>
          <w:sz w:val="20"/>
          <w:szCs w:val="20"/>
        </w:rPr>
        <w:t xml:space="preserve"> corporate pillar and sustainability initiatives, and, in the case of our named executive officers, achievement of corporate and individual goals. The Committee uses its discretion regarding how much weight to </w:t>
      </w:r>
      <w:r>
        <w:rPr>
          <w:rFonts w:eastAsia="Times New Roman"/>
          <w:sz w:val="20"/>
          <w:szCs w:val="20"/>
        </w:rPr>
        <w:t>place on any one, or several, of the qualitative scorecard items in determining the amount, if any, of the scorecard-based component to award in any fiscal year</w:t>
      </w:r>
      <w:r>
        <w:rPr>
          <w:rFonts w:eastAsia="Times New Roman"/>
          <w:sz w:val="20"/>
          <w:szCs w:val="20"/>
        </w:rPr>
        <w:t>.</w:t>
      </w:r>
    </w:p>
    <w:p w14:paraId="37F14EFE" w14:textId="77777777" w:rsidR="00000000" w:rsidRDefault="00832D71">
      <w:pPr>
        <w:pStyle w:val="a3"/>
        <w:spacing w:before="0" w:beforeAutospacing="0" w:after="0" w:afterAutospacing="0"/>
        <w:jc w:val="center"/>
        <w:rPr>
          <w:sz w:val="20"/>
          <w:szCs w:val="20"/>
        </w:rPr>
      </w:pPr>
      <w:r>
        <w:rPr>
          <w:sz w:val="20"/>
          <w:szCs w:val="20"/>
        </w:rPr>
        <w:t> </w:t>
      </w:r>
    </w:p>
    <w:p w14:paraId="3F70462F" w14:textId="77777777" w:rsidR="00000000" w:rsidRDefault="00832D71">
      <w:pPr>
        <w:pStyle w:val="a3"/>
        <w:spacing w:before="0" w:beforeAutospacing="0" w:after="0" w:afterAutospacing="0"/>
        <w:jc w:val="center"/>
        <w:rPr>
          <w:sz w:val="20"/>
          <w:szCs w:val="20"/>
        </w:rPr>
      </w:pPr>
      <w:r>
        <w:rPr>
          <w:sz w:val="20"/>
          <w:szCs w:val="20"/>
        </w:rPr>
        <w:t>6</w:t>
      </w:r>
      <w:r>
        <w:rPr>
          <w:sz w:val="20"/>
          <w:szCs w:val="20"/>
        </w:rPr>
        <w:t>0</w:t>
      </w:r>
    </w:p>
    <w:p w14:paraId="51413FBB" w14:textId="77777777" w:rsidR="00000000" w:rsidRDefault="00832D71">
      <w:pPr>
        <w:rPr>
          <w:rFonts w:eastAsia="Times New Roman"/>
        </w:rPr>
      </w:pPr>
      <w:r>
        <w:rPr>
          <w:rFonts w:eastAsia="Times New Roman"/>
        </w:rPr>
        <w:pict w14:anchorId="01A5DB0A">
          <v:rect id="_x0000_i1087" style="width:0;height:1.5pt" o:hralign="center" o:hrstd="t" o:hr="t" fillcolor="#a0a0a0" stroked="f"/>
        </w:pict>
      </w:r>
    </w:p>
    <w:p w14:paraId="4F36CDC9"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w:t>
        </w:r>
        <w:r>
          <w:rPr>
            <w:rStyle w:val="a4"/>
            <w:sz w:val="18"/>
            <w:szCs w:val="18"/>
          </w:rPr>
          <w:t>tent</w:t>
        </w:r>
        <w:r>
          <w:rPr>
            <w:rStyle w:val="a4"/>
            <w:sz w:val="18"/>
            <w:szCs w:val="18"/>
          </w:rPr>
          <w:t>s</w:t>
        </w:r>
      </w:hyperlink>
    </w:p>
    <w:p w14:paraId="04818498" w14:textId="77777777" w:rsidR="00000000" w:rsidRDefault="00832D71">
      <w:pPr>
        <w:pStyle w:val="a3"/>
        <w:spacing w:before="120" w:beforeAutospacing="0" w:after="0" w:afterAutospacing="0"/>
        <w:ind w:firstLine="555"/>
        <w:jc w:val="both"/>
        <w:rPr>
          <w:sz w:val="20"/>
          <w:szCs w:val="20"/>
        </w:rPr>
      </w:pPr>
      <w:r>
        <w:rPr>
          <w:sz w:val="20"/>
          <w:szCs w:val="20"/>
        </w:rPr>
        <w:t>The following table sets forth the percentages of target cash bonuses participants will earn under the performance-based component of the annual cash bonus plan at various levels of Adjusted EBITDA in relation to Budgeted EBITDA</w:t>
      </w:r>
      <w:r>
        <w:rPr>
          <w:sz w:val="20"/>
          <w:szCs w:val="20"/>
        </w:rPr>
        <w:t>:</w:t>
      </w:r>
    </w:p>
    <w:p w14:paraId="77C87642" w14:textId="77777777" w:rsidR="00000000" w:rsidRDefault="00832D71">
      <w:pPr>
        <w:pStyle w:val="a3"/>
        <w:spacing w:before="120" w:beforeAutospacing="0" w:after="0" w:afterAutospacing="0"/>
        <w:ind w:firstLine="555"/>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1471"/>
        <w:gridCol w:w="100"/>
        <w:gridCol w:w="111"/>
        <w:gridCol w:w="2119"/>
        <w:gridCol w:w="227"/>
        <w:gridCol w:w="110"/>
        <w:gridCol w:w="111"/>
        <w:gridCol w:w="2039"/>
        <w:gridCol w:w="227"/>
        <w:gridCol w:w="130"/>
      </w:tblGrid>
      <w:tr w:rsidR="00000000" w14:paraId="0158A180" w14:textId="77777777">
        <w:trPr>
          <w:tblCellSpacing w:w="15" w:type="dxa"/>
        </w:trPr>
        <w:tc>
          <w:tcPr>
            <w:tcW w:w="1175" w:type="pct"/>
            <w:vAlign w:val="center"/>
            <w:hideMark/>
          </w:tcPr>
          <w:p w14:paraId="606DC746" w14:textId="77777777" w:rsidR="00000000" w:rsidRDefault="00832D71">
            <w:pPr>
              <w:rPr>
                <w:sz w:val="20"/>
                <w:szCs w:val="20"/>
              </w:rPr>
            </w:pPr>
          </w:p>
        </w:tc>
        <w:tc>
          <w:tcPr>
            <w:tcW w:w="70" w:type="pct"/>
            <w:vAlign w:val="center"/>
            <w:hideMark/>
          </w:tcPr>
          <w:p w14:paraId="6E82A7A9" w14:textId="77777777" w:rsidR="00000000" w:rsidRDefault="00832D71">
            <w:pPr>
              <w:rPr>
                <w:rFonts w:eastAsia="Times New Roman"/>
                <w:sz w:val="20"/>
                <w:szCs w:val="20"/>
              </w:rPr>
            </w:pPr>
          </w:p>
        </w:tc>
        <w:tc>
          <w:tcPr>
            <w:tcW w:w="50" w:type="pct"/>
            <w:vAlign w:val="center"/>
            <w:hideMark/>
          </w:tcPr>
          <w:p w14:paraId="2566F96E" w14:textId="77777777" w:rsidR="00000000" w:rsidRDefault="00832D71">
            <w:pPr>
              <w:rPr>
                <w:rFonts w:eastAsia="Times New Roman"/>
                <w:sz w:val="20"/>
                <w:szCs w:val="20"/>
              </w:rPr>
            </w:pPr>
          </w:p>
        </w:tc>
        <w:tc>
          <w:tcPr>
            <w:tcW w:w="1725" w:type="pct"/>
            <w:vAlign w:val="center"/>
            <w:hideMark/>
          </w:tcPr>
          <w:p w14:paraId="7A7BAE53" w14:textId="77777777" w:rsidR="00000000" w:rsidRDefault="00832D71">
            <w:pPr>
              <w:rPr>
                <w:rFonts w:eastAsia="Times New Roman"/>
                <w:sz w:val="20"/>
                <w:szCs w:val="20"/>
              </w:rPr>
            </w:pPr>
          </w:p>
        </w:tc>
        <w:tc>
          <w:tcPr>
            <w:tcW w:w="50" w:type="pct"/>
            <w:vAlign w:val="center"/>
            <w:hideMark/>
          </w:tcPr>
          <w:p w14:paraId="75DB9D49" w14:textId="77777777" w:rsidR="00000000" w:rsidRDefault="00832D71">
            <w:pPr>
              <w:rPr>
                <w:rFonts w:eastAsia="Times New Roman"/>
                <w:sz w:val="20"/>
                <w:szCs w:val="20"/>
              </w:rPr>
            </w:pPr>
          </w:p>
        </w:tc>
        <w:tc>
          <w:tcPr>
            <w:tcW w:w="70" w:type="pct"/>
            <w:vAlign w:val="center"/>
            <w:hideMark/>
          </w:tcPr>
          <w:p w14:paraId="052DF288" w14:textId="77777777" w:rsidR="00000000" w:rsidRDefault="00832D71">
            <w:pPr>
              <w:rPr>
                <w:rFonts w:eastAsia="Times New Roman"/>
                <w:sz w:val="20"/>
                <w:szCs w:val="20"/>
              </w:rPr>
            </w:pPr>
          </w:p>
        </w:tc>
        <w:tc>
          <w:tcPr>
            <w:tcW w:w="50" w:type="pct"/>
            <w:vAlign w:val="center"/>
            <w:hideMark/>
          </w:tcPr>
          <w:p w14:paraId="4EBE0C5E" w14:textId="77777777" w:rsidR="00000000" w:rsidRDefault="00832D71">
            <w:pPr>
              <w:rPr>
                <w:rFonts w:eastAsia="Times New Roman"/>
                <w:sz w:val="20"/>
                <w:szCs w:val="20"/>
              </w:rPr>
            </w:pPr>
          </w:p>
        </w:tc>
        <w:tc>
          <w:tcPr>
            <w:tcW w:w="1669" w:type="pct"/>
            <w:vAlign w:val="center"/>
            <w:hideMark/>
          </w:tcPr>
          <w:p w14:paraId="6BED5E7E" w14:textId="77777777" w:rsidR="00000000" w:rsidRDefault="00832D71">
            <w:pPr>
              <w:rPr>
                <w:rFonts w:eastAsia="Times New Roman"/>
                <w:sz w:val="20"/>
                <w:szCs w:val="20"/>
              </w:rPr>
            </w:pPr>
          </w:p>
        </w:tc>
        <w:tc>
          <w:tcPr>
            <w:tcW w:w="50" w:type="pct"/>
            <w:vAlign w:val="center"/>
            <w:hideMark/>
          </w:tcPr>
          <w:p w14:paraId="0C4EFAA4" w14:textId="77777777" w:rsidR="00000000" w:rsidRDefault="00832D71">
            <w:pPr>
              <w:rPr>
                <w:rFonts w:eastAsia="Times New Roman"/>
                <w:sz w:val="20"/>
                <w:szCs w:val="20"/>
              </w:rPr>
            </w:pPr>
          </w:p>
        </w:tc>
        <w:tc>
          <w:tcPr>
            <w:tcW w:w="88" w:type="pct"/>
            <w:vAlign w:val="center"/>
            <w:hideMark/>
          </w:tcPr>
          <w:p w14:paraId="4CF22A96" w14:textId="77777777" w:rsidR="00000000" w:rsidRDefault="00832D71">
            <w:pPr>
              <w:rPr>
                <w:rFonts w:eastAsia="Times New Roman"/>
                <w:sz w:val="20"/>
                <w:szCs w:val="20"/>
              </w:rPr>
            </w:pPr>
          </w:p>
        </w:tc>
      </w:tr>
      <w:tr w:rsidR="00000000" w14:paraId="4CC5F852" w14:textId="77777777">
        <w:trPr>
          <w:trHeight w:val="160"/>
          <w:tblCellSpacing w:w="15" w:type="dxa"/>
        </w:trPr>
        <w:tc>
          <w:tcPr>
            <w:tcW w:w="0" w:type="auto"/>
            <w:gridSpan w:val="10"/>
            <w:vAlign w:val="center"/>
            <w:hideMark/>
          </w:tcPr>
          <w:p w14:paraId="40385948" w14:textId="77777777" w:rsidR="00000000" w:rsidRDefault="00832D71">
            <w:pPr>
              <w:pStyle w:val="a3"/>
              <w:spacing w:before="0" w:beforeAutospacing="0" w:after="0" w:afterAutospacing="0"/>
              <w:jc w:val="center"/>
              <w:rPr>
                <w:sz w:val="16"/>
                <w:szCs w:val="16"/>
              </w:rPr>
            </w:pPr>
            <w:r>
              <w:rPr>
                <w:b/>
                <w:bCs/>
                <w:sz w:val="16"/>
                <w:szCs w:val="16"/>
              </w:rPr>
              <w:t>Performance-Based Componen</w:t>
            </w:r>
            <w:r>
              <w:rPr>
                <w:b/>
                <w:bCs/>
                <w:sz w:val="16"/>
                <w:szCs w:val="16"/>
              </w:rPr>
              <w:t>t</w:t>
            </w:r>
          </w:p>
        </w:tc>
      </w:tr>
      <w:tr w:rsidR="00000000" w14:paraId="43414F59" w14:textId="77777777">
        <w:trPr>
          <w:trHeight w:val="160"/>
          <w:tblCellSpacing w:w="15" w:type="dxa"/>
        </w:trPr>
        <w:tc>
          <w:tcPr>
            <w:tcW w:w="0" w:type="auto"/>
            <w:vAlign w:val="bottom"/>
            <w:hideMark/>
          </w:tcPr>
          <w:p w14:paraId="61D44CEF"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898634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925C806" w14:textId="77777777" w:rsidR="00000000" w:rsidRDefault="00832D71">
            <w:pPr>
              <w:pStyle w:val="a3"/>
              <w:spacing w:before="0" w:beforeAutospacing="0" w:after="0" w:afterAutospacing="0"/>
              <w:jc w:val="center"/>
              <w:rPr>
                <w:sz w:val="16"/>
                <w:szCs w:val="16"/>
              </w:rPr>
            </w:pPr>
            <w:r>
              <w:rPr>
                <w:b/>
                <w:bCs/>
                <w:sz w:val="16"/>
                <w:szCs w:val="16"/>
              </w:rPr>
              <w:t>Actual Adjusted EBITDA as a % of Budgeted EBITD</w:t>
            </w:r>
            <w:r>
              <w:rPr>
                <w:b/>
                <w:bCs/>
                <w:sz w:val="16"/>
                <w:szCs w:val="16"/>
              </w:rPr>
              <w:t>A</w:t>
            </w:r>
          </w:p>
        </w:tc>
        <w:tc>
          <w:tcPr>
            <w:tcW w:w="0" w:type="auto"/>
            <w:vAlign w:val="bottom"/>
            <w:hideMark/>
          </w:tcPr>
          <w:p w14:paraId="39778C9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A591A74"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758A451" w14:textId="77777777" w:rsidR="00000000" w:rsidRDefault="00832D71">
            <w:pPr>
              <w:pStyle w:val="a3"/>
              <w:spacing w:before="0" w:beforeAutospacing="0" w:after="0" w:afterAutospacing="0"/>
              <w:jc w:val="center"/>
              <w:rPr>
                <w:sz w:val="16"/>
                <w:szCs w:val="16"/>
              </w:rPr>
            </w:pPr>
            <w:r>
              <w:rPr>
                <w:b/>
                <w:bCs/>
                <w:sz w:val="16"/>
                <w:szCs w:val="16"/>
              </w:rPr>
              <w:t>% of Target Cash Bonus Earne</w:t>
            </w:r>
            <w:r>
              <w:rPr>
                <w:b/>
                <w:bCs/>
                <w:sz w:val="16"/>
                <w:szCs w:val="16"/>
              </w:rPr>
              <w:t>d</w:t>
            </w:r>
          </w:p>
        </w:tc>
        <w:tc>
          <w:tcPr>
            <w:tcW w:w="0" w:type="auto"/>
            <w:vAlign w:val="bottom"/>
            <w:hideMark/>
          </w:tcPr>
          <w:p w14:paraId="6EA47889"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6B11A0E" w14:textId="77777777" w:rsidR="00000000" w:rsidRDefault="00832D71">
            <w:pPr>
              <w:pStyle w:val="a3"/>
              <w:spacing w:before="0" w:beforeAutospacing="0" w:after="0" w:afterAutospacing="0"/>
              <w:rPr>
                <w:sz w:val="16"/>
                <w:szCs w:val="16"/>
              </w:rPr>
            </w:pPr>
            <w:r>
              <w:rPr>
                <w:sz w:val="16"/>
                <w:szCs w:val="16"/>
              </w:rPr>
              <w:t> </w:t>
            </w:r>
          </w:p>
        </w:tc>
      </w:tr>
      <w:tr w:rsidR="00000000" w14:paraId="4682D57A" w14:textId="77777777">
        <w:trPr>
          <w:trHeight w:val="200"/>
          <w:tblCellSpacing w:w="15" w:type="dxa"/>
        </w:trPr>
        <w:tc>
          <w:tcPr>
            <w:tcW w:w="0" w:type="auto"/>
            <w:hideMark/>
          </w:tcPr>
          <w:p w14:paraId="3B8DCF04" w14:textId="77777777" w:rsidR="00000000" w:rsidRDefault="00832D71">
            <w:pPr>
              <w:pStyle w:val="a3"/>
              <w:spacing w:before="0" w:beforeAutospacing="0" w:after="0" w:afterAutospacing="0"/>
              <w:jc w:val="right"/>
              <w:rPr>
                <w:sz w:val="16"/>
                <w:szCs w:val="16"/>
              </w:rPr>
            </w:pPr>
            <w:r>
              <w:rPr>
                <w:b/>
                <w:bCs/>
                <w:sz w:val="16"/>
                <w:szCs w:val="16"/>
              </w:rPr>
              <w:t>Maximu</w:t>
            </w:r>
            <w:r>
              <w:rPr>
                <w:b/>
                <w:bCs/>
                <w:sz w:val="16"/>
                <w:szCs w:val="16"/>
              </w:rPr>
              <w:t>m</w:t>
            </w:r>
          </w:p>
        </w:tc>
        <w:tc>
          <w:tcPr>
            <w:tcW w:w="0" w:type="auto"/>
            <w:hideMark/>
          </w:tcPr>
          <w:p w14:paraId="4A4BA372" w14:textId="77777777" w:rsidR="00000000" w:rsidRDefault="00832D71">
            <w:pPr>
              <w:pStyle w:val="a3"/>
              <w:spacing w:before="0" w:beforeAutospacing="0" w:after="0" w:afterAutospacing="0"/>
              <w:jc w:val="right"/>
              <w:rPr>
                <w:sz w:val="16"/>
                <w:szCs w:val="16"/>
              </w:rPr>
            </w:pPr>
            <w:r>
              <w:rPr>
                <w:sz w:val="16"/>
                <w:szCs w:val="16"/>
              </w:rPr>
              <w:t> </w:t>
            </w:r>
          </w:p>
        </w:tc>
        <w:tc>
          <w:tcPr>
            <w:tcW w:w="0" w:type="auto"/>
            <w:gridSpan w:val="2"/>
            <w:vAlign w:val="bottom"/>
            <w:hideMark/>
          </w:tcPr>
          <w:p w14:paraId="52CA21D5" w14:textId="77777777" w:rsidR="00000000" w:rsidRDefault="00832D71">
            <w:pPr>
              <w:pStyle w:val="a3"/>
              <w:spacing w:before="0" w:beforeAutospacing="0" w:after="0" w:afterAutospacing="0"/>
              <w:jc w:val="right"/>
              <w:rPr>
                <w:sz w:val="20"/>
                <w:szCs w:val="20"/>
              </w:rPr>
            </w:pPr>
            <w:r>
              <w:rPr>
                <w:sz w:val="20"/>
                <w:szCs w:val="20"/>
              </w:rPr>
              <w:t>120% and abov</w:t>
            </w:r>
            <w:r>
              <w:rPr>
                <w:sz w:val="20"/>
                <w:szCs w:val="20"/>
              </w:rPr>
              <w:t>e</w:t>
            </w:r>
          </w:p>
        </w:tc>
        <w:tc>
          <w:tcPr>
            <w:tcW w:w="0" w:type="auto"/>
            <w:vAlign w:val="bottom"/>
            <w:hideMark/>
          </w:tcPr>
          <w:p w14:paraId="2F80C4E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A0F2B5B"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32FF46E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6500E12" w14:textId="77777777" w:rsidR="00000000" w:rsidRDefault="00832D71">
            <w:pPr>
              <w:pStyle w:val="a3"/>
              <w:spacing w:before="0" w:beforeAutospacing="0" w:after="0" w:afterAutospacing="0"/>
              <w:jc w:val="right"/>
              <w:rPr>
                <w:sz w:val="20"/>
                <w:szCs w:val="20"/>
              </w:rPr>
            </w:pPr>
            <w:r>
              <w:rPr>
                <w:sz w:val="20"/>
                <w:szCs w:val="20"/>
              </w:rPr>
              <w:t>12</w:t>
            </w:r>
            <w:r>
              <w:rPr>
                <w:sz w:val="20"/>
                <w:szCs w:val="20"/>
              </w:rPr>
              <w:t>0</w:t>
            </w:r>
          </w:p>
        </w:tc>
        <w:tc>
          <w:tcPr>
            <w:tcW w:w="0" w:type="auto"/>
            <w:noWrap/>
            <w:vAlign w:val="bottom"/>
            <w:hideMark/>
          </w:tcPr>
          <w:p w14:paraId="48388F9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CE8B55F" w14:textId="77777777" w:rsidR="00000000" w:rsidRDefault="00832D71">
            <w:pPr>
              <w:pStyle w:val="a3"/>
              <w:spacing w:before="0" w:beforeAutospacing="0" w:after="0" w:afterAutospacing="0"/>
              <w:rPr>
                <w:sz w:val="22"/>
                <w:szCs w:val="22"/>
              </w:rPr>
            </w:pPr>
            <w:r>
              <w:rPr>
                <w:sz w:val="22"/>
                <w:szCs w:val="22"/>
              </w:rPr>
              <w:t> </w:t>
            </w:r>
          </w:p>
        </w:tc>
      </w:tr>
      <w:tr w:rsidR="00000000" w14:paraId="0AEA7D5A" w14:textId="77777777">
        <w:trPr>
          <w:trHeight w:val="200"/>
          <w:tblCellSpacing w:w="15" w:type="dxa"/>
        </w:trPr>
        <w:tc>
          <w:tcPr>
            <w:tcW w:w="0" w:type="auto"/>
            <w:hideMark/>
          </w:tcPr>
          <w:p w14:paraId="24448C9A"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74D2BD45"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53B3EB4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8564D06"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9</w:t>
            </w:r>
          </w:p>
        </w:tc>
        <w:tc>
          <w:tcPr>
            <w:tcW w:w="0" w:type="auto"/>
            <w:noWrap/>
            <w:hideMark/>
          </w:tcPr>
          <w:p w14:paraId="61D5C288"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6094D610"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48E50AE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5E08A74"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9</w:t>
            </w:r>
          </w:p>
        </w:tc>
        <w:tc>
          <w:tcPr>
            <w:tcW w:w="0" w:type="auto"/>
            <w:noWrap/>
            <w:hideMark/>
          </w:tcPr>
          <w:p w14:paraId="622C36A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5391BC0" w14:textId="77777777" w:rsidR="00000000" w:rsidRDefault="00832D71">
            <w:pPr>
              <w:pStyle w:val="a3"/>
              <w:spacing w:before="0" w:beforeAutospacing="0" w:after="0" w:afterAutospacing="0"/>
              <w:rPr>
                <w:sz w:val="22"/>
                <w:szCs w:val="22"/>
              </w:rPr>
            </w:pPr>
            <w:r>
              <w:rPr>
                <w:sz w:val="22"/>
                <w:szCs w:val="22"/>
              </w:rPr>
              <w:t> </w:t>
            </w:r>
          </w:p>
        </w:tc>
      </w:tr>
      <w:tr w:rsidR="00000000" w14:paraId="582767AD" w14:textId="77777777">
        <w:trPr>
          <w:trHeight w:val="200"/>
          <w:tblCellSpacing w:w="15" w:type="dxa"/>
        </w:trPr>
        <w:tc>
          <w:tcPr>
            <w:tcW w:w="0" w:type="auto"/>
            <w:hideMark/>
          </w:tcPr>
          <w:p w14:paraId="60D7AF0C"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D6358E4"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7756147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C5D14AB"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8</w:t>
            </w:r>
          </w:p>
        </w:tc>
        <w:tc>
          <w:tcPr>
            <w:tcW w:w="0" w:type="auto"/>
            <w:noWrap/>
            <w:hideMark/>
          </w:tcPr>
          <w:p w14:paraId="59EEB75D"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5FD636C"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54DBEAA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3C58F90"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8</w:t>
            </w:r>
          </w:p>
        </w:tc>
        <w:tc>
          <w:tcPr>
            <w:tcW w:w="0" w:type="auto"/>
            <w:noWrap/>
            <w:hideMark/>
          </w:tcPr>
          <w:p w14:paraId="1D21561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2EF79FB" w14:textId="77777777" w:rsidR="00000000" w:rsidRDefault="00832D71">
            <w:pPr>
              <w:pStyle w:val="a3"/>
              <w:spacing w:before="0" w:beforeAutospacing="0" w:after="0" w:afterAutospacing="0"/>
              <w:rPr>
                <w:sz w:val="22"/>
                <w:szCs w:val="22"/>
              </w:rPr>
            </w:pPr>
            <w:r>
              <w:rPr>
                <w:sz w:val="22"/>
                <w:szCs w:val="22"/>
              </w:rPr>
              <w:t> </w:t>
            </w:r>
          </w:p>
        </w:tc>
      </w:tr>
      <w:tr w:rsidR="00000000" w14:paraId="37F0FBED" w14:textId="77777777">
        <w:trPr>
          <w:trHeight w:val="200"/>
          <w:tblCellSpacing w:w="15" w:type="dxa"/>
        </w:trPr>
        <w:tc>
          <w:tcPr>
            <w:tcW w:w="0" w:type="auto"/>
            <w:hideMark/>
          </w:tcPr>
          <w:p w14:paraId="7AC13B59"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620ECDED"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6CFEDC0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84BFE12"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7</w:t>
            </w:r>
          </w:p>
        </w:tc>
        <w:tc>
          <w:tcPr>
            <w:tcW w:w="0" w:type="auto"/>
            <w:noWrap/>
            <w:hideMark/>
          </w:tcPr>
          <w:p w14:paraId="665EA006"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72DFBD1"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1A22618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403973D"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7</w:t>
            </w:r>
          </w:p>
        </w:tc>
        <w:tc>
          <w:tcPr>
            <w:tcW w:w="0" w:type="auto"/>
            <w:noWrap/>
            <w:hideMark/>
          </w:tcPr>
          <w:p w14:paraId="08CDBEE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82253AD" w14:textId="77777777" w:rsidR="00000000" w:rsidRDefault="00832D71">
            <w:pPr>
              <w:pStyle w:val="a3"/>
              <w:spacing w:before="0" w:beforeAutospacing="0" w:after="0" w:afterAutospacing="0"/>
              <w:rPr>
                <w:sz w:val="22"/>
                <w:szCs w:val="22"/>
              </w:rPr>
            </w:pPr>
            <w:r>
              <w:rPr>
                <w:sz w:val="22"/>
                <w:szCs w:val="22"/>
              </w:rPr>
              <w:t> </w:t>
            </w:r>
          </w:p>
        </w:tc>
      </w:tr>
      <w:tr w:rsidR="00000000" w14:paraId="3F867837" w14:textId="77777777">
        <w:trPr>
          <w:trHeight w:val="200"/>
          <w:tblCellSpacing w:w="15" w:type="dxa"/>
        </w:trPr>
        <w:tc>
          <w:tcPr>
            <w:tcW w:w="0" w:type="auto"/>
            <w:hideMark/>
          </w:tcPr>
          <w:p w14:paraId="32FD720A"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00CB34A"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4246E69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508037F"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6</w:t>
            </w:r>
          </w:p>
        </w:tc>
        <w:tc>
          <w:tcPr>
            <w:tcW w:w="0" w:type="auto"/>
            <w:noWrap/>
            <w:hideMark/>
          </w:tcPr>
          <w:p w14:paraId="0F7AE92B"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794FDBC7"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07AF543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C3F4DD9"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6</w:t>
            </w:r>
          </w:p>
        </w:tc>
        <w:tc>
          <w:tcPr>
            <w:tcW w:w="0" w:type="auto"/>
            <w:noWrap/>
            <w:hideMark/>
          </w:tcPr>
          <w:p w14:paraId="539A65A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53BBB1F" w14:textId="77777777" w:rsidR="00000000" w:rsidRDefault="00832D71">
            <w:pPr>
              <w:pStyle w:val="a3"/>
              <w:spacing w:before="0" w:beforeAutospacing="0" w:after="0" w:afterAutospacing="0"/>
              <w:rPr>
                <w:sz w:val="22"/>
                <w:szCs w:val="22"/>
              </w:rPr>
            </w:pPr>
            <w:r>
              <w:rPr>
                <w:sz w:val="22"/>
                <w:szCs w:val="22"/>
              </w:rPr>
              <w:t> </w:t>
            </w:r>
          </w:p>
        </w:tc>
      </w:tr>
      <w:tr w:rsidR="00000000" w14:paraId="18A2DB31" w14:textId="77777777">
        <w:trPr>
          <w:trHeight w:val="200"/>
          <w:tblCellSpacing w:w="15" w:type="dxa"/>
        </w:trPr>
        <w:tc>
          <w:tcPr>
            <w:tcW w:w="0" w:type="auto"/>
            <w:hideMark/>
          </w:tcPr>
          <w:p w14:paraId="24BEBBA9"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4320887"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4E7DFD7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2723ABD"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5</w:t>
            </w:r>
          </w:p>
        </w:tc>
        <w:tc>
          <w:tcPr>
            <w:tcW w:w="0" w:type="auto"/>
            <w:noWrap/>
            <w:hideMark/>
          </w:tcPr>
          <w:p w14:paraId="03444373"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6CDC3DA2"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58356C2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483387D"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5</w:t>
            </w:r>
          </w:p>
        </w:tc>
        <w:tc>
          <w:tcPr>
            <w:tcW w:w="0" w:type="auto"/>
            <w:noWrap/>
            <w:hideMark/>
          </w:tcPr>
          <w:p w14:paraId="091AD3D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53E0DC3" w14:textId="77777777" w:rsidR="00000000" w:rsidRDefault="00832D71">
            <w:pPr>
              <w:pStyle w:val="a3"/>
              <w:spacing w:before="0" w:beforeAutospacing="0" w:after="0" w:afterAutospacing="0"/>
              <w:rPr>
                <w:sz w:val="22"/>
                <w:szCs w:val="22"/>
              </w:rPr>
            </w:pPr>
            <w:r>
              <w:rPr>
                <w:sz w:val="22"/>
                <w:szCs w:val="22"/>
              </w:rPr>
              <w:t> </w:t>
            </w:r>
          </w:p>
        </w:tc>
      </w:tr>
      <w:tr w:rsidR="00000000" w14:paraId="04FC4679" w14:textId="77777777">
        <w:trPr>
          <w:trHeight w:val="200"/>
          <w:tblCellSpacing w:w="15" w:type="dxa"/>
        </w:trPr>
        <w:tc>
          <w:tcPr>
            <w:tcW w:w="0" w:type="auto"/>
            <w:hideMark/>
          </w:tcPr>
          <w:p w14:paraId="3ABFA91D"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65C78DDB"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3399FFF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5FDBF23"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4</w:t>
            </w:r>
          </w:p>
        </w:tc>
        <w:tc>
          <w:tcPr>
            <w:tcW w:w="0" w:type="auto"/>
            <w:noWrap/>
            <w:hideMark/>
          </w:tcPr>
          <w:p w14:paraId="629A66B9"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863AC36"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02D267C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CE37D01"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4</w:t>
            </w:r>
          </w:p>
        </w:tc>
        <w:tc>
          <w:tcPr>
            <w:tcW w:w="0" w:type="auto"/>
            <w:noWrap/>
            <w:hideMark/>
          </w:tcPr>
          <w:p w14:paraId="1E3F6F0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2940E7B" w14:textId="77777777" w:rsidR="00000000" w:rsidRDefault="00832D71">
            <w:pPr>
              <w:pStyle w:val="a3"/>
              <w:spacing w:before="0" w:beforeAutospacing="0" w:after="0" w:afterAutospacing="0"/>
              <w:rPr>
                <w:sz w:val="22"/>
                <w:szCs w:val="22"/>
              </w:rPr>
            </w:pPr>
            <w:r>
              <w:rPr>
                <w:sz w:val="22"/>
                <w:szCs w:val="22"/>
              </w:rPr>
              <w:t> </w:t>
            </w:r>
          </w:p>
        </w:tc>
      </w:tr>
      <w:tr w:rsidR="00000000" w14:paraId="11801804" w14:textId="77777777">
        <w:trPr>
          <w:trHeight w:val="200"/>
          <w:tblCellSpacing w:w="15" w:type="dxa"/>
        </w:trPr>
        <w:tc>
          <w:tcPr>
            <w:tcW w:w="0" w:type="auto"/>
            <w:hideMark/>
          </w:tcPr>
          <w:p w14:paraId="5D2855DE"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6F73022C"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2A274F6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11E720B"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3</w:t>
            </w:r>
          </w:p>
        </w:tc>
        <w:tc>
          <w:tcPr>
            <w:tcW w:w="0" w:type="auto"/>
            <w:noWrap/>
            <w:hideMark/>
          </w:tcPr>
          <w:p w14:paraId="4809F659"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13C92D1"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4BD937A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7384EA4"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3</w:t>
            </w:r>
          </w:p>
        </w:tc>
        <w:tc>
          <w:tcPr>
            <w:tcW w:w="0" w:type="auto"/>
            <w:noWrap/>
            <w:hideMark/>
          </w:tcPr>
          <w:p w14:paraId="762DCF0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66C3D7F" w14:textId="77777777" w:rsidR="00000000" w:rsidRDefault="00832D71">
            <w:pPr>
              <w:pStyle w:val="a3"/>
              <w:spacing w:before="0" w:beforeAutospacing="0" w:after="0" w:afterAutospacing="0"/>
              <w:rPr>
                <w:sz w:val="22"/>
                <w:szCs w:val="22"/>
              </w:rPr>
            </w:pPr>
            <w:r>
              <w:rPr>
                <w:sz w:val="22"/>
                <w:szCs w:val="22"/>
              </w:rPr>
              <w:t> </w:t>
            </w:r>
          </w:p>
        </w:tc>
      </w:tr>
      <w:tr w:rsidR="00000000" w14:paraId="63FC4BD5" w14:textId="77777777">
        <w:trPr>
          <w:trHeight w:val="200"/>
          <w:tblCellSpacing w:w="15" w:type="dxa"/>
        </w:trPr>
        <w:tc>
          <w:tcPr>
            <w:tcW w:w="0" w:type="auto"/>
            <w:hideMark/>
          </w:tcPr>
          <w:p w14:paraId="7A2613FC"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21D9B624"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382D45D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BDD1CE0"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2</w:t>
            </w:r>
          </w:p>
        </w:tc>
        <w:tc>
          <w:tcPr>
            <w:tcW w:w="0" w:type="auto"/>
            <w:noWrap/>
            <w:hideMark/>
          </w:tcPr>
          <w:p w14:paraId="2CA99A10"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018825BE"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5F1C99E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7490F61"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2</w:t>
            </w:r>
          </w:p>
        </w:tc>
        <w:tc>
          <w:tcPr>
            <w:tcW w:w="0" w:type="auto"/>
            <w:noWrap/>
            <w:hideMark/>
          </w:tcPr>
          <w:p w14:paraId="78DFE71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0B11195" w14:textId="77777777" w:rsidR="00000000" w:rsidRDefault="00832D71">
            <w:pPr>
              <w:pStyle w:val="a3"/>
              <w:spacing w:before="0" w:beforeAutospacing="0" w:after="0" w:afterAutospacing="0"/>
              <w:rPr>
                <w:sz w:val="22"/>
                <w:szCs w:val="22"/>
              </w:rPr>
            </w:pPr>
            <w:r>
              <w:rPr>
                <w:sz w:val="22"/>
                <w:szCs w:val="22"/>
              </w:rPr>
              <w:t> </w:t>
            </w:r>
          </w:p>
        </w:tc>
      </w:tr>
      <w:tr w:rsidR="00000000" w14:paraId="2CB4F743" w14:textId="77777777">
        <w:trPr>
          <w:trHeight w:val="200"/>
          <w:tblCellSpacing w:w="15" w:type="dxa"/>
        </w:trPr>
        <w:tc>
          <w:tcPr>
            <w:tcW w:w="0" w:type="auto"/>
            <w:hideMark/>
          </w:tcPr>
          <w:p w14:paraId="60F607E3"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599983AD"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715D797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A0A6AA2"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1</w:t>
            </w:r>
          </w:p>
        </w:tc>
        <w:tc>
          <w:tcPr>
            <w:tcW w:w="0" w:type="auto"/>
            <w:noWrap/>
            <w:hideMark/>
          </w:tcPr>
          <w:p w14:paraId="6CA98192"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DDCAB23"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559E232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EB83770"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1</w:t>
            </w:r>
          </w:p>
        </w:tc>
        <w:tc>
          <w:tcPr>
            <w:tcW w:w="0" w:type="auto"/>
            <w:noWrap/>
            <w:hideMark/>
          </w:tcPr>
          <w:p w14:paraId="6C337F1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EA00A39" w14:textId="77777777" w:rsidR="00000000" w:rsidRDefault="00832D71">
            <w:pPr>
              <w:pStyle w:val="a3"/>
              <w:spacing w:before="0" w:beforeAutospacing="0" w:after="0" w:afterAutospacing="0"/>
              <w:rPr>
                <w:sz w:val="22"/>
                <w:szCs w:val="22"/>
              </w:rPr>
            </w:pPr>
            <w:r>
              <w:rPr>
                <w:sz w:val="22"/>
                <w:szCs w:val="22"/>
              </w:rPr>
              <w:t> </w:t>
            </w:r>
          </w:p>
        </w:tc>
      </w:tr>
      <w:tr w:rsidR="00000000" w14:paraId="110F89FA" w14:textId="77777777">
        <w:trPr>
          <w:trHeight w:val="200"/>
          <w:tblCellSpacing w:w="15" w:type="dxa"/>
        </w:trPr>
        <w:tc>
          <w:tcPr>
            <w:tcW w:w="0" w:type="auto"/>
            <w:hideMark/>
          </w:tcPr>
          <w:p w14:paraId="357E94EA"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5423AB19"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7767D2F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5155BB8"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0</w:t>
            </w:r>
          </w:p>
        </w:tc>
        <w:tc>
          <w:tcPr>
            <w:tcW w:w="0" w:type="auto"/>
            <w:noWrap/>
            <w:hideMark/>
          </w:tcPr>
          <w:p w14:paraId="7F6C83C5"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01082C48"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3197889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D60F3A9" w14:textId="77777777" w:rsidR="00000000" w:rsidRDefault="00832D71">
            <w:pPr>
              <w:pStyle w:val="a3"/>
              <w:spacing w:before="0" w:beforeAutospacing="0" w:after="0" w:afterAutospacing="0"/>
              <w:jc w:val="right"/>
              <w:rPr>
                <w:sz w:val="20"/>
                <w:szCs w:val="20"/>
              </w:rPr>
            </w:pPr>
            <w:r>
              <w:rPr>
                <w:sz w:val="20"/>
                <w:szCs w:val="20"/>
              </w:rPr>
              <w:t>11</w:t>
            </w:r>
            <w:r>
              <w:rPr>
                <w:sz w:val="20"/>
                <w:szCs w:val="20"/>
              </w:rPr>
              <w:t>0</w:t>
            </w:r>
          </w:p>
        </w:tc>
        <w:tc>
          <w:tcPr>
            <w:tcW w:w="0" w:type="auto"/>
            <w:noWrap/>
            <w:hideMark/>
          </w:tcPr>
          <w:p w14:paraId="2B706CB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3071078" w14:textId="77777777" w:rsidR="00000000" w:rsidRDefault="00832D71">
            <w:pPr>
              <w:pStyle w:val="a3"/>
              <w:spacing w:before="0" w:beforeAutospacing="0" w:after="0" w:afterAutospacing="0"/>
              <w:rPr>
                <w:sz w:val="22"/>
                <w:szCs w:val="22"/>
              </w:rPr>
            </w:pPr>
            <w:r>
              <w:rPr>
                <w:sz w:val="22"/>
                <w:szCs w:val="22"/>
              </w:rPr>
              <w:t> </w:t>
            </w:r>
          </w:p>
        </w:tc>
      </w:tr>
      <w:tr w:rsidR="00000000" w14:paraId="0098B654" w14:textId="77777777">
        <w:trPr>
          <w:trHeight w:val="200"/>
          <w:tblCellSpacing w:w="15" w:type="dxa"/>
        </w:trPr>
        <w:tc>
          <w:tcPr>
            <w:tcW w:w="0" w:type="auto"/>
            <w:hideMark/>
          </w:tcPr>
          <w:p w14:paraId="1C2CE466"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0142CB1A"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7A765C7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9C5B296"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9</w:t>
            </w:r>
          </w:p>
        </w:tc>
        <w:tc>
          <w:tcPr>
            <w:tcW w:w="0" w:type="auto"/>
            <w:noWrap/>
            <w:hideMark/>
          </w:tcPr>
          <w:p w14:paraId="2060E30F"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FF383A0"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7C0D6E6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A519174"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9</w:t>
            </w:r>
          </w:p>
        </w:tc>
        <w:tc>
          <w:tcPr>
            <w:tcW w:w="0" w:type="auto"/>
            <w:noWrap/>
            <w:hideMark/>
          </w:tcPr>
          <w:p w14:paraId="1645EAC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34CB3C1" w14:textId="77777777" w:rsidR="00000000" w:rsidRDefault="00832D71">
            <w:pPr>
              <w:pStyle w:val="a3"/>
              <w:spacing w:before="0" w:beforeAutospacing="0" w:after="0" w:afterAutospacing="0"/>
              <w:rPr>
                <w:sz w:val="22"/>
                <w:szCs w:val="22"/>
              </w:rPr>
            </w:pPr>
            <w:r>
              <w:rPr>
                <w:sz w:val="22"/>
                <w:szCs w:val="22"/>
              </w:rPr>
              <w:t> </w:t>
            </w:r>
          </w:p>
        </w:tc>
      </w:tr>
      <w:tr w:rsidR="00000000" w14:paraId="4C7D0377" w14:textId="77777777">
        <w:trPr>
          <w:trHeight w:val="200"/>
          <w:tblCellSpacing w:w="15" w:type="dxa"/>
        </w:trPr>
        <w:tc>
          <w:tcPr>
            <w:tcW w:w="0" w:type="auto"/>
            <w:hideMark/>
          </w:tcPr>
          <w:p w14:paraId="7D97655E"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3418B179"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325D4AB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009486B"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8</w:t>
            </w:r>
          </w:p>
        </w:tc>
        <w:tc>
          <w:tcPr>
            <w:tcW w:w="0" w:type="auto"/>
            <w:noWrap/>
            <w:hideMark/>
          </w:tcPr>
          <w:p w14:paraId="3F2C1234"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18C32CDC"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129CB0D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038F56F"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8</w:t>
            </w:r>
          </w:p>
        </w:tc>
        <w:tc>
          <w:tcPr>
            <w:tcW w:w="0" w:type="auto"/>
            <w:noWrap/>
            <w:hideMark/>
          </w:tcPr>
          <w:p w14:paraId="442C682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6A5AA23" w14:textId="77777777" w:rsidR="00000000" w:rsidRDefault="00832D71">
            <w:pPr>
              <w:pStyle w:val="a3"/>
              <w:spacing w:before="0" w:beforeAutospacing="0" w:after="0" w:afterAutospacing="0"/>
              <w:rPr>
                <w:sz w:val="22"/>
                <w:szCs w:val="22"/>
              </w:rPr>
            </w:pPr>
            <w:r>
              <w:rPr>
                <w:sz w:val="22"/>
                <w:szCs w:val="22"/>
              </w:rPr>
              <w:t> </w:t>
            </w:r>
          </w:p>
        </w:tc>
      </w:tr>
      <w:tr w:rsidR="00000000" w14:paraId="46955C1C" w14:textId="77777777">
        <w:trPr>
          <w:trHeight w:val="200"/>
          <w:tblCellSpacing w:w="15" w:type="dxa"/>
        </w:trPr>
        <w:tc>
          <w:tcPr>
            <w:tcW w:w="0" w:type="auto"/>
            <w:hideMark/>
          </w:tcPr>
          <w:p w14:paraId="72FAC4B8"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1959B48B"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216FE8F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D49864D"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7</w:t>
            </w:r>
          </w:p>
        </w:tc>
        <w:tc>
          <w:tcPr>
            <w:tcW w:w="0" w:type="auto"/>
            <w:noWrap/>
            <w:hideMark/>
          </w:tcPr>
          <w:p w14:paraId="68B21CC0"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1405D75B"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3F237D3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F87D244"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7</w:t>
            </w:r>
          </w:p>
        </w:tc>
        <w:tc>
          <w:tcPr>
            <w:tcW w:w="0" w:type="auto"/>
            <w:noWrap/>
            <w:hideMark/>
          </w:tcPr>
          <w:p w14:paraId="289A5D6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4FD5AE8" w14:textId="77777777" w:rsidR="00000000" w:rsidRDefault="00832D71">
            <w:pPr>
              <w:pStyle w:val="a3"/>
              <w:spacing w:before="0" w:beforeAutospacing="0" w:after="0" w:afterAutospacing="0"/>
              <w:rPr>
                <w:sz w:val="22"/>
                <w:szCs w:val="22"/>
              </w:rPr>
            </w:pPr>
            <w:r>
              <w:rPr>
                <w:sz w:val="22"/>
                <w:szCs w:val="22"/>
              </w:rPr>
              <w:t> </w:t>
            </w:r>
          </w:p>
        </w:tc>
      </w:tr>
      <w:tr w:rsidR="00000000" w14:paraId="6DCBC04C" w14:textId="77777777">
        <w:trPr>
          <w:trHeight w:val="200"/>
          <w:tblCellSpacing w:w="15" w:type="dxa"/>
        </w:trPr>
        <w:tc>
          <w:tcPr>
            <w:tcW w:w="0" w:type="auto"/>
            <w:hideMark/>
          </w:tcPr>
          <w:p w14:paraId="6AFB723D"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B5A86B8"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6AEF24B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360ABEA"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6</w:t>
            </w:r>
          </w:p>
        </w:tc>
        <w:tc>
          <w:tcPr>
            <w:tcW w:w="0" w:type="auto"/>
            <w:noWrap/>
            <w:hideMark/>
          </w:tcPr>
          <w:p w14:paraId="5EB020A0"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5E07444"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2ED91BE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A0F9C5E"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6</w:t>
            </w:r>
          </w:p>
        </w:tc>
        <w:tc>
          <w:tcPr>
            <w:tcW w:w="0" w:type="auto"/>
            <w:noWrap/>
            <w:hideMark/>
          </w:tcPr>
          <w:p w14:paraId="23EEB83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81EB9D4" w14:textId="77777777" w:rsidR="00000000" w:rsidRDefault="00832D71">
            <w:pPr>
              <w:pStyle w:val="a3"/>
              <w:spacing w:before="0" w:beforeAutospacing="0" w:after="0" w:afterAutospacing="0"/>
              <w:rPr>
                <w:sz w:val="22"/>
                <w:szCs w:val="22"/>
              </w:rPr>
            </w:pPr>
            <w:r>
              <w:rPr>
                <w:sz w:val="22"/>
                <w:szCs w:val="22"/>
              </w:rPr>
              <w:t> </w:t>
            </w:r>
          </w:p>
        </w:tc>
      </w:tr>
      <w:tr w:rsidR="00000000" w14:paraId="4E497F0A" w14:textId="77777777">
        <w:trPr>
          <w:trHeight w:val="200"/>
          <w:tblCellSpacing w:w="15" w:type="dxa"/>
        </w:trPr>
        <w:tc>
          <w:tcPr>
            <w:tcW w:w="0" w:type="auto"/>
            <w:hideMark/>
          </w:tcPr>
          <w:p w14:paraId="3C9D0BFC"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6FE19D6F"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3D6191D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3243812"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5</w:t>
            </w:r>
          </w:p>
        </w:tc>
        <w:tc>
          <w:tcPr>
            <w:tcW w:w="0" w:type="auto"/>
            <w:noWrap/>
            <w:hideMark/>
          </w:tcPr>
          <w:p w14:paraId="7F88045E"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01C97B1"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03F4196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6801FF2"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5</w:t>
            </w:r>
          </w:p>
        </w:tc>
        <w:tc>
          <w:tcPr>
            <w:tcW w:w="0" w:type="auto"/>
            <w:noWrap/>
            <w:hideMark/>
          </w:tcPr>
          <w:p w14:paraId="3C566D5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AAD880F" w14:textId="77777777" w:rsidR="00000000" w:rsidRDefault="00832D71">
            <w:pPr>
              <w:pStyle w:val="a3"/>
              <w:spacing w:before="0" w:beforeAutospacing="0" w:after="0" w:afterAutospacing="0"/>
              <w:rPr>
                <w:sz w:val="22"/>
                <w:szCs w:val="22"/>
              </w:rPr>
            </w:pPr>
            <w:r>
              <w:rPr>
                <w:sz w:val="22"/>
                <w:szCs w:val="22"/>
              </w:rPr>
              <w:t> </w:t>
            </w:r>
          </w:p>
        </w:tc>
      </w:tr>
      <w:tr w:rsidR="00000000" w14:paraId="47E36E5F" w14:textId="77777777">
        <w:trPr>
          <w:trHeight w:val="200"/>
          <w:tblCellSpacing w:w="15" w:type="dxa"/>
        </w:trPr>
        <w:tc>
          <w:tcPr>
            <w:tcW w:w="0" w:type="auto"/>
            <w:hideMark/>
          </w:tcPr>
          <w:p w14:paraId="749B896E"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0DF44942"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6FAB2C0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4C544EA"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4</w:t>
            </w:r>
          </w:p>
        </w:tc>
        <w:tc>
          <w:tcPr>
            <w:tcW w:w="0" w:type="auto"/>
            <w:noWrap/>
            <w:hideMark/>
          </w:tcPr>
          <w:p w14:paraId="6EF1915B"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46253C8"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0B35061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C373916"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4</w:t>
            </w:r>
          </w:p>
        </w:tc>
        <w:tc>
          <w:tcPr>
            <w:tcW w:w="0" w:type="auto"/>
            <w:noWrap/>
            <w:hideMark/>
          </w:tcPr>
          <w:p w14:paraId="3D95B23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2E2F526" w14:textId="77777777" w:rsidR="00000000" w:rsidRDefault="00832D71">
            <w:pPr>
              <w:pStyle w:val="a3"/>
              <w:spacing w:before="0" w:beforeAutospacing="0" w:after="0" w:afterAutospacing="0"/>
              <w:rPr>
                <w:sz w:val="22"/>
                <w:szCs w:val="22"/>
              </w:rPr>
            </w:pPr>
            <w:r>
              <w:rPr>
                <w:sz w:val="22"/>
                <w:szCs w:val="22"/>
              </w:rPr>
              <w:t> </w:t>
            </w:r>
          </w:p>
        </w:tc>
      </w:tr>
      <w:tr w:rsidR="00000000" w14:paraId="2171A7D2" w14:textId="77777777">
        <w:trPr>
          <w:trHeight w:val="200"/>
          <w:tblCellSpacing w:w="15" w:type="dxa"/>
        </w:trPr>
        <w:tc>
          <w:tcPr>
            <w:tcW w:w="0" w:type="auto"/>
            <w:hideMark/>
          </w:tcPr>
          <w:p w14:paraId="7B0E1BDC"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674FAF98"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771050F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7FF8333"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3</w:t>
            </w:r>
          </w:p>
        </w:tc>
        <w:tc>
          <w:tcPr>
            <w:tcW w:w="0" w:type="auto"/>
            <w:noWrap/>
            <w:hideMark/>
          </w:tcPr>
          <w:p w14:paraId="30592973"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6797E629"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4965946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8FA0CC7"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3</w:t>
            </w:r>
          </w:p>
        </w:tc>
        <w:tc>
          <w:tcPr>
            <w:tcW w:w="0" w:type="auto"/>
            <w:noWrap/>
            <w:hideMark/>
          </w:tcPr>
          <w:p w14:paraId="0BC9095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A77CFF4" w14:textId="77777777" w:rsidR="00000000" w:rsidRDefault="00832D71">
            <w:pPr>
              <w:pStyle w:val="a3"/>
              <w:spacing w:before="0" w:beforeAutospacing="0" w:after="0" w:afterAutospacing="0"/>
              <w:rPr>
                <w:sz w:val="22"/>
                <w:szCs w:val="22"/>
              </w:rPr>
            </w:pPr>
            <w:r>
              <w:rPr>
                <w:sz w:val="22"/>
                <w:szCs w:val="22"/>
              </w:rPr>
              <w:t> </w:t>
            </w:r>
          </w:p>
        </w:tc>
      </w:tr>
      <w:tr w:rsidR="00000000" w14:paraId="414DFD51" w14:textId="77777777">
        <w:trPr>
          <w:trHeight w:val="200"/>
          <w:tblCellSpacing w:w="15" w:type="dxa"/>
        </w:trPr>
        <w:tc>
          <w:tcPr>
            <w:tcW w:w="0" w:type="auto"/>
            <w:hideMark/>
          </w:tcPr>
          <w:p w14:paraId="203FF783"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5107165C"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17F1A2F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C06760A"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2</w:t>
            </w:r>
          </w:p>
        </w:tc>
        <w:tc>
          <w:tcPr>
            <w:tcW w:w="0" w:type="auto"/>
            <w:noWrap/>
            <w:hideMark/>
          </w:tcPr>
          <w:p w14:paraId="0EEB24F8"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6DF5EE92"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0ECE44E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A357708"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2</w:t>
            </w:r>
          </w:p>
        </w:tc>
        <w:tc>
          <w:tcPr>
            <w:tcW w:w="0" w:type="auto"/>
            <w:noWrap/>
            <w:hideMark/>
          </w:tcPr>
          <w:p w14:paraId="10243B1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8FB71EA" w14:textId="77777777" w:rsidR="00000000" w:rsidRDefault="00832D71">
            <w:pPr>
              <w:pStyle w:val="a3"/>
              <w:spacing w:before="0" w:beforeAutospacing="0" w:after="0" w:afterAutospacing="0"/>
              <w:rPr>
                <w:sz w:val="22"/>
                <w:szCs w:val="22"/>
              </w:rPr>
            </w:pPr>
            <w:r>
              <w:rPr>
                <w:sz w:val="22"/>
                <w:szCs w:val="22"/>
              </w:rPr>
              <w:t> </w:t>
            </w:r>
          </w:p>
        </w:tc>
      </w:tr>
      <w:tr w:rsidR="00000000" w14:paraId="681DE3DB" w14:textId="77777777">
        <w:trPr>
          <w:trHeight w:val="200"/>
          <w:tblCellSpacing w:w="15" w:type="dxa"/>
        </w:trPr>
        <w:tc>
          <w:tcPr>
            <w:tcW w:w="0" w:type="auto"/>
            <w:hideMark/>
          </w:tcPr>
          <w:p w14:paraId="67FBE810"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6028D45"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6AF279A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3315FCB"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1</w:t>
            </w:r>
          </w:p>
        </w:tc>
        <w:tc>
          <w:tcPr>
            <w:tcW w:w="0" w:type="auto"/>
            <w:noWrap/>
            <w:hideMark/>
          </w:tcPr>
          <w:p w14:paraId="4834D912"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E7857CA"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59CCA87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B67AD08"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1</w:t>
            </w:r>
          </w:p>
        </w:tc>
        <w:tc>
          <w:tcPr>
            <w:tcW w:w="0" w:type="auto"/>
            <w:noWrap/>
            <w:hideMark/>
          </w:tcPr>
          <w:p w14:paraId="7365D08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3FE26A9" w14:textId="77777777" w:rsidR="00000000" w:rsidRDefault="00832D71">
            <w:pPr>
              <w:pStyle w:val="a3"/>
              <w:spacing w:before="0" w:beforeAutospacing="0" w:after="0" w:afterAutospacing="0"/>
              <w:rPr>
                <w:sz w:val="22"/>
                <w:szCs w:val="22"/>
              </w:rPr>
            </w:pPr>
            <w:r>
              <w:rPr>
                <w:sz w:val="22"/>
                <w:szCs w:val="22"/>
              </w:rPr>
              <w:t> </w:t>
            </w:r>
          </w:p>
        </w:tc>
      </w:tr>
      <w:tr w:rsidR="00000000" w14:paraId="4F70BC09" w14:textId="77777777">
        <w:trPr>
          <w:trHeight w:val="200"/>
          <w:tblCellSpacing w:w="15" w:type="dxa"/>
        </w:trPr>
        <w:tc>
          <w:tcPr>
            <w:tcW w:w="0" w:type="auto"/>
            <w:hideMark/>
          </w:tcPr>
          <w:p w14:paraId="5DBB26D1" w14:textId="77777777" w:rsidR="00000000" w:rsidRDefault="00832D71">
            <w:pPr>
              <w:pStyle w:val="a3"/>
              <w:spacing w:before="0" w:beforeAutospacing="0" w:after="0" w:afterAutospacing="0"/>
              <w:jc w:val="right"/>
              <w:rPr>
                <w:sz w:val="16"/>
                <w:szCs w:val="16"/>
              </w:rPr>
            </w:pPr>
            <w:r>
              <w:rPr>
                <w:b/>
                <w:bCs/>
                <w:sz w:val="16"/>
                <w:szCs w:val="16"/>
              </w:rPr>
              <w:t>Targe</w:t>
            </w:r>
            <w:r>
              <w:rPr>
                <w:b/>
                <w:bCs/>
                <w:sz w:val="16"/>
                <w:szCs w:val="16"/>
              </w:rPr>
              <w:t>t</w:t>
            </w:r>
          </w:p>
        </w:tc>
        <w:tc>
          <w:tcPr>
            <w:tcW w:w="0" w:type="auto"/>
            <w:hideMark/>
          </w:tcPr>
          <w:p w14:paraId="6FCD0D18"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287C448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25D138E"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0</w:t>
            </w:r>
          </w:p>
        </w:tc>
        <w:tc>
          <w:tcPr>
            <w:tcW w:w="0" w:type="auto"/>
            <w:noWrap/>
            <w:hideMark/>
          </w:tcPr>
          <w:p w14:paraId="07C410BF"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07C320EB"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63D28D5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F84543D"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0</w:t>
            </w:r>
          </w:p>
        </w:tc>
        <w:tc>
          <w:tcPr>
            <w:tcW w:w="0" w:type="auto"/>
            <w:noWrap/>
            <w:hideMark/>
          </w:tcPr>
          <w:p w14:paraId="32A06CA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F74D087" w14:textId="77777777" w:rsidR="00000000" w:rsidRDefault="00832D71">
            <w:pPr>
              <w:pStyle w:val="a3"/>
              <w:spacing w:before="0" w:beforeAutospacing="0" w:after="0" w:afterAutospacing="0"/>
              <w:rPr>
                <w:sz w:val="22"/>
                <w:szCs w:val="22"/>
              </w:rPr>
            </w:pPr>
            <w:r>
              <w:rPr>
                <w:sz w:val="22"/>
                <w:szCs w:val="22"/>
              </w:rPr>
              <w:t> </w:t>
            </w:r>
          </w:p>
        </w:tc>
      </w:tr>
      <w:tr w:rsidR="00000000" w14:paraId="228763CA" w14:textId="77777777">
        <w:trPr>
          <w:trHeight w:val="200"/>
          <w:tblCellSpacing w:w="15" w:type="dxa"/>
        </w:trPr>
        <w:tc>
          <w:tcPr>
            <w:tcW w:w="0" w:type="auto"/>
            <w:hideMark/>
          </w:tcPr>
          <w:p w14:paraId="32EA7BD0"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689CAC88"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5D93D2A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B05CE3B" w14:textId="77777777" w:rsidR="00000000" w:rsidRDefault="00832D71">
            <w:pPr>
              <w:pStyle w:val="a3"/>
              <w:spacing w:before="0" w:beforeAutospacing="0" w:after="0" w:afterAutospacing="0"/>
              <w:jc w:val="right"/>
              <w:rPr>
                <w:sz w:val="20"/>
                <w:szCs w:val="20"/>
              </w:rPr>
            </w:pPr>
            <w:r>
              <w:rPr>
                <w:sz w:val="20"/>
                <w:szCs w:val="20"/>
              </w:rPr>
              <w:t>9</w:t>
            </w:r>
            <w:r>
              <w:rPr>
                <w:sz w:val="20"/>
                <w:szCs w:val="20"/>
              </w:rPr>
              <w:t>9</w:t>
            </w:r>
          </w:p>
        </w:tc>
        <w:tc>
          <w:tcPr>
            <w:tcW w:w="0" w:type="auto"/>
            <w:noWrap/>
            <w:hideMark/>
          </w:tcPr>
          <w:p w14:paraId="78C55451"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540B20B"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5DFB2B5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7BA45D5" w14:textId="77777777" w:rsidR="00000000" w:rsidRDefault="00832D71">
            <w:pPr>
              <w:pStyle w:val="a3"/>
              <w:spacing w:before="0" w:beforeAutospacing="0" w:after="0" w:afterAutospacing="0"/>
              <w:jc w:val="right"/>
              <w:rPr>
                <w:sz w:val="20"/>
                <w:szCs w:val="20"/>
              </w:rPr>
            </w:pPr>
            <w:r>
              <w:rPr>
                <w:sz w:val="20"/>
                <w:szCs w:val="20"/>
              </w:rPr>
              <w:t>9</w:t>
            </w:r>
            <w:r>
              <w:rPr>
                <w:sz w:val="20"/>
                <w:szCs w:val="20"/>
              </w:rPr>
              <w:t>8</w:t>
            </w:r>
          </w:p>
        </w:tc>
        <w:tc>
          <w:tcPr>
            <w:tcW w:w="0" w:type="auto"/>
            <w:noWrap/>
            <w:hideMark/>
          </w:tcPr>
          <w:p w14:paraId="1015A9B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A1C80D6" w14:textId="77777777" w:rsidR="00000000" w:rsidRDefault="00832D71">
            <w:pPr>
              <w:pStyle w:val="a3"/>
              <w:spacing w:before="0" w:beforeAutospacing="0" w:after="0" w:afterAutospacing="0"/>
              <w:rPr>
                <w:sz w:val="22"/>
                <w:szCs w:val="22"/>
              </w:rPr>
            </w:pPr>
            <w:r>
              <w:rPr>
                <w:sz w:val="22"/>
                <w:szCs w:val="22"/>
              </w:rPr>
              <w:t> </w:t>
            </w:r>
          </w:p>
        </w:tc>
      </w:tr>
      <w:tr w:rsidR="00000000" w14:paraId="04ECD5A3" w14:textId="77777777">
        <w:trPr>
          <w:trHeight w:val="200"/>
          <w:tblCellSpacing w:w="15" w:type="dxa"/>
        </w:trPr>
        <w:tc>
          <w:tcPr>
            <w:tcW w:w="0" w:type="auto"/>
            <w:hideMark/>
          </w:tcPr>
          <w:p w14:paraId="3F0C1240"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D25013C"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1FAD286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0F497F7" w14:textId="77777777" w:rsidR="00000000" w:rsidRDefault="00832D71">
            <w:pPr>
              <w:pStyle w:val="a3"/>
              <w:spacing w:before="0" w:beforeAutospacing="0" w:after="0" w:afterAutospacing="0"/>
              <w:jc w:val="right"/>
              <w:rPr>
                <w:sz w:val="20"/>
                <w:szCs w:val="20"/>
              </w:rPr>
            </w:pPr>
            <w:r>
              <w:rPr>
                <w:sz w:val="20"/>
                <w:szCs w:val="20"/>
              </w:rPr>
              <w:t>9</w:t>
            </w:r>
            <w:r>
              <w:rPr>
                <w:sz w:val="20"/>
                <w:szCs w:val="20"/>
              </w:rPr>
              <w:t>8</w:t>
            </w:r>
          </w:p>
        </w:tc>
        <w:tc>
          <w:tcPr>
            <w:tcW w:w="0" w:type="auto"/>
            <w:noWrap/>
            <w:hideMark/>
          </w:tcPr>
          <w:p w14:paraId="5276CBAD"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27089BC"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2260BBA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40ACA27" w14:textId="77777777" w:rsidR="00000000" w:rsidRDefault="00832D71">
            <w:pPr>
              <w:pStyle w:val="a3"/>
              <w:spacing w:before="0" w:beforeAutospacing="0" w:after="0" w:afterAutospacing="0"/>
              <w:jc w:val="right"/>
              <w:rPr>
                <w:sz w:val="20"/>
                <w:szCs w:val="20"/>
              </w:rPr>
            </w:pPr>
            <w:r>
              <w:rPr>
                <w:sz w:val="20"/>
                <w:szCs w:val="20"/>
              </w:rPr>
              <w:t>9</w:t>
            </w:r>
            <w:r>
              <w:rPr>
                <w:sz w:val="20"/>
                <w:szCs w:val="20"/>
              </w:rPr>
              <w:t>6</w:t>
            </w:r>
          </w:p>
        </w:tc>
        <w:tc>
          <w:tcPr>
            <w:tcW w:w="0" w:type="auto"/>
            <w:noWrap/>
            <w:hideMark/>
          </w:tcPr>
          <w:p w14:paraId="5CFA42F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7E8B177" w14:textId="77777777" w:rsidR="00000000" w:rsidRDefault="00832D71">
            <w:pPr>
              <w:pStyle w:val="a3"/>
              <w:spacing w:before="0" w:beforeAutospacing="0" w:after="0" w:afterAutospacing="0"/>
              <w:rPr>
                <w:sz w:val="22"/>
                <w:szCs w:val="22"/>
              </w:rPr>
            </w:pPr>
            <w:r>
              <w:rPr>
                <w:sz w:val="22"/>
                <w:szCs w:val="22"/>
              </w:rPr>
              <w:t> </w:t>
            </w:r>
          </w:p>
        </w:tc>
      </w:tr>
      <w:tr w:rsidR="00000000" w14:paraId="1D99871A" w14:textId="77777777">
        <w:trPr>
          <w:trHeight w:val="200"/>
          <w:tblCellSpacing w:w="15" w:type="dxa"/>
        </w:trPr>
        <w:tc>
          <w:tcPr>
            <w:tcW w:w="0" w:type="auto"/>
            <w:hideMark/>
          </w:tcPr>
          <w:p w14:paraId="0CCC728F"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1A538F19"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12A57FF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229C318" w14:textId="77777777" w:rsidR="00000000" w:rsidRDefault="00832D71">
            <w:pPr>
              <w:pStyle w:val="a3"/>
              <w:spacing w:before="0" w:beforeAutospacing="0" w:after="0" w:afterAutospacing="0"/>
              <w:jc w:val="right"/>
              <w:rPr>
                <w:sz w:val="20"/>
                <w:szCs w:val="20"/>
              </w:rPr>
            </w:pPr>
            <w:r>
              <w:rPr>
                <w:sz w:val="20"/>
                <w:szCs w:val="20"/>
              </w:rPr>
              <w:t>9</w:t>
            </w:r>
            <w:r>
              <w:rPr>
                <w:sz w:val="20"/>
                <w:szCs w:val="20"/>
              </w:rPr>
              <w:t>7</w:t>
            </w:r>
          </w:p>
        </w:tc>
        <w:tc>
          <w:tcPr>
            <w:tcW w:w="0" w:type="auto"/>
            <w:noWrap/>
            <w:hideMark/>
          </w:tcPr>
          <w:p w14:paraId="472E76AA"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C8B36D7"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63C3C33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8246759" w14:textId="77777777" w:rsidR="00000000" w:rsidRDefault="00832D71">
            <w:pPr>
              <w:pStyle w:val="a3"/>
              <w:spacing w:before="0" w:beforeAutospacing="0" w:after="0" w:afterAutospacing="0"/>
              <w:jc w:val="right"/>
              <w:rPr>
                <w:sz w:val="20"/>
                <w:szCs w:val="20"/>
              </w:rPr>
            </w:pPr>
            <w:r>
              <w:rPr>
                <w:sz w:val="20"/>
                <w:szCs w:val="20"/>
              </w:rPr>
              <w:t>9</w:t>
            </w:r>
            <w:r>
              <w:rPr>
                <w:sz w:val="20"/>
                <w:szCs w:val="20"/>
              </w:rPr>
              <w:t>4</w:t>
            </w:r>
          </w:p>
        </w:tc>
        <w:tc>
          <w:tcPr>
            <w:tcW w:w="0" w:type="auto"/>
            <w:noWrap/>
            <w:hideMark/>
          </w:tcPr>
          <w:p w14:paraId="579DA9C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6873F70" w14:textId="77777777" w:rsidR="00000000" w:rsidRDefault="00832D71">
            <w:pPr>
              <w:pStyle w:val="a3"/>
              <w:spacing w:before="0" w:beforeAutospacing="0" w:after="0" w:afterAutospacing="0"/>
              <w:rPr>
                <w:sz w:val="22"/>
                <w:szCs w:val="22"/>
              </w:rPr>
            </w:pPr>
            <w:r>
              <w:rPr>
                <w:sz w:val="22"/>
                <w:szCs w:val="22"/>
              </w:rPr>
              <w:t> </w:t>
            </w:r>
          </w:p>
        </w:tc>
      </w:tr>
      <w:tr w:rsidR="00000000" w14:paraId="2C89B42C" w14:textId="77777777">
        <w:trPr>
          <w:trHeight w:val="200"/>
          <w:tblCellSpacing w:w="15" w:type="dxa"/>
        </w:trPr>
        <w:tc>
          <w:tcPr>
            <w:tcW w:w="0" w:type="auto"/>
            <w:hideMark/>
          </w:tcPr>
          <w:p w14:paraId="25E0BB00"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3972BE93"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0205E38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6F54DAA" w14:textId="77777777" w:rsidR="00000000" w:rsidRDefault="00832D71">
            <w:pPr>
              <w:pStyle w:val="a3"/>
              <w:spacing w:before="0" w:beforeAutospacing="0" w:after="0" w:afterAutospacing="0"/>
              <w:jc w:val="right"/>
              <w:rPr>
                <w:sz w:val="20"/>
                <w:szCs w:val="20"/>
              </w:rPr>
            </w:pPr>
            <w:r>
              <w:rPr>
                <w:sz w:val="20"/>
                <w:szCs w:val="20"/>
              </w:rPr>
              <w:t>9</w:t>
            </w:r>
            <w:r>
              <w:rPr>
                <w:sz w:val="20"/>
                <w:szCs w:val="20"/>
              </w:rPr>
              <w:t>6</w:t>
            </w:r>
          </w:p>
        </w:tc>
        <w:tc>
          <w:tcPr>
            <w:tcW w:w="0" w:type="auto"/>
            <w:noWrap/>
            <w:hideMark/>
          </w:tcPr>
          <w:p w14:paraId="7BB13405"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8259CAD"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35F8723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7435C63" w14:textId="77777777" w:rsidR="00000000" w:rsidRDefault="00832D71">
            <w:pPr>
              <w:pStyle w:val="a3"/>
              <w:spacing w:before="0" w:beforeAutospacing="0" w:after="0" w:afterAutospacing="0"/>
              <w:jc w:val="right"/>
              <w:rPr>
                <w:sz w:val="20"/>
                <w:szCs w:val="20"/>
              </w:rPr>
            </w:pPr>
            <w:r>
              <w:rPr>
                <w:sz w:val="20"/>
                <w:szCs w:val="20"/>
              </w:rPr>
              <w:t>9</w:t>
            </w:r>
            <w:r>
              <w:rPr>
                <w:sz w:val="20"/>
                <w:szCs w:val="20"/>
              </w:rPr>
              <w:t>2</w:t>
            </w:r>
          </w:p>
        </w:tc>
        <w:tc>
          <w:tcPr>
            <w:tcW w:w="0" w:type="auto"/>
            <w:noWrap/>
            <w:hideMark/>
          </w:tcPr>
          <w:p w14:paraId="0E3C0DB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0E717D3" w14:textId="77777777" w:rsidR="00000000" w:rsidRDefault="00832D71">
            <w:pPr>
              <w:pStyle w:val="a3"/>
              <w:spacing w:before="0" w:beforeAutospacing="0" w:after="0" w:afterAutospacing="0"/>
              <w:rPr>
                <w:sz w:val="22"/>
                <w:szCs w:val="22"/>
              </w:rPr>
            </w:pPr>
            <w:r>
              <w:rPr>
                <w:sz w:val="22"/>
                <w:szCs w:val="22"/>
              </w:rPr>
              <w:t> </w:t>
            </w:r>
          </w:p>
        </w:tc>
      </w:tr>
      <w:tr w:rsidR="00000000" w14:paraId="2CB59805" w14:textId="77777777">
        <w:trPr>
          <w:trHeight w:val="200"/>
          <w:tblCellSpacing w:w="15" w:type="dxa"/>
        </w:trPr>
        <w:tc>
          <w:tcPr>
            <w:tcW w:w="0" w:type="auto"/>
            <w:hideMark/>
          </w:tcPr>
          <w:p w14:paraId="39D1D081"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138BA82"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3857D84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D120254" w14:textId="77777777" w:rsidR="00000000" w:rsidRDefault="00832D71">
            <w:pPr>
              <w:pStyle w:val="a3"/>
              <w:spacing w:before="0" w:beforeAutospacing="0" w:after="0" w:afterAutospacing="0"/>
              <w:jc w:val="right"/>
              <w:rPr>
                <w:sz w:val="20"/>
                <w:szCs w:val="20"/>
              </w:rPr>
            </w:pPr>
            <w:r>
              <w:rPr>
                <w:sz w:val="20"/>
                <w:szCs w:val="20"/>
              </w:rPr>
              <w:t>9</w:t>
            </w:r>
            <w:r>
              <w:rPr>
                <w:sz w:val="20"/>
                <w:szCs w:val="20"/>
              </w:rPr>
              <w:t>5</w:t>
            </w:r>
          </w:p>
        </w:tc>
        <w:tc>
          <w:tcPr>
            <w:tcW w:w="0" w:type="auto"/>
            <w:noWrap/>
            <w:hideMark/>
          </w:tcPr>
          <w:p w14:paraId="56F009C3"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1B34EFD"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66EA0EE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C49DF2D" w14:textId="77777777" w:rsidR="00000000" w:rsidRDefault="00832D71">
            <w:pPr>
              <w:pStyle w:val="a3"/>
              <w:spacing w:before="0" w:beforeAutospacing="0" w:after="0" w:afterAutospacing="0"/>
              <w:jc w:val="right"/>
              <w:rPr>
                <w:sz w:val="20"/>
                <w:szCs w:val="20"/>
              </w:rPr>
            </w:pPr>
            <w:r>
              <w:rPr>
                <w:sz w:val="20"/>
                <w:szCs w:val="20"/>
              </w:rPr>
              <w:t>9</w:t>
            </w:r>
            <w:r>
              <w:rPr>
                <w:sz w:val="20"/>
                <w:szCs w:val="20"/>
              </w:rPr>
              <w:t>0</w:t>
            </w:r>
          </w:p>
        </w:tc>
        <w:tc>
          <w:tcPr>
            <w:tcW w:w="0" w:type="auto"/>
            <w:noWrap/>
            <w:hideMark/>
          </w:tcPr>
          <w:p w14:paraId="79038A7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7E44EF4" w14:textId="77777777" w:rsidR="00000000" w:rsidRDefault="00832D71">
            <w:pPr>
              <w:pStyle w:val="a3"/>
              <w:spacing w:before="0" w:beforeAutospacing="0" w:after="0" w:afterAutospacing="0"/>
              <w:rPr>
                <w:sz w:val="22"/>
                <w:szCs w:val="22"/>
              </w:rPr>
            </w:pPr>
            <w:r>
              <w:rPr>
                <w:sz w:val="22"/>
                <w:szCs w:val="22"/>
              </w:rPr>
              <w:t> </w:t>
            </w:r>
          </w:p>
        </w:tc>
      </w:tr>
      <w:tr w:rsidR="00000000" w14:paraId="0B288ECF" w14:textId="77777777">
        <w:trPr>
          <w:trHeight w:val="200"/>
          <w:tblCellSpacing w:w="15" w:type="dxa"/>
        </w:trPr>
        <w:tc>
          <w:tcPr>
            <w:tcW w:w="0" w:type="auto"/>
            <w:hideMark/>
          </w:tcPr>
          <w:p w14:paraId="4D95C631"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05E11F7E"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2881E88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AC1A4DC" w14:textId="77777777" w:rsidR="00000000" w:rsidRDefault="00832D71">
            <w:pPr>
              <w:pStyle w:val="a3"/>
              <w:spacing w:before="0" w:beforeAutospacing="0" w:after="0" w:afterAutospacing="0"/>
              <w:jc w:val="right"/>
              <w:rPr>
                <w:sz w:val="20"/>
                <w:szCs w:val="20"/>
              </w:rPr>
            </w:pPr>
            <w:r>
              <w:rPr>
                <w:sz w:val="20"/>
                <w:szCs w:val="20"/>
              </w:rPr>
              <w:t>9</w:t>
            </w:r>
            <w:r>
              <w:rPr>
                <w:sz w:val="20"/>
                <w:szCs w:val="20"/>
              </w:rPr>
              <w:t>4</w:t>
            </w:r>
          </w:p>
        </w:tc>
        <w:tc>
          <w:tcPr>
            <w:tcW w:w="0" w:type="auto"/>
            <w:noWrap/>
            <w:hideMark/>
          </w:tcPr>
          <w:p w14:paraId="11DE5967"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1A1870DA"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36AE2A0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28EDEF4" w14:textId="77777777" w:rsidR="00000000" w:rsidRDefault="00832D71">
            <w:pPr>
              <w:pStyle w:val="a3"/>
              <w:spacing w:before="0" w:beforeAutospacing="0" w:after="0" w:afterAutospacing="0"/>
              <w:jc w:val="right"/>
              <w:rPr>
                <w:sz w:val="20"/>
                <w:szCs w:val="20"/>
              </w:rPr>
            </w:pPr>
            <w:r>
              <w:rPr>
                <w:sz w:val="20"/>
                <w:szCs w:val="20"/>
              </w:rPr>
              <w:t>8</w:t>
            </w:r>
            <w:r>
              <w:rPr>
                <w:sz w:val="20"/>
                <w:szCs w:val="20"/>
              </w:rPr>
              <w:t>8</w:t>
            </w:r>
          </w:p>
        </w:tc>
        <w:tc>
          <w:tcPr>
            <w:tcW w:w="0" w:type="auto"/>
            <w:noWrap/>
            <w:hideMark/>
          </w:tcPr>
          <w:p w14:paraId="4E0C080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E9C3EF8" w14:textId="77777777" w:rsidR="00000000" w:rsidRDefault="00832D71">
            <w:pPr>
              <w:pStyle w:val="a3"/>
              <w:spacing w:before="0" w:beforeAutospacing="0" w:after="0" w:afterAutospacing="0"/>
              <w:rPr>
                <w:sz w:val="22"/>
                <w:szCs w:val="22"/>
              </w:rPr>
            </w:pPr>
            <w:r>
              <w:rPr>
                <w:sz w:val="22"/>
                <w:szCs w:val="22"/>
              </w:rPr>
              <w:t> </w:t>
            </w:r>
          </w:p>
        </w:tc>
      </w:tr>
      <w:tr w:rsidR="00000000" w14:paraId="4C647584" w14:textId="77777777">
        <w:trPr>
          <w:trHeight w:val="200"/>
          <w:tblCellSpacing w:w="15" w:type="dxa"/>
        </w:trPr>
        <w:tc>
          <w:tcPr>
            <w:tcW w:w="0" w:type="auto"/>
            <w:hideMark/>
          </w:tcPr>
          <w:p w14:paraId="2DFB3F17"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1AB02F6C"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7418027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822C2CD" w14:textId="77777777" w:rsidR="00000000" w:rsidRDefault="00832D71">
            <w:pPr>
              <w:pStyle w:val="a3"/>
              <w:spacing w:before="0" w:beforeAutospacing="0" w:after="0" w:afterAutospacing="0"/>
              <w:jc w:val="right"/>
              <w:rPr>
                <w:sz w:val="20"/>
                <w:szCs w:val="20"/>
              </w:rPr>
            </w:pPr>
            <w:r>
              <w:rPr>
                <w:sz w:val="20"/>
                <w:szCs w:val="20"/>
              </w:rPr>
              <w:t>9</w:t>
            </w:r>
            <w:r>
              <w:rPr>
                <w:sz w:val="20"/>
                <w:szCs w:val="20"/>
              </w:rPr>
              <w:t>3</w:t>
            </w:r>
          </w:p>
        </w:tc>
        <w:tc>
          <w:tcPr>
            <w:tcW w:w="0" w:type="auto"/>
            <w:noWrap/>
            <w:hideMark/>
          </w:tcPr>
          <w:p w14:paraId="4898282F"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104A7AA1"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144F270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B988498" w14:textId="77777777" w:rsidR="00000000" w:rsidRDefault="00832D71">
            <w:pPr>
              <w:pStyle w:val="a3"/>
              <w:spacing w:before="0" w:beforeAutospacing="0" w:after="0" w:afterAutospacing="0"/>
              <w:jc w:val="right"/>
              <w:rPr>
                <w:sz w:val="20"/>
                <w:szCs w:val="20"/>
              </w:rPr>
            </w:pPr>
            <w:r>
              <w:rPr>
                <w:sz w:val="20"/>
                <w:szCs w:val="20"/>
              </w:rPr>
              <w:t>8</w:t>
            </w:r>
            <w:r>
              <w:rPr>
                <w:sz w:val="20"/>
                <w:szCs w:val="20"/>
              </w:rPr>
              <w:t>6</w:t>
            </w:r>
          </w:p>
        </w:tc>
        <w:tc>
          <w:tcPr>
            <w:tcW w:w="0" w:type="auto"/>
            <w:noWrap/>
            <w:hideMark/>
          </w:tcPr>
          <w:p w14:paraId="6523814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E235444" w14:textId="77777777" w:rsidR="00000000" w:rsidRDefault="00832D71">
            <w:pPr>
              <w:pStyle w:val="a3"/>
              <w:spacing w:before="0" w:beforeAutospacing="0" w:after="0" w:afterAutospacing="0"/>
              <w:rPr>
                <w:sz w:val="22"/>
                <w:szCs w:val="22"/>
              </w:rPr>
            </w:pPr>
            <w:r>
              <w:rPr>
                <w:sz w:val="22"/>
                <w:szCs w:val="22"/>
              </w:rPr>
              <w:t> </w:t>
            </w:r>
          </w:p>
        </w:tc>
      </w:tr>
      <w:tr w:rsidR="00000000" w14:paraId="0D41767A" w14:textId="77777777">
        <w:trPr>
          <w:trHeight w:val="200"/>
          <w:tblCellSpacing w:w="15" w:type="dxa"/>
        </w:trPr>
        <w:tc>
          <w:tcPr>
            <w:tcW w:w="0" w:type="auto"/>
            <w:hideMark/>
          </w:tcPr>
          <w:p w14:paraId="44FD275D"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3EDBEF88"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1680F89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CCD9DEE" w14:textId="77777777" w:rsidR="00000000" w:rsidRDefault="00832D71">
            <w:pPr>
              <w:pStyle w:val="a3"/>
              <w:spacing w:before="0" w:beforeAutospacing="0" w:after="0" w:afterAutospacing="0"/>
              <w:jc w:val="right"/>
              <w:rPr>
                <w:sz w:val="20"/>
                <w:szCs w:val="20"/>
              </w:rPr>
            </w:pPr>
            <w:r>
              <w:rPr>
                <w:sz w:val="20"/>
                <w:szCs w:val="20"/>
              </w:rPr>
              <w:t>9</w:t>
            </w:r>
            <w:r>
              <w:rPr>
                <w:sz w:val="20"/>
                <w:szCs w:val="20"/>
              </w:rPr>
              <w:t>2</w:t>
            </w:r>
          </w:p>
        </w:tc>
        <w:tc>
          <w:tcPr>
            <w:tcW w:w="0" w:type="auto"/>
            <w:noWrap/>
            <w:hideMark/>
          </w:tcPr>
          <w:p w14:paraId="2730B4F0"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129A303C"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4039277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BACE15D" w14:textId="77777777" w:rsidR="00000000" w:rsidRDefault="00832D71">
            <w:pPr>
              <w:pStyle w:val="a3"/>
              <w:spacing w:before="0" w:beforeAutospacing="0" w:after="0" w:afterAutospacing="0"/>
              <w:jc w:val="right"/>
              <w:rPr>
                <w:sz w:val="20"/>
                <w:szCs w:val="20"/>
              </w:rPr>
            </w:pPr>
            <w:r>
              <w:rPr>
                <w:sz w:val="20"/>
                <w:szCs w:val="20"/>
              </w:rPr>
              <w:t>8</w:t>
            </w:r>
            <w:r>
              <w:rPr>
                <w:sz w:val="20"/>
                <w:szCs w:val="20"/>
              </w:rPr>
              <w:t>4</w:t>
            </w:r>
          </w:p>
        </w:tc>
        <w:tc>
          <w:tcPr>
            <w:tcW w:w="0" w:type="auto"/>
            <w:noWrap/>
            <w:hideMark/>
          </w:tcPr>
          <w:p w14:paraId="624EAFC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FB992CB" w14:textId="77777777" w:rsidR="00000000" w:rsidRDefault="00832D71">
            <w:pPr>
              <w:pStyle w:val="a3"/>
              <w:spacing w:before="0" w:beforeAutospacing="0" w:after="0" w:afterAutospacing="0"/>
              <w:rPr>
                <w:sz w:val="22"/>
                <w:szCs w:val="22"/>
              </w:rPr>
            </w:pPr>
            <w:r>
              <w:rPr>
                <w:sz w:val="22"/>
                <w:szCs w:val="22"/>
              </w:rPr>
              <w:t> </w:t>
            </w:r>
          </w:p>
        </w:tc>
      </w:tr>
      <w:tr w:rsidR="00000000" w14:paraId="435D24DE" w14:textId="77777777">
        <w:trPr>
          <w:trHeight w:val="200"/>
          <w:tblCellSpacing w:w="15" w:type="dxa"/>
        </w:trPr>
        <w:tc>
          <w:tcPr>
            <w:tcW w:w="0" w:type="auto"/>
            <w:hideMark/>
          </w:tcPr>
          <w:p w14:paraId="236ADC32"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558E34A4"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4B86668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E18E312" w14:textId="77777777" w:rsidR="00000000" w:rsidRDefault="00832D71">
            <w:pPr>
              <w:pStyle w:val="a3"/>
              <w:spacing w:before="0" w:beforeAutospacing="0" w:after="0" w:afterAutospacing="0"/>
              <w:jc w:val="right"/>
              <w:rPr>
                <w:sz w:val="20"/>
                <w:szCs w:val="20"/>
              </w:rPr>
            </w:pPr>
            <w:r>
              <w:rPr>
                <w:sz w:val="20"/>
                <w:szCs w:val="20"/>
              </w:rPr>
              <w:t>9</w:t>
            </w:r>
            <w:r>
              <w:rPr>
                <w:sz w:val="20"/>
                <w:szCs w:val="20"/>
              </w:rPr>
              <w:t>1</w:t>
            </w:r>
          </w:p>
        </w:tc>
        <w:tc>
          <w:tcPr>
            <w:tcW w:w="0" w:type="auto"/>
            <w:noWrap/>
            <w:hideMark/>
          </w:tcPr>
          <w:p w14:paraId="1BCC1E0E"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00A9C3F3"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0BCEF1F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D260693" w14:textId="77777777" w:rsidR="00000000" w:rsidRDefault="00832D71">
            <w:pPr>
              <w:pStyle w:val="a3"/>
              <w:spacing w:before="0" w:beforeAutospacing="0" w:after="0" w:afterAutospacing="0"/>
              <w:jc w:val="right"/>
              <w:rPr>
                <w:sz w:val="20"/>
                <w:szCs w:val="20"/>
              </w:rPr>
            </w:pPr>
            <w:r>
              <w:rPr>
                <w:sz w:val="20"/>
                <w:szCs w:val="20"/>
              </w:rPr>
              <w:t>8</w:t>
            </w:r>
            <w:r>
              <w:rPr>
                <w:sz w:val="20"/>
                <w:szCs w:val="20"/>
              </w:rPr>
              <w:t>2</w:t>
            </w:r>
          </w:p>
        </w:tc>
        <w:tc>
          <w:tcPr>
            <w:tcW w:w="0" w:type="auto"/>
            <w:noWrap/>
            <w:hideMark/>
          </w:tcPr>
          <w:p w14:paraId="56D6F2F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F337005" w14:textId="77777777" w:rsidR="00000000" w:rsidRDefault="00832D71">
            <w:pPr>
              <w:pStyle w:val="a3"/>
              <w:spacing w:before="0" w:beforeAutospacing="0" w:after="0" w:afterAutospacing="0"/>
              <w:rPr>
                <w:sz w:val="22"/>
                <w:szCs w:val="22"/>
              </w:rPr>
            </w:pPr>
            <w:r>
              <w:rPr>
                <w:sz w:val="22"/>
                <w:szCs w:val="22"/>
              </w:rPr>
              <w:t> </w:t>
            </w:r>
          </w:p>
        </w:tc>
      </w:tr>
      <w:tr w:rsidR="00000000" w14:paraId="5DADB9DA" w14:textId="77777777">
        <w:trPr>
          <w:trHeight w:val="200"/>
          <w:tblCellSpacing w:w="15" w:type="dxa"/>
        </w:trPr>
        <w:tc>
          <w:tcPr>
            <w:tcW w:w="0" w:type="auto"/>
            <w:hideMark/>
          </w:tcPr>
          <w:p w14:paraId="675C2333"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54BF5177"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4AA5185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AA2F6AE" w14:textId="77777777" w:rsidR="00000000" w:rsidRDefault="00832D71">
            <w:pPr>
              <w:pStyle w:val="a3"/>
              <w:spacing w:before="0" w:beforeAutospacing="0" w:after="0" w:afterAutospacing="0"/>
              <w:jc w:val="right"/>
              <w:rPr>
                <w:sz w:val="20"/>
                <w:szCs w:val="20"/>
              </w:rPr>
            </w:pPr>
            <w:r>
              <w:rPr>
                <w:sz w:val="20"/>
                <w:szCs w:val="20"/>
              </w:rPr>
              <w:t>9</w:t>
            </w:r>
            <w:r>
              <w:rPr>
                <w:sz w:val="20"/>
                <w:szCs w:val="20"/>
              </w:rPr>
              <w:t>0</w:t>
            </w:r>
          </w:p>
        </w:tc>
        <w:tc>
          <w:tcPr>
            <w:tcW w:w="0" w:type="auto"/>
            <w:noWrap/>
            <w:hideMark/>
          </w:tcPr>
          <w:p w14:paraId="18DE327A"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1F432DD1"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6F4166F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B171859" w14:textId="77777777" w:rsidR="00000000" w:rsidRDefault="00832D71">
            <w:pPr>
              <w:pStyle w:val="a3"/>
              <w:spacing w:before="0" w:beforeAutospacing="0" w:after="0" w:afterAutospacing="0"/>
              <w:jc w:val="right"/>
              <w:rPr>
                <w:sz w:val="20"/>
                <w:szCs w:val="20"/>
              </w:rPr>
            </w:pPr>
            <w:r>
              <w:rPr>
                <w:sz w:val="20"/>
                <w:szCs w:val="20"/>
              </w:rPr>
              <w:t>8</w:t>
            </w:r>
            <w:r>
              <w:rPr>
                <w:sz w:val="20"/>
                <w:szCs w:val="20"/>
              </w:rPr>
              <w:t>0</w:t>
            </w:r>
          </w:p>
        </w:tc>
        <w:tc>
          <w:tcPr>
            <w:tcW w:w="0" w:type="auto"/>
            <w:noWrap/>
            <w:hideMark/>
          </w:tcPr>
          <w:p w14:paraId="000DDE4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F1542BB" w14:textId="77777777" w:rsidR="00000000" w:rsidRDefault="00832D71">
            <w:pPr>
              <w:pStyle w:val="a3"/>
              <w:spacing w:before="0" w:beforeAutospacing="0" w:after="0" w:afterAutospacing="0"/>
              <w:rPr>
                <w:sz w:val="22"/>
                <w:szCs w:val="22"/>
              </w:rPr>
            </w:pPr>
            <w:r>
              <w:rPr>
                <w:sz w:val="22"/>
                <w:szCs w:val="22"/>
              </w:rPr>
              <w:t> </w:t>
            </w:r>
          </w:p>
        </w:tc>
      </w:tr>
      <w:tr w:rsidR="00000000" w14:paraId="50FEFABA" w14:textId="77777777">
        <w:trPr>
          <w:trHeight w:val="200"/>
          <w:tblCellSpacing w:w="15" w:type="dxa"/>
        </w:trPr>
        <w:tc>
          <w:tcPr>
            <w:tcW w:w="0" w:type="auto"/>
            <w:hideMark/>
          </w:tcPr>
          <w:p w14:paraId="6CBFD754"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16B4AA61"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2BF8FE4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A3F44EF" w14:textId="77777777" w:rsidR="00000000" w:rsidRDefault="00832D71">
            <w:pPr>
              <w:pStyle w:val="a3"/>
              <w:spacing w:before="0" w:beforeAutospacing="0" w:after="0" w:afterAutospacing="0"/>
              <w:jc w:val="right"/>
              <w:rPr>
                <w:sz w:val="20"/>
                <w:szCs w:val="20"/>
              </w:rPr>
            </w:pPr>
            <w:r>
              <w:rPr>
                <w:sz w:val="20"/>
                <w:szCs w:val="20"/>
              </w:rPr>
              <w:t>8</w:t>
            </w:r>
            <w:r>
              <w:rPr>
                <w:sz w:val="20"/>
                <w:szCs w:val="20"/>
              </w:rPr>
              <w:t>9</w:t>
            </w:r>
          </w:p>
        </w:tc>
        <w:tc>
          <w:tcPr>
            <w:tcW w:w="0" w:type="auto"/>
            <w:noWrap/>
            <w:hideMark/>
          </w:tcPr>
          <w:p w14:paraId="38442A37"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A144BF6"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67B2D6E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2EA96FC" w14:textId="77777777" w:rsidR="00000000" w:rsidRDefault="00832D71">
            <w:pPr>
              <w:pStyle w:val="a3"/>
              <w:spacing w:before="0" w:beforeAutospacing="0" w:after="0" w:afterAutospacing="0"/>
              <w:jc w:val="right"/>
              <w:rPr>
                <w:sz w:val="20"/>
                <w:szCs w:val="20"/>
              </w:rPr>
            </w:pPr>
            <w:r>
              <w:rPr>
                <w:sz w:val="20"/>
                <w:szCs w:val="20"/>
              </w:rPr>
              <w:t>7</w:t>
            </w:r>
            <w:r>
              <w:rPr>
                <w:sz w:val="20"/>
                <w:szCs w:val="20"/>
              </w:rPr>
              <w:t>7</w:t>
            </w:r>
          </w:p>
        </w:tc>
        <w:tc>
          <w:tcPr>
            <w:tcW w:w="0" w:type="auto"/>
            <w:noWrap/>
            <w:hideMark/>
          </w:tcPr>
          <w:p w14:paraId="0CAF173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4197DE1" w14:textId="77777777" w:rsidR="00000000" w:rsidRDefault="00832D71">
            <w:pPr>
              <w:pStyle w:val="a3"/>
              <w:spacing w:before="0" w:beforeAutospacing="0" w:after="0" w:afterAutospacing="0"/>
              <w:rPr>
                <w:sz w:val="22"/>
                <w:szCs w:val="22"/>
              </w:rPr>
            </w:pPr>
            <w:r>
              <w:rPr>
                <w:sz w:val="22"/>
                <w:szCs w:val="22"/>
              </w:rPr>
              <w:t> </w:t>
            </w:r>
          </w:p>
        </w:tc>
      </w:tr>
      <w:tr w:rsidR="00000000" w14:paraId="1DE7E961" w14:textId="77777777">
        <w:trPr>
          <w:trHeight w:val="200"/>
          <w:tblCellSpacing w:w="15" w:type="dxa"/>
        </w:trPr>
        <w:tc>
          <w:tcPr>
            <w:tcW w:w="0" w:type="auto"/>
            <w:hideMark/>
          </w:tcPr>
          <w:p w14:paraId="60E5912D"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61FF62DB"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1D8060E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1121C43" w14:textId="77777777" w:rsidR="00000000" w:rsidRDefault="00832D71">
            <w:pPr>
              <w:pStyle w:val="a3"/>
              <w:spacing w:before="0" w:beforeAutospacing="0" w:after="0" w:afterAutospacing="0"/>
              <w:jc w:val="right"/>
              <w:rPr>
                <w:sz w:val="20"/>
                <w:szCs w:val="20"/>
              </w:rPr>
            </w:pPr>
            <w:r>
              <w:rPr>
                <w:sz w:val="20"/>
                <w:szCs w:val="20"/>
              </w:rPr>
              <w:t>8</w:t>
            </w:r>
            <w:r>
              <w:rPr>
                <w:sz w:val="20"/>
                <w:szCs w:val="20"/>
              </w:rPr>
              <w:t>8</w:t>
            </w:r>
          </w:p>
        </w:tc>
        <w:tc>
          <w:tcPr>
            <w:tcW w:w="0" w:type="auto"/>
            <w:noWrap/>
            <w:hideMark/>
          </w:tcPr>
          <w:p w14:paraId="0ED325D6"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55F4102"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424DC16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C010719" w14:textId="77777777" w:rsidR="00000000" w:rsidRDefault="00832D71">
            <w:pPr>
              <w:pStyle w:val="a3"/>
              <w:spacing w:before="0" w:beforeAutospacing="0" w:after="0" w:afterAutospacing="0"/>
              <w:jc w:val="right"/>
              <w:rPr>
                <w:sz w:val="20"/>
                <w:szCs w:val="20"/>
              </w:rPr>
            </w:pPr>
            <w:r>
              <w:rPr>
                <w:sz w:val="20"/>
                <w:szCs w:val="20"/>
              </w:rPr>
              <w:t>7</w:t>
            </w:r>
            <w:r>
              <w:rPr>
                <w:sz w:val="20"/>
                <w:szCs w:val="20"/>
              </w:rPr>
              <w:t>4</w:t>
            </w:r>
          </w:p>
        </w:tc>
        <w:tc>
          <w:tcPr>
            <w:tcW w:w="0" w:type="auto"/>
            <w:noWrap/>
            <w:hideMark/>
          </w:tcPr>
          <w:p w14:paraId="0E7A27E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F593F8C" w14:textId="77777777" w:rsidR="00000000" w:rsidRDefault="00832D71">
            <w:pPr>
              <w:pStyle w:val="a3"/>
              <w:spacing w:before="0" w:beforeAutospacing="0" w:after="0" w:afterAutospacing="0"/>
              <w:rPr>
                <w:sz w:val="22"/>
                <w:szCs w:val="22"/>
              </w:rPr>
            </w:pPr>
            <w:r>
              <w:rPr>
                <w:sz w:val="22"/>
                <w:szCs w:val="22"/>
              </w:rPr>
              <w:t> </w:t>
            </w:r>
          </w:p>
        </w:tc>
      </w:tr>
      <w:tr w:rsidR="00000000" w14:paraId="65D26487" w14:textId="77777777">
        <w:trPr>
          <w:trHeight w:val="200"/>
          <w:tblCellSpacing w:w="15" w:type="dxa"/>
        </w:trPr>
        <w:tc>
          <w:tcPr>
            <w:tcW w:w="0" w:type="auto"/>
            <w:hideMark/>
          </w:tcPr>
          <w:p w14:paraId="64F0EA1B"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0951ECAC"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26F1345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E70B2E3" w14:textId="77777777" w:rsidR="00000000" w:rsidRDefault="00832D71">
            <w:pPr>
              <w:pStyle w:val="a3"/>
              <w:spacing w:before="0" w:beforeAutospacing="0" w:after="0" w:afterAutospacing="0"/>
              <w:jc w:val="right"/>
              <w:rPr>
                <w:sz w:val="20"/>
                <w:szCs w:val="20"/>
              </w:rPr>
            </w:pPr>
            <w:r>
              <w:rPr>
                <w:sz w:val="20"/>
                <w:szCs w:val="20"/>
              </w:rPr>
              <w:t>8</w:t>
            </w:r>
            <w:r>
              <w:rPr>
                <w:sz w:val="20"/>
                <w:szCs w:val="20"/>
              </w:rPr>
              <w:t>7</w:t>
            </w:r>
          </w:p>
        </w:tc>
        <w:tc>
          <w:tcPr>
            <w:tcW w:w="0" w:type="auto"/>
            <w:noWrap/>
            <w:hideMark/>
          </w:tcPr>
          <w:p w14:paraId="148B6F6E"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43E94F2"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2FE4D46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8B5D1CD" w14:textId="77777777" w:rsidR="00000000" w:rsidRDefault="00832D71">
            <w:pPr>
              <w:pStyle w:val="a3"/>
              <w:spacing w:before="0" w:beforeAutospacing="0" w:after="0" w:afterAutospacing="0"/>
              <w:jc w:val="right"/>
              <w:rPr>
                <w:sz w:val="20"/>
                <w:szCs w:val="20"/>
              </w:rPr>
            </w:pPr>
            <w:r>
              <w:rPr>
                <w:sz w:val="20"/>
                <w:szCs w:val="20"/>
              </w:rPr>
              <w:t>7</w:t>
            </w:r>
            <w:r>
              <w:rPr>
                <w:sz w:val="20"/>
                <w:szCs w:val="20"/>
              </w:rPr>
              <w:t>1</w:t>
            </w:r>
          </w:p>
        </w:tc>
        <w:tc>
          <w:tcPr>
            <w:tcW w:w="0" w:type="auto"/>
            <w:noWrap/>
            <w:hideMark/>
          </w:tcPr>
          <w:p w14:paraId="723EA9D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907A85A" w14:textId="77777777" w:rsidR="00000000" w:rsidRDefault="00832D71">
            <w:pPr>
              <w:pStyle w:val="a3"/>
              <w:spacing w:before="0" w:beforeAutospacing="0" w:after="0" w:afterAutospacing="0"/>
              <w:rPr>
                <w:sz w:val="22"/>
                <w:szCs w:val="22"/>
              </w:rPr>
            </w:pPr>
            <w:r>
              <w:rPr>
                <w:sz w:val="22"/>
                <w:szCs w:val="22"/>
              </w:rPr>
              <w:t> </w:t>
            </w:r>
          </w:p>
        </w:tc>
      </w:tr>
      <w:tr w:rsidR="00000000" w14:paraId="047D819D" w14:textId="77777777">
        <w:trPr>
          <w:trHeight w:val="200"/>
          <w:tblCellSpacing w:w="15" w:type="dxa"/>
        </w:trPr>
        <w:tc>
          <w:tcPr>
            <w:tcW w:w="0" w:type="auto"/>
            <w:hideMark/>
          </w:tcPr>
          <w:p w14:paraId="53677518"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30402B2"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0BE82C8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4FFE910" w14:textId="77777777" w:rsidR="00000000" w:rsidRDefault="00832D71">
            <w:pPr>
              <w:pStyle w:val="a3"/>
              <w:spacing w:before="0" w:beforeAutospacing="0" w:after="0" w:afterAutospacing="0"/>
              <w:jc w:val="right"/>
              <w:rPr>
                <w:sz w:val="20"/>
                <w:szCs w:val="20"/>
              </w:rPr>
            </w:pPr>
            <w:r>
              <w:rPr>
                <w:sz w:val="20"/>
                <w:szCs w:val="20"/>
              </w:rPr>
              <w:t>8</w:t>
            </w:r>
            <w:r>
              <w:rPr>
                <w:sz w:val="20"/>
                <w:szCs w:val="20"/>
              </w:rPr>
              <w:t>6</w:t>
            </w:r>
          </w:p>
        </w:tc>
        <w:tc>
          <w:tcPr>
            <w:tcW w:w="0" w:type="auto"/>
            <w:noWrap/>
            <w:hideMark/>
          </w:tcPr>
          <w:p w14:paraId="489CFE5A"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9D69FFB"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49C43F7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8C4A06A" w14:textId="77777777" w:rsidR="00000000" w:rsidRDefault="00832D71">
            <w:pPr>
              <w:pStyle w:val="a3"/>
              <w:spacing w:before="0" w:beforeAutospacing="0" w:after="0" w:afterAutospacing="0"/>
              <w:jc w:val="right"/>
              <w:rPr>
                <w:sz w:val="20"/>
                <w:szCs w:val="20"/>
              </w:rPr>
            </w:pPr>
            <w:r>
              <w:rPr>
                <w:sz w:val="20"/>
                <w:szCs w:val="20"/>
              </w:rPr>
              <w:t>6</w:t>
            </w:r>
            <w:r>
              <w:rPr>
                <w:sz w:val="20"/>
                <w:szCs w:val="20"/>
              </w:rPr>
              <w:t>8</w:t>
            </w:r>
          </w:p>
        </w:tc>
        <w:tc>
          <w:tcPr>
            <w:tcW w:w="0" w:type="auto"/>
            <w:noWrap/>
            <w:hideMark/>
          </w:tcPr>
          <w:p w14:paraId="7A4ABB9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00BEC86" w14:textId="77777777" w:rsidR="00000000" w:rsidRDefault="00832D71">
            <w:pPr>
              <w:pStyle w:val="a3"/>
              <w:spacing w:before="0" w:beforeAutospacing="0" w:after="0" w:afterAutospacing="0"/>
              <w:rPr>
                <w:sz w:val="22"/>
                <w:szCs w:val="22"/>
              </w:rPr>
            </w:pPr>
            <w:r>
              <w:rPr>
                <w:sz w:val="22"/>
                <w:szCs w:val="22"/>
              </w:rPr>
              <w:t> </w:t>
            </w:r>
          </w:p>
        </w:tc>
      </w:tr>
      <w:tr w:rsidR="00000000" w14:paraId="0AD4823D" w14:textId="77777777">
        <w:trPr>
          <w:trHeight w:val="200"/>
          <w:tblCellSpacing w:w="15" w:type="dxa"/>
        </w:trPr>
        <w:tc>
          <w:tcPr>
            <w:tcW w:w="0" w:type="auto"/>
            <w:hideMark/>
          </w:tcPr>
          <w:p w14:paraId="5DE20899"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370C7FF"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58B5697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29CB0CF" w14:textId="77777777" w:rsidR="00000000" w:rsidRDefault="00832D71">
            <w:pPr>
              <w:pStyle w:val="a3"/>
              <w:spacing w:before="0" w:beforeAutospacing="0" w:after="0" w:afterAutospacing="0"/>
              <w:jc w:val="right"/>
              <w:rPr>
                <w:sz w:val="20"/>
                <w:szCs w:val="20"/>
              </w:rPr>
            </w:pPr>
            <w:r>
              <w:rPr>
                <w:sz w:val="20"/>
                <w:szCs w:val="20"/>
              </w:rPr>
              <w:t>8</w:t>
            </w:r>
            <w:r>
              <w:rPr>
                <w:sz w:val="20"/>
                <w:szCs w:val="20"/>
              </w:rPr>
              <w:t>5</w:t>
            </w:r>
          </w:p>
        </w:tc>
        <w:tc>
          <w:tcPr>
            <w:tcW w:w="0" w:type="auto"/>
            <w:noWrap/>
            <w:hideMark/>
          </w:tcPr>
          <w:p w14:paraId="1037CB38"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77BEAE6"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77EF654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60E1C75" w14:textId="77777777" w:rsidR="00000000" w:rsidRDefault="00832D71">
            <w:pPr>
              <w:pStyle w:val="a3"/>
              <w:spacing w:before="0" w:beforeAutospacing="0" w:after="0" w:afterAutospacing="0"/>
              <w:jc w:val="right"/>
              <w:rPr>
                <w:sz w:val="20"/>
                <w:szCs w:val="20"/>
              </w:rPr>
            </w:pPr>
            <w:r>
              <w:rPr>
                <w:sz w:val="20"/>
                <w:szCs w:val="20"/>
              </w:rPr>
              <w:t>6</w:t>
            </w:r>
            <w:r>
              <w:rPr>
                <w:sz w:val="20"/>
                <w:szCs w:val="20"/>
              </w:rPr>
              <w:t>5</w:t>
            </w:r>
          </w:p>
        </w:tc>
        <w:tc>
          <w:tcPr>
            <w:tcW w:w="0" w:type="auto"/>
            <w:noWrap/>
            <w:hideMark/>
          </w:tcPr>
          <w:p w14:paraId="5666741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38184E8" w14:textId="77777777" w:rsidR="00000000" w:rsidRDefault="00832D71">
            <w:pPr>
              <w:pStyle w:val="a3"/>
              <w:spacing w:before="0" w:beforeAutospacing="0" w:after="0" w:afterAutospacing="0"/>
              <w:rPr>
                <w:sz w:val="22"/>
                <w:szCs w:val="22"/>
              </w:rPr>
            </w:pPr>
            <w:r>
              <w:rPr>
                <w:sz w:val="22"/>
                <w:szCs w:val="22"/>
              </w:rPr>
              <w:t> </w:t>
            </w:r>
          </w:p>
        </w:tc>
      </w:tr>
      <w:tr w:rsidR="00000000" w14:paraId="1A01B750" w14:textId="77777777">
        <w:trPr>
          <w:trHeight w:val="200"/>
          <w:tblCellSpacing w:w="15" w:type="dxa"/>
        </w:trPr>
        <w:tc>
          <w:tcPr>
            <w:tcW w:w="0" w:type="auto"/>
            <w:hideMark/>
          </w:tcPr>
          <w:p w14:paraId="15951C5B"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146D7965"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46D6E33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CD7B8C8" w14:textId="77777777" w:rsidR="00000000" w:rsidRDefault="00832D71">
            <w:pPr>
              <w:pStyle w:val="a3"/>
              <w:spacing w:before="0" w:beforeAutospacing="0" w:after="0" w:afterAutospacing="0"/>
              <w:jc w:val="right"/>
              <w:rPr>
                <w:sz w:val="20"/>
                <w:szCs w:val="20"/>
              </w:rPr>
            </w:pPr>
            <w:r>
              <w:rPr>
                <w:sz w:val="20"/>
                <w:szCs w:val="20"/>
              </w:rPr>
              <w:t>8</w:t>
            </w:r>
            <w:r>
              <w:rPr>
                <w:sz w:val="20"/>
                <w:szCs w:val="20"/>
              </w:rPr>
              <w:t>4</w:t>
            </w:r>
          </w:p>
        </w:tc>
        <w:tc>
          <w:tcPr>
            <w:tcW w:w="0" w:type="auto"/>
            <w:noWrap/>
            <w:hideMark/>
          </w:tcPr>
          <w:p w14:paraId="3AD8978A"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23A5C88"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33FC874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9DD84C7" w14:textId="77777777" w:rsidR="00000000" w:rsidRDefault="00832D71">
            <w:pPr>
              <w:pStyle w:val="a3"/>
              <w:spacing w:before="0" w:beforeAutospacing="0" w:after="0" w:afterAutospacing="0"/>
              <w:jc w:val="right"/>
              <w:rPr>
                <w:sz w:val="20"/>
                <w:szCs w:val="20"/>
              </w:rPr>
            </w:pPr>
            <w:r>
              <w:rPr>
                <w:sz w:val="20"/>
                <w:szCs w:val="20"/>
              </w:rPr>
              <w:t>6</w:t>
            </w:r>
            <w:r>
              <w:rPr>
                <w:sz w:val="20"/>
                <w:szCs w:val="20"/>
              </w:rPr>
              <w:t>2</w:t>
            </w:r>
          </w:p>
        </w:tc>
        <w:tc>
          <w:tcPr>
            <w:tcW w:w="0" w:type="auto"/>
            <w:noWrap/>
            <w:hideMark/>
          </w:tcPr>
          <w:p w14:paraId="423BC10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968F167" w14:textId="77777777" w:rsidR="00000000" w:rsidRDefault="00832D71">
            <w:pPr>
              <w:pStyle w:val="a3"/>
              <w:spacing w:before="0" w:beforeAutospacing="0" w:after="0" w:afterAutospacing="0"/>
              <w:rPr>
                <w:sz w:val="22"/>
                <w:szCs w:val="22"/>
              </w:rPr>
            </w:pPr>
            <w:r>
              <w:rPr>
                <w:sz w:val="22"/>
                <w:szCs w:val="22"/>
              </w:rPr>
              <w:t> </w:t>
            </w:r>
          </w:p>
        </w:tc>
      </w:tr>
      <w:tr w:rsidR="00000000" w14:paraId="31D2D851" w14:textId="77777777">
        <w:trPr>
          <w:trHeight w:val="200"/>
          <w:tblCellSpacing w:w="15" w:type="dxa"/>
        </w:trPr>
        <w:tc>
          <w:tcPr>
            <w:tcW w:w="0" w:type="auto"/>
            <w:hideMark/>
          </w:tcPr>
          <w:p w14:paraId="4EE2490F"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5A19ABD9"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25E2972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0CD5531" w14:textId="77777777" w:rsidR="00000000" w:rsidRDefault="00832D71">
            <w:pPr>
              <w:pStyle w:val="a3"/>
              <w:spacing w:before="0" w:beforeAutospacing="0" w:after="0" w:afterAutospacing="0"/>
              <w:jc w:val="right"/>
              <w:rPr>
                <w:sz w:val="20"/>
                <w:szCs w:val="20"/>
              </w:rPr>
            </w:pPr>
            <w:r>
              <w:rPr>
                <w:sz w:val="20"/>
                <w:szCs w:val="20"/>
              </w:rPr>
              <w:t>8</w:t>
            </w:r>
            <w:r>
              <w:rPr>
                <w:sz w:val="20"/>
                <w:szCs w:val="20"/>
              </w:rPr>
              <w:t>3</w:t>
            </w:r>
          </w:p>
        </w:tc>
        <w:tc>
          <w:tcPr>
            <w:tcW w:w="0" w:type="auto"/>
            <w:noWrap/>
            <w:hideMark/>
          </w:tcPr>
          <w:p w14:paraId="6049D7BF"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0BE694E8"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27EB310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4C545A5" w14:textId="77777777" w:rsidR="00000000" w:rsidRDefault="00832D71">
            <w:pPr>
              <w:pStyle w:val="a3"/>
              <w:spacing w:before="0" w:beforeAutospacing="0" w:after="0" w:afterAutospacing="0"/>
              <w:jc w:val="right"/>
              <w:rPr>
                <w:sz w:val="20"/>
                <w:szCs w:val="20"/>
              </w:rPr>
            </w:pPr>
            <w:r>
              <w:rPr>
                <w:sz w:val="20"/>
                <w:szCs w:val="20"/>
              </w:rPr>
              <w:t>5</w:t>
            </w:r>
            <w:r>
              <w:rPr>
                <w:sz w:val="20"/>
                <w:szCs w:val="20"/>
              </w:rPr>
              <w:t>9</w:t>
            </w:r>
          </w:p>
        </w:tc>
        <w:tc>
          <w:tcPr>
            <w:tcW w:w="0" w:type="auto"/>
            <w:noWrap/>
            <w:hideMark/>
          </w:tcPr>
          <w:p w14:paraId="1F0D8BD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5BA2964" w14:textId="77777777" w:rsidR="00000000" w:rsidRDefault="00832D71">
            <w:pPr>
              <w:pStyle w:val="a3"/>
              <w:spacing w:before="0" w:beforeAutospacing="0" w:after="0" w:afterAutospacing="0"/>
              <w:rPr>
                <w:sz w:val="22"/>
                <w:szCs w:val="22"/>
              </w:rPr>
            </w:pPr>
            <w:r>
              <w:rPr>
                <w:sz w:val="22"/>
                <w:szCs w:val="22"/>
              </w:rPr>
              <w:t> </w:t>
            </w:r>
          </w:p>
        </w:tc>
      </w:tr>
      <w:tr w:rsidR="00000000" w14:paraId="158379E7" w14:textId="77777777">
        <w:trPr>
          <w:trHeight w:val="200"/>
          <w:tblCellSpacing w:w="15" w:type="dxa"/>
        </w:trPr>
        <w:tc>
          <w:tcPr>
            <w:tcW w:w="0" w:type="auto"/>
            <w:hideMark/>
          </w:tcPr>
          <w:p w14:paraId="00C15FFD"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158C281B"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3CEB5A5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BF4B7D8" w14:textId="77777777" w:rsidR="00000000" w:rsidRDefault="00832D71">
            <w:pPr>
              <w:pStyle w:val="a3"/>
              <w:spacing w:before="0" w:beforeAutospacing="0" w:after="0" w:afterAutospacing="0"/>
              <w:jc w:val="right"/>
              <w:rPr>
                <w:sz w:val="20"/>
                <w:szCs w:val="20"/>
              </w:rPr>
            </w:pPr>
            <w:r>
              <w:rPr>
                <w:sz w:val="20"/>
                <w:szCs w:val="20"/>
              </w:rPr>
              <w:t>8</w:t>
            </w:r>
            <w:r>
              <w:rPr>
                <w:sz w:val="20"/>
                <w:szCs w:val="20"/>
              </w:rPr>
              <w:t>2</w:t>
            </w:r>
          </w:p>
        </w:tc>
        <w:tc>
          <w:tcPr>
            <w:tcW w:w="0" w:type="auto"/>
            <w:noWrap/>
            <w:hideMark/>
          </w:tcPr>
          <w:p w14:paraId="663DB687"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689049CF"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026C723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565ECDD" w14:textId="77777777" w:rsidR="00000000" w:rsidRDefault="00832D71">
            <w:pPr>
              <w:pStyle w:val="a3"/>
              <w:spacing w:before="0" w:beforeAutospacing="0" w:after="0" w:afterAutospacing="0"/>
              <w:jc w:val="right"/>
              <w:rPr>
                <w:sz w:val="20"/>
                <w:szCs w:val="20"/>
              </w:rPr>
            </w:pPr>
            <w:r>
              <w:rPr>
                <w:sz w:val="20"/>
                <w:szCs w:val="20"/>
              </w:rPr>
              <w:t>5</w:t>
            </w:r>
            <w:r>
              <w:rPr>
                <w:sz w:val="20"/>
                <w:szCs w:val="20"/>
              </w:rPr>
              <w:t>6</w:t>
            </w:r>
          </w:p>
        </w:tc>
        <w:tc>
          <w:tcPr>
            <w:tcW w:w="0" w:type="auto"/>
            <w:noWrap/>
            <w:hideMark/>
          </w:tcPr>
          <w:p w14:paraId="023CA81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C084D1E" w14:textId="77777777" w:rsidR="00000000" w:rsidRDefault="00832D71">
            <w:pPr>
              <w:pStyle w:val="a3"/>
              <w:spacing w:before="0" w:beforeAutospacing="0" w:after="0" w:afterAutospacing="0"/>
              <w:rPr>
                <w:sz w:val="22"/>
                <w:szCs w:val="22"/>
              </w:rPr>
            </w:pPr>
            <w:r>
              <w:rPr>
                <w:sz w:val="22"/>
                <w:szCs w:val="22"/>
              </w:rPr>
              <w:t> </w:t>
            </w:r>
          </w:p>
        </w:tc>
      </w:tr>
      <w:tr w:rsidR="00000000" w14:paraId="3B50D99C" w14:textId="77777777">
        <w:trPr>
          <w:trHeight w:val="200"/>
          <w:tblCellSpacing w:w="15" w:type="dxa"/>
        </w:trPr>
        <w:tc>
          <w:tcPr>
            <w:tcW w:w="0" w:type="auto"/>
            <w:hideMark/>
          </w:tcPr>
          <w:p w14:paraId="6FE86304"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12B70F6"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3A99656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9D43108" w14:textId="77777777" w:rsidR="00000000" w:rsidRDefault="00832D71">
            <w:pPr>
              <w:pStyle w:val="a3"/>
              <w:spacing w:before="0" w:beforeAutospacing="0" w:after="0" w:afterAutospacing="0"/>
              <w:jc w:val="right"/>
              <w:rPr>
                <w:sz w:val="20"/>
                <w:szCs w:val="20"/>
              </w:rPr>
            </w:pPr>
            <w:r>
              <w:rPr>
                <w:sz w:val="20"/>
                <w:szCs w:val="20"/>
              </w:rPr>
              <w:t>8</w:t>
            </w:r>
            <w:r>
              <w:rPr>
                <w:sz w:val="20"/>
                <w:szCs w:val="20"/>
              </w:rPr>
              <w:t>1</w:t>
            </w:r>
          </w:p>
        </w:tc>
        <w:tc>
          <w:tcPr>
            <w:tcW w:w="0" w:type="auto"/>
            <w:noWrap/>
            <w:hideMark/>
          </w:tcPr>
          <w:p w14:paraId="4C69C91C"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115522C6"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0A23B31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69B2752" w14:textId="77777777" w:rsidR="00000000" w:rsidRDefault="00832D71">
            <w:pPr>
              <w:pStyle w:val="a3"/>
              <w:spacing w:before="0" w:beforeAutospacing="0" w:after="0" w:afterAutospacing="0"/>
              <w:jc w:val="right"/>
              <w:rPr>
                <w:sz w:val="20"/>
                <w:szCs w:val="20"/>
              </w:rPr>
            </w:pPr>
            <w:r>
              <w:rPr>
                <w:sz w:val="20"/>
                <w:szCs w:val="20"/>
              </w:rPr>
              <w:t>5</w:t>
            </w:r>
            <w:r>
              <w:rPr>
                <w:sz w:val="20"/>
                <w:szCs w:val="20"/>
              </w:rPr>
              <w:t>3</w:t>
            </w:r>
          </w:p>
        </w:tc>
        <w:tc>
          <w:tcPr>
            <w:tcW w:w="0" w:type="auto"/>
            <w:noWrap/>
            <w:hideMark/>
          </w:tcPr>
          <w:p w14:paraId="594028B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D66C99A" w14:textId="77777777" w:rsidR="00000000" w:rsidRDefault="00832D71">
            <w:pPr>
              <w:pStyle w:val="a3"/>
              <w:spacing w:before="0" w:beforeAutospacing="0" w:after="0" w:afterAutospacing="0"/>
              <w:rPr>
                <w:sz w:val="22"/>
                <w:szCs w:val="22"/>
              </w:rPr>
            </w:pPr>
            <w:r>
              <w:rPr>
                <w:sz w:val="22"/>
                <w:szCs w:val="22"/>
              </w:rPr>
              <w:t> </w:t>
            </w:r>
          </w:p>
        </w:tc>
      </w:tr>
      <w:tr w:rsidR="00000000" w14:paraId="30D46957" w14:textId="77777777">
        <w:trPr>
          <w:trHeight w:val="200"/>
          <w:tblCellSpacing w:w="15" w:type="dxa"/>
        </w:trPr>
        <w:tc>
          <w:tcPr>
            <w:tcW w:w="0" w:type="auto"/>
            <w:hideMark/>
          </w:tcPr>
          <w:p w14:paraId="27B90626" w14:textId="77777777" w:rsidR="00000000" w:rsidRDefault="00832D71">
            <w:pPr>
              <w:pStyle w:val="a3"/>
              <w:spacing w:before="0" w:beforeAutospacing="0" w:after="0" w:afterAutospacing="0"/>
              <w:jc w:val="right"/>
              <w:rPr>
                <w:sz w:val="16"/>
                <w:szCs w:val="16"/>
              </w:rPr>
            </w:pPr>
            <w:r>
              <w:rPr>
                <w:b/>
                <w:bCs/>
                <w:sz w:val="16"/>
                <w:szCs w:val="16"/>
              </w:rPr>
              <w:t>Entr</w:t>
            </w:r>
            <w:r>
              <w:rPr>
                <w:b/>
                <w:bCs/>
                <w:sz w:val="16"/>
                <w:szCs w:val="16"/>
              </w:rPr>
              <w:t>y</w:t>
            </w:r>
          </w:p>
        </w:tc>
        <w:tc>
          <w:tcPr>
            <w:tcW w:w="0" w:type="auto"/>
            <w:hideMark/>
          </w:tcPr>
          <w:p w14:paraId="002D966E" w14:textId="77777777" w:rsidR="00000000" w:rsidRDefault="00832D71">
            <w:pPr>
              <w:pStyle w:val="a3"/>
              <w:spacing w:before="0" w:beforeAutospacing="0" w:after="0" w:afterAutospacing="0"/>
              <w:jc w:val="right"/>
              <w:rPr>
                <w:sz w:val="16"/>
                <w:szCs w:val="16"/>
              </w:rPr>
            </w:pPr>
            <w:r>
              <w:rPr>
                <w:sz w:val="16"/>
                <w:szCs w:val="16"/>
              </w:rPr>
              <w:t> </w:t>
            </w:r>
          </w:p>
        </w:tc>
        <w:tc>
          <w:tcPr>
            <w:tcW w:w="0" w:type="auto"/>
            <w:noWrap/>
            <w:hideMark/>
          </w:tcPr>
          <w:p w14:paraId="6FF0BD6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19EB7D2" w14:textId="77777777" w:rsidR="00000000" w:rsidRDefault="00832D71">
            <w:pPr>
              <w:pStyle w:val="a3"/>
              <w:spacing w:before="0" w:beforeAutospacing="0" w:after="0" w:afterAutospacing="0"/>
              <w:jc w:val="right"/>
              <w:rPr>
                <w:sz w:val="20"/>
                <w:szCs w:val="20"/>
              </w:rPr>
            </w:pPr>
            <w:r>
              <w:rPr>
                <w:sz w:val="20"/>
                <w:szCs w:val="20"/>
              </w:rPr>
              <w:t>8</w:t>
            </w:r>
            <w:r>
              <w:rPr>
                <w:sz w:val="20"/>
                <w:szCs w:val="20"/>
              </w:rPr>
              <w:t>0</w:t>
            </w:r>
          </w:p>
        </w:tc>
        <w:tc>
          <w:tcPr>
            <w:tcW w:w="0" w:type="auto"/>
            <w:noWrap/>
            <w:hideMark/>
          </w:tcPr>
          <w:p w14:paraId="40FE92FC"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0159A106"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6683091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C00B41D" w14:textId="77777777" w:rsidR="00000000" w:rsidRDefault="00832D71">
            <w:pPr>
              <w:pStyle w:val="a3"/>
              <w:spacing w:before="0" w:beforeAutospacing="0" w:after="0" w:afterAutospacing="0"/>
              <w:jc w:val="right"/>
              <w:rPr>
                <w:sz w:val="20"/>
                <w:szCs w:val="20"/>
              </w:rPr>
            </w:pPr>
            <w:r>
              <w:rPr>
                <w:sz w:val="20"/>
                <w:szCs w:val="20"/>
              </w:rPr>
              <w:t>5</w:t>
            </w:r>
            <w:r>
              <w:rPr>
                <w:sz w:val="20"/>
                <w:szCs w:val="20"/>
              </w:rPr>
              <w:t>0</w:t>
            </w:r>
          </w:p>
        </w:tc>
        <w:tc>
          <w:tcPr>
            <w:tcW w:w="0" w:type="auto"/>
            <w:noWrap/>
            <w:hideMark/>
          </w:tcPr>
          <w:p w14:paraId="520A8C0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9AB0464" w14:textId="77777777" w:rsidR="00000000" w:rsidRDefault="00832D71">
            <w:pPr>
              <w:pStyle w:val="a3"/>
              <w:spacing w:before="0" w:beforeAutospacing="0" w:after="0" w:afterAutospacing="0"/>
              <w:rPr>
                <w:sz w:val="22"/>
                <w:szCs w:val="22"/>
              </w:rPr>
            </w:pPr>
            <w:r>
              <w:rPr>
                <w:sz w:val="22"/>
                <w:szCs w:val="22"/>
              </w:rPr>
              <w:t> </w:t>
            </w:r>
          </w:p>
        </w:tc>
      </w:tr>
      <w:tr w:rsidR="00000000" w14:paraId="0DFC0F36" w14:textId="77777777">
        <w:trPr>
          <w:trHeight w:val="200"/>
          <w:tblCellSpacing w:w="15" w:type="dxa"/>
        </w:trPr>
        <w:tc>
          <w:tcPr>
            <w:tcW w:w="0" w:type="auto"/>
            <w:hideMark/>
          </w:tcPr>
          <w:p w14:paraId="5FD9EF91"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6C87A06" w14:textId="77777777" w:rsidR="00000000" w:rsidRDefault="00832D71">
            <w:pPr>
              <w:pStyle w:val="a3"/>
              <w:spacing w:before="0" w:beforeAutospacing="0" w:after="0" w:afterAutospacing="0"/>
              <w:jc w:val="right"/>
              <w:rPr>
                <w:sz w:val="16"/>
                <w:szCs w:val="16"/>
              </w:rPr>
            </w:pPr>
            <w:r>
              <w:rPr>
                <w:sz w:val="16"/>
                <w:szCs w:val="16"/>
              </w:rPr>
              <w:t> </w:t>
            </w:r>
          </w:p>
        </w:tc>
        <w:tc>
          <w:tcPr>
            <w:tcW w:w="0" w:type="auto"/>
            <w:gridSpan w:val="2"/>
            <w:hideMark/>
          </w:tcPr>
          <w:p w14:paraId="13FE04AF" w14:textId="77777777" w:rsidR="00000000" w:rsidRDefault="00832D71">
            <w:pPr>
              <w:pStyle w:val="a3"/>
              <w:spacing w:before="0" w:beforeAutospacing="0" w:after="0" w:afterAutospacing="0"/>
              <w:jc w:val="right"/>
              <w:rPr>
                <w:sz w:val="20"/>
                <w:szCs w:val="20"/>
              </w:rPr>
            </w:pPr>
            <w:r>
              <w:rPr>
                <w:sz w:val="20"/>
                <w:szCs w:val="20"/>
              </w:rPr>
              <w:t>Below 80</w:t>
            </w:r>
            <w:r>
              <w:rPr>
                <w:sz w:val="20"/>
                <w:szCs w:val="20"/>
              </w:rPr>
              <w:t>%</w:t>
            </w:r>
          </w:p>
        </w:tc>
        <w:tc>
          <w:tcPr>
            <w:tcW w:w="0" w:type="auto"/>
            <w:hideMark/>
          </w:tcPr>
          <w:p w14:paraId="13067283"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963C342"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hideMark/>
          </w:tcPr>
          <w:p w14:paraId="0346B99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B4B4840" w14:textId="77777777" w:rsidR="00000000" w:rsidRDefault="00832D71">
            <w:pPr>
              <w:pStyle w:val="a3"/>
              <w:spacing w:before="0" w:beforeAutospacing="0" w:after="0" w:afterAutospacing="0"/>
              <w:jc w:val="right"/>
              <w:rPr>
                <w:sz w:val="20"/>
                <w:szCs w:val="20"/>
              </w:rPr>
            </w:pPr>
            <w:r>
              <w:rPr>
                <w:sz w:val="20"/>
                <w:szCs w:val="20"/>
              </w:rPr>
              <w:t>0</w:t>
            </w:r>
          </w:p>
        </w:tc>
        <w:tc>
          <w:tcPr>
            <w:tcW w:w="0" w:type="auto"/>
            <w:noWrap/>
            <w:hideMark/>
          </w:tcPr>
          <w:p w14:paraId="221F8A0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EFF2A07" w14:textId="77777777" w:rsidR="00000000" w:rsidRDefault="00832D71">
            <w:pPr>
              <w:pStyle w:val="a3"/>
              <w:spacing w:before="0" w:beforeAutospacing="0" w:after="0" w:afterAutospacing="0"/>
              <w:rPr>
                <w:sz w:val="22"/>
                <w:szCs w:val="22"/>
              </w:rPr>
            </w:pPr>
            <w:r>
              <w:rPr>
                <w:sz w:val="22"/>
                <w:szCs w:val="22"/>
              </w:rPr>
              <w:t> </w:t>
            </w:r>
          </w:p>
        </w:tc>
      </w:tr>
    </w:tbl>
    <w:p w14:paraId="19E034BB" w14:textId="77777777" w:rsidR="00000000" w:rsidRDefault="00832D71">
      <w:pPr>
        <w:pStyle w:val="a3"/>
        <w:spacing w:before="0" w:beforeAutospacing="0" w:after="0" w:afterAutospacing="0"/>
        <w:rPr>
          <w:sz w:val="20"/>
          <w:szCs w:val="20"/>
        </w:rPr>
      </w:pPr>
      <w:r>
        <w:rPr>
          <w:sz w:val="20"/>
          <w:szCs w:val="20"/>
        </w:rPr>
        <w:t> </w:t>
      </w:r>
    </w:p>
    <w:p w14:paraId="4953A08E" w14:textId="77777777" w:rsidR="00000000" w:rsidRDefault="00832D71">
      <w:pPr>
        <w:pStyle w:val="a3"/>
        <w:spacing w:before="0" w:beforeAutospacing="0" w:after="0" w:afterAutospacing="0"/>
        <w:jc w:val="center"/>
        <w:rPr>
          <w:sz w:val="20"/>
          <w:szCs w:val="20"/>
        </w:rPr>
      </w:pPr>
      <w:r>
        <w:rPr>
          <w:sz w:val="20"/>
          <w:szCs w:val="20"/>
        </w:rPr>
        <w:t> </w:t>
      </w:r>
    </w:p>
    <w:p w14:paraId="28435163" w14:textId="77777777" w:rsidR="00000000" w:rsidRDefault="00832D71">
      <w:pPr>
        <w:pStyle w:val="a3"/>
        <w:spacing w:before="0" w:beforeAutospacing="0" w:after="0" w:afterAutospacing="0"/>
        <w:jc w:val="center"/>
        <w:rPr>
          <w:sz w:val="20"/>
          <w:szCs w:val="20"/>
        </w:rPr>
      </w:pPr>
      <w:r>
        <w:rPr>
          <w:sz w:val="20"/>
          <w:szCs w:val="20"/>
        </w:rPr>
        <w:t>6</w:t>
      </w:r>
      <w:r>
        <w:rPr>
          <w:sz w:val="20"/>
          <w:szCs w:val="20"/>
        </w:rPr>
        <w:t>1</w:t>
      </w:r>
    </w:p>
    <w:p w14:paraId="399608B9" w14:textId="77777777" w:rsidR="00000000" w:rsidRDefault="00832D71">
      <w:pPr>
        <w:rPr>
          <w:rFonts w:eastAsia="Times New Roman"/>
        </w:rPr>
      </w:pPr>
      <w:r>
        <w:rPr>
          <w:rFonts w:eastAsia="Times New Roman"/>
        </w:rPr>
        <w:pict w14:anchorId="52D0BEE3">
          <v:rect id="_x0000_i1088" style="width:0;height:1.5pt" o:hralign="center" o:hrstd="t" o:hr="t" fillcolor="#a0a0a0" stroked="f"/>
        </w:pict>
      </w:r>
    </w:p>
    <w:p w14:paraId="4BD97F2B"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71F065EA" w14:textId="77777777" w:rsidR="00000000" w:rsidRDefault="00832D71">
      <w:pPr>
        <w:pStyle w:val="a3"/>
        <w:spacing w:before="160" w:beforeAutospacing="0" w:after="0" w:afterAutospacing="0"/>
        <w:rPr>
          <w:sz w:val="20"/>
          <w:szCs w:val="20"/>
        </w:rPr>
      </w:pPr>
      <w:r>
        <w:rPr>
          <w:i/>
          <w:iCs/>
          <w:sz w:val="20"/>
          <w:szCs w:val="20"/>
        </w:rPr>
        <w:t>Fiscal 2022 Annual Cash Bonu</w:t>
      </w:r>
      <w:r>
        <w:rPr>
          <w:i/>
          <w:iCs/>
          <w:sz w:val="20"/>
          <w:szCs w:val="20"/>
        </w:rPr>
        <w:t>s</w:t>
      </w:r>
      <w:r>
        <w:rPr>
          <w:i/>
          <w:iCs/>
          <w:sz w:val="20"/>
          <w:szCs w:val="20"/>
        </w:rPr>
        <w:t xml:space="preserve"> </w:t>
      </w:r>
    </w:p>
    <w:p w14:paraId="2E82C549" w14:textId="77777777" w:rsidR="00000000" w:rsidRDefault="00832D71">
      <w:pPr>
        <w:pStyle w:val="a3"/>
        <w:spacing w:before="120" w:beforeAutospacing="0" w:after="0" w:afterAutospacing="0"/>
        <w:ind w:firstLine="555"/>
        <w:jc w:val="both"/>
        <w:rPr>
          <w:sz w:val="20"/>
          <w:szCs w:val="20"/>
        </w:rPr>
      </w:pPr>
      <w:r>
        <w:rPr>
          <w:sz w:val="20"/>
          <w:szCs w:val="20"/>
        </w:rPr>
        <w:t>For fiscal 2022, our Budgeted EBITDA was $275 million. Our Actual Adjusted EBITDA was such that each of our executive officers earn</w:t>
      </w:r>
      <w:r>
        <w:rPr>
          <w:sz w:val="20"/>
          <w:szCs w:val="20"/>
        </w:rPr>
        <w:t>ed 106% of his or her target cash bonus for the performance-based component of the annual cash bonus plan. During the previous two fiscal years, our Actual Adjusted EBITDA was such that each of our named executive officers earned 102% and 77% of his target</w:t>
      </w:r>
      <w:r>
        <w:rPr>
          <w:sz w:val="20"/>
          <w:szCs w:val="20"/>
        </w:rPr>
        <w:t xml:space="preserve"> cash bonus for fiscal 2021 and fiscal 2020, respectively. Additionally, for fiscal 2022, fiscal 2021 and fiscal 2020, based on the Committee’s evaluation of the qualitative scorecard-based components discussed above, the Committee awarded each of our name</w:t>
      </w:r>
      <w:r>
        <w:rPr>
          <w:sz w:val="20"/>
          <w:szCs w:val="20"/>
        </w:rPr>
        <w:t>d executive officers 24%, 25% and 0%, respectively, of the target cash bonuses for the scorecard-based component of the annual cash bonus plan. Accordingly, based on the performance of the Partnership, and the named executive officers, in fiscal 2023, 130%</w:t>
      </w:r>
      <w:r>
        <w:rPr>
          <w:sz w:val="20"/>
          <w:szCs w:val="20"/>
        </w:rPr>
        <w:t xml:space="preserve"> of target cash bonuses will be paid out in relation to fiscal 2022, in fiscal 2022, 127% of target cash bonuses were paid out in relation to fiscal 2021 and in fiscal 2021, 77% of target cash bonuses were paid out in relation to fiscal 2020</w:t>
      </w:r>
      <w:r>
        <w:rPr>
          <w:sz w:val="20"/>
          <w:szCs w:val="20"/>
        </w:rPr>
        <w:t>.</w:t>
      </w:r>
    </w:p>
    <w:p w14:paraId="69D73DFC" w14:textId="77777777" w:rsidR="00000000" w:rsidRDefault="00832D71">
      <w:pPr>
        <w:pStyle w:val="a3"/>
        <w:spacing w:before="240" w:beforeAutospacing="0" w:after="0" w:afterAutospacing="0"/>
        <w:ind w:firstLine="555"/>
        <w:jc w:val="both"/>
        <w:rPr>
          <w:sz w:val="20"/>
          <w:szCs w:val="20"/>
        </w:rPr>
      </w:pPr>
      <w:r>
        <w:rPr>
          <w:sz w:val="20"/>
          <w:szCs w:val="20"/>
        </w:rPr>
        <w:t>The fiscal 20</w:t>
      </w:r>
      <w:r>
        <w:rPr>
          <w:sz w:val="20"/>
          <w:szCs w:val="20"/>
        </w:rPr>
        <w:t>22 target cash bonus established for each named executive officer and the actual cash bonuses earned by each of them during fiscal 2022 are summarized as follows</w:t>
      </w:r>
      <w:r>
        <w:rPr>
          <w:sz w:val="20"/>
          <w:szCs w:val="20"/>
        </w:rPr>
        <w:t>:</w:t>
      </w:r>
    </w:p>
    <w:p w14:paraId="0171DCCB" w14:textId="77777777" w:rsidR="00000000" w:rsidRDefault="00832D71">
      <w:pPr>
        <w:pStyle w:val="a3"/>
        <w:spacing w:before="0" w:beforeAutospacing="0" w:after="0" w:afterAutospacing="0"/>
        <w:ind w:firstLine="555"/>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105"/>
        <w:gridCol w:w="110"/>
        <w:gridCol w:w="957"/>
        <w:gridCol w:w="110"/>
        <w:gridCol w:w="160"/>
        <w:gridCol w:w="838"/>
        <w:gridCol w:w="110"/>
        <w:gridCol w:w="110"/>
        <w:gridCol w:w="160"/>
        <w:gridCol w:w="860"/>
        <w:gridCol w:w="125"/>
      </w:tblGrid>
      <w:tr w:rsidR="00000000" w14:paraId="31F00D54" w14:textId="77777777">
        <w:trPr>
          <w:tblCellSpacing w:w="15" w:type="dxa"/>
        </w:trPr>
        <w:tc>
          <w:tcPr>
            <w:tcW w:w="2457" w:type="pct"/>
            <w:vAlign w:val="center"/>
            <w:hideMark/>
          </w:tcPr>
          <w:p w14:paraId="08300EF9" w14:textId="77777777" w:rsidR="00000000" w:rsidRDefault="00832D71">
            <w:pPr>
              <w:rPr>
                <w:sz w:val="20"/>
                <w:szCs w:val="20"/>
              </w:rPr>
            </w:pPr>
          </w:p>
        </w:tc>
        <w:tc>
          <w:tcPr>
            <w:tcW w:w="82" w:type="pct"/>
            <w:vAlign w:val="center"/>
            <w:hideMark/>
          </w:tcPr>
          <w:p w14:paraId="36BB14EA" w14:textId="77777777" w:rsidR="00000000" w:rsidRDefault="00832D71">
            <w:pPr>
              <w:rPr>
                <w:rFonts w:eastAsia="Times New Roman"/>
                <w:sz w:val="20"/>
                <w:szCs w:val="20"/>
              </w:rPr>
            </w:pPr>
          </w:p>
        </w:tc>
        <w:tc>
          <w:tcPr>
            <w:tcW w:w="761" w:type="pct"/>
            <w:vAlign w:val="center"/>
            <w:hideMark/>
          </w:tcPr>
          <w:p w14:paraId="421E2BAA" w14:textId="77777777" w:rsidR="00000000" w:rsidRDefault="00832D71">
            <w:pPr>
              <w:rPr>
                <w:rFonts w:eastAsia="Times New Roman"/>
                <w:sz w:val="20"/>
                <w:szCs w:val="20"/>
              </w:rPr>
            </w:pPr>
          </w:p>
        </w:tc>
        <w:tc>
          <w:tcPr>
            <w:tcW w:w="82" w:type="pct"/>
            <w:vAlign w:val="center"/>
            <w:hideMark/>
          </w:tcPr>
          <w:p w14:paraId="1A7DE20A" w14:textId="77777777" w:rsidR="00000000" w:rsidRDefault="00832D71">
            <w:pPr>
              <w:rPr>
                <w:rFonts w:eastAsia="Times New Roman"/>
                <w:sz w:val="20"/>
                <w:szCs w:val="20"/>
              </w:rPr>
            </w:pPr>
          </w:p>
        </w:tc>
        <w:tc>
          <w:tcPr>
            <w:tcW w:w="50" w:type="pct"/>
            <w:vAlign w:val="center"/>
            <w:hideMark/>
          </w:tcPr>
          <w:p w14:paraId="6A5565D5" w14:textId="77777777" w:rsidR="00000000" w:rsidRDefault="00832D71">
            <w:pPr>
              <w:rPr>
                <w:rFonts w:eastAsia="Times New Roman"/>
                <w:sz w:val="20"/>
                <w:szCs w:val="20"/>
              </w:rPr>
            </w:pPr>
          </w:p>
        </w:tc>
        <w:tc>
          <w:tcPr>
            <w:tcW w:w="666" w:type="pct"/>
            <w:vAlign w:val="center"/>
            <w:hideMark/>
          </w:tcPr>
          <w:p w14:paraId="6930922A" w14:textId="77777777" w:rsidR="00000000" w:rsidRDefault="00832D71">
            <w:pPr>
              <w:rPr>
                <w:rFonts w:eastAsia="Times New Roman"/>
                <w:sz w:val="20"/>
                <w:szCs w:val="20"/>
              </w:rPr>
            </w:pPr>
          </w:p>
        </w:tc>
        <w:tc>
          <w:tcPr>
            <w:tcW w:w="50" w:type="pct"/>
            <w:vAlign w:val="center"/>
            <w:hideMark/>
          </w:tcPr>
          <w:p w14:paraId="076443C8" w14:textId="77777777" w:rsidR="00000000" w:rsidRDefault="00832D71">
            <w:pPr>
              <w:rPr>
                <w:rFonts w:eastAsia="Times New Roman"/>
                <w:sz w:val="20"/>
                <w:szCs w:val="20"/>
              </w:rPr>
            </w:pPr>
          </w:p>
        </w:tc>
        <w:tc>
          <w:tcPr>
            <w:tcW w:w="82" w:type="pct"/>
            <w:vAlign w:val="center"/>
            <w:hideMark/>
          </w:tcPr>
          <w:p w14:paraId="2C890010" w14:textId="77777777" w:rsidR="00000000" w:rsidRDefault="00832D71">
            <w:pPr>
              <w:rPr>
                <w:rFonts w:eastAsia="Times New Roman"/>
                <w:sz w:val="20"/>
                <w:szCs w:val="20"/>
              </w:rPr>
            </w:pPr>
          </w:p>
        </w:tc>
        <w:tc>
          <w:tcPr>
            <w:tcW w:w="50" w:type="pct"/>
            <w:vAlign w:val="center"/>
            <w:hideMark/>
          </w:tcPr>
          <w:p w14:paraId="1ED42654" w14:textId="77777777" w:rsidR="00000000" w:rsidRDefault="00832D71">
            <w:pPr>
              <w:rPr>
                <w:rFonts w:eastAsia="Times New Roman"/>
                <w:sz w:val="20"/>
                <w:szCs w:val="20"/>
              </w:rPr>
            </w:pPr>
          </w:p>
        </w:tc>
        <w:tc>
          <w:tcPr>
            <w:tcW w:w="666" w:type="pct"/>
            <w:vAlign w:val="center"/>
            <w:hideMark/>
          </w:tcPr>
          <w:p w14:paraId="4BCF270D" w14:textId="77777777" w:rsidR="00000000" w:rsidRDefault="00832D71">
            <w:pPr>
              <w:rPr>
                <w:rFonts w:eastAsia="Times New Roman"/>
                <w:sz w:val="20"/>
                <w:szCs w:val="20"/>
              </w:rPr>
            </w:pPr>
          </w:p>
        </w:tc>
        <w:tc>
          <w:tcPr>
            <w:tcW w:w="50" w:type="pct"/>
            <w:vAlign w:val="center"/>
            <w:hideMark/>
          </w:tcPr>
          <w:p w14:paraId="651A02F3" w14:textId="77777777" w:rsidR="00000000" w:rsidRDefault="00832D71">
            <w:pPr>
              <w:rPr>
                <w:rFonts w:eastAsia="Times New Roman"/>
                <w:sz w:val="20"/>
                <w:szCs w:val="20"/>
              </w:rPr>
            </w:pPr>
          </w:p>
        </w:tc>
      </w:tr>
      <w:tr w:rsidR="00000000" w14:paraId="0FD09364" w14:textId="77777777">
        <w:trPr>
          <w:trHeight w:val="160"/>
          <w:tblCellSpacing w:w="15" w:type="dxa"/>
        </w:trPr>
        <w:tc>
          <w:tcPr>
            <w:tcW w:w="0" w:type="auto"/>
            <w:vAlign w:val="bottom"/>
            <w:hideMark/>
          </w:tcPr>
          <w:p w14:paraId="613C1C51"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5A17303B"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6A23B59" w14:textId="77777777" w:rsidR="00000000" w:rsidRDefault="00832D71">
            <w:pPr>
              <w:pStyle w:val="a3"/>
              <w:spacing w:before="0" w:beforeAutospacing="0" w:after="0" w:afterAutospacing="0"/>
              <w:jc w:val="center"/>
              <w:rPr>
                <w:sz w:val="16"/>
                <w:szCs w:val="16"/>
              </w:rPr>
            </w:pPr>
            <w:r>
              <w:rPr>
                <w:b/>
                <w:bCs/>
                <w:sz w:val="16"/>
                <w:szCs w:val="16"/>
              </w:rPr>
              <w:t>Fiscal 2022 Target Cash Bonus as a Percentage of Base Salar</w:t>
            </w:r>
            <w:r>
              <w:rPr>
                <w:b/>
                <w:bCs/>
                <w:sz w:val="16"/>
                <w:szCs w:val="16"/>
              </w:rPr>
              <w:t>y</w:t>
            </w:r>
          </w:p>
        </w:tc>
        <w:tc>
          <w:tcPr>
            <w:tcW w:w="0" w:type="auto"/>
            <w:hideMark/>
          </w:tcPr>
          <w:p w14:paraId="58CB9F1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6A34CCA" w14:textId="77777777" w:rsidR="00000000" w:rsidRDefault="00832D71">
            <w:pPr>
              <w:pStyle w:val="a3"/>
              <w:spacing w:before="0" w:beforeAutospacing="0" w:after="0" w:afterAutospacing="0"/>
              <w:jc w:val="center"/>
              <w:rPr>
                <w:sz w:val="16"/>
                <w:szCs w:val="16"/>
              </w:rPr>
            </w:pPr>
            <w:r>
              <w:rPr>
                <w:b/>
                <w:bCs/>
                <w:sz w:val="16"/>
                <w:szCs w:val="16"/>
              </w:rPr>
              <w:t>Fiscal 2022 Target Cash Bonu</w:t>
            </w:r>
            <w:r>
              <w:rPr>
                <w:b/>
                <w:bCs/>
                <w:sz w:val="16"/>
                <w:szCs w:val="16"/>
              </w:rPr>
              <w:t>s</w:t>
            </w:r>
          </w:p>
        </w:tc>
        <w:tc>
          <w:tcPr>
            <w:tcW w:w="0" w:type="auto"/>
            <w:vAlign w:val="bottom"/>
            <w:hideMark/>
          </w:tcPr>
          <w:p w14:paraId="11C59888"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479674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07B1E41" w14:textId="77777777" w:rsidR="00000000" w:rsidRDefault="00832D71">
            <w:pPr>
              <w:pStyle w:val="a3"/>
              <w:spacing w:before="0" w:beforeAutospacing="0" w:after="0" w:afterAutospacing="0"/>
              <w:jc w:val="center"/>
              <w:rPr>
                <w:sz w:val="16"/>
                <w:szCs w:val="16"/>
              </w:rPr>
            </w:pPr>
            <w:r>
              <w:rPr>
                <w:b/>
                <w:bCs/>
                <w:sz w:val="16"/>
                <w:szCs w:val="16"/>
              </w:rPr>
              <w:t>Fiscal 2022 Actual Cash Bonus Earned at 130</w:t>
            </w:r>
            <w:r>
              <w:rPr>
                <w:b/>
                <w:bCs/>
                <w:sz w:val="16"/>
                <w:szCs w:val="16"/>
              </w:rPr>
              <w:t>%</w:t>
            </w:r>
          </w:p>
        </w:tc>
        <w:tc>
          <w:tcPr>
            <w:tcW w:w="0" w:type="auto"/>
            <w:vAlign w:val="bottom"/>
            <w:hideMark/>
          </w:tcPr>
          <w:p w14:paraId="2E445DD5"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ACEA129" w14:textId="77777777">
        <w:trPr>
          <w:trHeight w:val="200"/>
          <w:tblCellSpacing w:w="15" w:type="dxa"/>
        </w:trPr>
        <w:tc>
          <w:tcPr>
            <w:tcW w:w="0" w:type="auto"/>
            <w:hideMark/>
          </w:tcPr>
          <w:p w14:paraId="4FB32317" w14:textId="77777777" w:rsidR="00000000" w:rsidRDefault="00832D71">
            <w:pPr>
              <w:pStyle w:val="a3"/>
              <w:spacing w:before="0" w:beforeAutospacing="0" w:after="0" w:afterAutospacing="0"/>
              <w:rPr>
                <w:sz w:val="20"/>
                <w:szCs w:val="20"/>
              </w:rPr>
            </w:pPr>
            <w:r>
              <w:rPr>
                <w:sz w:val="20"/>
                <w:szCs w:val="20"/>
              </w:rPr>
              <w:t>Michael A. Stival</w:t>
            </w:r>
            <w:r>
              <w:rPr>
                <w:sz w:val="20"/>
                <w:szCs w:val="20"/>
              </w:rPr>
              <w:t>a</w:t>
            </w:r>
          </w:p>
        </w:tc>
        <w:tc>
          <w:tcPr>
            <w:tcW w:w="0" w:type="auto"/>
            <w:hideMark/>
          </w:tcPr>
          <w:p w14:paraId="2656194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01560AF" w14:textId="77777777" w:rsidR="00000000" w:rsidRDefault="00832D71">
            <w:pPr>
              <w:pStyle w:val="a3"/>
              <w:spacing w:before="0" w:beforeAutospacing="0" w:after="0" w:afterAutospacing="0"/>
              <w:jc w:val="center"/>
              <w:rPr>
                <w:sz w:val="20"/>
                <w:szCs w:val="20"/>
              </w:rPr>
            </w:pPr>
            <w:r>
              <w:rPr>
                <w:sz w:val="20"/>
                <w:szCs w:val="20"/>
              </w:rPr>
              <w:t>120</w:t>
            </w:r>
            <w:r>
              <w:rPr>
                <w:sz w:val="20"/>
                <w:szCs w:val="20"/>
              </w:rPr>
              <w:t>%</w:t>
            </w:r>
          </w:p>
        </w:tc>
        <w:tc>
          <w:tcPr>
            <w:tcW w:w="0" w:type="auto"/>
            <w:hideMark/>
          </w:tcPr>
          <w:p w14:paraId="5F2AFEE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F80C76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A6E365F" w14:textId="77777777" w:rsidR="00000000" w:rsidRDefault="00832D71">
            <w:pPr>
              <w:pStyle w:val="a3"/>
              <w:spacing w:before="0" w:beforeAutospacing="0" w:after="0" w:afterAutospacing="0"/>
              <w:jc w:val="right"/>
              <w:rPr>
                <w:sz w:val="20"/>
                <w:szCs w:val="20"/>
              </w:rPr>
            </w:pPr>
            <w:r>
              <w:rPr>
                <w:sz w:val="20"/>
                <w:szCs w:val="20"/>
              </w:rPr>
              <w:t>984,00</w:t>
            </w:r>
            <w:r>
              <w:rPr>
                <w:sz w:val="20"/>
                <w:szCs w:val="20"/>
              </w:rPr>
              <w:t>0</w:t>
            </w:r>
          </w:p>
        </w:tc>
        <w:tc>
          <w:tcPr>
            <w:tcW w:w="0" w:type="auto"/>
            <w:noWrap/>
            <w:vAlign w:val="bottom"/>
            <w:hideMark/>
          </w:tcPr>
          <w:p w14:paraId="5128BBB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2B565B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40B22D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A43C53A" w14:textId="77777777" w:rsidR="00000000" w:rsidRDefault="00832D71">
            <w:pPr>
              <w:pStyle w:val="a3"/>
              <w:spacing w:before="0" w:beforeAutospacing="0" w:after="0" w:afterAutospacing="0"/>
              <w:jc w:val="right"/>
              <w:rPr>
                <w:sz w:val="20"/>
                <w:szCs w:val="20"/>
              </w:rPr>
            </w:pPr>
            <w:r>
              <w:rPr>
                <w:sz w:val="20"/>
                <w:szCs w:val="20"/>
              </w:rPr>
              <w:t>1,279,20</w:t>
            </w:r>
            <w:r>
              <w:rPr>
                <w:sz w:val="20"/>
                <w:szCs w:val="20"/>
              </w:rPr>
              <w:t>0</w:t>
            </w:r>
          </w:p>
        </w:tc>
        <w:tc>
          <w:tcPr>
            <w:tcW w:w="0" w:type="auto"/>
            <w:noWrap/>
            <w:vAlign w:val="bottom"/>
            <w:hideMark/>
          </w:tcPr>
          <w:p w14:paraId="74F23455" w14:textId="77777777" w:rsidR="00000000" w:rsidRDefault="00832D71">
            <w:pPr>
              <w:pStyle w:val="a3"/>
              <w:spacing w:before="0" w:beforeAutospacing="0" w:after="0" w:afterAutospacing="0"/>
              <w:rPr>
                <w:sz w:val="20"/>
                <w:szCs w:val="20"/>
              </w:rPr>
            </w:pPr>
            <w:r>
              <w:rPr>
                <w:sz w:val="20"/>
                <w:szCs w:val="20"/>
              </w:rPr>
              <w:t> </w:t>
            </w:r>
          </w:p>
        </w:tc>
      </w:tr>
      <w:tr w:rsidR="00000000" w14:paraId="09093202" w14:textId="77777777">
        <w:trPr>
          <w:trHeight w:val="200"/>
          <w:tblCellSpacing w:w="15" w:type="dxa"/>
        </w:trPr>
        <w:tc>
          <w:tcPr>
            <w:tcW w:w="0" w:type="auto"/>
            <w:hideMark/>
          </w:tcPr>
          <w:p w14:paraId="3409542C" w14:textId="77777777" w:rsidR="00000000" w:rsidRDefault="00832D71">
            <w:pPr>
              <w:pStyle w:val="a3"/>
              <w:spacing w:before="0" w:beforeAutospacing="0" w:after="0" w:afterAutospacing="0"/>
              <w:rPr>
                <w:sz w:val="20"/>
                <w:szCs w:val="20"/>
              </w:rPr>
            </w:pPr>
            <w:r>
              <w:rPr>
                <w:sz w:val="20"/>
                <w:szCs w:val="20"/>
              </w:rPr>
              <w:t>Michael A. Kugli</w:t>
            </w:r>
            <w:r>
              <w:rPr>
                <w:sz w:val="20"/>
                <w:szCs w:val="20"/>
              </w:rPr>
              <w:t>n</w:t>
            </w:r>
          </w:p>
        </w:tc>
        <w:tc>
          <w:tcPr>
            <w:tcW w:w="0" w:type="auto"/>
            <w:hideMark/>
          </w:tcPr>
          <w:p w14:paraId="64EEF14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DAA1937" w14:textId="77777777" w:rsidR="00000000" w:rsidRDefault="00832D71">
            <w:pPr>
              <w:pStyle w:val="a3"/>
              <w:spacing w:before="0" w:beforeAutospacing="0" w:after="0" w:afterAutospacing="0"/>
              <w:jc w:val="center"/>
              <w:rPr>
                <w:sz w:val="20"/>
                <w:szCs w:val="20"/>
              </w:rPr>
            </w:pPr>
            <w:r>
              <w:rPr>
                <w:sz w:val="20"/>
                <w:szCs w:val="20"/>
              </w:rPr>
              <w:t>80</w:t>
            </w:r>
            <w:r>
              <w:rPr>
                <w:sz w:val="20"/>
                <w:szCs w:val="20"/>
              </w:rPr>
              <w:t>%</w:t>
            </w:r>
          </w:p>
        </w:tc>
        <w:tc>
          <w:tcPr>
            <w:tcW w:w="0" w:type="auto"/>
            <w:hideMark/>
          </w:tcPr>
          <w:p w14:paraId="41961B3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69EC45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3DF9374" w14:textId="77777777" w:rsidR="00000000" w:rsidRDefault="00832D71">
            <w:pPr>
              <w:pStyle w:val="a3"/>
              <w:spacing w:before="0" w:beforeAutospacing="0" w:after="0" w:afterAutospacing="0"/>
              <w:jc w:val="right"/>
              <w:rPr>
                <w:sz w:val="20"/>
                <w:szCs w:val="20"/>
              </w:rPr>
            </w:pPr>
            <w:r>
              <w:rPr>
                <w:sz w:val="20"/>
                <w:szCs w:val="20"/>
              </w:rPr>
              <w:t>360,00</w:t>
            </w:r>
            <w:r>
              <w:rPr>
                <w:sz w:val="20"/>
                <w:szCs w:val="20"/>
              </w:rPr>
              <w:t>0</w:t>
            </w:r>
          </w:p>
        </w:tc>
        <w:tc>
          <w:tcPr>
            <w:tcW w:w="0" w:type="auto"/>
            <w:noWrap/>
            <w:vAlign w:val="bottom"/>
            <w:hideMark/>
          </w:tcPr>
          <w:p w14:paraId="33288C0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591B06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12A406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CF5A475" w14:textId="77777777" w:rsidR="00000000" w:rsidRDefault="00832D71">
            <w:pPr>
              <w:pStyle w:val="a3"/>
              <w:spacing w:before="0" w:beforeAutospacing="0" w:after="0" w:afterAutospacing="0"/>
              <w:jc w:val="right"/>
              <w:rPr>
                <w:sz w:val="20"/>
                <w:szCs w:val="20"/>
              </w:rPr>
            </w:pPr>
            <w:r>
              <w:rPr>
                <w:sz w:val="20"/>
                <w:szCs w:val="20"/>
              </w:rPr>
              <w:t>468,00</w:t>
            </w:r>
            <w:r>
              <w:rPr>
                <w:sz w:val="20"/>
                <w:szCs w:val="20"/>
              </w:rPr>
              <w:t>0</w:t>
            </w:r>
          </w:p>
        </w:tc>
        <w:tc>
          <w:tcPr>
            <w:tcW w:w="0" w:type="auto"/>
            <w:noWrap/>
            <w:vAlign w:val="bottom"/>
            <w:hideMark/>
          </w:tcPr>
          <w:p w14:paraId="36B2EBB4" w14:textId="77777777" w:rsidR="00000000" w:rsidRDefault="00832D71">
            <w:pPr>
              <w:pStyle w:val="a3"/>
              <w:spacing w:before="0" w:beforeAutospacing="0" w:after="0" w:afterAutospacing="0"/>
              <w:rPr>
                <w:sz w:val="20"/>
                <w:szCs w:val="20"/>
              </w:rPr>
            </w:pPr>
            <w:r>
              <w:rPr>
                <w:sz w:val="20"/>
                <w:szCs w:val="20"/>
              </w:rPr>
              <w:t> </w:t>
            </w:r>
          </w:p>
        </w:tc>
      </w:tr>
      <w:tr w:rsidR="00000000" w14:paraId="5989EC35" w14:textId="77777777">
        <w:trPr>
          <w:trHeight w:val="200"/>
          <w:tblCellSpacing w:w="15" w:type="dxa"/>
        </w:trPr>
        <w:tc>
          <w:tcPr>
            <w:tcW w:w="0" w:type="auto"/>
            <w:hideMark/>
          </w:tcPr>
          <w:p w14:paraId="40D0337E" w14:textId="77777777" w:rsidR="00000000" w:rsidRDefault="00832D71">
            <w:pPr>
              <w:pStyle w:val="a3"/>
              <w:spacing w:before="0" w:beforeAutospacing="0" w:after="0" w:afterAutospacing="0"/>
              <w:rPr>
                <w:sz w:val="20"/>
                <w:szCs w:val="20"/>
              </w:rPr>
            </w:pPr>
            <w:r>
              <w:rPr>
                <w:sz w:val="20"/>
                <w:szCs w:val="20"/>
              </w:rPr>
              <w:t>Steven C. Boy</w:t>
            </w:r>
            <w:r>
              <w:rPr>
                <w:sz w:val="20"/>
                <w:szCs w:val="20"/>
              </w:rPr>
              <w:t>d</w:t>
            </w:r>
          </w:p>
        </w:tc>
        <w:tc>
          <w:tcPr>
            <w:tcW w:w="0" w:type="auto"/>
            <w:hideMark/>
          </w:tcPr>
          <w:p w14:paraId="0E544E8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3555E25" w14:textId="77777777" w:rsidR="00000000" w:rsidRDefault="00832D71">
            <w:pPr>
              <w:pStyle w:val="a3"/>
              <w:spacing w:before="0" w:beforeAutospacing="0" w:after="0" w:afterAutospacing="0"/>
              <w:jc w:val="center"/>
              <w:rPr>
                <w:sz w:val="20"/>
                <w:szCs w:val="20"/>
              </w:rPr>
            </w:pPr>
            <w:r>
              <w:rPr>
                <w:sz w:val="20"/>
                <w:szCs w:val="20"/>
              </w:rPr>
              <w:t>80</w:t>
            </w:r>
            <w:r>
              <w:rPr>
                <w:sz w:val="20"/>
                <w:szCs w:val="20"/>
              </w:rPr>
              <w:t>%</w:t>
            </w:r>
          </w:p>
        </w:tc>
        <w:tc>
          <w:tcPr>
            <w:tcW w:w="0" w:type="auto"/>
            <w:hideMark/>
          </w:tcPr>
          <w:p w14:paraId="0D0987C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1AA00E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1F19F8C" w14:textId="77777777" w:rsidR="00000000" w:rsidRDefault="00832D71">
            <w:pPr>
              <w:pStyle w:val="a3"/>
              <w:spacing w:before="0" w:beforeAutospacing="0" w:after="0" w:afterAutospacing="0"/>
              <w:jc w:val="right"/>
              <w:rPr>
                <w:sz w:val="20"/>
                <w:szCs w:val="20"/>
              </w:rPr>
            </w:pPr>
            <w:r>
              <w:rPr>
                <w:sz w:val="20"/>
                <w:szCs w:val="20"/>
              </w:rPr>
              <w:t>368,00</w:t>
            </w:r>
            <w:r>
              <w:rPr>
                <w:sz w:val="20"/>
                <w:szCs w:val="20"/>
              </w:rPr>
              <w:t>0</w:t>
            </w:r>
          </w:p>
        </w:tc>
        <w:tc>
          <w:tcPr>
            <w:tcW w:w="0" w:type="auto"/>
            <w:noWrap/>
            <w:vAlign w:val="bottom"/>
            <w:hideMark/>
          </w:tcPr>
          <w:p w14:paraId="1D827A7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1A1722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9A47E1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684DB04" w14:textId="77777777" w:rsidR="00000000" w:rsidRDefault="00832D71">
            <w:pPr>
              <w:pStyle w:val="a3"/>
              <w:spacing w:before="0" w:beforeAutospacing="0" w:after="0" w:afterAutospacing="0"/>
              <w:jc w:val="right"/>
              <w:rPr>
                <w:sz w:val="20"/>
                <w:szCs w:val="20"/>
              </w:rPr>
            </w:pPr>
            <w:r>
              <w:rPr>
                <w:sz w:val="20"/>
                <w:szCs w:val="20"/>
              </w:rPr>
              <w:t>478,40</w:t>
            </w:r>
            <w:r>
              <w:rPr>
                <w:sz w:val="20"/>
                <w:szCs w:val="20"/>
              </w:rPr>
              <w:t>0</w:t>
            </w:r>
          </w:p>
        </w:tc>
        <w:tc>
          <w:tcPr>
            <w:tcW w:w="0" w:type="auto"/>
            <w:noWrap/>
            <w:vAlign w:val="bottom"/>
            <w:hideMark/>
          </w:tcPr>
          <w:p w14:paraId="41D312ED" w14:textId="77777777" w:rsidR="00000000" w:rsidRDefault="00832D71">
            <w:pPr>
              <w:pStyle w:val="a3"/>
              <w:spacing w:before="0" w:beforeAutospacing="0" w:after="0" w:afterAutospacing="0"/>
              <w:rPr>
                <w:sz w:val="20"/>
                <w:szCs w:val="20"/>
              </w:rPr>
            </w:pPr>
            <w:r>
              <w:rPr>
                <w:sz w:val="20"/>
                <w:szCs w:val="20"/>
              </w:rPr>
              <w:t> </w:t>
            </w:r>
          </w:p>
        </w:tc>
      </w:tr>
      <w:tr w:rsidR="00000000" w14:paraId="321780BD" w14:textId="77777777">
        <w:trPr>
          <w:trHeight w:val="200"/>
          <w:tblCellSpacing w:w="15" w:type="dxa"/>
        </w:trPr>
        <w:tc>
          <w:tcPr>
            <w:tcW w:w="0" w:type="auto"/>
            <w:hideMark/>
          </w:tcPr>
          <w:p w14:paraId="1B378C7E" w14:textId="77777777" w:rsidR="00000000" w:rsidRDefault="00832D71">
            <w:pPr>
              <w:pStyle w:val="a3"/>
              <w:spacing w:before="0" w:beforeAutospacing="0" w:after="0" w:afterAutospacing="0"/>
              <w:rPr>
                <w:sz w:val="20"/>
                <w:szCs w:val="20"/>
              </w:rPr>
            </w:pPr>
            <w:r>
              <w:rPr>
                <w:sz w:val="20"/>
                <w:szCs w:val="20"/>
              </w:rPr>
              <w:t>Douglas T. Brinkwort</w:t>
            </w:r>
            <w:r>
              <w:rPr>
                <w:sz w:val="20"/>
                <w:szCs w:val="20"/>
              </w:rPr>
              <w:t>h</w:t>
            </w:r>
          </w:p>
        </w:tc>
        <w:tc>
          <w:tcPr>
            <w:tcW w:w="0" w:type="auto"/>
            <w:hideMark/>
          </w:tcPr>
          <w:p w14:paraId="3D156C1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9E01ED8" w14:textId="77777777" w:rsidR="00000000" w:rsidRDefault="00832D71">
            <w:pPr>
              <w:pStyle w:val="a3"/>
              <w:spacing w:before="0" w:beforeAutospacing="0" w:after="0" w:afterAutospacing="0"/>
              <w:jc w:val="center"/>
              <w:rPr>
                <w:sz w:val="20"/>
                <w:szCs w:val="20"/>
              </w:rPr>
            </w:pPr>
            <w:r>
              <w:rPr>
                <w:sz w:val="20"/>
                <w:szCs w:val="20"/>
              </w:rPr>
              <w:t>80</w:t>
            </w:r>
            <w:r>
              <w:rPr>
                <w:sz w:val="20"/>
                <w:szCs w:val="20"/>
              </w:rPr>
              <w:t>%</w:t>
            </w:r>
          </w:p>
        </w:tc>
        <w:tc>
          <w:tcPr>
            <w:tcW w:w="0" w:type="auto"/>
            <w:hideMark/>
          </w:tcPr>
          <w:p w14:paraId="260C2DA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C40D3D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E0C777D" w14:textId="77777777" w:rsidR="00000000" w:rsidRDefault="00832D71">
            <w:pPr>
              <w:pStyle w:val="a3"/>
              <w:spacing w:before="0" w:beforeAutospacing="0" w:after="0" w:afterAutospacing="0"/>
              <w:jc w:val="right"/>
              <w:rPr>
                <w:sz w:val="20"/>
                <w:szCs w:val="20"/>
              </w:rPr>
            </w:pPr>
            <w:r>
              <w:rPr>
                <w:sz w:val="20"/>
                <w:szCs w:val="20"/>
              </w:rPr>
              <w:t>320,00</w:t>
            </w:r>
            <w:r>
              <w:rPr>
                <w:sz w:val="20"/>
                <w:szCs w:val="20"/>
              </w:rPr>
              <w:t>0</w:t>
            </w:r>
          </w:p>
        </w:tc>
        <w:tc>
          <w:tcPr>
            <w:tcW w:w="0" w:type="auto"/>
            <w:noWrap/>
            <w:vAlign w:val="bottom"/>
            <w:hideMark/>
          </w:tcPr>
          <w:p w14:paraId="5F50C4B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8974CD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F6B9BF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E4B0D9F" w14:textId="77777777" w:rsidR="00000000" w:rsidRDefault="00832D71">
            <w:pPr>
              <w:pStyle w:val="a3"/>
              <w:spacing w:before="0" w:beforeAutospacing="0" w:after="0" w:afterAutospacing="0"/>
              <w:jc w:val="right"/>
              <w:rPr>
                <w:sz w:val="20"/>
                <w:szCs w:val="20"/>
              </w:rPr>
            </w:pPr>
            <w:r>
              <w:rPr>
                <w:sz w:val="20"/>
                <w:szCs w:val="20"/>
              </w:rPr>
              <w:t>416,00</w:t>
            </w:r>
            <w:r>
              <w:rPr>
                <w:sz w:val="20"/>
                <w:szCs w:val="20"/>
              </w:rPr>
              <w:t>0</w:t>
            </w:r>
          </w:p>
        </w:tc>
        <w:tc>
          <w:tcPr>
            <w:tcW w:w="0" w:type="auto"/>
            <w:noWrap/>
            <w:vAlign w:val="bottom"/>
            <w:hideMark/>
          </w:tcPr>
          <w:p w14:paraId="20568420" w14:textId="77777777" w:rsidR="00000000" w:rsidRDefault="00832D71">
            <w:pPr>
              <w:pStyle w:val="a3"/>
              <w:spacing w:before="0" w:beforeAutospacing="0" w:after="0" w:afterAutospacing="0"/>
              <w:rPr>
                <w:sz w:val="20"/>
                <w:szCs w:val="20"/>
              </w:rPr>
            </w:pPr>
            <w:r>
              <w:rPr>
                <w:sz w:val="20"/>
                <w:szCs w:val="20"/>
              </w:rPr>
              <w:t> </w:t>
            </w:r>
          </w:p>
        </w:tc>
      </w:tr>
      <w:tr w:rsidR="00000000" w14:paraId="2BF369F0" w14:textId="77777777">
        <w:trPr>
          <w:trHeight w:val="200"/>
          <w:tblCellSpacing w:w="15" w:type="dxa"/>
        </w:trPr>
        <w:tc>
          <w:tcPr>
            <w:tcW w:w="0" w:type="auto"/>
            <w:hideMark/>
          </w:tcPr>
          <w:p w14:paraId="4AB2A694" w14:textId="77777777" w:rsidR="00000000" w:rsidRDefault="00832D71">
            <w:pPr>
              <w:pStyle w:val="a3"/>
              <w:spacing w:before="0" w:beforeAutospacing="0" w:after="0" w:afterAutospacing="0"/>
              <w:rPr>
                <w:sz w:val="20"/>
                <w:szCs w:val="20"/>
              </w:rPr>
            </w:pPr>
            <w:r>
              <w:rPr>
                <w:sz w:val="20"/>
                <w:szCs w:val="20"/>
              </w:rPr>
              <w:t>Neil E. Scanlo</w:t>
            </w:r>
            <w:r>
              <w:rPr>
                <w:sz w:val="20"/>
                <w:szCs w:val="20"/>
              </w:rPr>
              <w:t>n</w:t>
            </w:r>
          </w:p>
        </w:tc>
        <w:tc>
          <w:tcPr>
            <w:tcW w:w="0" w:type="auto"/>
            <w:hideMark/>
          </w:tcPr>
          <w:p w14:paraId="42AD666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3DD004" w14:textId="77777777" w:rsidR="00000000" w:rsidRDefault="00832D71">
            <w:pPr>
              <w:pStyle w:val="a3"/>
              <w:spacing w:before="0" w:beforeAutospacing="0" w:after="0" w:afterAutospacing="0"/>
              <w:jc w:val="center"/>
              <w:rPr>
                <w:sz w:val="20"/>
                <w:szCs w:val="20"/>
              </w:rPr>
            </w:pPr>
            <w:r>
              <w:rPr>
                <w:sz w:val="20"/>
                <w:szCs w:val="20"/>
              </w:rPr>
              <w:t>80</w:t>
            </w:r>
            <w:r>
              <w:rPr>
                <w:sz w:val="20"/>
                <w:szCs w:val="20"/>
              </w:rPr>
              <w:t>%</w:t>
            </w:r>
          </w:p>
        </w:tc>
        <w:tc>
          <w:tcPr>
            <w:tcW w:w="0" w:type="auto"/>
            <w:hideMark/>
          </w:tcPr>
          <w:p w14:paraId="0B61DA1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3F82D0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2E501E6" w14:textId="77777777" w:rsidR="00000000" w:rsidRDefault="00832D71">
            <w:pPr>
              <w:pStyle w:val="a3"/>
              <w:spacing w:before="0" w:beforeAutospacing="0" w:after="0" w:afterAutospacing="0"/>
              <w:jc w:val="right"/>
              <w:rPr>
                <w:sz w:val="20"/>
                <w:szCs w:val="20"/>
              </w:rPr>
            </w:pPr>
            <w:r>
              <w:rPr>
                <w:sz w:val="20"/>
                <w:szCs w:val="20"/>
              </w:rPr>
              <w:t>280,00</w:t>
            </w:r>
            <w:r>
              <w:rPr>
                <w:sz w:val="20"/>
                <w:szCs w:val="20"/>
              </w:rPr>
              <w:t>0</w:t>
            </w:r>
          </w:p>
        </w:tc>
        <w:tc>
          <w:tcPr>
            <w:tcW w:w="0" w:type="auto"/>
            <w:noWrap/>
            <w:vAlign w:val="bottom"/>
            <w:hideMark/>
          </w:tcPr>
          <w:p w14:paraId="4686948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3FD76F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DCA56E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674759E" w14:textId="77777777" w:rsidR="00000000" w:rsidRDefault="00832D71">
            <w:pPr>
              <w:pStyle w:val="a3"/>
              <w:spacing w:before="0" w:beforeAutospacing="0" w:after="0" w:afterAutospacing="0"/>
              <w:jc w:val="right"/>
              <w:rPr>
                <w:sz w:val="20"/>
                <w:szCs w:val="20"/>
              </w:rPr>
            </w:pPr>
            <w:r>
              <w:rPr>
                <w:sz w:val="20"/>
                <w:szCs w:val="20"/>
              </w:rPr>
              <w:t>364,00</w:t>
            </w:r>
            <w:r>
              <w:rPr>
                <w:sz w:val="20"/>
                <w:szCs w:val="20"/>
              </w:rPr>
              <w:t>0</w:t>
            </w:r>
          </w:p>
        </w:tc>
        <w:tc>
          <w:tcPr>
            <w:tcW w:w="0" w:type="auto"/>
            <w:noWrap/>
            <w:vAlign w:val="bottom"/>
            <w:hideMark/>
          </w:tcPr>
          <w:p w14:paraId="6CD113D9" w14:textId="77777777" w:rsidR="00000000" w:rsidRDefault="00832D71">
            <w:pPr>
              <w:pStyle w:val="a3"/>
              <w:spacing w:before="0" w:beforeAutospacing="0" w:after="0" w:afterAutospacing="0"/>
              <w:rPr>
                <w:sz w:val="20"/>
                <w:szCs w:val="20"/>
              </w:rPr>
            </w:pPr>
            <w:r>
              <w:rPr>
                <w:sz w:val="20"/>
                <w:szCs w:val="20"/>
              </w:rPr>
              <w:t> </w:t>
            </w:r>
          </w:p>
        </w:tc>
      </w:tr>
    </w:tbl>
    <w:p w14:paraId="3433EAA3" w14:textId="77777777" w:rsidR="00000000" w:rsidRDefault="00832D71">
      <w:pPr>
        <w:pStyle w:val="a3"/>
        <w:spacing w:before="240" w:beforeAutospacing="0" w:after="0" w:afterAutospacing="0"/>
        <w:rPr>
          <w:sz w:val="20"/>
          <w:szCs w:val="20"/>
        </w:rPr>
      </w:pPr>
      <w:r>
        <w:rPr>
          <w:i/>
          <w:iCs/>
          <w:sz w:val="20"/>
          <w:szCs w:val="20"/>
        </w:rPr>
        <w:t>The Use of Discretio</w:t>
      </w:r>
      <w:r>
        <w:rPr>
          <w:i/>
          <w:iCs/>
          <w:sz w:val="20"/>
          <w:szCs w:val="20"/>
        </w:rPr>
        <w:t>n</w:t>
      </w:r>
    </w:p>
    <w:p w14:paraId="46BD4FDF" w14:textId="77777777" w:rsidR="00000000" w:rsidRDefault="00832D71">
      <w:pPr>
        <w:pStyle w:val="a3"/>
        <w:spacing w:before="120" w:beforeAutospacing="0" w:after="0" w:afterAutospacing="0"/>
        <w:ind w:firstLine="555"/>
        <w:jc w:val="both"/>
        <w:rPr>
          <w:sz w:val="20"/>
          <w:szCs w:val="20"/>
        </w:rPr>
      </w:pPr>
      <w:r>
        <w:rPr>
          <w:sz w:val="20"/>
          <w:szCs w:val="20"/>
        </w:rPr>
        <w:t>The Committee retains the right to exercise its broad discretionary powers to decrease or increase the annual cash bonus paid to a particular named executive officer, upon the recommendation of our President and Chief Executive Officer, or to the named exe</w:t>
      </w:r>
      <w:r>
        <w:rPr>
          <w:sz w:val="20"/>
          <w:szCs w:val="20"/>
        </w:rPr>
        <w:t>cutive officers as a group, when the Committee determines that an adjustment is warranted. The Committee did not exercise this authority in fiscal 2022, fiscal 2021 or fiscal 2020</w:t>
      </w:r>
      <w:r>
        <w:rPr>
          <w:sz w:val="20"/>
          <w:szCs w:val="20"/>
        </w:rPr>
        <w:t>.</w:t>
      </w:r>
      <w:r>
        <w:rPr>
          <w:sz w:val="20"/>
          <w:szCs w:val="20"/>
        </w:rPr>
        <w:t xml:space="preserve"> </w:t>
      </w:r>
    </w:p>
    <w:p w14:paraId="67AE03FD" w14:textId="77777777" w:rsidR="00000000" w:rsidRDefault="00832D71">
      <w:pPr>
        <w:pStyle w:val="a3"/>
        <w:spacing w:before="120" w:beforeAutospacing="0" w:after="0" w:afterAutospacing="0"/>
        <w:ind w:firstLine="555"/>
        <w:jc w:val="both"/>
        <w:rPr>
          <w:sz w:val="20"/>
          <w:szCs w:val="20"/>
        </w:rPr>
      </w:pPr>
      <w:r>
        <w:rPr>
          <w:sz w:val="20"/>
          <w:szCs w:val="20"/>
        </w:rPr>
        <w:t>If the Committee were to exercise its discretionary authority, any such di</w:t>
      </w:r>
      <w:r>
        <w:rPr>
          <w:sz w:val="20"/>
          <w:szCs w:val="20"/>
        </w:rPr>
        <w:t>scretionary bonuses provided to our named executive officers would be reported in the column titled “Bonus” in the Summary Compensation table below. The bonus payments earned by our named executive officers under the annual cash bonus plan for fiscal 2022,</w:t>
      </w:r>
      <w:r>
        <w:rPr>
          <w:sz w:val="20"/>
          <w:szCs w:val="20"/>
        </w:rPr>
        <w:t xml:space="preserve"> fiscal 2021 and fiscal 2020 are reported in the column titled “Non-Equity Incentive Plan Compensation” in the Summary Compensation Table below</w:t>
      </w:r>
      <w:r>
        <w:rPr>
          <w:sz w:val="20"/>
          <w:szCs w:val="20"/>
        </w:rPr>
        <w:t>.</w:t>
      </w:r>
      <w:r>
        <w:rPr>
          <w:sz w:val="20"/>
          <w:szCs w:val="20"/>
        </w:rPr>
        <w:t xml:space="preserve"> </w:t>
      </w:r>
    </w:p>
    <w:p w14:paraId="19DBE2EB" w14:textId="77777777" w:rsidR="00000000" w:rsidRDefault="00832D71">
      <w:pPr>
        <w:pStyle w:val="a3"/>
        <w:spacing w:before="240" w:beforeAutospacing="0" w:after="0" w:afterAutospacing="0"/>
        <w:ind w:firstLine="555"/>
        <w:jc w:val="both"/>
        <w:rPr>
          <w:sz w:val="20"/>
          <w:szCs w:val="20"/>
        </w:rPr>
      </w:pPr>
      <w:r>
        <w:rPr>
          <w:sz w:val="20"/>
          <w:szCs w:val="20"/>
        </w:rPr>
        <w:t>At its November 8, 2022 meeting, the Committee approved the following fiscal 2023 target cash bonus opportunit</w:t>
      </w:r>
      <w:r>
        <w:rPr>
          <w:sz w:val="20"/>
          <w:szCs w:val="20"/>
        </w:rPr>
        <w:t>ies for our named executive officers that were identical to their fiscal 2022 target cash bonus opportunities</w:t>
      </w:r>
      <w:r>
        <w:rPr>
          <w:sz w:val="20"/>
          <w:szCs w:val="20"/>
        </w:rPr>
        <w:t>:</w:t>
      </w:r>
    </w:p>
    <w:p w14:paraId="239D1B54" w14:textId="77777777" w:rsidR="00000000" w:rsidRDefault="00832D71">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821"/>
        <w:gridCol w:w="142"/>
        <w:gridCol w:w="1189"/>
        <w:gridCol w:w="142"/>
        <w:gridCol w:w="160"/>
        <w:gridCol w:w="1066"/>
        <w:gridCol w:w="125"/>
      </w:tblGrid>
      <w:tr w:rsidR="00000000" w14:paraId="5330343F" w14:textId="77777777">
        <w:trPr>
          <w:tblCellSpacing w:w="15" w:type="dxa"/>
        </w:trPr>
        <w:tc>
          <w:tcPr>
            <w:tcW w:w="2960" w:type="pct"/>
            <w:vAlign w:val="center"/>
            <w:hideMark/>
          </w:tcPr>
          <w:p w14:paraId="5D2E23B4" w14:textId="77777777" w:rsidR="00000000" w:rsidRDefault="00832D71">
            <w:pPr>
              <w:rPr>
                <w:sz w:val="20"/>
                <w:szCs w:val="20"/>
              </w:rPr>
            </w:pPr>
          </w:p>
        </w:tc>
        <w:tc>
          <w:tcPr>
            <w:tcW w:w="100" w:type="pct"/>
            <w:vAlign w:val="center"/>
            <w:hideMark/>
          </w:tcPr>
          <w:p w14:paraId="4E1CA773" w14:textId="77777777" w:rsidR="00000000" w:rsidRDefault="00832D71">
            <w:pPr>
              <w:rPr>
                <w:rFonts w:eastAsia="Times New Roman"/>
                <w:sz w:val="20"/>
                <w:szCs w:val="20"/>
              </w:rPr>
            </w:pPr>
          </w:p>
        </w:tc>
        <w:tc>
          <w:tcPr>
            <w:tcW w:w="917" w:type="pct"/>
            <w:vAlign w:val="center"/>
            <w:hideMark/>
          </w:tcPr>
          <w:p w14:paraId="3C50D8AB" w14:textId="77777777" w:rsidR="00000000" w:rsidRDefault="00832D71">
            <w:pPr>
              <w:rPr>
                <w:rFonts w:eastAsia="Times New Roman"/>
                <w:sz w:val="20"/>
                <w:szCs w:val="20"/>
              </w:rPr>
            </w:pPr>
          </w:p>
        </w:tc>
        <w:tc>
          <w:tcPr>
            <w:tcW w:w="100" w:type="pct"/>
            <w:vAlign w:val="center"/>
            <w:hideMark/>
          </w:tcPr>
          <w:p w14:paraId="0494F590" w14:textId="77777777" w:rsidR="00000000" w:rsidRDefault="00832D71">
            <w:pPr>
              <w:rPr>
                <w:rFonts w:eastAsia="Times New Roman"/>
                <w:sz w:val="20"/>
                <w:szCs w:val="20"/>
              </w:rPr>
            </w:pPr>
          </w:p>
        </w:tc>
        <w:tc>
          <w:tcPr>
            <w:tcW w:w="50" w:type="pct"/>
            <w:vAlign w:val="center"/>
            <w:hideMark/>
          </w:tcPr>
          <w:p w14:paraId="619D35D4" w14:textId="77777777" w:rsidR="00000000" w:rsidRDefault="00832D71">
            <w:pPr>
              <w:rPr>
                <w:rFonts w:eastAsia="Times New Roman"/>
                <w:sz w:val="20"/>
                <w:szCs w:val="20"/>
              </w:rPr>
            </w:pPr>
          </w:p>
        </w:tc>
        <w:tc>
          <w:tcPr>
            <w:tcW w:w="821" w:type="pct"/>
            <w:vAlign w:val="center"/>
            <w:hideMark/>
          </w:tcPr>
          <w:p w14:paraId="6726FFC6" w14:textId="77777777" w:rsidR="00000000" w:rsidRDefault="00832D71">
            <w:pPr>
              <w:rPr>
                <w:rFonts w:eastAsia="Times New Roman"/>
                <w:sz w:val="20"/>
                <w:szCs w:val="20"/>
              </w:rPr>
            </w:pPr>
          </w:p>
        </w:tc>
        <w:tc>
          <w:tcPr>
            <w:tcW w:w="50" w:type="pct"/>
            <w:vAlign w:val="center"/>
            <w:hideMark/>
          </w:tcPr>
          <w:p w14:paraId="5E2F2F23" w14:textId="77777777" w:rsidR="00000000" w:rsidRDefault="00832D71">
            <w:pPr>
              <w:rPr>
                <w:rFonts w:eastAsia="Times New Roman"/>
                <w:sz w:val="20"/>
                <w:szCs w:val="20"/>
              </w:rPr>
            </w:pPr>
          </w:p>
        </w:tc>
      </w:tr>
      <w:tr w:rsidR="00000000" w14:paraId="1C5C14B5" w14:textId="77777777">
        <w:trPr>
          <w:trHeight w:val="160"/>
          <w:tblCellSpacing w:w="15" w:type="dxa"/>
        </w:trPr>
        <w:tc>
          <w:tcPr>
            <w:tcW w:w="0" w:type="auto"/>
            <w:vAlign w:val="bottom"/>
            <w:hideMark/>
          </w:tcPr>
          <w:p w14:paraId="7B512941"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73A890A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4C35CF9" w14:textId="77777777" w:rsidR="00000000" w:rsidRDefault="00832D71">
            <w:pPr>
              <w:pStyle w:val="a3"/>
              <w:spacing w:before="0" w:beforeAutospacing="0" w:after="0" w:afterAutospacing="0"/>
              <w:jc w:val="center"/>
              <w:rPr>
                <w:sz w:val="16"/>
                <w:szCs w:val="16"/>
              </w:rPr>
            </w:pPr>
            <w:r>
              <w:rPr>
                <w:b/>
                <w:bCs/>
                <w:sz w:val="16"/>
                <w:szCs w:val="16"/>
              </w:rPr>
              <w:t>Fiscal 2023 Target</w:t>
            </w:r>
            <w:r>
              <w:rPr>
                <w:b/>
                <w:bCs/>
                <w:sz w:val="16"/>
                <w:szCs w:val="16"/>
              </w:rPr>
              <w:br/>
              <w:t>Cash Bonus as a</w:t>
            </w:r>
            <w:r>
              <w:rPr>
                <w:b/>
                <w:bCs/>
                <w:sz w:val="16"/>
                <w:szCs w:val="16"/>
              </w:rPr>
              <w:br/>
              <w:t>Percentage of</w:t>
            </w:r>
            <w:r>
              <w:rPr>
                <w:b/>
                <w:bCs/>
                <w:sz w:val="16"/>
                <w:szCs w:val="16"/>
              </w:rPr>
              <w:br/>
              <w:t>Base Salar</w:t>
            </w:r>
            <w:r>
              <w:rPr>
                <w:b/>
                <w:bCs/>
                <w:sz w:val="16"/>
                <w:szCs w:val="16"/>
              </w:rPr>
              <w:t>y</w:t>
            </w:r>
          </w:p>
        </w:tc>
        <w:tc>
          <w:tcPr>
            <w:tcW w:w="0" w:type="auto"/>
            <w:hideMark/>
          </w:tcPr>
          <w:p w14:paraId="75D2766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6142A60" w14:textId="77777777" w:rsidR="00000000" w:rsidRDefault="00832D71">
            <w:pPr>
              <w:pStyle w:val="a3"/>
              <w:spacing w:before="0" w:beforeAutospacing="0" w:after="0" w:afterAutospacing="0"/>
              <w:jc w:val="center"/>
              <w:rPr>
                <w:sz w:val="16"/>
                <w:szCs w:val="16"/>
              </w:rPr>
            </w:pPr>
            <w:r>
              <w:rPr>
                <w:b/>
                <w:bCs/>
                <w:sz w:val="16"/>
                <w:szCs w:val="16"/>
              </w:rPr>
              <w:t>Fiscal 2023 Target</w:t>
            </w:r>
            <w:r>
              <w:rPr>
                <w:b/>
                <w:bCs/>
                <w:sz w:val="16"/>
                <w:szCs w:val="16"/>
              </w:rPr>
              <w:br/>
              <w:t>Cash Bonu</w:t>
            </w:r>
            <w:r>
              <w:rPr>
                <w:b/>
                <w:bCs/>
                <w:sz w:val="16"/>
                <w:szCs w:val="16"/>
              </w:rPr>
              <w:t>s</w:t>
            </w:r>
          </w:p>
        </w:tc>
        <w:tc>
          <w:tcPr>
            <w:tcW w:w="0" w:type="auto"/>
            <w:vAlign w:val="bottom"/>
            <w:hideMark/>
          </w:tcPr>
          <w:p w14:paraId="6EAA751F"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433762EA" w14:textId="77777777">
        <w:trPr>
          <w:trHeight w:val="200"/>
          <w:tblCellSpacing w:w="15" w:type="dxa"/>
        </w:trPr>
        <w:tc>
          <w:tcPr>
            <w:tcW w:w="0" w:type="auto"/>
            <w:hideMark/>
          </w:tcPr>
          <w:p w14:paraId="139333B5" w14:textId="77777777" w:rsidR="00000000" w:rsidRDefault="00832D71">
            <w:pPr>
              <w:pStyle w:val="a3"/>
              <w:spacing w:before="0" w:beforeAutospacing="0" w:after="0" w:afterAutospacing="0"/>
              <w:rPr>
                <w:sz w:val="20"/>
                <w:szCs w:val="20"/>
              </w:rPr>
            </w:pPr>
            <w:r>
              <w:rPr>
                <w:sz w:val="20"/>
                <w:szCs w:val="20"/>
              </w:rPr>
              <w:t>Michael A. Stival</w:t>
            </w:r>
            <w:r>
              <w:rPr>
                <w:sz w:val="20"/>
                <w:szCs w:val="20"/>
              </w:rPr>
              <w:t>a</w:t>
            </w:r>
          </w:p>
        </w:tc>
        <w:tc>
          <w:tcPr>
            <w:tcW w:w="0" w:type="auto"/>
            <w:hideMark/>
          </w:tcPr>
          <w:p w14:paraId="113352F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90287A6" w14:textId="77777777" w:rsidR="00000000" w:rsidRDefault="00832D71">
            <w:pPr>
              <w:pStyle w:val="a3"/>
              <w:spacing w:before="0" w:beforeAutospacing="0" w:after="0" w:afterAutospacing="0"/>
              <w:jc w:val="center"/>
              <w:rPr>
                <w:sz w:val="20"/>
                <w:szCs w:val="20"/>
              </w:rPr>
            </w:pPr>
            <w:r>
              <w:rPr>
                <w:sz w:val="20"/>
                <w:szCs w:val="20"/>
              </w:rPr>
              <w:t>120</w:t>
            </w:r>
            <w:r>
              <w:rPr>
                <w:sz w:val="20"/>
                <w:szCs w:val="20"/>
              </w:rPr>
              <w:t>%</w:t>
            </w:r>
          </w:p>
        </w:tc>
        <w:tc>
          <w:tcPr>
            <w:tcW w:w="0" w:type="auto"/>
            <w:hideMark/>
          </w:tcPr>
          <w:p w14:paraId="711AD4CD"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2D62B316"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E7D1B26" w14:textId="77777777" w:rsidR="00000000" w:rsidRDefault="00832D71">
            <w:pPr>
              <w:pStyle w:val="a3"/>
              <w:spacing w:before="0" w:beforeAutospacing="0" w:after="0" w:afterAutospacing="0"/>
              <w:jc w:val="right"/>
              <w:rPr>
                <w:sz w:val="20"/>
                <w:szCs w:val="20"/>
              </w:rPr>
            </w:pPr>
            <w:r>
              <w:rPr>
                <w:sz w:val="20"/>
                <w:szCs w:val="20"/>
              </w:rPr>
              <w:t>984,40</w:t>
            </w:r>
            <w:r>
              <w:rPr>
                <w:sz w:val="20"/>
                <w:szCs w:val="20"/>
              </w:rPr>
              <w:t>0</w:t>
            </w:r>
          </w:p>
        </w:tc>
        <w:tc>
          <w:tcPr>
            <w:tcW w:w="0" w:type="auto"/>
            <w:noWrap/>
            <w:hideMark/>
          </w:tcPr>
          <w:p w14:paraId="60875792" w14:textId="77777777" w:rsidR="00000000" w:rsidRDefault="00832D71">
            <w:pPr>
              <w:pStyle w:val="a3"/>
              <w:spacing w:before="0" w:beforeAutospacing="0" w:after="0" w:afterAutospacing="0"/>
              <w:rPr>
                <w:sz w:val="20"/>
                <w:szCs w:val="20"/>
              </w:rPr>
            </w:pPr>
            <w:r>
              <w:rPr>
                <w:sz w:val="20"/>
                <w:szCs w:val="20"/>
              </w:rPr>
              <w:t> </w:t>
            </w:r>
          </w:p>
        </w:tc>
      </w:tr>
      <w:tr w:rsidR="00000000" w14:paraId="10F71FF5" w14:textId="77777777">
        <w:trPr>
          <w:trHeight w:val="200"/>
          <w:tblCellSpacing w:w="15" w:type="dxa"/>
        </w:trPr>
        <w:tc>
          <w:tcPr>
            <w:tcW w:w="0" w:type="auto"/>
            <w:hideMark/>
          </w:tcPr>
          <w:p w14:paraId="3EDA93E8" w14:textId="77777777" w:rsidR="00000000" w:rsidRDefault="00832D71">
            <w:pPr>
              <w:pStyle w:val="a3"/>
              <w:spacing w:before="0" w:beforeAutospacing="0" w:after="0" w:afterAutospacing="0"/>
              <w:rPr>
                <w:sz w:val="20"/>
                <w:szCs w:val="20"/>
              </w:rPr>
            </w:pPr>
            <w:r>
              <w:rPr>
                <w:sz w:val="20"/>
                <w:szCs w:val="20"/>
              </w:rPr>
              <w:t>Michael A. Kugli</w:t>
            </w:r>
            <w:r>
              <w:rPr>
                <w:sz w:val="20"/>
                <w:szCs w:val="20"/>
              </w:rPr>
              <w:t>n</w:t>
            </w:r>
          </w:p>
        </w:tc>
        <w:tc>
          <w:tcPr>
            <w:tcW w:w="0" w:type="auto"/>
            <w:hideMark/>
          </w:tcPr>
          <w:p w14:paraId="6269108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3AB3446" w14:textId="77777777" w:rsidR="00000000" w:rsidRDefault="00832D71">
            <w:pPr>
              <w:pStyle w:val="a3"/>
              <w:spacing w:before="0" w:beforeAutospacing="0" w:after="0" w:afterAutospacing="0"/>
              <w:jc w:val="center"/>
              <w:rPr>
                <w:sz w:val="20"/>
                <w:szCs w:val="20"/>
              </w:rPr>
            </w:pPr>
            <w:r>
              <w:rPr>
                <w:sz w:val="20"/>
                <w:szCs w:val="20"/>
              </w:rPr>
              <w:t>80</w:t>
            </w:r>
            <w:r>
              <w:rPr>
                <w:sz w:val="20"/>
                <w:szCs w:val="20"/>
              </w:rPr>
              <w:t>%</w:t>
            </w:r>
          </w:p>
        </w:tc>
        <w:tc>
          <w:tcPr>
            <w:tcW w:w="0" w:type="auto"/>
            <w:hideMark/>
          </w:tcPr>
          <w:p w14:paraId="0A015499"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0172C19"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403B5F7" w14:textId="77777777" w:rsidR="00000000" w:rsidRDefault="00832D71">
            <w:pPr>
              <w:pStyle w:val="a3"/>
              <w:spacing w:before="0" w:beforeAutospacing="0" w:after="0" w:afterAutospacing="0"/>
              <w:jc w:val="right"/>
              <w:rPr>
                <w:sz w:val="20"/>
                <w:szCs w:val="20"/>
              </w:rPr>
            </w:pPr>
            <w:r>
              <w:rPr>
                <w:sz w:val="20"/>
                <w:szCs w:val="20"/>
              </w:rPr>
              <w:t>360,00</w:t>
            </w:r>
            <w:r>
              <w:rPr>
                <w:sz w:val="20"/>
                <w:szCs w:val="20"/>
              </w:rPr>
              <w:t>0</w:t>
            </w:r>
          </w:p>
        </w:tc>
        <w:tc>
          <w:tcPr>
            <w:tcW w:w="0" w:type="auto"/>
            <w:noWrap/>
            <w:hideMark/>
          </w:tcPr>
          <w:p w14:paraId="5D689A5F" w14:textId="77777777" w:rsidR="00000000" w:rsidRDefault="00832D71">
            <w:pPr>
              <w:pStyle w:val="a3"/>
              <w:spacing w:before="0" w:beforeAutospacing="0" w:after="0" w:afterAutospacing="0"/>
              <w:rPr>
                <w:sz w:val="20"/>
                <w:szCs w:val="20"/>
              </w:rPr>
            </w:pPr>
            <w:r>
              <w:rPr>
                <w:sz w:val="20"/>
                <w:szCs w:val="20"/>
              </w:rPr>
              <w:t> </w:t>
            </w:r>
          </w:p>
        </w:tc>
      </w:tr>
      <w:tr w:rsidR="00000000" w14:paraId="500BB757" w14:textId="77777777">
        <w:trPr>
          <w:trHeight w:val="200"/>
          <w:tblCellSpacing w:w="15" w:type="dxa"/>
        </w:trPr>
        <w:tc>
          <w:tcPr>
            <w:tcW w:w="0" w:type="auto"/>
            <w:hideMark/>
          </w:tcPr>
          <w:p w14:paraId="7391ADA0" w14:textId="77777777" w:rsidR="00000000" w:rsidRDefault="00832D71">
            <w:pPr>
              <w:pStyle w:val="a3"/>
              <w:spacing w:before="0" w:beforeAutospacing="0" w:after="0" w:afterAutospacing="0"/>
              <w:rPr>
                <w:sz w:val="20"/>
                <w:szCs w:val="20"/>
              </w:rPr>
            </w:pPr>
            <w:r>
              <w:rPr>
                <w:sz w:val="20"/>
                <w:szCs w:val="20"/>
              </w:rPr>
              <w:t>Steven C. Boy</w:t>
            </w:r>
            <w:r>
              <w:rPr>
                <w:sz w:val="20"/>
                <w:szCs w:val="20"/>
              </w:rPr>
              <w:t>d</w:t>
            </w:r>
          </w:p>
        </w:tc>
        <w:tc>
          <w:tcPr>
            <w:tcW w:w="0" w:type="auto"/>
            <w:hideMark/>
          </w:tcPr>
          <w:p w14:paraId="36BED91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29B653B" w14:textId="77777777" w:rsidR="00000000" w:rsidRDefault="00832D71">
            <w:pPr>
              <w:pStyle w:val="a3"/>
              <w:spacing w:before="0" w:beforeAutospacing="0" w:after="0" w:afterAutospacing="0"/>
              <w:jc w:val="center"/>
              <w:rPr>
                <w:sz w:val="20"/>
                <w:szCs w:val="20"/>
              </w:rPr>
            </w:pPr>
            <w:r>
              <w:rPr>
                <w:sz w:val="20"/>
                <w:szCs w:val="20"/>
              </w:rPr>
              <w:t>80</w:t>
            </w:r>
            <w:r>
              <w:rPr>
                <w:sz w:val="20"/>
                <w:szCs w:val="20"/>
              </w:rPr>
              <w:t>%</w:t>
            </w:r>
          </w:p>
        </w:tc>
        <w:tc>
          <w:tcPr>
            <w:tcW w:w="0" w:type="auto"/>
            <w:hideMark/>
          </w:tcPr>
          <w:p w14:paraId="2E875769"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19311BDB"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0C0669B1" w14:textId="77777777" w:rsidR="00000000" w:rsidRDefault="00832D71">
            <w:pPr>
              <w:pStyle w:val="a3"/>
              <w:spacing w:before="0" w:beforeAutospacing="0" w:after="0" w:afterAutospacing="0"/>
              <w:jc w:val="right"/>
              <w:rPr>
                <w:sz w:val="20"/>
                <w:szCs w:val="20"/>
              </w:rPr>
            </w:pPr>
            <w:r>
              <w:rPr>
                <w:sz w:val="20"/>
                <w:szCs w:val="20"/>
              </w:rPr>
              <w:t>368,00</w:t>
            </w:r>
            <w:r>
              <w:rPr>
                <w:sz w:val="20"/>
                <w:szCs w:val="20"/>
              </w:rPr>
              <w:t>0</w:t>
            </w:r>
          </w:p>
        </w:tc>
        <w:tc>
          <w:tcPr>
            <w:tcW w:w="0" w:type="auto"/>
            <w:noWrap/>
            <w:hideMark/>
          </w:tcPr>
          <w:p w14:paraId="6D116990" w14:textId="77777777" w:rsidR="00000000" w:rsidRDefault="00832D71">
            <w:pPr>
              <w:pStyle w:val="a3"/>
              <w:spacing w:before="0" w:beforeAutospacing="0" w:after="0" w:afterAutospacing="0"/>
              <w:rPr>
                <w:sz w:val="20"/>
                <w:szCs w:val="20"/>
              </w:rPr>
            </w:pPr>
            <w:r>
              <w:rPr>
                <w:sz w:val="20"/>
                <w:szCs w:val="20"/>
              </w:rPr>
              <w:t> </w:t>
            </w:r>
          </w:p>
        </w:tc>
      </w:tr>
      <w:tr w:rsidR="00000000" w14:paraId="093BA7F7" w14:textId="77777777">
        <w:trPr>
          <w:trHeight w:val="200"/>
          <w:tblCellSpacing w:w="15" w:type="dxa"/>
        </w:trPr>
        <w:tc>
          <w:tcPr>
            <w:tcW w:w="0" w:type="auto"/>
            <w:hideMark/>
          </w:tcPr>
          <w:p w14:paraId="6C857286" w14:textId="77777777" w:rsidR="00000000" w:rsidRDefault="00832D71">
            <w:pPr>
              <w:pStyle w:val="a3"/>
              <w:spacing w:before="0" w:beforeAutospacing="0" w:after="0" w:afterAutospacing="0"/>
              <w:rPr>
                <w:sz w:val="20"/>
                <w:szCs w:val="20"/>
              </w:rPr>
            </w:pPr>
            <w:r>
              <w:rPr>
                <w:sz w:val="20"/>
                <w:szCs w:val="20"/>
              </w:rPr>
              <w:t>Douglas T. Brinkwort</w:t>
            </w:r>
            <w:r>
              <w:rPr>
                <w:sz w:val="20"/>
                <w:szCs w:val="20"/>
              </w:rPr>
              <w:t>h</w:t>
            </w:r>
          </w:p>
        </w:tc>
        <w:tc>
          <w:tcPr>
            <w:tcW w:w="0" w:type="auto"/>
            <w:hideMark/>
          </w:tcPr>
          <w:p w14:paraId="56876A6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40AB93B" w14:textId="77777777" w:rsidR="00000000" w:rsidRDefault="00832D71">
            <w:pPr>
              <w:pStyle w:val="a3"/>
              <w:spacing w:before="0" w:beforeAutospacing="0" w:after="0" w:afterAutospacing="0"/>
              <w:jc w:val="center"/>
              <w:rPr>
                <w:sz w:val="20"/>
                <w:szCs w:val="20"/>
              </w:rPr>
            </w:pPr>
            <w:r>
              <w:rPr>
                <w:sz w:val="20"/>
                <w:szCs w:val="20"/>
              </w:rPr>
              <w:t>80</w:t>
            </w:r>
            <w:r>
              <w:rPr>
                <w:sz w:val="20"/>
                <w:szCs w:val="20"/>
              </w:rPr>
              <w:t>%</w:t>
            </w:r>
          </w:p>
        </w:tc>
        <w:tc>
          <w:tcPr>
            <w:tcW w:w="0" w:type="auto"/>
            <w:hideMark/>
          </w:tcPr>
          <w:p w14:paraId="4A70D9E9"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66649270"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B52C7E0" w14:textId="77777777" w:rsidR="00000000" w:rsidRDefault="00832D71">
            <w:pPr>
              <w:pStyle w:val="a3"/>
              <w:spacing w:before="0" w:beforeAutospacing="0" w:after="0" w:afterAutospacing="0"/>
              <w:jc w:val="right"/>
              <w:rPr>
                <w:sz w:val="20"/>
                <w:szCs w:val="20"/>
              </w:rPr>
            </w:pPr>
            <w:r>
              <w:rPr>
                <w:sz w:val="20"/>
                <w:szCs w:val="20"/>
              </w:rPr>
              <w:t>320,00</w:t>
            </w:r>
            <w:r>
              <w:rPr>
                <w:sz w:val="20"/>
                <w:szCs w:val="20"/>
              </w:rPr>
              <w:t>0</w:t>
            </w:r>
          </w:p>
        </w:tc>
        <w:tc>
          <w:tcPr>
            <w:tcW w:w="0" w:type="auto"/>
            <w:noWrap/>
            <w:hideMark/>
          </w:tcPr>
          <w:p w14:paraId="71CAB982" w14:textId="77777777" w:rsidR="00000000" w:rsidRDefault="00832D71">
            <w:pPr>
              <w:pStyle w:val="a3"/>
              <w:spacing w:before="0" w:beforeAutospacing="0" w:after="0" w:afterAutospacing="0"/>
              <w:rPr>
                <w:sz w:val="20"/>
                <w:szCs w:val="20"/>
              </w:rPr>
            </w:pPr>
            <w:r>
              <w:rPr>
                <w:sz w:val="20"/>
                <w:szCs w:val="20"/>
              </w:rPr>
              <w:t> </w:t>
            </w:r>
          </w:p>
        </w:tc>
      </w:tr>
      <w:tr w:rsidR="00000000" w14:paraId="16CD744C" w14:textId="77777777">
        <w:trPr>
          <w:trHeight w:val="200"/>
          <w:tblCellSpacing w:w="15" w:type="dxa"/>
        </w:trPr>
        <w:tc>
          <w:tcPr>
            <w:tcW w:w="0" w:type="auto"/>
            <w:hideMark/>
          </w:tcPr>
          <w:p w14:paraId="50A76C65" w14:textId="77777777" w:rsidR="00000000" w:rsidRDefault="00832D71">
            <w:pPr>
              <w:pStyle w:val="a3"/>
              <w:spacing w:before="0" w:beforeAutospacing="0" w:after="0" w:afterAutospacing="0"/>
              <w:rPr>
                <w:sz w:val="20"/>
                <w:szCs w:val="20"/>
              </w:rPr>
            </w:pPr>
            <w:r>
              <w:rPr>
                <w:sz w:val="20"/>
                <w:szCs w:val="20"/>
              </w:rPr>
              <w:t>Neil E. Scanlo</w:t>
            </w:r>
            <w:r>
              <w:rPr>
                <w:sz w:val="20"/>
                <w:szCs w:val="20"/>
              </w:rPr>
              <w:t>n</w:t>
            </w:r>
          </w:p>
        </w:tc>
        <w:tc>
          <w:tcPr>
            <w:tcW w:w="0" w:type="auto"/>
            <w:hideMark/>
          </w:tcPr>
          <w:p w14:paraId="41F64B5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0B50A9F" w14:textId="77777777" w:rsidR="00000000" w:rsidRDefault="00832D71">
            <w:pPr>
              <w:pStyle w:val="a3"/>
              <w:spacing w:before="0" w:beforeAutospacing="0" w:after="0" w:afterAutospacing="0"/>
              <w:jc w:val="center"/>
              <w:rPr>
                <w:sz w:val="20"/>
                <w:szCs w:val="20"/>
              </w:rPr>
            </w:pPr>
            <w:r>
              <w:rPr>
                <w:sz w:val="20"/>
                <w:szCs w:val="20"/>
              </w:rPr>
              <w:t>80</w:t>
            </w:r>
            <w:r>
              <w:rPr>
                <w:sz w:val="20"/>
                <w:szCs w:val="20"/>
              </w:rPr>
              <w:t>%</w:t>
            </w:r>
          </w:p>
        </w:tc>
        <w:tc>
          <w:tcPr>
            <w:tcW w:w="0" w:type="auto"/>
            <w:hideMark/>
          </w:tcPr>
          <w:p w14:paraId="5C652A36"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30113927"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1FCA5759" w14:textId="77777777" w:rsidR="00000000" w:rsidRDefault="00832D71">
            <w:pPr>
              <w:pStyle w:val="a3"/>
              <w:spacing w:before="0" w:beforeAutospacing="0" w:after="0" w:afterAutospacing="0"/>
              <w:jc w:val="right"/>
              <w:rPr>
                <w:sz w:val="20"/>
                <w:szCs w:val="20"/>
              </w:rPr>
            </w:pPr>
            <w:r>
              <w:rPr>
                <w:sz w:val="20"/>
                <w:szCs w:val="20"/>
              </w:rPr>
              <w:t>280,00</w:t>
            </w:r>
            <w:r>
              <w:rPr>
                <w:sz w:val="20"/>
                <w:szCs w:val="20"/>
              </w:rPr>
              <w:t>0</w:t>
            </w:r>
          </w:p>
        </w:tc>
        <w:tc>
          <w:tcPr>
            <w:tcW w:w="0" w:type="auto"/>
            <w:noWrap/>
            <w:hideMark/>
          </w:tcPr>
          <w:p w14:paraId="3085C46E" w14:textId="77777777" w:rsidR="00000000" w:rsidRDefault="00832D71">
            <w:pPr>
              <w:pStyle w:val="a3"/>
              <w:spacing w:before="0" w:beforeAutospacing="0" w:after="0" w:afterAutospacing="0"/>
              <w:rPr>
                <w:sz w:val="20"/>
                <w:szCs w:val="20"/>
              </w:rPr>
            </w:pPr>
            <w:r>
              <w:rPr>
                <w:sz w:val="20"/>
                <w:szCs w:val="20"/>
              </w:rPr>
              <w:t> </w:t>
            </w:r>
          </w:p>
        </w:tc>
      </w:tr>
    </w:tbl>
    <w:p w14:paraId="62F35442" w14:textId="77777777" w:rsidR="00000000" w:rsidRDefault="00832D71">
      <w:pPr>
        <w:pStyle w:val="a3"/>
        <w:spacing w:before="360" w:beforeAutospacing="0" w:after="0" w:afterAutospacing="0"/>
        <w:jc w:val="both"/>
        <w:rPr>
          <w:sz w:val="20"/>
          <w:szCs w:val="20"/>
        </w:rPr>
      </w:pPr>
      <w:r>
        <w:rPr>
          <w:b/>
          <w:bCs/>
          <w:sz w:val="20"/>
          <w:szCs w:val="20"/>
        </w:rPr>
        <w:t>Long-Term Incentive Pla</w:t>
      </w:r>
      <w:r>
        <w:rPr>
          <w:b/>
          <w:bCs/>
          <w:sz w:val="20"/>
          <w:szCs w:val="20"/>
        </w:rPr>
        <w:t>n</w:t>
      </w:r>
    </w:p>
    <w:p w14:paraId="2BF46136" w14:textId="77777777" w:rsidR="00000000" w:rsidRDefault="00832D71">
      <w:pPr>
        <w:pStyle w:val="a3"/>
        <w:spacing w:before="120" w:beforeAutospacing="0" w:after="0" w:afterAutospacing="0"/>
        <w:ind w:firstLine="555"/>
        <w:jc w:val="both"/>
        <w:rPr>
          <w:sz w:val="20"/>
          <w:szCs w:val="20"/>
        </w:rPr>
      </w:pPr>
      <w:r>
        <w:rPr>
          <w:sz w:val="20"/>
          <w:szCs w:val="20"/>
        </w:rPr>
        <w:t>To complement the annual cash bonus plan, which focuses on our short-term performance goals, the Long-Term Incentive Plan, which we hereafter refer to as the “LTIP,” is a cash settled phantom unit plan that is designed to motivate our executive officers to</w:t>
      </w:r>
      <w:r>
        <w:rPr>
          <w:sz w:val="20"/>
          <w:szCs w:val="20"/>
        </w:rPr>
        <w:t xml:space="preserve"> focus on our long-term financial goals and operating and strategic objectives. Under the LTIP, performance is assessed over a three-year measurement period and, as such, at the beginning of each fiscal year, there are three active award cycles. For exampl</w:t>
      </w:r>
      <w:r>
        <w:rPr>
          <w:sz w:val="20"/>
          <w:szCs w:val="20"/>
        </w:rPr>
        <w:t>e, at the beginning of fiscal 2022 the active award cycles included: the fiscal 2020 award, which started at the beginning of fiscal 2020 and ended at the conclusion of fiscal 2022; the fiscal 2021 award, which started at the beginning of fiscal 2021 and w</w:t>
      </w:r>
      <w:r>
        <w:rPr>
          <w:sz w:val="20"/>
          <w:szCs w:val="20"/>
        </w:rPr>
        <w:t>ill end at the conclusion of fiscal 2023; and the fiscal 2022 award, which started at the beginning of fiscal 2022 and will end at the conclusion of fiscal 2024. The fiscal 2020 award cycle was granted pursuant to the provisions of the 2014 Long-Term Incen</w:t>
      </w:r>
      <w:r>
        <w:rPr>
          <w:sz w:val="20"/>
          <w:szCs w:val="20"/>
        </w:rPr>
        <w:t xml:space="preserve">tive Plan (the “2014 LTIP”), and performance is measured based on the level of our distribution coverage ratio over the respective three-year measurement period (“Distribution Coverage Ratio”), as further described below. At its July 21, 2020 meeting, the </w:t>
      </w:r>
      <w:r>
        <w:rPr>
          <w:sz w:val="20"/>
          <w:szCs w:val="20"/>
        </w:rPr>
        <w:t>Committee re-evaluated the performance criteria of th</w:t>
      </w:r>
      <w:r>
        <w:rPr>
          <w:sz w:val="20"/>
          <w:szCs w:val="20"/>
        </w:rPr>
        <w:t>e</w:t>
      </w:r>
      <w:r>
        <w:rPr>
          <w:sz w:val="20"/>
          <w:szCs w:val="20"/>
        </w:rPr>
        <w:t xml:space="preserve"> </w:t>
      </w:r>
    </w:p>
    <w:p w14:paraId="59422A69" w14:textId="77777777" w:rsidR="00000000" w:rsidRDefault="00832D71">
      <w:pPr>
        <w:pStyle w:val="a3"/>
        <w:spacing w:before="0" w:beforeAutospacing="0" w:after="0" w:afterAutospacing="0"/>
        <w:jc w:val="center"/>
        <w:rPr>
          <w:sz w:val="20"/>
          <w:szCs w:val="20"/>
        </w:rPr>
      </w:pPr>
      <w:r>
        <w:rPr>
          <w:sz w:val="20"/>
          <w:szCs w:val="20"/>
        </w:rPr>
        <w:t> </w:t>
      </w:r>
    </w:p>
    <w:p w14:paraId="5A61D728" w14:textId="77777777" w:rsidR="00000000" w:rsidRDefault="00832D71">
      <w:pPr>
        <w:pStyle w:val="a3"/>
        <w:spacing w:before="0" w:beforeAutospacing="0" w:after="0" w:afterAutospacing="0"/>
        <w:jc w:val="center"/>
        <w:rPr>
          <w:sz w:val="20"/>
          <w:szCs w:val="20"/>
        </w:rPr>
      </w:pPr>
      <w:r>
        <w:rPr>
          <w:sz w:val="20"/>
          <w:szCs w:val="20"/>
        </w:rPr>
        <w:t>6</w:t>
      </w:r>
      <w:r>
        <w:rPr>
          <w:sz w:val="20"/>
          <w:szCs w:val="20"/>
        </w:rPr>
        <w:t>2</w:t>
      </w:r>
    </w:p>
    <w:p w14:paraId="768811A3" w14:textId="77777777" w:rsidR="00000000" w:rsidRDefault="00832D71">
      <w:pPr>
        <w:rPr>
          <w:rFonts w:eastAsia="Times New Roman"/>
        </w:rPr>
      </w:pPr>
      <w:r>
        <w:rPr>
          <w:rFonts w:eastAsia="Times New Roman"/>
        </w:rPr>
        <w:pict w14:anchorId="2D37E368">
          <v:rect id="_x0000_i1089" style="width:0;height:1.5pt" o:hralign="center" o:hrstd="t" o:hr="t" fillcolor="#a0a0a0" stroked="f"/>
        </w:pict>
      </w:r>
    </w:p>
    <w:p w14:paraId="5D19A0EF"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3B3FE171" w14:textId="77777777" w:rsidR="00000000" w:rsidRDefault="00832D71">
      <w:pPr>
        <w:pStyle w:val="a3"/>
        <w:spacing w:before="120" w:beforeAutospacing="0" w:after="0" w:afterAutospacing="0"/>
        <w:jc w:val="both"/>
        <w:rPr>
          <w:sz w:val="20"/>
          <w:szCs w:val="20"/>
        </w:rPr>
      </w:pPr>
      <w:r>
        <w:rPr>
          <w:sz w:val="20"/>
          <w:szCs w:val="20"/>
        </w:rPr>
        <w:t>2014 LTIP, and authorized a benchmarking study of long-term incentive compensation plan design and p</w:t>
      </w:r>
      <w:r>
        <w:rPr>
          <w:sz w:val="20"/>
          <w:szCs w:val="20"/>
        </w:rPr>
        <w:t>erformance measures to be performed by WTW in order to ensure that the LTIP continues to be competitive with market practices, and that the performance measures continue to promote behaviors to support the long-term growth and sustainability of the Partner</w:t>
      </w:r>
      <w:r>
        <w:rPr>
          <w:sz w:val="20"/>
          <w:szCs w:val="20"/>
        </w:rPr>
        <w:t>ship. As a result of this study, at its November 10, 2020 meeting, the Committee adopted the 2021 Long-Term Incentive Plan (the “2021 LTIP”) to replace the 2014 LTIP for future award cycles that began with the fiscal 2021 award. Upon conclusion of the thre</w:t>
      </w:r>
      <w:r>
        <w:rPr>
          <w:sz w:val="20"/>
          <w:szCs w:val="20"/>
        </w:rPr>
        <w:t>e-year measurement period of the fiscal 2020 award cycle, at the end of fiscal 2022 the 2014 LTIP was no longer operative. For purposes of the 2021 LTIP which governs the fiscal 2021and the fiscal 2022 awards, performance will be evaluated using two separa</w:t>
      </w:r>
      <w:r>
        <w:rPr>
          <w:sz w:val="20"/>
          <w:szCs w:val="20"/>
        </w:rPr>
        <w:t>te measurement components: (i) 75% weight for the fiscal 2021 award and 50% weight for the fiscal 2022 award based on the level of average distributable cash flow of the Partnership over the three-year measurement period (the “Distributable Cash Flow Compo</w:t>
      </w:r>
      <w:r>
        <w:rPr>
          <w:sz w:val="20"/>
          <w:szCs w:val="20"/>
        </w:rPr>
        <w:t>nent”); and (ii) 25% weight for the fiscal 2021 award and 50% weight for the fiscal 2022 award based on the achievement of certain operating and strategic objectives, set by the Committee, over the three-year measurement period (the “Operating/Strategic Ob</w:t>
      </w:r>
      <w:r>
        <w:rPr>
          <w:sz w:val="20"/>
          <w:szCs w:val="20"/>
        </w:rPr>
        <w:t>jectives Component”), as further described below</w:t>
      </w:r>
      <w:r>
        <w:rPr>
          <w:sz w:val="20"/>
          <w:szCs w:val="20"/>
        </w:rPr>
        <w:t>.</w:t>
      </w:r>
      <w:r>
        <w:rPr>
          <w:sz w:val="20"/>
          <w:szCs w:val="20"/>
        </w:rPr>
        <w:t xml:space="preserve"> </w:t>
      </w:r>
    </w:p>
    <w:p w14:paraId="1CB8861E" w14:textId="77777777" w:rsidR="00000000" w:rsidRDefault="00832D71">
      <w:pPr>
        <w:pStyle w:val="a3"/>
        <w:spacing w:before="360" w:beforeAutospacing="0" w:after="0" w:afterAutospacing="0"/>
        <w:rPr>
          <w:sz w:val="20"/>
          <w:szCs w:val="20"/>
        </w:rPr>
      </w:pPr>
      <w:r>
        <w:rPr>
          <w:i/>
          <w:iCs/>
          <w:sz w:val="20"/>
          <w:szCs w:val="20"/>
        </w:rPr>
        <w:t>Performance Condition for 2014 LTIP (which concluded with the culmination of the fiscal 2020 award’s three-year measurement period</w:t>
      </w:r>
      <w:r>
        <w:rPr>
          <w:i/>
          <w:iCs/>
          <w:sz w:val="20"/>
          <w:szCs w:val="20"/>
        </w:rPr>
        <w:t>)</w:t>
      </w:r>
    </w:p>
    <w:p w14:paraId="6DFDED1C" w14:textId="77777777" w:rsidR="00000000" w:rsidRDefault="00832D71">
      <w:pPr>
        <w:pStyle w:val="a3"/>
        <w:spacing w:before="120" w:beforeAutospacing="0" w:after="0" w:afterAutospacing="0"/>
        <w:ind w:firstLine="555"/>
        <w:jc w:val="both"/>
        <w:rPr>
          <w:sz w:val="20"/>
          <w:szCs w:val="20"/>
        </w:rPr>
      </w:pPr>
      <w:r>
        <w:rPr>
          <w:sz w:val="20"/>
          <w:szCs w:val="20"/>
        </w:rPr>
        <w:t xml:space="preserve">Under the 2014 LTIP, performance was assessed based on the level of our distribution coverage ratio over a three-year measurement period (“Distribution Coverage Ratio”). This ratio was calculated (as shown below) by dividing our Average Distributable Cash </w:t>
      </w:r>
      <w:r>
        <w:rPr>
          <w:sz w:val="20"/>
          <w:szCs w:val="20"/>
        </w:rPr>
        <w:t>Flow generated during an outstanding award’s three-year measurement period by a Baseline Cash Flow set on the initial grant date of the award (i.e., the beginning of the award cycle’s three-year measurement period), as follows</w:t>
      </w:r>
      <w:r>
        <w:rPr>
          <w:sz w:val="20"/>
          <w:szCs w:val="20"/>
        </w:rPr>
        <w:t>:</w:t>
      </w:r>
    </w:p>
    <w:p w14:paraId="417E3E90" w14:textId="77777777" w:rsidR="00000000" w:rsidRDefault="00832D71">
      <w:pPr>
        <w:pStyle w:val="a3"/>
        <w:spacing w:before="160" w:beforeAutospacing="0" w:after="0" w:afterAutospacing="0"/>
        <w:jc w:val="center"/>
        <w:rPr>
          <w:sz w:val="20"/>
          <w:szCs w:val="20"/>
        </w:rPr>
      </w:pPr>
      <w:r>
        <w:rPr>
          <w:sz w:val="20"/>
          <w:szCs w:val="20"/>
        </w:rPr>
        <w:t> </w:t>
      </w:r>
    </w:p>
    <w:p w14:paraId="2332E9AA" w14:textId="77777777" w:rsidR="00000000" w:rsidRDefault="00832D71">
      <w:pPr>
        <w:pStyle w:val="a3"/>
        <w:spacing w:before="0" w:beforeAutospacing="0" w:after="0" w:afterAutospacing="0"/>
        <w:jc w:val="center"/>
        <w:rPr>
          <w:sz w:val="20"/>
          <w:szCs w:val="20"/>
        </w:rPr>
      </w:pPr>
      <w:r>
        <w:rPr>
          <w:b/>
          <w:bCs/>
          <w:sz w:val="20"/>
          <w:szCs w:val="20"/>
        </w:rPr>
        <w:t>Average Distributable Cash</w:t>
      </w:r>
      <w:r>
        <w:rPr>
          <w:b/>
          <w:bCs/>
          <w:sz w:val="20"/>
          <w:szCs w:val="20"/>
        </w:rPr>
        <w:t xml:space="preserve"> Flo</w:t>
      </w:r>
      <w:r>
        <w:rPr>
          <w:b/>
          <w:bCs/>
          <w:sz w:val="20"/>
          <w:szCs w:val="20"/>
        </w:rPr>
        <w:t>w</w:t>
      </w:r>
      <w:r>
        <w:rPr>
          <w:b/>
          <w:bCs/>
          <w:sz w:val="20"/>
          <w:szCs w:val="20"/>
        </w:rPr>
        <w:t xml:space="preserve"> </w:t>
      </w:r>
    </w:p>
    <w:p w14:paraId="733ADFF1" w14:textId="77777777" w:rsidR="00000000" w:rsidRDefault="00832D71">
      <w:pPr>
        <w:pStyle w:val="a3"/>
        <w:spacing w:before="0" w:beforeAutospacing="0" w:after="0" w:afterAutospacing="0"/>
        <w:jc w:val="center"/>
        <w:rPr>
          <w:sz w:val="20"/>
          <w:szCs w:val="20"/>
        </w:rPr>
      </w:pPr>
      <w:r>
        <w:rPr>
          <w:sz w:val="20"/>
          <w:szCs w:val="20"/>
        </w:rPr>
        <w:t>(Average Actual Adjusted EBITDA less maintenance capital expenditures, cash interest expense and other adjustments</w:t>
      </w:r>
      <w:r>
        <w:rPr>
          <w:sz w:val="20"/>
          <w:szCs w:val="20"/>
        </w:rPr>
        <w:t>)</w:t>
      </w:r>
      <w:r>
        <w:rPr>
          <w:sz w:val="20"/>
          <w:szCs w:val="20"/>
        </w:rPr>
        <w:t xml:space="preserve"> </w:t>
      </w:r>
    </w:p>
    <w:p w14:paraId="34AE21CE" w14:textId="77777777" w:rsidR="00000000" w:rsidRDefault="00832D71">
      <w:pPr>
        <w:pStyle w:val="a3"/>
        <w:pBdr>
          <w:bottom w:val="single" w:sz="4" w:space="1" w:color="auto"/>
        </w:pBdr>
        <w:spacing w:before="0" w:beforeAutospacing="0" w:after="0" w:afterAutospacing="0"/>
        <w:ind w:left="1547" w:right="1547"/>
        <w:jc w:val="center"/>
        <w:rPr>
          <w:sz w:val="20"/>
          <w:szCs w:val="20"/>
        </w:rPr>
      </w:pPr>
      <w:r>
        <w:rPr>
          <w:sz w:val="20"/>
          <w:szCs w:val="20"/>
        </w:rPr>
        <w:t> </w:t>
      </w:r>
    </w:p>
    <w:p w14:paraId="17539C0D" w14:textId="77777777" w:rsidR="00000000" w:rsidRDefault="00832D71">
      <w:pPr>
        <w:pStyle w:val="a3"/>
        <w:spacing w:before="60" w:beforeAutospacing="0" w:after="0" w:afterAutospacing="0"/>
        <w:jc w:val="center"/>
        <w:rPr>
          <w:sz w:val="20"/>
          <w:szCs w:val="20"/>
        </w:rPr>
      </w:pPr>
      <w:r>
        <w:rPr>
          <w:b/>
          <w:bCs/>
          <w:sz w:val="20"/>
          <w:szCs w:val="20"/>
        </w:rPr>
        <w:t>Baseline Cash Flo</w:t>
      </w:r>
      <w:r>
        <w:rPr>
          <w:b/>
          <w:bCs/>
          <w:sz w:val="20"/>
          <w:szCs w:val="20"/>
        </w:rPr>
        <w:t>w</w:t>
      </w:r>
      <w:r>
        <w:rPr>
          <w:b/>
          <w:bCs/>
          <w:sz w:val="20"/>
          <w:szCs w:val="20"/>
        </w:rPr>
        <w:t xml:space="preserve"> </w:t>
      </w:r>
    </w:p>
    <w:p w14:paraId="7D966BBF" w14:textId="77777777" w:rsidR="00000000" w:rsidRDefault="00832D71">
      <w:pPr>
        <w:pStyle w:val="a3"/>
        <w:spacing w:before="0" w:beforeAutospacing="0" w:after="0" w:afterAutospacing="0"/>
        <w:jc w:val="center"/>
        <w:rPr>
          <w:sz w:val="20"/>
          <w:szCs w:val="20"/>
        </w:rPr>
      </w:pPr>
      <w:r>
        <w:rPr>
          <w:sz w:val="20"/>
          <w:szCs w:val="20"/>
        </w:rPr>
        <w:t xml:space="preserve">(Total number of Common Units outstanding at beginning of the three-year measurement period multiplied by the </w:t>
      </w:r>
      <w:r>
        <w:rPr>
          <w:sz w:val="20"/>
          <w:szCs w:val="20"/>
        </w:rPr>
        <w:t>then annualized distribution rate</w:t>
      </w:r>
      <w:r>
        <w:rPr>
          <w:sz w:val="20"/>
          <w:szCs w:val="20"/>
        </w:rPr>
        <w:t>)</w:t>
      </w:r>
    </w:p>
    <w:p w14:paraId="0EB0741A" w14:textId="77777777" w:rsidR="00000000" w:rsidRDefault="00832D71">
      <w:pPr>
        <w:pStyle w:val="a3"/>
        <w:spacing w:before="40" w:beforeAutospacing="0" w:after="0" w:afterAutospacing="0"/>
        <w:jc w:val="center"/>
        <w:rPr>
          <w:sz w:val="20"/>
          <w:szCs w:val="20"/>
        </w:rPr>
      </w:pPr>
      <w:r>
        <w:rPr>
          <w:sz w:val="20"/>
          <w:szCs w:val="20"/>
        </w:rPr>
        <w:t> </w:t>
      </w:r>
    </w:p>
    <w:p w14:paraId="2262CAB6" w14:textId="77777777" w:rsidR="00000000" w:rsidRDefault="00832D71">
      <w:pPr>
        <w:pStyle w:val="a3"/>
        <w:spacing w:before="0" w:beforeAutospacing="0" w:after="0" w:afterAutospacing="0"/>
        <w:rPr>
          <w:sz w:val="20"/>
          <w:szCs w:val="20"/>
        </w:rPr>
      </w:pPr>
      <w:r>
        <w:rPr>
          <w:i/>
          <w:iCs/>
          <w:sz w:val="20"/>
          <w:szCs w:val="20"/>
        </w:rPr>
        <w:t>Definition</w:t>
      </w:r>
      <w:r>
        <w:rPr>
          <w:i/>
          <w:iCs/>
          <w:sz w:val="20"/>
          <w:szCs w:val="20"/>
        </w:rPr>
        <w:t>s</w:t>
      </w:r>
    </w:p>
    <w:p w14:paraId="4307639C" w14:textId="77777777" w:rsidR="00000000" w:rsidRDefault="00832D71">
      <w:pPr>
        <w:pStyle w:val="a3"/>
        <w:spacing w:before="120" w:beforeAutospacing="0" w:after="0" w:afterAutospacing="0"/>
        <w:ind w:firstLine="555"/>
        <w:jc w:val="both"/>
        <w:rPr>
          <w:sz w:val="20"/>
          <w:szCs w:val="20"/>
        </w:rPr>
      </w:pPr>
      <w:r>
        <w:rPr>
          <w:sz w:val="20"/>
          <w:szCs w:val="20"/>
        </w:rPr>
        <w:t>Distributable Cash Flow: represents Actual Adjusted EBITDA for a particular fiscal year less maintenance capital expenditures, cash interest expense, and the provision for income taxes for the same fiscal ye</w:t>
      </w:r>
      <w:r>
        <w:rPr>
          <w:sz w:val="20"/>
          <w:szCs w:val="20"/>
        </w:rPr>
        <w:t>ar</w:t>
      </w:r>
      <w:r>
        <w:rPr>
          <w:sz w:val="20"/>
          <w:szCs w:val="20"/>
        </w:rPr>
        <w:t>.</w:t>
      </w:r>
    </w:p>
    <w:p w14:paraId="0D853A0E" w14:textId="77777777" w:rsidR="00000000" w:rsidRDefault="00832D71">
      <w:pPr>
        <w:pStyle w:val="a3"/>
        <w:spacing w:before="240" w:beforeAutospacing="0" w:after="0" w:afterAutospacing="0"/>
        <w:ind w:firstLine="555"/>
        <w:jc w:val="both"/>
        <w:rPr>
          <w:sz w:val="20"/>
          <w:szCs w:val="20"/>
        </w:rPr>
      </w:pPr>
      <w:r>
        <w:rPr>
          <w:sz w:val="20"/>
          <w:szCs w:val="20"/>
        </w:rPr>
        <w:t>Actual Adjusted EBITDA: represents the same definition as Actual Adjusted EBITDA under the annual cash bonus plan</w:t>
      </w:r>
      <w:r>
        <w:rPr>
          <w:sz w:val="20"/>
          <w:szCs w:val="20"/>
        </w:rPr>
        <w:t>.</w:t>
      </w:r>
      <w:r>
        <w:rPr>
          <w:sz w:val="20"/>
          <w:szCs w:val="20"/>
        </w:rPr>
        <w:t xml:space="preserve"> </w:t>
      </w:r>
    </w:p>
    <w:p w14:paraId="4B10F185" w14:textId="77777777" w:rsidR="00000000" w:rsidRDefault="00832D71">
      <w:pPr>
        <w:pStyle w:val="a3"/>
        <w:spacing w:before="240" w:beforeAutospacing="0" w:after="0" w:afterAutospacing="0"/>
        <w:ind w:firstLine="555"/>
        <w:jc w:val="both"/>
        <w:rPr>
          <w:sz w:val="20"/>
          <w:szCs w:val="20"/>
        </w:rPr>
      </w:pPr>
      <w:r>
        <w:rPr>
          <w:sz w:val="20"/>
          <w:szCs w:val="20"/>
        </w:rPr>
        <w:t>Average Distributable Cash Flow: represents average distributable cash flow for each of the three years in a particular award’s three-ye</w:t>
      </w:r>
      <w:r>
        <w:rPr>
          <w:sz w:val="20"/>
          <w:szCs w:val="20"/>
        </w:rPr>
        <w:t>ar measurement period, plus the product of the number of Common Units outstanding at the beginning of the three-year measurement period and the annual differences between the per Common Unit annualized distribution rate at the beginning of the three-year m</w:t>
      </w:r>
      <w:r>
        <w:rPr>
          <w:sz w:val="20"/>
          <w:szCs w:val="20"/>
        </w:rPr>
        <w:t>easurement period and the actual per Common Unit distributions paid during each of those three years</w:t>
      </w:r>
      <w:r>
        <w:rPr>
          <w:sz w:val="20"/>
          <w:szCs w:val="20"/>
        </w:rPr>
        <w:t>.</w:t>
      </w:r>
      <w:r>
        <w:rPr>
          <w:sz w:val="20"/>
          <w:szCs w:val="20"/>
        </w:rPr>
        <w:t xml:space="preserve"> </w:t>
      </w:r>
    </w:p>
    <w:p w14:paraId="640E4B43" w14:textId="77777777" w:rsidR="00000000" w:rsidRDefault="00832D71">
      <w:pPr>
        <w:pStyle w:val="a3"/>
        <w:spacing w:before="240" w:beforeAutospacing="0" w:after="0" w:afterAutospacing="0"/>
        <w:ind w:firstLine="555"/>
        <w:jc w:val="both"/>
        <w:rPr>
          <w:sz w:val="20"/>
          <w:szCs w:val="20"/>
        </w:rPr>
      </w:pPr>
      <w:r>
        <w:rPr>
          <w:sz w:val="20"/>
          <w:szCs w:val="20"/>
        </w:rPr>
        <w:t xml:space="preserve">Baseline Cash Flow: represents the total number of Common Units outstanding at the beginning of the three-year measurement period multiplied by the then </w:t>
      </w:r>
      <w:r>
        <w:rPr>
          <w:sz w:val="20"/>
          <w:szCs w:val="20"/>
        </w:rPr>
        <w:t>per Common Unit annualized distribution rate</w:t>
      </w:r>
      <w:r>
        <w:rPr>
          <w:sz w:val="20"/>
          <w:szCs w:val="20"/>
        </w:rPr>
        <w:t>.</w:t>
      </w:r>
    </w:p>
    <w:p w14:paraId="136A4247" w14:textId="77777777" w:rsidR="00000000" w:rsidRDefault="00832D71">
      <w:pPr>
        <w:pStyle w:val="a3"/>
        <w:spacing w:before="0" w:beforeAutospacing="0" w:after="0" w:afterAutospacing="0"/>
        <w:ind w:firstLine="555"/>
        <w:jc w:val="both"/>
        <w:rPr>
          <w:sz w:val="20"/>
          <w:szCs w:val="20"/>
        </w:rPr>
      </w:pPr>
      <w:r>
        <w:rPr>
          <w:sz w:val="20"/>
          <w:szCs w:val="20"/>
        </w:rPr>
        <w:t> </w:t>
      </w:r>
    </w:p>
    <w:p w14:paraId="6E7D57B6" w14:textId="77777777" w:rsidR="00000000" w:rsidRDefault="00832D71">
      <w:pPr>
        <w:pStyle w:val="a3"/>
        <w:spacing w:before="0" w:beforeAutospacing="0" w:after="0" w:afterAutospacing="0"/>
        <w:ind w:firstLine="555"/>
        <w:jc w:val="both"/>
        <w:rPr>
          <w:sz w:val="20"/>
          <w:szCs w:val="20"/>
        </w:rPr>
      </w:pPr>
      <w:r>
        <w:rPr>
          <w:sz w:val="20"/>
          <w:szCs w:val="20"/>
        </w:rPr>
        <w:t xml:space="preserve">The following table summarizes the performance targets and associated level of vesting, based on the achievement level of the Distribution Coverage Ratio, for the fiscal 2020 award (the three-year measurement period of which concluded at the end of fiscal </w:t>
      </w:r>
      <w:r>
        <w:rPr>
          <w:sz w:val="20"/>
          <w:szCs w:val="20"/>
        </w:rPr>
        <w:t>2022)</w:t>
      </w:r>
      <w:r>
        <w:rPr>
          <w:sz w:val="20"/>
          <w:szCs w:val="20"/>
        </w:rPr>
        <w:t>:</w:t>
      </w:r>
    </w:p>
    <w:p w14:paraId="599ACA9D" w14:textId="77777777" w:rsidR="00000000" w:rsidRDefault="00832D71">
      <w:pPr>
        <w:pStyle w:val="a3"/>
        <w:spacing w:before="40" w:beforeAutospacing="0" w:after="0" w:afterAutospacing="0"/>
        <w:ind w:firstLine="555"/>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220"/>
        <w:gridCol w:w="208"/>
        <w:gridCol w:w="3217"/>
      </w:tblGrid>
      <w:tr w:rsidR="00000000" w14:paraId="434F57D6" w14:textId="77777777">
        <w:trPr>
          <w:tblCellSpacing w:w="15" w:type="dxa"/>
        </w:trPr>
        <w:tc>
          <w:tcPr>
            <w:tcW w:w="2432" w:type="pct"/>
            <w:vAlign w:val="center"/>
            <w:hideMark/>
          </w:tcPr>
          <w:p w14:paraId="225BDFA6" w14:textId="77777777" w:rsidR="00000000" w:rsidRDefault="00832D71">
            <w:pPr>
              <w:rPr>
                <w:sz w:val="20"/>
                <w:szCs w:val="20"/>
              </w:rPr>
            </w:pPr>
          </w:p>
        </w:tc>
        <w:tc>
          <w:tcPr>
            <w:tcW w:w="136" w:type="pct"/>
            <w:vAlign w:val="center"/>
            <w:hideMark/>
          </w:tcPr>
          <w:p w14:paraId="399FAB63" w14:textId="77777777" w:rsidR="00000000" w:rsidRDefault="00832D71">
            <w:pPr>
              <w:rPr>
                <w:rFonts w:eastAsia="Times New Roman"/>
                <w:sz w:val="20"/>
                <w:szCs w:val="20"/>
              </w:rPr>
            </w:pPr>
          </w:p>
        </w:tc>
        <w:tc>
          <w:tcPr>
            <w:tcW w:w="2431" w:type="pct"/>
            <w:vAlign w:val="center"/>
            <w:hideMark/>
          </w:tcPr>
          <w:p w14:paraId="3D7EC4C4" w14:textId="77777777" w:rsidR="00000000" w:rsidRDefault="00832D71">
            <w:pPr>
              <w:rPr>
                <w:rFonts w:eastAsia="Times New Roman"/>
                <w:sz w:val="20"/>
                <w:szCs w:val="20"/>
              </w:rPr>
            </w:pPr>
          </w:p>
        </w:tc>
      </w:tr>
      <w:tr w:rsidR="00000000" w14:paraId="641DAC53" w14:textId="77777777">
        <w:trPr>
          <w:trHeight w:val="160"/>
          <w:tblCellSpacing w:w="15" w:type="dxa"/>
        </w:trPr>
        <w:tc>
          <w:tcPr>
            <w:tcW w:w="0" w:type="auto"/>
            <w:vAlign w:val="bottom"/>
            <w:hideMark/>
          </w:tcPr>
          <w:p w14:paraId="55E99544" w14:textId="77777777" w:rsidR="00000000" w:rsidRDefault="00832D71">
            <w:pPr>
              <w:pStyle w:val="a3"/>
              <w:spacing w:before="0" w:beforeAutospacing="0" w:after="0" w:afterAutospacing="0"/>
              <w:jc w:val="center"/>
              <w:rPr>
                <w:sz w:val="16"/>
                <w:szCs w:val="16"/>
              </w:rPr>
            </w:pPr>
            <w:r>
              <w:rPr>
                <w:b/>
                <w:bCs/>
                <w:sz w:val="16"/>
                <w:szCs w:val="16"/>
                <w:u w:val="single"/>
              </w:rPr>
              <w:t>Distribution Coverage Rati</w:t>
            </w:r>
            <w:r>
              <w:rPr>
                <w:b/>
                <w:bCs/>
                <w:sz w:val="16"/>
                <w:szCs w:val="16"/>
                <w:u w:val="single"/>
              </w:rPr>
              <w:t>o</w:t>
            </w:r>
          </w:p>
        </w:tc>
        <w:tc>
          <w:tcPr>
            <w:tcW w:w="0" w:type="auto"/>
            <w:vAlign w:val="bottom"/>
            <w:hideMark/>
          </w:tcPr>
          <w:p w14:paraId="7D103A7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29F4B6E" w14:textId="77777777" w:rsidR="00000000" w:rsidRDefault="00832D71">
            <w:pPr>
              <w:pStyle w:val="a3"/>
              <w:spacing w:before="0" w:beforeAutospacing="0" w:after="0" w:afterAutospacing="0"/>
              <w:jc w:val="center"/>
              <w:rPr>
                <w:sz w:val="16"/>
                <w:szCs w:val="16"/>
              </w:rPr>
            </w:pPr>
            <w:r>
              <w:rPr>
                <w:b/>
                <w:bCs/>
                <w:sz w:val="16"/>
                <w:szCs w:val="16"/>
                <w:u w:val="single"/>
              </w:rPr>
              <w:t>% of Award Earne</w:t>
            </w:r>
            <w:r>
              <w:rPr>
                <w:b/>
                <w:bCs/>
                <w:sz w:val="16"/>
                <w:szCs w:val="16"/>
                <w:u w:val="single"/>
              </w:rPr>
              <w:t>d</w:t>
            </w:r>
          </w:p>
        </w:tc>
      </w:tr>
      <w:tr w:rsidR="00000000" w14:paraId="200DBF21" w14:textId="77777777">
        <w:trPr>
          <w:trHeight w:val="200"/>
          <w:tblCellSpacing w:w="15" w:type="dxa"/>
        </w:trPr>
        <w:tc>
          <w:tcPr>
            <w:tcW w:w="0" w:type="auto"/>
            <w:vAlign w:val="bottom"/>
            <w:hideMark/>
          </w:tcPr>
          <w:p w14:paraId="6168E59C" w14:textId="77777777" w:rsidR="00000000" w:rsidRDefault="00832D71">
            <w:pPr>
              <w:pStyle w:val="a3"/>
              <w:spacing w:before="0" w:beforeAutospacing="0" w:after="0" w:afterAutospacing="0"/>
              <w:jc w:val="center"/>
              <w:rPr>
                <w:sz w:val="20"/>
                <w:szCs w:val="20"/>
              </w:rPr>
            </w:pPr>
            <w:r>
              <w:rPr>
                <w:sz w:val="20"/>
                <w:szCs w:val="20"/>
              </w:rPr>
              <w:t>1.50 or higher (Maximum</w:t>
            </w:r>
            <w:r>
              <w:rPr>
                <w:sz w:val="20"/>
                <w:szCs w:val="20"/>
              </w:rPr>
              <w:t>)</w:t>
            </w:r>
          </w:p>
        </w:tc>
        <w:tc>
          <w:tcPr>
            <w:tcW w:w="0" w:type="auto"/>
            <w:vAlign w:val="bottom"/>
            <w:hideMark/>
          </w:tcPr>
          <w:p w14:paraId="103D7C5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1D9152A" w14:textId="77777777" w:rsidR="00000000" w:rsidRDefault="00832D71">
            <w:pPr>
              <w:pStyle w:val="a3"/>
              <w:spacing w:before="0" w:beforeAutospacing="0" w:after="0" w:afterAutospacing="0"/>
              <w:jc w:val="center"/>
              <w:rPr>
                <w:sz w:val="20"/>
                <w:szCs w:val="20"/>
              </w:rPr>
            </w:pPr>
            <w:r>
              <w:rPr>
                <w:sz w:val="20"/>
                <w:szCs w:val="20"/>
              </w:rPr>
              <w:t>150</w:t>
            </w:r>
            <w:r>
              <w:rPr>
                <w:sz w:val="20"/>
                <w:szCs w:val="20"/>
              </w:rPr>
              <w:t>%</w:t>
            </w:r>
          </w:p>
        </w:tc>
      </w:tr>
      <w:tr w:rsidR="00000000" w14:paraId="1578DACB" w14:textId="77777777">
        <w:trPr>
          <w:trHeight w:val="200"/>
          <w:tblCellSpacing w:w="15" w:type="dxa"/>
        </w:trPr>
        <w:tc>
          <w:tcPr>
            <w:tcW w:w="0" w:type="auto"/>
            <w:vAlign w:val="bottom"/>
            <w:hideMark/>
          </w:tcPr>
          <w:p w14:paraId="4A6A2AC8" w14:textId="77777777" w:rsidR="00000000" w:rsidRDefault="00832D71">
            <w:pPr>
              <w:pStyle w:val="a3"/>
              <w:spacing w:before="0" w:beforeAutospacing="0" w:after="0" w:afterAutospacing="0"/>
              <w:jc w:val="center"/>
              <w:rPr>
                <w:sz w:val="20"/>
                <w:szCs w:val="20"/>
              </w:rPr>
            </w:pPr>
            <w:r>
              <w:rPr>
                <w:sz w:val="20"/>
                <w:szCs w:val="20"/>
              </w:rPr>
              <w:t>1.20 (Target</w:t>
            </w:r>
            <w:r>
              <w:rPr>
                <w:sz w:val="20"/>
                <w:szCs w:val="20"/>
              </w:rPr>
              <w:t>)</w:t>
            </w:r>
          </w:p>
        </w:tc>
        <w:tc>
          <w:tcPr>
            <w:tcW w:w="0" w:type="auto"/>
            <w:vAlign w:val="bottom"/>
            <w:hideMark/>
          </w:tcPr>
          <w:p w14:paraId="65F813A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9177F3A" w14:textId="77777777" w:rsidR="00000000" w:rsidRDefault="00832D71">
            <w:pPr>
              <w:pStyle w:val="a3"/>
              <w:spacing w:before="0" w:beforeAutospacing="0" w:after="0" w:afterAutospacing="0"/>
              <w:jc w:val="center"/>
              <w:rPr>
                <w:sz w:val="20"/>
                <w:szCs w:val="20"/>
              </w:rPr>
            </w:pPr>
            <w:r>
              <w:rPr>
                <w:sz w:val="20"/>
                <w:szCs w:val="20"/>
              </w:rPr>
              <w:t>100</w:t>
            </w:r>
            <w:r>
              <w:rPr>
                <w:sz w:val="20"/>
                <w:szCs w:val="20"/>
              </w:rPr>
              <w:t>%</w:t>
            </w:r>
          </w:p>
        </w:tc>
      </w:tr>
      <w:tr w:rsidR="00000000" w14:paraId="4863975B" w14:textId="77777777">
        <w:trPr>
          <w:trHeight w:val="200"/>
          <w:tblCellSpacing w:w="15" w:type="dxa"/>
        </w:trPr>
        <w:tc>
          <w:tcPr>
            <w:tcW w:w="0" w:type="auto"/>
            <w:vAlign w:val="bottom"/>
            <w:hideMark/>
          </w:tcPr>
          <w:p w14:paraId="586E6800" w14:textId="77777777" w:rsidR="00000000" w:rsidRDefault="00832D71">
            <w:pPr>
              <w:pStyle w:val="a3"/>
              <w:spacing w:before="0" w:beforeAutospacing="0" w:after="0" w:afterAutospacing="0"/>
              <w:jc w:val="center"/>
              <w:rPr>
                <w:sz w:val="20"/>
                <w:szCs w:val="20"/>
              </w:rPr>
            </w:pPr>
            <w:r>
              <w:rPr>
                <w:sz w:val="20"/>
                <w:szCs w:val="20"/>
              </w:rPr>
              <w:t>1.00 (Entry</w:t>
            </w:r>
            <w:r>
              <w:rPr>
                <w:sz w:val="20"/>
                <w:szCs w:val="20"/>
              </w:rPr>
              <w:t>)</w:t>
            </w:r>
          </w:p>
        </w:tc>
        <w:tc>
          <w:tcPr>
            <w:tcW w:w="0" w:type="auto"/>
            <w:vAlign w:val="bottom"/>
            <w:hideMark/>
          </w:tcPr>
          <w:p w14:paraId="1E98A21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08E2663" w14:textId="77777777" w:rsidR="00000000" w:rsidRDefault="00832D71">
            <w:pPr>
              <w:pStyle w:val="a3"/>
              <w:spacing w:before="0" w:beforeAutospacing="0" w:after="0" w:afterAutospacing="0"/>
              <w:jc w:val="center"/>
              <w:rPr>
                <w:sz w:val="20"/>
                <w:szCs w:val="20"/>
              </w:rPr>
            </w:pPr>
            <w:r>
              <w:rPr>
                <w:sz w:val="20"/>
                <w:szCs w:val="20"/>
              </w:rPr>
              <w:t>50</w:t>
            </w:r>
            <w:r>
              <w:rPr>
                <w:sz w:val="20"/>
                <w:szCs w:val="20"/>
              </w:rPr>
              <w:t>%</w:t>
            </w:r>
          </w:p>
        </w:tc>
      </w:tr>
      <w:tr w:rsidR="00000000" w14:paraId="062AC6B5" w14:textId="77777777">
        <w:trPr>
          <w:trHeight w:val="200"/>
          <w:tblCellSpacing w:w="15" w:type="dxa"/>
        </w:trPr>
        <w:tc>
          <w:tcPr>
            <w:tcW w:w="0" w:type="auto"/>
            <w:vAlign w:val="bottom"/>
            <w:hideMark/>
          </w:tcPr>
          <w:p w14:paraId="2FB24D69" w14:textId="77777777" w:rsidR="00000000" w:rsidRDefault="00832D71">
            <w:pPr>
              <w:pStyle w:val="a3"/>
              <w:spacing w:before="0" w:beforeAutospacing="0" w:after="0" w:afterAutospacing="0"/>
              <w:jc w:val="center"/>
              <w:rPr>
                <w:sz w:val="20"/>
                <w:szCs w:val="20"/>
              </w:rPr>
            </w:pPr>
            <w:r>
              <w:rPr>
                <w:sz w:val="20"/>
                <w:szCs w:val="20"/>
              </w:rPr>
              <w:t>Less than 1.0</w:t>
            </w:r>
            <w:r>
              <w:rPr>
                <w:sz w:val="20"/>
                <w:szCs w:val="20"/>
              </w:rPr>
              <w:t>0</w:t>
            </w:r>
          </w:p>
        </w:tc>
        <w:tc>
          <w:tcPr>
            <w:tcW w:w="0" w:type="auto"/>
            <w:vAlign w:val="bottom"/>
            <w:hideMark/>
          </w:tcPr>
          <w:p w14:paraId="6650765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7D875C5" w14:textId="77777777" w:rsidR="00000000" w:rsidRDefault="00832D71">
            <w:pPr>
              <w:pStyle w:val="a3"/>
              <w:spacing w:before="0" w:beforeAutospacing="0" w:after="0" w:afterAutospacing="0"/>
              <w:jc w:val="center"/>
              <w:rPr>
                <w:sz w:val="20"/>
                <w:szCs w:val="20"/>
              </w:rPr>
            </w:pPr>
            <w:r>
              <w:rPr>
                <w:sz w:val="20"/>
                <w:szCs w:val="20"/>
              </w:rPr>
              <w:t>0</w:t>
            </w:r>
            <w:r>
              <w:rPr>
                <w:sz w:val="20"/>
                <w:szCs w:val="20"/>
              </w:rPr>
              <w:t>%</w:t>
            </w:r>
          </w:p>
        </w:tc>
      </w:tr>
    </w:tbl>
    <w:p w14:paraId="3215D3D0" w14:textId="77777777" w:rsidR="00000000" w:rsidRDefault="00832D71">
      <w:pPr>
        <w:pStyle w:val="a3"/>
        <w:spacing w:before="0" w:beforeAutospacing="0" w:after="0" w:afterAutospacing="0"/>
        <w:rPr>
          <w:sz w:val="20"/>
          <w:szCs w:val="20"/>
        </w:rPr>
      </w:pPr>
      <w:r>
        <w:rPr>
          <w:sz w:val="20"/>
          <w:szCs w:val="20"/>
        </w:rPr>
        <w:t> </w:t>
      </w:r>
    </w:p>
    <w:p w14:paraId="0A6BA609" w14:textId="77777777" w:rsidR="00000000" w:rsidRDefault="00832D71">
      <w:pPr>
        <w:pStyle w:val="a3"/>
        <w:spacing w:before="0" w:beforeAutospacing="0" w:after="0" w:afterAutospacing="0"/>
        <w:jc w:val="center"/>
        <w:rPr>
          <w:sz w:val="20"/>
          <w:szCs w:val="20"/>
        </w:rPr>
      </w:pPr>
      <w:r>
        <w:rPr>
          <w:sz w:val="20"/>
          <w:szCs w:val="20"/>
        </w:rPr>
        <w:t> </w:t>
      </w:r>
    </w:p>
    <w:p w14:paraId="5ECD6815" w14:textId="77777777" w:rsidR="00000000" w:rsidRDefault="00832D71">
      <w:pPr>
        <w:pStyle w:val="a3"/>
        <w:spacing w:before="0" w:beforeAutospacing="0" w:after="0" w:afterAutospacing="0"/>
        <w:jc w:val="center"/>
        <w:rPr>
          <w:sz w:val="20"/>
          <w:szCs w:val="20"/>
        </w:rPr>
      </w:pPr>
      <w:r>
        <w:rPr>
          <w:sz w:val="20"/>
          <w:szCs w:val="20"/>
        </w:rPr>
        <w:t>6</w:t>
      </w:r>
      <w:r>
        <w:rPr>
          <w:sz w:val="20"/>
          <w:szCs w:val="20"/>
        </w:rPr>
        <w:t>3</w:t>
      </w:r>
    </w:p>
    <w:p w14:paraId="091ECC0B" w14:textId="77777777" w:rsidR="00000000" w:rsidRDefault="00832D71">
      <w:pPr>
        <w:rPr>
          <w:rFonts w:eastAsia="Times New Roman"/>
        </w:rPr>
      </w:pPr>
      <w:r>
        <w:rPr>
          <w:rFonts w:eastAsia="Times New Roman"/>
        </w:rPr>
        <w:pict w14:anchorId="541BE306">
          <v:rect id="_x0000_i1090" style="width:0;height:1.5pt" o:hralign="center" o:hrstd="t" o:hr="t" fillcolor="#a0a0a0" stroked="f"/>
        </w:pict>
      </w:r>
    </w:p>
    <w:p w14:paraId="7D867060"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2991FD6D" w14:textId="77777777" w:rsidR="00000000" w:rsidRDefault="00832D71">
      <w:pPr>
        <w:pStyle w:val="a3"/>
        <w:spacing w:before="40" w:beforeAutospacing="0" w:after="0" w:afterAutospacing="0"/>
        <w:ind w:firstLine="555"/>
        <w:jc w:val="both"/>
        <w:rPr>
          <w:sz w:val="20"/>
          <w:szCs w:val="20"/>
        </w:rPr>
      </w:pPr>
      <w:r>
        <w:rPr>
          <w:sz w:val="20"/>
          <w:szCs w:val="20"/>
        </w:rPr>
        <w:t> </w:t>
      </w:r>
    </w:p>
    <w:p w14:paraId="60B3FD76" w14:textId="77777777" w:rsidR="00000000" w:rsidRDefault="00832D71">
      <w:pPr>
        <w:pStyle w:val="a3"/>
        <w:spacing w:before="40" w:beforeAutospacing="0" w:after="0" w:afterAutospacing="0"/>
        <w:ind w:firstLine="555"/>
        <w:jc w:val="both"/>
        <w:rPr>
          <w:sz w:val="20"/>
          <w:szCs w:val="20"/>
        </w:rPr>
      </w:pPr>
      <w:r>
        <w:rPr>
          <w:sz w:val="20"/>
          <w:szCs w:val="20"/>
        </w:rPr>
        <w:t xml:space="preserve">For every additional 0.01 increase in the Distribution Coverage Ratio, an additional 2% of the award was earned. Between target and maximum performance, awards </w:t>
      </w:r>
      <w:r>
        <w:rPr>
          <w:sz w:val="20"/>
          <w:szCs w:val="20"/>
        </w:rPr>
        <w:t>were earned according to the following schedule</w:t>
      </w:r>
      <w:r>
        <w:rPr>
          <w:sz w:val="20"/>
          <w:szCs w:val="20"/>
        </w:rPr>
        <w:t>:</w:t>
      </w:r>
    </w:p>
    <w:p w14:paraId="740F80EA" w14:textId="77777777" w:rsidR="00000000" w:rsidRDefault="00832D71">
      <w:pPr>
        <w:pStyle w:val="a3"/>
        <w:spacing w:before="40" w:beforeAutospacing="0" w:after="0" w:afterAutospacing="0"/>
        <w:ind w:firstLine="555"/>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1582"/>
        <w:gridCol w:w="116"/>
        <w:gridCol w:w="1567"/>
        <w:gridCol w:w="116"/>
        <w:gridCol w:w="1567"/>
        <w:gridCol w:w="116"/>
        <w:gridCol w:w="1581"/>
      </w:tblGrid>
      <w:tr w:rsidR="00000000" w14:paraId="36AA48A6" w14:textId="77777777">
        <w:trPr>
          <w:tblCellSpacing w:w="15" w:type="dxa"/>
        </w:trPr>
        <w:tc>
          <w:tcPr>
            <w:tcW w:w="1199" w:type="pct"/>
            <w:vAlign w:val="center"/>
            <w:hideMark/>
          </w:tcPr>
          <w:p w14:paraId="11D1842D" w14:textId="77777777" w:rsidR="00000000" w:rsidRDefault="00832D71">
            <w:pPr>
              <w:rPr>
                <w:sz w:val="20"/>
                <w:szCs w:val="20"/>
              </w:rPr>
            </w:pPr>
          </w:p>
        </w:tc>
        <w:tc>
          <w:tcPr>
            <w:tcW w:w="66" w:type="pct"/>
            <w:vAlign w:val="center"/>
            <w:hideMark/>
          </w:tcPr>
          <w:p w14:paraId="2DC86CDE" w14:textId="77777777" w:rsidR="00000000" w:rsidRDefault="00832D71">
            <w:pPr>
              <w:rPr>
                <w:rFonts w:eastAsia="Times New Roman"/>
                <w:sz w:val="20"/>
                <w:szCs w:val="20"/>
              </w:rPr>
            </w:pPr>
          </w:p>
        </w:tc>
        <w:tc>
          <w:tcPr>
            <w:tcW w:w="1200" w:type="pct"/>
            <w:vAlign w:val="center"/>
            <w:hideMark/>
          </w:tcPr>
          <w:p w14:paraId="7D05552A" w14:textId="77777777" w:rsidR="00000000" w:rsidRDefault="00832D71">
            <w:pPr>
              <w:rPr>
                <w:rFonts w:eastAsia="Times New Roman"/>
                <w:sz w:val="20"/>
                <w:szCs w:val="20"/>
              </w:rPr>
            </w:pPr>
          </w:p>
        </w:tc>
        <w:tc>
          <w:tcPr>
            <w:tcW w:w="67" w:type="pct"/>
            <w:vAlign w:val="center"/>
            <w:hideMark/>
          </w:tcPr>
          <w:p w14:paraId="50A12843" w14:textId="77777777" w:rsidR="00000000" w:rsidRDefault="00832D71">
            <w:pPr>
              <w:rPr>
                <w:rFonts w:eastAsia="Times New Roman"/>
                <w:sz w:val="20"/>
                <w:szCs w:val="20"/>
              </w:rPr>
            </w:pPr>
          </w:p>
        </w:tc>
        <w:tc>
          <w:tcPr>
            <w:tcW w:w="1200" w:type="pct"/>
            <w:vAlign w:val="center"/>
            <w:hideMark/>
          </w:tcPr>
          <w:p w14:paraId="519283DB" w14:textId="77777777" w:rsidR="00000000" w:rsidRDefault="00832D71">
            <w:pPr>
              <w:rPr>
                <w:rFonts w:eastAsia="Times New Roman"/>
                <w:sz w:val="20"/>
                <w:szCs w:val="20"/>
              </w:rPr>
            </w:pPr>
          </w:p>
        </w:tc>
        <w:tc>
          <w:tcPr>
            <w:tcW w:w="67" w:type="pct"/>
            <w:vAlign w:val="center"/>
            <w:hideMark/>
          </w:tcPr>
          <w:p w14:paraId="7CD94983" w14:textId="77777777" w:rsidR="00000000" w:rsidRDefault="00832D71">
            <w:pPr>
              <w:rPr>
                <w:rFonts w:eastAsia="Times New Roman"/>
                <w:sz w:val="20"/>
                <w:szCs w:val="20"/>
              </w:rPr>
            </w:pPr>
          </w:p>
        </w:tc>
        <w:tc>
          <w:tcPr>
            <w:tcW w:w="1199" w:type="pct"/>
            <w:vAlign w:val="center"/>
            <w:hideMark/>
          </w:tcPr>
          <w:p w14:paraId="36E62871" w14:textId="77777777" w:rsidR="00000000" w:rsidRDefault="00832D71">
            <w:pPr>
              <w:rPr>
                <w:rFonts w:eastAsia="Times New Roman"/>
                <w:sz w:val="20"/>
                <w:szCs w:val="20"/>
              </w:rPr>
            </w:pPr>
          </w:p>
        </w:tc>
      </w:tr>
      <w:tr w:rsidR="00000000" w14:paraId="5402F4CA" w14:textId="77777777">
        <w:trPr>
          <w:trHeight w:val="160"/>
          <w:tblCellSpacing w:w="15" w:type="dxa"/>
        </w:trPr>
        <w:tc>
          <w:tcPr>
            <w:tcW w:w="0" w:type="auto"/>
            <w:vAlign w:val="bottom"/>
            <w:hideMark/>
          </w:tcPr>
          <w:p w14:paraId="3DB1DABA" w14:textId="77777777" w:rsidR="00000000" w:rsidRDefault="00832D71">
            <w:pPr>
              <w:pStyle w:val="a3"/>
              <w:spacing w:before="0" w:beforeAutospacing="0" w:after="0" w:afterAutospacing="0"/>
              <w:jc w:val="center"/>
              <w:rPr>
                <w:sz w:val="16"/>
                <w:szCs w:val="16"/>
              </w:rPr>
            </w:pPr>
            <w:r>
              <w:rPr>
                <w:b/>
                <w:bCs/>
                <w:sz w:val="16"/>
                <w:szCs w:val="16"/>
                <w:u w:val="single"/>
              </w:rPr>
              <w:t>Distribution Coverage Rati</w:t>
            </w:r>
            <w:r>
              <w:rPr>
                <w:b/>
                <w:bCs/>
                <w:sz w:val="16"/>
                <w:szCs w:val="16"/>
                <w:u w:val="single"/>
              </w:rPr>
              <w:t>o</w:t>
            </w:r>
          </w:p>
        </w:tc>
        <w:tc>
          <w:tcPr>
            <w:tcW w:w="0" w:type="auto"/>
            <w:vAlign w:val="bottom"/>
            <w:hideMark/>
          </w:tcPr>
          <w:p w14:paraId="6B20E3EA"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7D479BF" w14:textId="77777777" w:rsidR="00000000" w:rsidRDefault="00832D71">
            <w:pPr>
              <w:pStyle w:val="a3"/>
              <w:spacing w:before="0" w:beforeAutospacing="0" w:after="0" w:afterAutospacing="0"/>
              <w:jc w:val="center"/>
              <w:rPr>
                <w:sz w:val="16"/>
                <w:szCs w:val="16"/>
              </w:rPr>
            </w:pPr>
            <w:r>
              <w:rPr>
                <w:b/>
                <w:bCs/>
                <w:sz w:val="16"/>
                <w:szCs w:val="16"/>
                <w:u w:val="single"/>
              </w:rPr>
              <w:t>% of Award Earne</w:t>
            </w:r>
            <w:r>
              <w:rPr>
                <w:b/>
                <w:bCs/>
                <w:sz w:val="16"/>
                <w:szCs w:val="16"/>
                <w:u w:val="single"/>
              </w:rPr>
              <w:t>d</w:t>
            </w:r>
          </w:p>
        </w:tc>
        <w:tc>
          <w:tcPr>
            <w:tcW w:w="0" w:type="auto"/>
            <w:vAlign w:val="bottom"/>
            <w:hideMark/>
          </w:tcPr>
          <w:p w14:paraId="5D4F8A6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F7D481D" w14:textId="77777777" w:rsidR="00000000" w:rsidRDefault="00832D71">
            <w:pPr>
              <w:pStyle w:val="a3"/>
              <w:spacing w:before="0" w:beforeAutospacing="0" w:after="0" w:afterAutospacing="0"/>
              <w:jc w:val="center"/>
              <w:rPr>
                <w:sz w:val="16"/>
                <w:szCs w:val="16"/>
              </w:rPr>
            </w:pPr>
            <w:r>
              <w:rPr>
                <w:b/>
                <w:bCs/>
                <w:sz w:val="16"/>
                <w:szCs w:val="16"/>
                <w:u w:val="single"/>
              </w:rPr>
              <w:t>Distribution Coverage Rati</w:t>
            </w:r>
            <w:r>
              <w:rPr>
                <w:b/>
                <w:bCs/>
                <w:sz w:val="16"/>
                <w:szCs w:val="16"/>
                <w:u w:val="single"/>
              </w:rPr>
              <w:t>o</w:t>
            </w:r>
          </w:p>
        </w:tc>
        <w:tc>
          <w:tcPr>
            <w:tcW w:w="0" w:type="auto"/>
            <w:vAlign w:val="bottom"/>
            <w:hideMark/>
          </w:tcPr>
          <w:p w14:paraId="1444714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0BB7EFA" w14:textId="77777777" w:rsidR="00000000" w:rsidRDefault="00832D71">
            <w:pPr>
              <w:pStyle w:val="a3"/>
              <w:spacing w:before="0" w:beforeAutospacing="0" w:after="0" w:afterAutospacing="0"/>
              <w:jc w:val="center"/>
              <w:rPr>
                <w:sz w:val="16"/>
                <w:szCs w:val="16"/>
              </w:rPr>
            </w:pPr>
            <w:r>
              <w:rPr>
                <w:b/>
                <w:bCs/>
                <w:sz w:val="16"/>
                <w:szCs w:val="16"/>
                <w:u w:val="single"/>
              </w:rPr>
              <w:t>% of Award Earne</w:t>
            </w:r>
            <w:r>
              <w:rPr>
                <w:b/>
                <w:bCs/>
                <w:sz w:val="16"/>
                <w:szCs w:val="16"/>
                <w:u w:val="single"/>
              </w:rPr>
              <w:t>d</w:t>
            </w:r>
          </w:p>
        </w:tc>
      </w:tr>
      <w:tr w:rsidR="00000000" w14:paraId="32D5E018" w14:textId="77777777">
        <w:trPr>
          <w:trHeight w:val="200"/>
          <w:tblCellSpacing w:w="15" w:type="dxa"/>
        </w:trPr>
        <w:tc>
          <w:tcPr>
            <w:tcW w:w="0" w:type="auto"/>
            <w:hideMark/>
          </w:tcPr>
          <w:p w14:paraId="1075DD86" w14:textId="77777777" w:rsidR="00000000" w:rsidRDefault="00832D71">
            <w:pPr>
              <w:pStyle w:val="a3"/>
              <w:spacing w:before="0" w:beforeAutospacing="0" w:after="0" w:afterAutospacing="0"/>
              <w:jc w:val="center"/>
              <w:rPr>
                <w:sz w:val="20"/>
                <w:szCs w:val="20"/>
              </w:rPr>
            </w:pPr>
            <w:r>
              <w:rPr>
                <w:sz w:val="20"/>
                <w:szCs w:val="20"/>
              </w:rPr>
              <w:t>1.50 or highe</w:t>
            </w:r>
            <w:r>
              <w:rPr>
                <w:sz w:val="20"/>
                <w:szCs w:val="20"/>
              </w:rPr>
              <w:t>r</w:t>
            </w:r>
          </w:p>
        </w:tc>
        <w:tc>
          <w:tcPr>
            <w:tcW w:w="0" w:type="auto"/>
            <w:hideMark/>
          </w:tcPr>
          <w:p w14:paraId="14C025FD"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2A7E1941" w14:textId="77777777" w:rsidR="00000000" w:rsidRDefault="00832D71">
            <w:pPr>
              <w:pStyle w:val="a3"/>
              <w:spacing w:before="0" w:beforeAutospacing="0" w:after="0" w:afterAutospacing="0"/>
              <w:jc w:val="center"/>
              <w:rPr>
                <w:sz w:val="20"/>
                <w:szCs w:val="20"/>
              </w:rPr>
            </w:pPr>
            <w:r>
              <w:rPr>
                <w:sz w:val="20"/>
                <w:szCs w:val="20"/>
              </w:rPr>
              <w:t>150.0</w:t>
            </w:r>
            <w:r>
              <w:rPr>
                <w:sz w:val="20"/>
                <w:szCs w:val="20"/>
              </w:rPr>
              <w:t>%</w:t>
            </w:r>
          </w:p>
        </w:tc>
        <w:tc>
          <w:tcPr>
            <w:tcW w:w="0" w:type="auto"/>
            <w:hideMark/>
          </w:tcPr>
          <w:p w14:paraId="429B8AE2" w14:textId="77777777" w:rsidR="00000000" w:rsidRDefault="00832D71">
            <w:pPr>
              <w:pStyle w:val="a3"/>
              <w:spacing w:before="0" w:beforeAutospacing="0" w:after="0" w:afterAutospacing="0"/>
              <w:jc w:val="center"/>
              <w:rPr>
                <w:sz w:val="22"/>
                <w:szCs w:val="22"/>
              </w:rPr>
            </w:pPr>
            <w:r>
              <w:rPr>
                <w:sz w:val="22"/>
                <w:szCs w:val="22"/>
              </w:rPr>
              <w:t> </w:t>
            </w:r>
          </w:p>
        </w:tc>
        <w:tc>
          <w:tcPr>
            <w:tcW w:w="0" w:type="auto"/>
            <w:hideMark/>
          </w:tcPr>
          <w:p w14:paraId="642BE9C0" w14:textId="77777777" w:rsidR="00000000" w:rsidRDefault="00832D71">
            <w:pPr>
              <w:pStyle w:val="a3"/>
              <w:spacing w:before="0" w:beforeAutospacing="0" w:after="0" w:afterAutospacing="0"/>
              <w:jc w:val="center"/>
              <w:rPr>
                <w:sz w:val="20"/>
                <w:szCs w:val="20"/>
              </w:rPr>
            </w:pPr>
            <w:r>
              <w:rPr>
                <w:sz w:val="20"/>
                <w:szCs w:val="20"/>
              </w:rPr>
              <w:t>1.3</w:t>
            </w:r>
            <w:r>
              <w:rPr>
                <w:sz w:val="20"/>
                <w:szCs w:val="20"/>
              </w:rPr>
              <w:t>4</w:t>
            </w:r>
          </w:p>
        </w:tc>
        <w:tc>
          <w:tcPr>
            <w:tcW w:w="0" w:type="auto"/>
            <w:hideMark/>
          </w:tcPr>
          <w:p w14:paraId="03B348F0"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1001DF08" w14:textId="77777777" w:rsidR="00000000" w:rsidRDefault="00832D71">
            <w:pPr>
              <w:pStyle w:val="a3"/>
              <w:spacing w:before="0" w:beforeAutospacing="0" w:after="0" w:afterAutospacing="0"/>
              <w:jc w:val="center"/>
              <w:rPr>
                <w:sz w:val="20"/>
                <w:szCs w:val="20"/>
              </w:rPr>
            </w:pPr>
            <w:r>
              <w:rPr>
                <w:sz w:val="20"/>
                <w:szCs w:val="20"/>
              </w:rPr>
              <w:t>118.0</w:t>
            </w:r>
            <w:r>
              <w:rPr>
                <w:sz w:val="20"/>
                <w:szCs w:val="20"/>
              </w:rPr>
              <w:t>%</w:t>
            </w:r>
          </w:p>
        </w:tc>
      </w:tr>
      <w:tr w:rsidR="00000000" w14:paraId="1792CC00" w14:textId="77777777">
        <w:trPr>
          <w:trHeight w:val="200"/>
          <w:tblCellSpacing w:w="15" w:type="dxa"/>
        </w:trPr>
        <w:tc>
          <w:tcPr>
            <w:tcW w:w="0" w:type="auto"/>
            <w:hideMark/>
          </w:tcPr>
          <w:p w14:paraId="5202B64F" w14:textId="77777777" w:rsidR="00000000" w:rsidRDefault="00832D71">
            <w:pPr>
              <w:pStyle w:val="a3"/>
              <w:spacing w:before="0" w:beforeAutospacing="0" w:after="0" w:afterAutospacing="0"/>
              <w:jc w:val="center"/>
              <w:rPr>
                <w:sz w:val="20"/>
                <w:szCs w:val="20"/>
              </w:rPr>
            </w:pPr>
            <w:r>
              <w:rPr>
                <w:sz w:val="20"/>
                <w:szCs w:val="20"/>
              </w:rPr>
              <w:t>1.4</w:t>
            </w:r>
            <w:r>
              <w:rPr>
                <w:sz w:val="20"/>
                <w:szCs w:val="20"/>
              </w:rPr>
              <w:t>9</w:t>
            </w:r>
          </w:p>
        </w:tc>
        <w:tc>
          <w:tcPr>
            <w:tcW w:w="0" w:type="auto"/>
            <w:hideMark/>
          </w:tcPr>
          <w:p w14:paraId="4D18DA60"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4D7E815F" w14:textId="77777777" w:rsidR="00000000" w:rsidRDefault="00832D71">
            <w:pPr>
              <w:pStyle w:val="a3"/>
              <w:spacing w:before="0" w:beforeAutospacing="0" w:after="0" w:afterAutospacing="0"/>
              <w:jc w:val="center"/>
              <w:rPr>
                <w:sz w:val="20"/>
                <w:szCs w:val="20"/>
              </w:rPr>
            </w:pPr>
            <w:r>
              <w:rPr>
                <w:sz w:val="20"/>
                <w:szCs w:val="20"/>
              </w:rPr>
              <w:t>148.0</w:t>
            </w:r>
            <w:r>
              <w:rPr>
                <w:sz w:val="20"/>
                <w:szCs w:val="20"/>
              </w:rPr>
              <w:t>%</w:t>
            </w:r>
          </w:p>
        </w:tc>
        <w:tc>
          <w:tcPr>
            <w:tcW w:w="0" w:type="auto"/>
            <w:hideMark/>
          </w:tcPr>
          <w:p w14:paraId="0935F3F4" w14:textId="77777777" w:rsidR="00000000" w:rsidRDefault="00832D71">
            <w:pPr>
              <w:pStyle w:val="a3"/>
              <w:spacing w:before="0" w:beforeAutospacing="0" w:after="0" w:afterAutospacing="0"/>
              <w:jc w:val="center"/>
              <w:rPr>
                <w:sz w:val="22"/>
                <w:szCs w:val="22"/>
              </w:rPr>
            </w:pPr>
            <w:r>
              <w:rPr>
                <w:sz w:val="22"/>
                <w:szCs w:val="22"/>
              </w:rPr>
              <w:t> </w:t>
            </w:r>
          </w:p>
        </w:tc>
        <w:tc>
          <w:tcPr>
            <w:tcW w:w="0" w:type="auto"/>
            <w:hideMark/>
          </w:tcPr>
          <w:p w14:paraId="75DC9454" w14:textId="77777777" w:rsidR="00000000" w:rsidRDefault="00832D71">
            <w:pPr>
              <w:pStyle w:val="a3"/>
              <w:spacing w:before="0" w:beforeAutospacing="0" w:after="0" w:afterAutospacing="0"/>
              <w:jc w:val="center"/>
              <w:rPr>
                <w:sz w:val="20"/>
                <w:szCs w:val="20"/>
              </w:rPr>
            </w:pPr>
            <w:r>
              <w:rPr>
                <w:sz w:val="20"/>
                <w:szCs w:val="20"/>
              </w:rPr>
              <w:t>1.3</w:t>
            </w:r>
            <w:r>
              <w:rPr>
                <w:sz w:val="20"/>
                <w:szCs w:val="20"/>
              </w:rPr>
              <w:t>3</w:t>
            </w:r>
          </w:p>
        </w:tc>
        <w:tc>
          <w:tcPr>
            <w:tcW w:w="0" w:type="auto"/>
            <w:hideMark/>
          </w:tcPr>
          <w:p w14:paraId="2A335FAA"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0FE9CE0F" w14:textId="77777777" w:rsidR="00000000" w:rsidRDefault="00832D71">
            <w:pPr>
              <w:pStyle w:val="a3"/>
              <w:spacing w:before="0" w:beforeAutospacing="0" w:after="0" w:afterAutospacing="0"/>
              <w:jc w:val="center"/>
              <w:rPr>
                <w:sz w:val="20"/>
                <w:szCs w:val="20"/>
              </w:rPr>
            </w:pPr>
            <w:r>
              <w:rPr>
                <w:sz w:val="20"/>
                <w:szCs w:val="20"/>
              </w:rPr>
              <w:t>116.0</w:t>
            </w:r>
            <w:r>
              <w:rPr>
                <w:sz w:val="20"/>
                <w:szCs w:val="20"/>
              </w:rPr>
              <w:t>%</w:t>
            </w:r>
          </w:p>
        </w:tc>
      </w:tr>
      <w:tr w:rsidR="00000000" w14:paraId="1FF56D00" w14:textId="77777777">
        <w:trPr>
          <w:trHeight w:val="200"/>
          <w:tblCellSpacing w:w="15" w:type="dxa"/>
        </w:trPr>
        <w:tc>
          <w:tcPr>
            <w:tcW w:w="0" w:type="auto"/>
            <w:hideMark/>
          </w:tcPr>
          <w:p w14:paraId="75A8D877" w14:textId="77777777" w:rsidR="00000000" w:rsidRDefault="00832D71">
            <w:pPr>
              <w:pStyle w:val="a3"/>
              <w:spacing w:before="0" w:beforeAutospacing="0" w:after="0" w:afterAutospacing="0"/>
              <w:jc w:val="center"/>
              <w:rPr>
                <w:sz w:val="20"/>
                <w:szCs w:val="20"/>
              </w:rPr>
            </w:pPr>
            <w:r>
              <w:rPr>
                <w:sz w:val="20"/>
                <w:szCs w:val="20"/>
              </w:rPr>
              <w:t>1.4</w:t>
            </w:r>
            <w:r>
              <w:rPr>
                <w:sz w:val="20"/>
                <w:szCs w:val="20"/>
              </w:rPr>
              <w:t>8</w:t>
            </w:r>
          </w:p>
        </w:tc>
        <w:tc>
          <w:tcPr>
            <w:tcW w:w="0" w:type="auto"/>
            <w:hideMark/>
          </w:tcPr>
          <w:p w14:paraId="69853D79"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379428B1" w14:textId="77777777" w:rsidR="00000000" w:rsidRDefault="00832D71">
            <w:pPr>
              <w:pStyle w:val="a3"/>
              <w:spacing w:before="0" w:beforeAutospacing="0" w:after="0" w:afterAutospacing="0"/>
              <w:jc w:val="center"/>
              <w:rPr>
                <w:sz w:val="20"/>
                <w:szCs w:val="20"/>
              </w:rPr>
            </w:pPr>
            <w:r>
              <w:rPr>
                <w:sz w:val="20"/>
                <w:szCs w:val="20"/>
              </w:rPr>
              <w:t>146.0</w:t>
            </w:r>
            <w:r>
              <w:rPr>
                <w:sz w:val="20"/>
                <w:szCs w:val="20"/>
              </w:rPr>
              <w:t>%</w:t>
            </w:r>
          </w:p>
        </w:tc>
        <w:tc>
          <w:tcPr>
            <w:tcW w:w="0" w:type="auto"/>
            <w:hideMark/>
          </w:tcPr>
          <w:p w14:paraId="49E9F10E" w14:textId="77777777" w:rsidR="00000000" w:rsidRDefault="00832D71">
            <w:pPr>
              <w:pStyle w:val="a3"/>
              <w:spacing w:before="0" w:beforeAutospacing="0" w:after="0" w:afterAutospacing="0"/>
              <w:jc w:val="center"/>
              <w:rPr>
                <w:sz w:val="22"/>
                <w:szCs w:val="22"/>
              </w:rPr>
            </w:pPr>
            <w:r>
              <w:rPr>
                <w:sz w:val="22"/>
                <w:szCs w:val="22"/>
              </w:rPr>
              <w:t> </w:t>
            </w:r>
          </w:p>
        </w:tc>
        <w:tc>
          <w:tcPr>
            <w:tcW w:w="0" w:type="auto"/>
            <w:hideMark/>
          </w:tcPr>
          <w:p w14:paraId="2ED18F5D" w14:textId="77777777" w:rsidR="00000000" w:rsidRDefault="00832D71">
            <w:pPr>
              <w:pStyle w:val="a3"/>
              <w:spacing w:before="0" w:beforeAutospacing="0" w:after="0" w:afterAutospacing="0"/>
              <w:jc w:val="center"/>
              <w:rPr>
                <w:sz w:val="20"/>
                <w:szCs w:val="20"/>
              </w:rPr>
            </w:pPr>
            <w:r>
              <w:rPr>
                <w:sz w:val="20"/>
                <w:szCs w:val="20"/>
              </w:rPr>
              <w:t>1.3</w:t>
            </w:r>
            <w:r>
              <w:rPr>
                <w:sz w:val="20"/>
                <w:szCs w:val="20"/>
              </w:rPr>
              <w:t>2</w:t>
            </w:r>
          </w:p>
        </w:tc>
        <w:tc>
          <w:tcPr>
            <w:tcW w:w="0" w:type="auto"/>
            <w:hideMark/>
          </w:tcPr>
          <w:p w14:paraId="38759E21"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13402C6F" w14:textId="77777777" w:rsidR="00000000" w:rsidRDefault="00832D71">
            <w:pPr>
              <w:pStyle w:val="a3"/>
              <w:spacing w:before="0" w:beforeAutospacing="0" w:after="0" w:afterAutospacing="0"/>
              <w:jc w:val="center"/>
              <w:rPr>
                <w:sz w:val="20"/>
                <w:szCs w:val="20"/>
              </w:rPr>
            </w:pPr>
            <w:r>
              <w:rPr>
                <w:sz w:val="20"/>
                <w:szCs w:val="20"/>
              </w:rPr>
              <w:t>114.0</w:t>
            </w:r>
            <w:r>
              <w:rPr>
                <w:sz w:val="20"/>
                <w:szCs w:val="20"/>
              </w:rPr>
              <w:t>%</w:t>
            </w:r>
          </w:p>
        </w:tc>
      </w:tr>
      <w:tr w:rsidR="00000000" w14:paraId="59FABE46" w14:textId="77777777">
        <w:trPr>
          <w:trHeight w:val="200"/>
          <w:tblCellSpacing w:w="15" w:type="dxa"/>
        </w:trPr>
        <w:tc>
          <w:tcPr>
            <w:tcW w:w="0" w:type="auto"/>
            <w:hideMark/>
          </w:tcPr>
          <w:p w14:paraId="25636833" w14:textId="77777777" w:rsidR="00000000" w:rsidRDefault="00832D71">
            <w:pPr>
              <w:pStyle w:val="a3"/>
              <w:spacing w:before="0" w:beforeAutospacing="0" w:after="0" w:afterAutospacing="0"/>
              <w:jc w:val="center"/>
              <w:rPr>
                <w:sz w:val="20"/>
                <w:szCs w:val="20"/>
              </w:rPr>
            </w:pPr>
            <w:r>
              <w:rPr>
                <w:sz w:val="20"/>
                <w:szCs w:val="20"/>
              </w:rPr>
              <w:t>1.4</w:t>
            </w:r>
            <w:r>
              <w:rPr>
                <w:sz w:val="20"/>
                <w:szCs w:val="20"/>
              </w:rPr>
              <w:t>7</w:t>
            </w:r>
          </w:p>
        </w:tc>
        <w:tc>
          <w:tcPr>
            <w:tcW w:w="0" w:type="auto"/>
            <w:hideMark/>
          </w:tcPr>
          <w:p w14:paraId="71A14624"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530CB635" w14:textId="77777777" w:rsidR="00000000" w:rsidRDefault="00832D71">
            <w:pPr>
              <w:pStyle w:val="a3"/>
              <w:spacing w:before="0" w:beforeAutospacing="0" w:after="0" w:afterAutospacing="0"/>
              <w:jc w:val="center"/>
              <w:rPr>
                <w:sz w:val="20"/>
                <w:szCs w:val="20"/>
              </w:rPr>
            </w:pPr>
            <w:r>
              <w:rPr>
                <w:sz w:val="20"/>
                <w:szCs w:val="20"/>
              </w:rPr>
              <w:t>144.0</w:t>
            </w:r>
            <w:r>
              <w:rPr>
                <w:sz w:val="20"/>
                <w:szCs w:val="20"/>
              </w:rPr>
              <w:t>%</w:t>
            </w:r>
          </w:p>
        </w:tc>
        <w:tc>
          <w:tcPr>
            <w:tcW w:w="0" w:type="auto"/>
            <w:hideMark/>
          </w:tcPr>
          <w:p w14:paraId="29B6F515" w14:textId="77777777" w:rsidR="00000000" w:rsidRDefault="00832D71">
            <w:pPr>
              <w:pStyle w:val="a3"/>
              <w:spacing w:before="0" w:beforeAutospacing="0" w:after="0" w:afterAutospacing="0"/>
              <w:jc w:val="center"/>
              <w:rPr>
                <w:sz w:val="22"/>
                <w:szCs w:val="22"/>
              </w:rPr>
            </w:pPr>
            <w:r>
              <w:rPr>
                <w:sz w:val="22"/>
                <w:szCs w:val="22"/>
              </w:rPr>
              <w:t> </w:t>
            </w:r>
          </w:p>
        </w:tc>
        <w:tc>
          <w:tcPr>
            <w:tcW w:w="0" w:type="auto"/>
            <w:hideMark/>
          </w:tcPr>
          <w:p w14:paraId="6AE4FAB2" w14:textId="77777777" w:rsidR="00000000" w:rsidRDefault="00832D71">
            <w:pPr>
              <w:pStyle w:val="a3"/>
              <w:spacing w:before="0" w:beforeAutospacing="0" w:after="0" w:afterAutospacing="0"/>
              <w:jc w:val="center"/>
              <w:rPr>
                <w:sz w:val="20"/>
                <w:szCs w:val="20"/>
              </w:rPr>
            </w:pPr>
            <w:r>
              <w:rPr>
                <w:sz w:val="20"/>
                <w:szCs w:val="20"/>
              </w:rPr>
              <w:t>1.3</w:t>
            </w:r>
            <w:r>
              <w:rPr>
                <w:sz w:val="20"/>
                <w:szCs w:val="20"/>
              </w:rPr>
              <w:t>1</w:t>
            </w:r>
          </w:p>
        </w:tc>
        <w:tc>
          <w:tcPr>
            <w:tcW w:w="0" w:type="auto"/>
            <w:hideMark/>
          </w:tcPr>
          <w:p w14:paraId="6D727739"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5B54A996" w14:textId="77777777" w:rsidR="00000000" w:rsidRDefault="00832D71">
            <w:pPr>
              <w:pStyle w:val="a3"/>
              <w:spacing w:before="0" w:beforeAutospacing="0" w:after="0" w:afterAutospacing="0"/>
              <w:jc w:val="center"/>
              <w:rPr>
                <w:sz w:val="20"/>
                <w:szCs w:val="20"/>
              </w:rPr>
            </w:pPr>
            <w:r>
              <w:rPr>
                <w:sz w:val="20"/>
                <w:szCs w:val="20"/>
              </w:rPr>
              <w:t>112.0</w:t>
            </w:r>
            <w:r>
              <w:rPr>
                <w:sz w:val="20"/>
                <w:szCs w:val="20"/>
              </w:rPr>
              <w:t>%</w:t>
            </w:r>
          </w:p>
        </w:tc>
      </w:tr>
      <w:tr w:rsidR="00000000" w14:paraId="7C67E30F" w14:textId="77777777">
        <w:trPr>
          <w:trHeight w:val="200"/>
          <w:tblCellSpacing w:w="15" w:type="dxa"/>
        </w:trPr>
        <w:tc>
          <w:tcPr>
            <w:tcW w:w="0" w:type="auto"/>
            <w:hideMark/>
          </w:tcPr>
          <w:p w14:paraId="03627B05" w14:textId="77777777" w:rsidR="00000000" w:rsidRDefault="00832D71">
            <w:pPr>
              <w:pStyle w:val="a3"/>
              <w:spacing w:before="0" w:beforeAutospacing="0" w:after="0" w:afterAutospacing="0"/>
              <w:jc w:val="center"/>
              <w:rPr>
                <w:sz w:val="20"/>
                <w:szCs w:val="20"/>
              </w:rPr>
            </w:pPr>
            <w:r>
              <w:rPr>
                <w:sz w:val="20"/>
                <w:szCs w:val="20"/>
              </w:rPr>
              <w:t>1.4</w:t>
            </w:r>
            <w:r>
              <w:rPr>
                <w:sz w:val="20"/>
                <w:szCs w:val="20"/>
              </w:rPr>
              <w:t>6</w:t>
            </w:r>
          </w:p>
        </w:tc>
        <w:tc>
          <w:tcPr>
            <w:tcW w:w="0" w:type="auto"/>
            <w:hideMark/>
          </w:tcPr>
          <w:p w14:paraId="74161E65"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0F98EFA5" w14:textId="77777777" w:rsidR="00000000" w:rsidRDefault="00832D71">
            <w:pPr>
              <w:pStyle w:val="a3"/>
              <w:spacing w:before="0" w:beforeAutospacing="0" w:after="0" w:afterAutospacing="0"/>
              <w:jc w:val="center"/>
              <w:rPr>
                <w:sz w:val="20"/>
                <w:szCs w:val="20"/>
              </w:rPr>
            </w:pPr>
            <w:r>
              <w:rPr>
                <w:sz w:val="20"/>
                <w:szCs w:val="20"/>
              </w:rPr>
              <w:t>142.0</w:t>
            </w:r>
            <w:r>
              <w:rPr>
                <w:sz w:val="20"/>
                <w:szCs w:val="20"/>
              </w:rPr>
              <w:t>%</w:t>
            </w:r>
          </w:p>
        </w:tc>
        <w:tc>
          <w:tcPr>
            <w:tcW w:w="0" w:type="auto"/>
            <w:hideMark/>
          </w:tcPr>
          <w:p w14:paraId="792E5698" w14:textId="77777777" w:rsidR="00000000" w:rsidRDefault="00832D71">
            <w:pPr>
              <w:pStyle w:val="a3"/>
              <w:spacing w:before="0" w:beforeAutospacing="0" w:after="0" w:afterAutospacing="0"/>
              <w:jc w:val="center"/>
              <w:rPr>
                <w:sz w:val="22"/>
                <w:szCs w:val="22"/>
              </w:rPr>
            </w:pPr>
            <w:r>
              <w:rPr>
                <w:sz w:val="22"/>
                <w:szCs w:val="22"/>
              </w:rPr>
              <w:t> </w:t>
            </w:r>
          </w:p>
        </w:tc>
        <w:tc>
          <w:tcPr>
            <w:tcW w:w="0" w:type="auto"/>
            <w:hideMark/>
          </w:tcPr>
          <w:p w14:paraId="01BCF444" w14:textId="77777777" w:rsidR="00000000" w:rsidRDefault="00832D71">
            <w:pPr>
              <w:pStyle w:val="a3"/>
              <w:spacing w:before="0" w:beforeAutospacing="0" w:after="0" w:afterAutospacing="0"/>
              <w:jc w:val="center"/>
              <w:rPr>
                <w:sz w:val="20"/>
                <w:szCs w:val="20"/>
              </w:rPr>
            </w:pPr>
            <w:r>
              <w:rPr>
                <w:sz w:val="20"/>
                <w:szCs w:val="20"/>
              </w:rPr>
              <w:t>1.3</w:t>
            </w:r>
            <w:r>
              <w:rPr>
                <w:sz w:val="20"/>
                <w:szCs w:val="20"/>
              </w:rPr>
              <w:t>0</w:t>
            </w:r>
          </w:p>
        </w:tc>
        <w:tc>
          <w:tcPr>
            <w:tcW w:w="0" w:type="auto"/>
            <w:hideMark/>
          </w:tcPr>
          <w:p w14:paraId="48F38FAC"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42DB9174" w14:textId="77777777" w:rsidR="00000000" w:rsidRDefault="00832D71">
            <w:pPr>
              <w:pStyle w:val="a3"/>
              <w:spacing w:before="0" w:beforeAutospacing="0" w:after="0" w:afterAutospacing="0"/>
              <w:jc w:val="center"/>
              <w:rPr>
                <w:sz w:val="20"/>
                <w:szCs w:val="20"/>
              </w:rPr>
            </w:pPr>
            <w:r>
              <w:rPr>
                <w:sz w:val="20"/>
                <w:szCs w:val="20"/>
              </w:rPr>
              <w:t>110.0</w:t>
            </w:r>
            <w:r>
              <w:rPr>
                <w:sz w:val="20"/>
                <w:szCs w:val="20"/>
              </w:rPr>
              <w:t>%</w:t>
            </w:r>
          </w:p>
        </w:tc>
      </w:tr>
      <w:tr w:rsidR="00000000" w14:paraId="3FE69725" w14:textId="77777777">
        <w:trPr>
          <w:trHeight w:val="200"/>
          <w:tblCellSpacing w:w="15" w:type="dxa"/>
        </w:trPr>
        <w:tc>
          <w:tcPr>
            <w:tcW w:w="0" w:type="auto"/>
            <w:hideMark/>
          </w:tcPr>
          <w:p w14:paraId="387EA113" w14:textId="77777777" w:rsidR="00000000" w:rsidRDefault="00832D71">
            <w:pPr>
              <w:pStyle w:val="a3"/>
              <w:spacing w:before="0" w:beforeAutospacing="0" w:after="0" w:afterAutospacing="0"/>
              <w:jc w:val="center"/>
              <w:rPr>
                <w:sz w:val="20"/>
                <w:szCs w:val="20"/>
              </w:rPr>
            </w:pPr>
            <w:r>
              <w:rPr>
                <w:sz w:val="20"/>
                <w:szCs w:val="20"/>
              </w:rPr>
              <w:t>1.4</w:t>
            </w:r>
            <w:r>
              <w:rPr>
                <w:sz w:val="20"/>
                <w:szCs w:val="20"/>
              </w:rPr>
              <w:t>5</w:t>
            </w:r>
          </w:p>
        </w:tc>
        <w:tc>
          <w:tcPr>
            <w:tcW w:w="0" w:type="auto"/>
            <w:hideMark/>
          </w:tcPr>
          <w:p w14:paraId="6CF61BA8"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3890005B" w14:textId="77777777" w:rsidR="00000000" w:rsidRDefault="00832D71">
            <w:pPr>
              <w:pStyle w:val="a3"/>
              <w:spacing w:before="0" w:beforeAutospacing="0" w:after="0" w:afterAutospacing="0"/>
              <w:jc w:val="center"/>
              <w:rPr>
                <w:sz w:val="20"/>
                <w:szCs w:val="20"/>
              </w:rPr>
            </w:pPr>
            <w:r>
              <w:rPr>
                <w:sz w:val="20"/>
                <w:szCs w:val="20"/>
              </w:rPr>
              <w:t>140.0</w:t>
            </w:r>
            <w:r>
              <w:rPr>
                <w:sz w:val="20"/>
                <w:szCs w:val="20"/>
              </w:rPr>
              <w:t>%</w:t>
            </w:r>
          </w:p>
        </w:tc>
        <w:tc>
          <w:tcPr>
            <w:tcW w:w="0" w:type="auto"/>
            <w:hideMark/>
          </w:tcPr>
          <w:p w14:paraId="076A7482" w14:textId="77777777" w:rsidR="00000000" w:rsidRDefault="00832D71">
            <w:pPr>
              <w:pStyle w:val="a3"/>
              <w:spacing w:before="0" w:beforeAutospacing="0" w:after="0" w:afterAutospacing="0"/>
              <w:jc w:val="center"/>
              <w:rPr>
                <w:sz w:val="22"/>
                <w:szCs w:val="22"/>
              </w:rPr>
            </w:pPr>
            <w:r>
              <w:rPr>
                <w:sz w:val="22"/>
                <w:szCs w:val="22"/>
              </w:rPr>
              <w:t> </w:t>
            </w:r>
          </w:p>
        </w:tc>
        <w:tc>
          <w:tcPr>
            <w:tcW w:w="0" w:type="auto"/>
            <w:hideMark/>
          </w:tcPr>
          <w:p w14:paraId="1A0463B7" w14:textId="77777777" w:rsidR="00000000" w:rsidRDefault="00832D71">
            <w:pPr>
              <w:pStyle w:val="a3"/>
              <w:spacing w:before="0" w:beforeAutospacing="0" w:after="0" w:afterAutospacing="0"/>
              <w:jc w:val="center"/>
              <w:rPr>
                <w:sz w:val="20"/>
                <w:szCs w:val="20"/>
              </w:rPr>
            </w:pPr>
            <w:r>
              <w:rPr>
                <w:sz w:val="20"/>
                <w:szCs w:val="20"/>
              </w:rPr>
              <w:t>1.2</w:t>
            </w:r>
            <w:r>
              <w:rPr>
                <w:sz w:val="20"/>
                <w:szCs w:val="20"/>
              </w:rPr>
              <w:t>9</w:t>
            </w:r>
          </w:p>
        </w:tc>
        <w:tc>
          <w:tcPr>
            <w:tcW w:w="0" w:type="auto"/>
            <w:hideMark/>
          </w:tcPr>
          <w:p w14:paraId="357217B5"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75044561" w14:textId="77777777" w:rsidR="00000000" w:rsidRDefault="00832D71">
            <w:pPr>
              <w:pStyle w:val="a3"/>
              <w:spacing w:before="0" w:beforeAutospacing="0" w:after="0" w:afterAutospacing="0"/>
              <w:jc w:val="center"/>
              <w:rPr>
                <w:sz w:val="20"/>
                <w:szCs w:val="20"/>
              </w:rPr>
            </w:pPr>
            <w:r>
              <w:rPr>
                <w:sz w:val="20"/>
                <w:szCs w:val="20"/>
              </w:rPr>
              <w:t>108.0</w:t>
            </w:r>
            <w:r>
              <w:rPr>
                <w:sz w:val="20"/>
                <w:szCs w:val="20"/>
              </w:rPr>
              <w:t>%</w:t>
            </w:r>
          </w:p>
        </w:tc>
      </w:tr>
      <w:tr w:rsidR="00000000" w14:paraId="2BC26B50" w14:textId="77777777">
        <w:trPr>
          <w:trHeight w:val="200"/>
          <w:tblCellSpacing w:w="15" w:type="dxa"/>
        </w:trPr>
        <w:tc>
          <w:tcPr>
            <w:tcW w:w="0" w:type="auto"/>
            <w:hideMark/>
          </w:tcPr>
          <w:p w14:paraId="0C41387E" w14:textId="77777777" w:rsidR="00000000" w:rsidRDefault="00832D71">
            <w:pPr>
              <w:pStyle w:val="a3"/>
              <w:spacing w:before="0" w:beforeAutospacing="0" w:after="0" w:afterAutospacing="0"/>
              <w:jc w:val="center"/>
              <w:rPr>
                <w:sz w:val="20"/>
                <w:szCs w:val="20"/>
              </w:rPr>
            </w:pPr>
            <w:r>
              <w:rPr>
                <w:sz w:val="20"/>
                <w:szCs w:val="20"/>
              </w:rPr>
              <w:t>1.4</w:t>
            </w:r>
            <w:r>
              <w:rPr>
                <w:sz w:val="20"/>
                <w:szCs w:val="20"/>
              </w:rPr>
              <w:t>4</w:t>
            </w:r>
          </w:p>
        </w:tc>
        <w:tc>
          <w:tcPr>
            <w:tcW w:w="0" w:type="auto"/>
            <w:hideMark/>
          </w:tcPr>
          <w:p w14:paraId="3D20E947"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32A228C7" w14:textId="77777777" w:rsidR="00000000" w:rsidRDefault="00832D71">
            <w:pPr>
              <w:pStyle w:val="a3"/>
              <w:spacing w:before="0" w:beforeAutospacing="0" w:after="0" w:afterAutospacing="0"/>
              <w:jc w:val="center"/>
              <w:rPr>
                <w:sz w:val="20"/>
                <w:szCs w:val="20"/>
              </w:rPr>
            </w:pPr>
            <w:r>
              <w:rPr>
                <w:sz w:val="20"/>
                <w:szCs w:val="20"/>
              </w:rPr>
              <w:t>138.0</w:t>
            </w:r>
            <w:r>
              <w:rPr>
                <w:sz w:val="20"/>
                <w:szCs w:val="20"/>
              </w:rPr>
              <w:t>%</w:t>
            </w:r>
          </w:p>
        </w:tc>
        <w:tc>
          <w:tcPr>
            <w:tcW w:w="0" w:type="auto"/>
            <w:hideMark/>
          </w:tcPr>
          <w:p w14:paraId="120327EC" w14:textId="77777777" w:rsidR="00000000" w:rsidRDefault="00832D71">
            <w:pPr>
              <w:pStyle w:val="a3"/>
              <w:spacing w:before="0" w:beforeAutospacing="0" w:after="0" w:afterAutospacing="0"/>
              <w:jc w:val="center"/>
              <w:rPr>
                <w:sz w:val="22"/>
                <w:szCs w:val="22"/>
              </w:rPr>
            </w:pPr>
            <w:r>
              <w:rPr>
                <w:sz w:val="22"/>
                <w:szCs w:val="22"/>
              </w:rPr>
              <w:t> </w:t>
            </w:r>
          </w:p>
        </w:tc>
        <w:tc>
          <w:tcPr>
            <w:tcW w:w="0" w:type="auto"/>
            <w:hideMark/>
          </w:tcPr>
          <w:p w14:paraId="1E1F431B" w14:textId="77777777" w:rsidR="00000000" w:rsidRDefault="00832D71">
            <w:pPr>
              <w:pStyle w:val="a3"/>
              <w:spacing w:before="0" w:beforeAutospacing="0" w:after="0" w:afterAutospacing="0"/>
              <w:jc w:val="center"/>
              <w:rPr>
                <w:sz w:val="20"/>
                <w:szCs w:val="20"/>
              </w:rPr>
            </w:pPr>
            <w:r>
              <w:rPr>
                <w:sz w:val="20"/>
                <w:szCs w:val="20"/>
              </w:rPr>
              <w:t>1.2</w:t>
            </w:r>
            <w:r>
              <w:rPr>
                <w:sz w:val="20"/>
                <w:szCs w:val="20"/>
              </w:rPr>
              <w:t>8</w:t>
            </w:r>
          </w:p>
        </w:tc>
        <w:tc>
          <w:tcPr>
            <w:tcW w:w="0" w:type="auto"/>
            <w:hideMark/>
          </w:tcPr>
          <w:p w14:paraId="305E2964"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2766BF37" w14:textId="77777777" w:rsidR="00000000" w:rsidRDefault="00832D71">
            <w:pPr>
              <w:pStyle w:val="a3"/>
              <w:spacing w:before="0" w:beforeAutospacing="0" w:after="0" w:afterAutospacing="0"/>
              <w:jc w:val="center"/>
              <w:rPr>
                <w:sz w:val="20"/>
                <w:szCs w:val="20"/>
              </w:rPr>
            </w:pPr>
            <w:r>
              <w:rPr>
                <w:sz w:val="20"/>
                <w:szCs w:val="20"/>
              </w:rPr>
              <w:t>106.0</w:t>
            </w:r>
            <w:r>
              <w:rPr>
                <w:sz w:val="20"/>
                <w:szCs w:val="20"/>
              </w:rPr>
              <w:t>%</w:t>
            </w:r>
          </w:p>
        </w:tc>
      </w:tr>
      <w:tr w:rsidR="00000000" w14:paraId="78E52215" w14:textId="77777777">
        <w:trPr>
          <w:trHeight w:val="200"/>
          <w:tblCellSpacing w:w="15" w:type="dxa"/>
        </w:trPr>
        <w:tc>
          <w:tcPr>
            <w:tcW w:w="0" w:type="auto"/>
            <w:hideMark/>
          </w:tcPr>
          <w:p w14:paraId="5C9B96BB" w14:textId="77777777" w:rsidR="00000000" w:rsidRDefault="00832D71">
            <w:pPr>
              <w:pStyle w:val="a3"/>
              <w:spacing w:before="0" w:beforeAutospacing="0" w:after="0" w:afterAutospacing="0"/>
              <w:jc w:val="center"/>
              <w:rPr>
                <w:sz w:val="20"/>
                <w:szCs w:val="20"/>
              </w:rPr>
            </w:pPr>
            <w:r>
              <w:rPr>
                <w:sz w:val="20"/>
                <w:szCs w:val="20"/>
              </w:rPr>
              <w:t>1.4</w:t>
            </w:r>
            <w:r>
              <w:rPr>
                <w:sz w:val="20"/>
                <w:szCs w:val="20"/>
              </w:rPr>
              <w:t>3</w:t>
            </w:r>
          </w:p>
        </w:tc>
        <w:tc>
          <w:tcPr>
            <w:tcW w:w="0" w:type="auto"/>
            <w:hideMark/>
          </w:tcPr>
          <w:p w14:paraId="57F26663"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094ED7BC" w14:textId="77777777" w:rsidR="00000000" w:rsidRDefault="00832D71">
            <w:pPr>
              <w:pStyle w:val="a3"/>
              <w:spacing w:before="0" w:beforeAutospacing="0" w:after="0" w:afterAutospacing="0"/>
              <w:jc w:val="center"/>
              <w:rPr>
                <w:sz w:val="20"/>
                <w:szCs w:val="20"/>
              </w:rPr>
            </w:pPr>
            <w:r>
              <w:rPr>
                <w:sz w:val="20"/>
                <w:szCs w:val="20"/>
              </w:rPr>
              <w:t>136.0</w:t>
            </w:r>
            <w:r>
              <w:rPr>
                <w:sz w:val="20"/>
                <w:szCs w:val="20"/>
              </w:rPr>
              <w:t>%</w:t>
            </w:r>
          </w:p>
        </w:tc>
        <w:tc>
          <w:tcPr>
            <w:tcW w:w="0" w:type="auto"/>
            <w:hideMark/>
          </w:tcPr>
          <w:p w14:paraId="30B6ECC3" w14:textId="77777777" w:rsidR="00000000" w:rsidRDefault="00832D71">
            <w:pPr>
              <w:pStyle w:val="a3"/>
              <w:spacing w:before="0" w:beforeAutospacing="0" w:after="0" w:afterAutospacing="0"/>
              <w:jc w:val="center"/>
              <w:rPr>
                <w:sz w:val="22"/>
                <w:szCs w:val="22"/>
              </w:rPr>
            </w:pPr>
            <w:r>
              <w:rPr>
                <w:sz w:val="22"/>
                <w:szCs w:val="22"/>
              </w:rPr>
              <w:t> </w:t>
            </w:r>
          </w:p>
        </w:tc>
        <w:tc>
          <w:tcPr>
            <w:tcW w:w="0" w:type="auto"/>
            <w:hideMark/>
          </w:tcPr>
          <w:p w14:paraId="74A5C7C8" w14:textId="77777777" w:rsidR="00000000" w:rsidRDefault="00832D71">
            <w:pPr>
              <w:pStyle w:val="a3"/>
              <w:spacing w:before="0" w:beforeAutospacing="0" w:after="0" w:afterAutospacing="0"/>
              <w:jc w:val="center"/>
              <w:rPr>
                <w:sz w:val="20"/>
                <w:szCs w:val="20"/>
              </w:rPr>
            </w:pPr>
            <w:r>
              <w:rPr>
                <w:sz w:val="20"/>
                <w:szCs w:val="20"/>
              </w:rPr>
              <w:t>1.2</w:t>
            </w:r>
            <w:r>
              <w:rPr>
                <w:sz w:val="20"/>
                <w:szCs w:val="20"/>
              </w:rPr>
              <w:t>7</w:t>
            </w:r>
          </w:p>
        </w:tc>
        <w:tc>
          <w:tcPr>
            <w:tcW w:w="0" w:type="auto"/>
            <w:hideMark/>
          </w:tcPr>
          <w:p w14:paraId="16EE46C9"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4E1E3BB3" w14:textId="77777777" w:rsidR="00000000" w:rsidRDefault="00832D71">
            <w:pPr>
              <w:pStyle w:val="a3"/>
              <w:spacing w:before="0" w:beforeAutospacing="0" w:after="0" w:afterAutospacing="0"/>
              <w:jc w:val="center"/>
              <w:rPr>
                <w:sz w:val="20"/>
                <w:szCs w:val="20"/>
              </w:rPr>
            </w:pPr>
            <w:r>
              <w:rPr>
                <w:sz w:val="20"/>
                <w:szCs w:val="20"/>
              </w:rPr>
              <w:t>104.0</w:t>
            </w:r>
            <w:r>
              <w:rPr>
                <w:sz w:val="20"/>
                <w:szCs w:val="20"/>
              </w:rPr>
              <w:t>%</w:t>
            </w:r>
          </w:p>
        </w:tc>
      </w:tr>
      <w:tr w:rsidR="00000000" w14:paraId="3905DC6B" w14:textId="77777777">
        <w:trPr>
          <w:trHeight w:val="200"/>
          <w:tblCellSpacing w:w="15" w:type="dxa"/>
        </w:trPr>
        <w:tc>
          <w:tcPr>
            <w:tcW w:w="0" w:type="auto"/>
            <w:hideMark/>
          </w:tcPr>
          <w:p w14:paraId="09597A97" w14:textId="77777777" w:rsidR="00000000" w:rsidRDefault="00832D71">
            <w:pPr>
              <w:pStyle w:val="a3"/>
              <w:spacing w:before="0" w:beforeAutospacing="0" w:after="0" w:afterAutospacing="0"/>
              <w:jc w:val="center"/>
              <w:rPr>
                <w:sz w:val="20"/>
                <w:szCs w:val="20"/>
              </w:rPr>
            </w:pPr>
            <w:r>
              <w:rPr>
                <w:sz w:val="20"/>
                <w:szCs w:val="20"/>
              </w:rPr>
              <w:t>1.4</w:t>
            </w:r>
            <w:r>
              <w:rPr>
                <w:sz w:val="20"/>
                <w:szCs w:val="20"/>
              </w:rPr>
              <w:t>2</w:t>
            </w:r>
          </w:p>
        </w:tc>
        <w:tc>
          <w:tcPr>
            <w:tcW w:w="0" w:type="auto"/>
            <w:hideMark/>
          </w:tcPr>
          <w:p w14:paraId="48C0A92E"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222717A3" w14:textId="77777777" w:rsidR="00000000" w:rsidRDefault="00832D71">
            <w:pPr>
              <w:pStyle w:val="a3"/>
              <w:spacing w:before="0" w:beforeAutospacing="0" w:after="0" w:afterAutospacing="0"/>
              <w:jc w:val="center"/>
              <w:rPr>
                <w:sz w:val="20"/>
                <w:szCs w:val="20"/>
              </w:rPr>
            </w:pPr>
            <w:r>
              <w:rPr>
                <w:sz w:val="20"/>
                <w:szCs w:val="20"/>
              </w:rPr>
              <w:t>134.0</w:t>
            </w:r>
            <w:r>
              <w:rPr>
                <w:sz w:val="20"/>
                <w:szCs w:val="20"/>
              </w:rPr>
              <w:t>%</w:t>
            </w:r>
          </w:p>
        </w:tc>
        <w:tc>
          <w:tcPr>
            <w:tcW w:w="0" w:type="auto"/>
            <w:hideMark/>
          </w:tcPr>
          <w:p w14:paraId="50C29E75" w14:textId="77777777" w:rsidR="00000000" w:rsidRDefault="00832D71">
            <w:pPr>
              <w:pStyle w:val="a3"/>
              <w:spacing w:before="0" w:beforeAutospacing="0" w:after="0" w:afterAutospacing="0"/>
              <w:jc w:val="center"/>
              <w:rPr>
                <w:sz w:val="22"/>
                <w:szCs w:val="22"/>
              </w:rPr>
            </w:pPr>
            <w:r>
              <w:rPr>
                <w:sz w:val="22"/>
                <w:szCs w:val="22"/>
              </w:rPr>
              <w:t> </w:t>
            </w:r>
          </w:p>
        </w:tc>
        <w:tc>
          <w:tcPr>
            <w:tcW w:w="0" w:type="auto"/>
            <w:hideMark/>
          </w:tcPr>
          <w:p w14:paraId="5545CAF7" w14:textId="77777777" w:rsidR="00000000" w:rsidRDefault="00832D71">
            <w:pPr>
              <w:pStyle w:val="a3"/>
              <w:spacing w:before="0" w:beforeAutospacing="0" w:after="0" w:afterAutospacing="0"/>
              <w:jc w:val="center"/>
              <w:rPr>
                <w:sz w:val="20"/>
                <w:szCs w:val="20"/>
              </w:rPr>
            </w:pPr>
            <w:r>
              <w:rPr>
                <w:sz w:val="20"/>
                <w:szCs w:val="20"/>
              </w:rPr>
              <w:t>1.2</w:t>
            </w:r>
            <w:r>
              <w:rPr>
                <w:sz w:val="20"/>
                <w:szCs w:val="20"/>
              </w:rPr>
              <w:t>6</w:t>
            </w:r>
          </w:p>
        </w:tc>
        <w:tc>
          <w:tcPr>
            <w:tcW w:w="0" w:type="auto"/>
            <w:hideMark/>
          </w:tcPr>
          <w:p w14:paraId="7188451D"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13D04C25" w14:textId="77777777" w:rsidR="00000000" w:rsidRDefault="00832D71">
            <w:pPr>
              <w:pStyle w:val="a3"/>
              <w:spacing w:before="0" w:beforeAutospacing="0" w:after="0" w:afterAutospacing="0"/>
              <w:jc w:val="center"/>
              <w:rPr>
                <w:sz w:val="20"/>
                <w:szCs w:val="20"/>
              </w:rPr>
            </w:pPr>
            <w:r>
              <w:rPr>
                <w:sz w:val="20"/>
                <w:szCs w:val="20"/>
              </w:rPr>
              <w:t>102.0</w:t>
            </w:r>
            <w:r>
              <w:rPr>
                <w:sz w:val="20"/>
                <w:szCs w:val="20"/>
              </w:rPr>
              <w:t>%</w:t>
            </w:r>
          </w:p>
        </w:tc>
      </w:tr>
      <w:tr w:rsidR="00000000" w14:paraId="3364AE2D" w14:textId="77777777">
        <w:trPr>
          <w:trHeight w:val="200"/>
          <w:tblCellSpacing w:w="15" w:type="dxa"/>
        </w:trPr>
        <w:tc>
          <w:tcPr>
            <w:tcW w:w="0" w:type="auto"/>
            <w:hideMark/>
          </w:tcPr>
          <w:p w14:paraId="30E5B875" w14:textId="77777777" w:rsidR="00000000" w:rsidRDefault="00832D71">
            <w:pPr>
              <w:pStyle w:val="a3"/>
              <w:spacing w:before="0" w:beforeAutospacing="0" w:after="0" w:afterAutospacing="0"/>
              <w:jc w:val="center"/>
              <w:rPr>
                <w:sz w:val="20"/>
                <w:szCs w:val="20"/>
              </w:rPr>
            </w:pPr>
            <w:r>
              <w:rPr>
                <w:sz w:val="20"/>
                <w:szCs w:val="20"/>
              </w:rPr>
              <w:t>1.4</w:t>
            </w:r>
            <w:r>
              <w:rPr>
                <w:sz w:val="20"/>
                <w:szCs w:val="20"/>
              </w:rPr>
              <w:t>1</w:t>
            </w:r>
          </w:p>
        </w:tc>
        <w:tc>
          <w:tcPr>
            <w:tcW w:w="0" w:type="auto"/>
            <w:hideMark/>
          </w:tcPr>
          <w:p w14:paraId="77E23432"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3BF95E3F" w14:textId="77777777" w:rsidR="00000000" w:rsidRDefault="00832D71">
            <w:pPr>
              <w:pStyle w:val="a3"/>
              <w:spacing w:before="0" w:beforeAutospacing="0" w:after="0" w:afterAutospacing="0"/>
              <w:jc w:val="center"/>
              <w:rPr>
                <w:sz w:val="20"/>
                <w:szCs w:val="20"/>
              </w:rPr>
            </w:pPr>
            <w:r>
              <w:rPr>
                <w:sz w:val="20"/>
                <w:szCs w:val="20"/>
              </w:rPr>
              <w:t>132.0</w:t>
            </w:r>
            <w:r>
              <w:rPr>
                <w:sz w:val="20"/>
                <w:szCs w:val="20"/>
              </w:rPr>
              <w:t>%</w:t>
            </w:r>
          </w:p>
        </w:tc>
        <w:tc>
          <w:tcPr>
            <w:tcW w:w="0" w:type="auto"/>
            <w:hideMark/>
          </w:tcPr>
          <w:p w14:paraId="68A168EE" w14:textId="77777777" w:rsidR="00000000" w:rsidRDefault="00832D71">
            <w:pPr>
              <w:pStyle w:val="a3"/>
              <w:spacing w:before="0" w:beforeAutospacing="0" w:after="0" w:afterAutospacing="0"/>
              <w:jc w:val="center"/>
              <w:rPr>
                <w:sz w:val="22"/>
                <w:szCs w:val="22"/>
              </w:rPr>
            </w:pPr>
            <w:r>
              <w:rPr>
                <w:sz w:val="22"/>
                <w:szCs w:val="22"/>
              </w:rPr>
              <w:t> </w:t>
            </w:r>
          </w:p>
        </w:tc>
        <w:tc>
          <w:tcPr>
            <w:tcW w:w="0" w:type="auto"/>
            <w:hideMark/>
          </w:tcPr>
          <w:p w14:paraId="13436EB2" w14:textId="77777777" w:rsidR="00000000" w:rsidRDefault="00832D71">
            <w:pPr>
              <w:pStyle w:val="a3"/>
              <w:spacing w:before="0" w:beforeAutospacing="0" w:after="0" w:afterAutospacing="0"/>
              <w:jc w:val="center"/>
              <w:rPr>
                <w:sz w:val="20"/>
                <w:szCs w:val="20"/>
              </w:rPr>
            </w:pPr>
            <w:r>
              <w:rPr>
                <w:sz w:val="20"/>
                <w:szCs w:val="20"/>
              </w:rPr>
              <w:t>1.2</w:t>
            </w:r>
            <w:r>
              <w:rPr>
                <w:sz w:val="20"/>
                <w:szCs w:val="20"/>
              </w:rPr>
              <w:t>5</w:t>
            </w:r>
          </w:p>
        </w:tc>
        <w:tc>
          <w:tcPr>
            <w:tcW w:w="0" w:type="auto"/>
            <w:hideMark/>
          </w:tcPr>
          <w:p w14:paraId="1CFA5C49"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4BB32A25" w14:textId="77777777" w:rsidR="00000000" w:rsidRDefault="00832D71">
            <w:pPr>
              <w:pStyle w:val="a3"/>
              <w:spacing w:before="0" w:beforeAutospacing="0" w:after="0" w:afterAutospacing="0"/>
              <w:jc w:val="center"/>
              <w:rPr>
                <w:sz w:val="20"/>
                <w:szCs w:val="20"/>
              </w:rPr>
            </w:pPr>
            <w:r>
              <w:rPr>
                <w:sz w:val="20"/>
                <w:szCs w:val="20"/>
              </w:rPr>
              <w:t>100.0</w:t>
            </w:r>
            <w:r>
              <w:rPr>
                <w:sz w:val="20"/>
                <w:szCs w:val="20"/>
              </w:rPr>
              <w:t>%</w:t>
            </w:r>
          </w:p>
        </w:tc>
      </w:tr>
      <w:tr w:rsidR="00000000" w14:paraId="4EE74E1B" w14:textId="77777777">
        <w:trPr>
          <w:trHeight w:val="200"/>
          <w:tblCellSpacing w:w="15" w:type="dxa"/>
        </w:trPr>
        <w:tc>
          <w:tcPr>
            <w:tcW w:w="0" w:type="auto"/>
            <w:hideMark/>
          </w:tcPr>
          <w:p w14:paraId="387ABAEE" w14:textId="77777777" w:rsidR="00000000" w:rsidRDefault="00832D71">
            <w:pPr>
              <w:pStyle w:val="a3"/>
              <w:spacing w:before="0" w:beforeAutospacing="0" w:after="0" w:afterAutospacing="0"/>
              <w:jc w:val="center"/>
              <w:rPr>
                <w:sz w:val="20"/>
                <w:szCs w:val="20"/>
              </w:rPr>
            </w:pPr>
            <w:r>
              <w:rPr>
                <w:sz w:val="20"/>
                <w:szCs w:val="20"/>
              </w:rPr>
              <w:t>1.4</w:t>
            </w:r>
            <w:r>
              <w:rPr>
                <w:sz w:val="20"/>
                <w:szCs w:val="20"/>
              </w:rPr>
              <w:t>0</w:t>
            </w:r>
          </w:p>
        </w:tc>
        <w:tc>
          <w:tcPr>
            <w:tcW w:w="0" w:type="auto"/>
            <w:hideMark/>
          </w:tcPr>
          <w:p w14:paraId="57621A58"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699992A9" w14:textId="77777777" w:rsidR="00000000" w:rsidRDefault="00832D71">
            <w:pPr>
              <w:pStyle w:val="a3"/>
              <w:spacing w:before="0" w:beforeAutospacing="0" w:after="0" w:afterAutospacing="0"/>
              <w:jc w:val="center"/>
              <w:rPr>
                <w:sz w:val="20"/>
                <w:szCs w:val="20"/>
              </w:rPr>
            </w:pPr>
            <w:r>
              <w:rPr>
                <w:sz w:val="20"/>
                <w:szCs w:val="20"/>
              </w:rPr>
              <w:t>130.0</w:t>
            </w:r>
            <w:r>
              <w:rPr>
                <w:sz w:val="20"/>
                <w:szCs w:val="20"/>
              </w:rPr>
              <w:t>%</w:t>
            </w:r>
          </w:p>
        </w:tc>
        <w:tc>
          <w:tcPr>
            <w:tcW w:w="0" w:type="auto"/>
            <w:hideMark/>
          </w:tcPr>
          <w:p w14:paraId="439C3E6D" w14:textId="77777777" w:rsidR="00000000" w:rsidRDefault="00832D71">
            <w:pPr>
              <w:pStyle w:val="a3"/>
              <w:spacing w:before="0" w:beforeAutospacing="0" w:after="0" w:afterAutospacing="0"/>
              <w:jc w:val="center"/>
              <w:rPr>
                <w:sz w:val="22"/>
                <w:szCs w:val="22"/>
              </w:rPr>
            </w:pPr>
            <w:r>
              <w:rPr>
                <w:sz w:val="22"/>
                <w:szCs w:val="22"/>
              </w:rPr>
              <w:t> </w:t>
            </w:r>
          </w:p>
        </w:tc>
        <w:tc>
          <w:tcPr>
            <w:tcW w:w="0" w:type="auto"/>
            <w:hideMark/>
          </w:tcPr>
          <w:p w14:paraId="5C13BE0D"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7C6EEC7C"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4673433D" w14:textId="77777777" w:rsidR="00000000" w:rsidRDefault="00832D71">
            <w:pPr>
              <w:pStyle w:val="a3"/>
              <w:spacing w:before="0" w:beforeAutospacing="0" w:after="0" w:afterAutospacing="0"/>
              <w:jc w:val="center"/>
              <w:rPr>
                <w:sz w:val="20"/>
                <w:szCs w:val="20"/>
              </w:rPr>
            </w:pPr>
            <w:r>
              <w:rPr>
                <w:sz w:val="20"/>
                <w:szCs w:val="20"/>
              </w:rPr>
              <w:t> </w:t>
            </w:r>
          </w:p>
        </w:tc>
      </w:tr>
      <w:tr w:rsidR="00000000" w14:paraId="0C28F43B" w14:textId="77777777">
        <w:trPr>
          <w:trHeight w:val="200"/>
          <w:tblCellSpacing w:w="15" w:type="dxa"/>
        </w:trPr>
        <w:tc>
          <w:tcPr>
            <w:tcW w:w="0" w:type="auto"/>
            <w:hideMark/>
          </w:tcPr>
          <w:p w14:paraId="1AAC3E93" w14:textId="77777777" w:rsidR="00000000" w:rsidRDefault="00832D71">
            <w:pPr>
              <w:pStyle w:val="a3"/>
              <w:spacing w:before="0" w:beforeAutospacing="0" w:after="0" w:afterAutospacing="0"/>
              <w:jc w:val="center"/>
              <w:rPr>
                <w:sz w:val="20"/>
                <w:szCs w:val="20"/>
              </w:rPr>
            </w:pPr>
            <w:r>
              <w:rPr>
                <w:sz w:val="20"/>
                <w:szCs w:val="20"/>
              </w:rPr>
              <w:t>1.3</w:t>
            </w:r>
            <w:r>
              <w:rPr>
                <w:sz w:val="20"/>
                <w:szCs w:val="20"/>
              </w:rPr>
              <w:t>9</w:t>
            </w:r>
          </w:p>
        </w:tc>
        <w:tc>
          <w:tcPr>
            <w:tcW w:w="0" w:type="auto"/>
            <w:hideMark/>
          </w:tcPr>
          <w:p w14:paraId="5CE93BEE"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7AAD11F1" w14:textId="77777777" w:rsidR="00000000" w:rsidRDefault="00832D71">
            <w:pPr>
              <w:pStyle w:val="a3"/>
              <w:spacing w:before="0" w:beforeAutospacing="0" w:after="0" w:afterAutospacing="0"/>
              <w:jc w:val="center"/>
              <w:rPr>
                <w:sz w:val="20"/>
                <w:szCs w:val="20"/>
              </w:rPr>
            </w:pPr>
            <w:r>
              <w:rPr>
                <w:sz w:val="20"/>
                <w:szCs w:val="20"/>
              </w:rPr>
              <w:t>128.0</w:t>
            </w:r>
            <w:r>
              <w:rPr>
                <w:sz w:val="20"/>
                <w:szCs w:val="20"/>
              </w:rPr>
              <w:t>%</w:t>
            </w:r>
          </w:p>
        </w:tc>
        <w:tc>
          <w:tcPr>
            <w:tcW w:w="0" w:type="auto"/>
            <w:hideMark/>
          </w:tcPr>
          <w:p w14:paraId="5C964DC0" w14:textId="77777777" w:rsidR="00000000" w:rsidRDefault="00832D71">
            <w:pPr>
              <w:pStyle w:val="a3"/>
              <w:spacing w:before="0" w:beforeAutospacing="0" w:after="0" w:afterAutospacing="0"/>
              <w:jc w:val="center"/>
              <w:rPr>
                <w:sz w:val="22"/>
                <w:szCs w:val="22"/>
              </w:rPr>
            </w:pPr>
            <w:r>
              <w:rPr>
                <w:sz w:val="22"/>
                <w:szCs w:val="22"/>
              </w:rPr>
              <w:t> </w:t>
            </w:r>
          </w:p>
        </w:tc>
        <w:tc>
          <w:tcPr>
            <w:tcW w:w="0" w:type="auto"/>
            <w:hideMark/>
          </w:tcPr>
          <w:p w14:paraId="0D319AB1"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430826E8"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2AC96B5F" w14:textId="77777777" w:rsidR="00000000" w:rsidRDefault="00832D71">
            <w:pPr>
              <w:pStyle w:val="a3"/>
              <w:spacing w:before="0" w:beforeAutospacing="0" w:after="0" w:afterAutospacing="0"/>
              <w:jc w:val="center"/>
              <w:rPr>
                <w:sz w:val="20"/>
                <w:szCs w:val="20"/>
              </w:rPr>
            </w:pPr>
            <w:r>
              <w:rPr>
                <w:sz w:val="20"/>
                <w:szCs w:val="20"/>
              </w:rPr>
              <w:t> </w:t>
            </w:r>
          </w:p>
        </w:tc>
      </w:tr>
      <w:tr w:rsidR="00000000" w14:paraId="6E4A626D" w14:textId="77777777">
        <w:trPr>
          <w:trHeight w:val="200"/>
          <w:tblCellSpacing w:w="15" w:type="dxa"/>
        </w:trPr>
        <w:tc>
          <w:tcPr>
            <w:tcW w:w="0" w:type="auto"/>
            <w:hideMark/>
          </w:tcPr>
          <w:p w14:paraId="1A2E314F" w14:textId="77777777" w:rsidR="00000000" w:rsidRDefault="00832D71">
            <w:pPr>
              <w:pStyle w:val="a3"/>
              <w:spacing w:before="0" w:beforeAutospacing="0" w:after="0" w:afterAutospacing="0"/>
              <w:jc w:val="center"/>
              <w:rPr>
                <w:sz w:val="20"/>
                <w:szCs w:val="20"/>
              </w:rPr>
            </w:pPr>
            <w:r>
              <w:rPr>
                <w:sz w:val="20"/>
                <w:szCs w:val="20"/>
              </w:rPr>
              <w:t>1.3</w:t>
            </w:r>
            <w:r>
              <w:rPr>
                <w:sz w:val="20"/>
                <w:szCs w:val="20"/>
              </w:rPr>
              <w:t>8</w:t>
            </w:r>
          </w:p>
        </w:tc>
        <w:tc>
          <w:tcPr>
            <w:tcW w:w="0" w:type="auto"/>
            <w:hideMark/>
          </w:tcPr>
          <w:p w14:paraId="79266E2D"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525DA351" w14:textId="77777777" w:rsidR="00000000" w:rsidRDefault="00832D71">
            <w:pPr>
              <w:pStyle w:val="a3"/>
              <w:spacing w:before="0" w:beforeAutospacing="0" w:after="0" w:afterAutospacing="0"/>
              <w:jc w:val="center"/>
              <w:rPr>
                <w:sz w:val="20"/>
                <w:szCs w:val="20"/>
              </w:rPr>
            </w:pPr>
            <w:r>
              <w:rPr>
                <w:sz w:val="20"/>
                <w:szCs w:val="20"/>
              </w:rPr>
              <w:t>126.0</w:t>
            </w:r>
            <w:r>
              <w:rPr>
                <w:sz w:val="20"/>
                <w:szCs w:val="20"/>
              </w:rPr>
              <w:t>%</w:t>
            </w:r>
          </w:p>
        </w:tc>
        <w:tc>
          <w:tcPr>
            <w:tcW w:w="0" w:type="auto"/>
            <w:hideMark/>
          </w:tcPr>
          <w:p w14:paraId="6D4F34B6" w14:textId="77777777" w:rsidR="00000000" w:rsidRDefault="00832D71">
            <w:pPr>
              <w:pStyle w:val="a3"/>
              <w:spacing w:before="0" w:beforeAutospacing="0" w:after="0" w:afterAutospacing="0"/>
              <w:jc w:val="center"/>
              <w:rPr>
                <w:sz w:val="22"/>
                <w:szCs w:val="22"/>
              </w:rPr>
            </w:pPr>
            <w:r>
              <w:rPr>
                <w:sz w:val="22"/>
                <w:szCs w:val="22"/>
              </w:rPr>
              <w:t> </w:t>
            </w:r>
          </w:p>
        </w:tc>
        <w:tc>
          <w:tcPr>
            <w:tcW w:w="0" w:type="auto"/>
            <w:hideMark/>
          </w:tcPr>
          <w:p w14:paraId="12A6259A"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0AFD459D"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31644225" w14:textId="77777777" w:rsidR="00000000" w:rsidRDefault="00832D71">
            <w:pPr>
              <w:pStyle w:val="a3"/>
              <w:spacing w:before="0" w:beforeAutospacing="0" w:after="0" w:afterAutospacing="0"/>
              <w:jc w:val="center"/>
              <w:rPr>
                <w:sz w:val="20"/>
                <w:szCs w:val="20"/>
              </w:rPr>
            </w:pPr>
            <w:r>
              <w:rPr>
                <w:sz w:val="20"/>
                <w:szCs w:val="20"/>
              </w:rPr>
              <w:t> </w:t>
            </w:r>
          </w:p>
        </w:tc>
      </w:tr>
      <w:tr w:rsidR="00000000" w14:paraId="4C49BDBC" w14:textId="77777777">
        <w:trPr>
          <w:trHeight w:val="200"/>
          <w:tblCellSpacing w:w="15" w:type="dxa"/>
        </w:trPr>
        <w:tc>
          <w:tcPr>
            <w:tcW w:w="0" w:type="auto"/>
            <w:hideMark/>
          </w:tcPr>
          <w:p w14:paraId="36AED966" w14:textId="77777777" w:rsidR="00000000" w:rsidRDefault="00832D71">
            <w:pPr>
              <w:pStyle w:val="a3"/>
              <w:spacing w:before="0" w:beforeAutospacing="0" w:after="0" w:afterAutospacing="0"/>
              <w:jc w:val="center"/>
              <w:rPr>
                <w:sz w:val="20"/>
                <w:szCs w:val="20"/>
              </w:rPr>
            </w:pPr>
            <w:r>
              <w:rPr>
                <w:sz w:val="20"/>
                <w:szCs w:val="20"/>
              </w:rPr>
              <w:t>1.3</w:t>
            </w:r>
            <w:r>
              <w:rPr>
                <w:sz w:val="20"/>
                <w:szCs w:val="20"/>
              </w:rPr>
              <w:t>7</w:t>
            </w:r>
          </w:p>
        </w:tc>
        <w:tc>
          <w:tcPr>
            <w:tcW w:w="0" w:type="auto"/>
            <w:hideMark/>
          </w:tcPr>
          <w:p w14:paraId="6CD6E3CF"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0AEE8087" w14:textId="77777777" w:rsidR="00000000" w:rsidRDefault="00832D71">
            <w:pPr>
              <w:pStyle w:val="a3"/>
              <w:spacing w:before="0" w:beforeAutospacing="0" w:after="0" w:afterAutospacing="0"/>
              <w:jc w:val="center"/>
              <w:rPr>
                <w:sz w:val="20"/>
                <w:szCs w:val="20"/>
              </w:rPr>
            </w:pPr>
            <w:r>
              <w:rPr>
                <w:sz w:val="20"/>
                <w:szCs w:val="20"/>
              </w:rPr>
              <w:t>124.0</w:t>
            </w:r>
            <w:r>
              <w:rPr>
                <w:sz w:val="20"/>
                <w:szCs w:val="20"/>
              </w:rPr>
              <w:t>%</w:t>
            </w:r>
          </w:p>
        </w:tc>
        <w:tc>
          <w:tcPr>
            <w:tcW w:w="0" w:type="auto"/>
            <w:hideMark/>
          </w:tcPr>
          <w:p w14:paraId="7AC56620" w14:textId="77777777" w:rsidR="00000000" w:rsidRDefault="00832D71">
            <w:pPr>
              <w:pStyle w:val="a3"/>
              <w:spacing w:before="0" w:beforeAutospacing="0" w:after="0" w:afterAutospacing="0"/>
              <w:jc w:val="center"/>
              <w:rPr>
                <w:sz w:val="22"/>
                <w:szCs w:val="22"/>
              </w:rPr>
            </w:pPr>
            <w:r>
              <w:rPr>
                <w:sz w:val="22"/>
                <w:szCs w:val="22"/>
              </w:rPr>
              <w:t> </w:t>
            </w:r>
          </w:p>
        </w:tc>
        <w:tc>
          <w:tcPr>
            <w:tcW w:w="0" w:type="auto"/>
            <w:hideMark/>
          </w:tcPr>
          <w:p w14:paraId="01EBC47A"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4CDD30B2"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5CA1F53B" w14:textId="77777777" w:rsidR="00000000" w:rsidRDefault="00832D71">
            <w:pPr>
              <w:pStyle w:val="a3"/>
              <w:spacing w:before="0" w:beforeAutospacing="0" w:after="0" w:afterAutospacing="0"/>
              <w:jc w:val="center"/>
              <w:rPr>
                <w:sz w:val="20"/>
                <w:szCs w:val="20"/>
              </w:rPr>
            </w:pPr>
            <w:r>
              <w:rPr>
                <w:sz w:val="20"/>
                <w:szCs w:val="20"/>
              </w:rPr>
              <w:t> </w:t>
            </w:r>
          </w:p>
        </w:tc>
      </w:tr>
      <w:tr w:rsidR="00000000" w14:paraId="2302ED1A" w14:textId="77777777">
        <w:trPr>
          <w:trHeight w:val="200"/>
          <w:tblCellSpacing w:w="15" w:type="dxa"/>
        </w:trPr>
        <w:tc>
          <w:tcPr>
            <w:tcW w:w="0" w:type="auto"/>
            <w:hideMark/>
          </w:tcPr>
          <w:p w14:paraId="4400C551" w14:textId="77777777" w:rsidR="00000000" w:rsidRDefault="00832D71">
            <w:pPr>
              <w:pStyle w:val="a3"/>
              <w:spacing w:before="0" w:beforeAutospacing="0" w:after="0" w:afterAutospacing="0"/>
              <w:jc w:val="center"/>
              <w:rPr>
                <w:sz w:val="20"/>
                <w:szCs w:val="20"/>
              </w:rPr>
            </w:pPr>
            <w:r>
              <w:rPr>
                <w:sz w:val="20"/>
                <w:szCs w:val="20"/>
              </w:rPr>
              <w:t>1.3</w:t>
            </w:r>
            <w:r>
              <w:rPr>
                <w:sz w:val="20"/>
                <w:szCs w:val="20"/>
              </w:rPr>
              <w:t>6</w:t>
            </w:r>
          </w:p>
        </w:tc>
        <w:tc>
          <w:tcPr>
            <w:tcW w:w="0" w:type="auto"/>
            <w:hideMark/>
          </w:tcPr>
          <w:p w14:paraId="6C9E7D1B"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173255FE" w14:textId="77777777" w:rsidR="00000000" w:rsidRDefault="00832D71">
            <w:pPr>
              <w:pStyle w:val="a3"/>
              <w:spacing w:before="0" w:beforeAutospacing="0" w:after="0" w:afterAutospacing="0"/>
              <w:jc w:val="center"/>
              <w:rPr>
                <w:sz w:val="20"/>
                <w:szCs w:val="20"/>
              </w:rPr>
            </w:pPr>
            <w:r>
              <w:rPr>
                <w:sz w:val="20"/>
                <w:szCs w:val="20"/>
              </w:rPr>
              <w:t>122.0</w:t>
            </w:r>
            <w:r>
              <w:rPr>
                <w:sz w:val="20"/>
                <w:szCs w:val="20"/>
              </w:rPr>
              <w:t>%</w:t>
            </w:r>
          </w:p>
        </w:tc>
        <w:tc>
          <w:tcPr>
            <w:tcW w:w="0" w:type="auto"/>
            <w:hideMark/>
          </w:tcPr>
          <w:p w14:paraId="0119BB62" w14:textId="77777777" w:rsidR="00000000" w:rsidRDefault="00832D71">
            <w:pPr>
              <w:pStyle w:val="a3"/>
              <w:spacing w:before="0" w:beforeAutospacing="0" w:after="0" w:afterAutospacing="0"/>
              <w:jc w:val="center"/>
              <w:rPr>
                <w:sz w:val="22"/>
                <w:szCs w:val="22"/>
              </w:rPr>
            </w:pPr>
            <w:r>
              <w:rPr>
                <w:sz w:val="22"/>
                <w:szCs w:val="22"/>
              </w:rPr>
              <w:t> </w:t>
            </w:r>
          </w:p>
        </w:tc>
        <w:tc>
          <w:tcPr>
            <w:tcW w:w="0" w:type="auto"/>
            <w:hideMark/>
          </w:tcPr>
          <w:p w14:paraId="5336445D"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63E9929A"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12AA1C0D" w14:textId="77777777" w:rsidR="00000000" w:rsidRDefault="00832D71">
            <w:pPr>
              <w:pStyle w:val="a3"/>
              <w:spacing w:before="0" w:beforeAutospacing="0" w:after="0" w:afterAutospacing="0"/>
              <w:jc w:val="center"/>
              <w:rPr>
                <w:sz w:val="20"/>
                <w:szCs w:val="20"/>
              </w:rPr>
            </w:pPr>
            <w:r>
              <w:rPr>
                <w:sz w:val="20"/>
                <w:szCs w:val="20"/>
              </w:rPr>
              <w:t> </w:t>
            </w:r>
          </w:p>
        </w:tc>
      </w:tr>
      <w:tr w:rsidR="00000000" w14:paraId="45C5E053" w14:textId="77777777">
        <w:trPr>
          <w:trHeight w:val="200"/>
          <w:tblCellSpacing w:w="15" w:type="dxa"/>
        </w:trPr>
        <w:tc>
          <w:tcPr>
            <w:tcW w:w="0" w:type="auto"/>
            <w:hideMark/>
          </w:tcPr>
          <w:p w14:paraId="424EB1C5" w14:textId="77777777" w:rsidR="00000000" w:rsidRDefault="00832D71">
            <w:pPr>
              <w:pStyle w:val="a3"/>
              <w:spacing w:before="0" w:beforeAutospacing="0" w:after="0" w:afterAutospacing="0"/>
              <w:jc w:val="center"/>
              <w:rPr>
                <w:sz w:val="20"/>
                <w:szCs w:val="20"/>
              </w:rPr>
            </w:pPr>
            <w:r>
              <w:rPr>
                <w:sz w:val="20"/>
                <w:szCs w:val="20"/>
              </w:rPr>
              <w:t>1.3</w:t>
            </w:r>
            <w:r>
              <w:rPr>
                <w:sz w:val="20"/>
                <w:szCs w:val="20"/>
              </w:rPr>
              <w:t>5</w:t>
            </w:r>
          </w:p>
        </w:tc>
        <w:tc>
          <w:tcPr>
            <w:tcW w:w="0" w:type="auto"/>
            <w:hideMark/>
          </w:tcPr>
          <w:p w14:paraId="6006BCAA"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7D80A763" w14:textId="77777777" w:rsidR="00000000" w:rsidRDefault="00832D71">
            <w:pPr>
              <w:pStyle w:val="a3"/>
              <w:spacing w:before="0" w:beforeAutospacing="0" w:after="0" w:afterAutospacing="0"/>
              <w:jc w:val="center"/>
              <w:rPr>
                <w:sz w:val="20"/>
                <w:szCs w:val="20"/>
              </w:rPr>
            </w:pPr>
            <w:r>
              <w:rPr>
                <w:sz w:val="20"/>
                <w:szCs w:val="20"/>
              </w:rPr>
              <w:t>120.0</w:t>
            </w:r>
            <w:r>
              <w:rPr>
                <w:sz w:val="20"/>
                <w:szCs w:val="20"/>
              </w:rPr>
              <w:t>%</w:t>
            </w:r>
          </w:p>
        </w:tc>
        <w:tc>
          <w:tcPr>
            <w:tcW w:w="0" w:type="auto"/>
            <w:hideMark/>
          </w:tcPr>
          <w:p w14:paraId="4BA274CE" w14:textId="77777777" w:rsidR="00000000" w:rsidRDefault="00832D71">
            <w:pPr>
              <w:pStyle w:val="a3"/>
              <w:spacing w:before="0" w:beforeAutospacing="0" w:after="0" w:afterAutospacing="0"/>
              <w:rPr>
                <w:sz w:val="22"/>
                <w:szCs w:val="22"/>
              </w:rPr>
            </w:pPr>
            <w:r>
              <w:rPr>
                <w:sz w:val="22"/>
                <w:szCs w:val="22"/>
              </w:rPr>
              <w:t> </w:t>
            </w:r>
          </w:p>
        </w:tc>
        <w:tc>
          <w:tcPr>
            <w:tcW w:w="0" w:type="auto"/>
            <w:hideMark/>
          </w:tcPr>
          <w:p w14:paraId="3267D5C8"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5481366B" w14:textId="77777777" w:rsidR="00000000" w:rsidRDefault="00832D71">
            <w:pPr>
              <w:pStyle w:val="a3"/>
              <w:spacing w:before="0" w:beforeAutospacing="0" w:after="0" w:afterAutospacing="0"/>
              <w:rPr>
                <w:sz w:val="22"/>
                <w:szCs w:val="22"/>
              </w:rPr>
            </w:pPr>
            <w:r>
              <w:rPr>
                <w:sz w:val="22"/>
                <w:szCs w:val="22"/>
              </w:rPr>
              <w:t> </w:t>
            </w:r>
          </w:p>
        </w:tc>
        <w:tc>
          <w:tcPr>
            <w:tcW w:w="0" w:type="auto"/>
            <w:hideMark/>
          </w:tcPr>
          <w:p w14:paraId="7C117BC3" w14:textId="77777777" w:rsidR="00000000" w:rsidRDefault="00832D71">
            <w:pPr>
              <w:pStyle w:val="a3"/>
              <w:spacing w:before="0" w:beforeAutospacing="0" w:after="0" w:afterAutospacing="0"/>
              <w:rPr>
                <w:sz w:val="22"/>
                <w:szCs w:val="22"/>
              </w:rPr>
            </w:pPr>
            <w:r>
              <w:rPr>
                <w:sz w:val="22"/>
                <w:szCs w:val="22"/>
              </w:rPr>
              <w:t> </w:t>
            </w:r>
          </w:p>
        </w:tc>
      </w:tr>
    </w:tbl>
    <w:p w14:paraId="533BACFD" w14:textId="77777777" w:rsidR="00000000" w:rsidRDefault="00832D71">
      <w:pPr>
        <w:pStyle w:val="a3"/>
        <w:spacing w:before="0" w:beforeAutospacing="0" w:after="0" w:afterAutospacing="0"/>
        <w:jc w:val="both"/>
        <w:rPr>
          <w:sz w:val="20"/>
          <w:szCs w:val="20"/>
        </w:rPr>
      </w:pPr>
      <w:r>
        <w:rPr>
          <w:sz w:val="20"/>
          <w:szCs w:val="20"/>
        </w:rPr>
        <w:t> </w:t>
      </w:r>
    </w:p>
    <w:p w14:paraId="336841C6" w14:textId="77777777" w:rsidR="00000000" w:rsidRDefault="00832D71">
      <w:pPr>
        <w:pStyle w:val="a3"/>
        <w:spacing w:before="0" w:beforeAutospacing="0" w:after="0" w:afterAutospacing="0"/>
        <w:jc w:val="both"/>
        <w:rPr>
          <w:sz w:val="20"/>
          <w:szCs w:val="20"/>
        </w:rPr>
      </w:pPr>
      <w:r>
        <w:rPr>
          <w:i/>
          <w:iCs/>
          <w:sz w:val="20"/>
          <w:szCs w:val="20"/>
        </w:rPr>
        <w:t>Vesting of the Fiscal 2020 LTIP Awar</w:t>
      </w:r>
      <w:r>
        <w:rPr>
          <w:i/>
          <w:iCs/>
          <w:sz w:val="20"/>
          <w:szCs w:val="20"/>
        </w:rPr>
        <w:t>d</w:t>
      </w:r>
    </w:p>
    <w:p w14:paraId="41B016EE" w14:textId="77777777" w:rsidR="00000000" w:rsidRDefault="00832D71">
      <w:pPr>
        <w:pStyle w:val="a3"/>
        <w:spacing w:before="0" w:beforeAutospacing="0" w:after="0" w:afterAutospacing="0"/>
        <w:jc w:val="both"/>
        <w:rPr>
          <w:sz w:val="20"/>
          <w:szCs w:val="20"/>
        </w:rPr>
      </w:pPr>
      <w:r>
        <w:rPr>
          <w:sz w:val="20"/>
          <w:szCs w:val="20"/>
        </w:rPr>
        <w:t> </w:t>
      </w:r>
    </w:p>
    <w:p w14:paraId="1B6C85AD" w14:textId="77777777" w:rsidR="00000000" w:rsidRDefault="00832D71">
      <w:pPr>
        <w:pStyle w:val="a3"/>
        <w:spacing w:before="0" w:beforeAutospacing="0" w:after="0" w:afterAutospacing="0"/>
        <w:ind w:firstLine="555"/>
        <w:jc w:val="both"/>
        <w:rPr>
          <w:sz w:val="20"/>
          <w:szCs w:val="20"/>
        </w:rPr>
      </w:pPr>
      <w:r>
        <w:rPr>
          <w:sz w:val="20"/>
          <w:szCs w:val="20"/>
        </w:rPr>
        <w:t>The three-year measurement period of the fiscal 2020 award ended simultaneously with the conclusion of fiscal 2022. The Partnership’s Distribution Coverage Ratio was such that the participants, including our named executive officers, earned 110% of their t</w:t>
      </w:r>
      <w:r>
        <w:rPr>
          <w:sz w:val="20"/>
          <w:szCs w:val="20"/>
        </w:rPr>
        <w:t>arget payment amounts</w:t>
      </w:r>
      <w:r>
        <w:rPr>
          <w:sz w:val="20"/>
          <w:szCs w:val="20"/>
        </w:rPr>
        <w:t>.</w:t>
      </w:r>
    </w:p>
    <w:p w14:paraId="2D50EFD4" w14:textId="77777777" w:rsidR="00000000" w:rsidRDefault="00832D71">
      <w:pPr>
        <w:pStyle w:val="a3"/>
        <w:spacing w:before="0" w:beforeAutospacing="0" w:after="0" w:afterAutospacing="0"/>
        <w:jc w:val="both"/>
        <w:rPr>
          <w:sz w:val="20"/>
          <w:szCs w:val="20"/>
        </w:rPr>
      </w:pPr>
      <w:r>
        <w:rPr>
          <w:sz w:val="20"/>
          <w:szCs w:val="20"/>
        </w:rPr>
        <w:t> </w:t>
      </w:r>
    </w:p>
    <w:p w14:paraId="150D516A" w14:textId="77777777" w:rsidR="00000000" w:rsidRDefault="00832D71">
      <w:pPr>
        <w:pStyle w:val="a3"/>
        <w:spacing w:before="0" w:beforeAutospacing="0" w:after="0" w:afterAutospacing="0"/>
        <w:jc w:val="both"/>
        <w:rPr>
          <w:sz w:val="20"/>
          <w:szCs w:val="20"/>
        </w:rPr>
      </w:pPr>
      <w:r>
        <w:rPr>
          <w:i/>
          <w:iCs/>
          <w:sz w:val="20"/>
          <w:szCs w:val="20"/>
        </w:rPr>
        <w:t>Performance Conditions for the 2021 LTI</w:t>
      </w:r>
      <w:r>
        <w:rPr>
          <w:i/>
          <w:iCs/>
          <w:sz w:val="20"/>
          <w:szCs w:val="20"/>
        </w:rPr>
        <w:t>P</w:t>
      </w:r>
    </w:p>
    <w:p w14:paraId="3AF9083B" w14:textId="77777777" w:rsidR="00000000" w:rsidRDefault="00832D71">
      <w:pPr>
        <w:pStyle w:val="a3"/>
        <w:spacing w:before="0" w:beforeAutospacing="0" w:after="0" w:afterAutospacing="0"/>
        <w:jc w:val="both"/>
        <w:rPr>
          <w:sz w:val="20"/>
          <w:szCs w:val="20"/>
        </w:rPr>
      </w:pPr>
      <w:r>
        <w:rPr>
          <w:sz w:val="20"/>
          <w:szCs w:val="20"/>
        </w:rPr>
        <w:t> </w:t>
      </w:r>
    </w:p>
    <w:p w14:paraId="7EBD862A" w14:textId="77777777" w:rsidR="00000000" w:rsidRDefault="00832D71">
      <w:pPr>
        <w:pStyle w:val="a3"/>
        <w:spacing w:before="0" w:beforeAutospacing="0" w:after="0" w:afterAutospacing="0"/>
        <w:ind w:firstLine="555"/>
        <w:jc w:val="both"/>
        <w:rPr>
          <w:sz w:val="20"/>
          <w:szCs w:val="20"/>
        </w:rPr>
      </w:pPr>
      <w:r>
        <w:rPr>
          <w:sz w:val="20"/>
          <w:szCs w:val="20"/>
        </w:rPr>
        <w:t>Based on their evaluation of the recommendations by WTW in the benchmarking study, the Committee established a two-component performance metric under the 2021 LTIP. For the fiscal 2021 LTI</w:t>
      </w:r>
      <w:r>
        <w:rPr>
          <w:sz w:val="20"/>
          <w:szCs w:val="20"/>
        </w:rPr>
        <w:t>P award, the two components are weighted as follows</w:t>
      </w:r>
      <w:r>
        <w:rPr>
          <w:sz w:val="20"/>
          <w:szCs w:val="20"/>
        </w:rPr>
        <w:t>:</w:t>
      </w:r>
    </w:p>
    <w:p w14:paraId="47D0E514" w14:textId="77777777" w:rsidR="00000000" w:rsidRDefault="00832D71">
      <w:pPr>
        <w:pStyle w:val="a3"/>
        <w:spacing w:before="0" w:beforeAutospacing="0" w:after="0" w:afterAutospacing="0"/>
        <w:jc w:val="both"/>
        <w:rPr>
          <w:sz w:val="20"/>
          <w:szCs w:val="20"/>
        </w:rPr>
      </w:pPr>
      <w:r>
        <w:rPr>
          <w:sz w:val="20"/>
          <w:szCs w:val="20"/>
        </w:rPr>
        <w:t> </w:t>
      </w:r>
    </w:p>
    <w:p w14:paraId="33F118CB" w14:textId="77777777" w:rsidR="00000000" w:rsidRDefault="00832D71">
      <w:pPr>
        <w:jc w:val="both"/>
        <w:divId w:val="1756246041"/>
        <w:rPr>
          <w:rFonts w:eastAsia="Times New Roman"/>
        </w:rPr>
      </w:pPr>
      <w:r>
        <w:rPr>
          <w:rFonts w:eastAsia="Times New Roman"/>
          <w:sz w:val="20"/>
          <w:szCs w:val="20"/>
        </w:rPr>
        <w:t>•</w:t>
      </w:r>
    </w:p>
    <w:p w14:paraId="4350E622" w14:textId="77777777" w:rsidR="00000000" w:rsidRDefault="00832D71">
      <w:pPr>
        <w:jc w:val="both"/>
        <w:divId w:val="1354913674"/>
        <w:rPr>
          <w:rFonts w:eastAsia="Times New Roman"/>
        </w:rPr>
      </w:pPr>
      <w:r>
        <w:rPr>
          <w:rFonts w:eastAsia="Times New Roman"/>
          <w:sz w:val="20"/>
          <w:szCs w:val="20"/>
        </w:rPr>
        <w:t>75% based on the level of Average Distributable Cash Flow achieved during an outstanding award’s three-year measurement period; an</w:t>
      </w:r>
      <w:r>
        <w:rPr>
          <w:rFonts w:eastAsia="Times New Roman"/>
          <w:sz w:val="20"/>
          <w:szCs w:val="20"/>
        </w:rPr>
        <w:t>d</w:t>
      </w:r>
    </w:p>
    <w:p w14:paraId="11997DA5" w14:textId="77777777" w:rsidR="00000000" w:rsidRDefault="00832D71">
      <w:pPr>
        <w:jc w:val="both"/>
        <w:divId w:val="349843911"/>
        <w:rPr>
          <w:rFonts w:eastAsia="Times New Roman"/>
        </w:rPr>
      </w:pPr>
      <w:r>
        <w:rPr>
          <w:rFonts w:eastAsia="Times New Roman"/>
          <w:sz w:val="20"/>
          <w:szCs w:val="20"/>
        </w:rPr>
        <w:t>•</w:t>
      </w:r>
    </w:p>
    <w:p w14:paraId="4875EDDF" w14:textId="77777777" w:rsidR="00000000" w:rsidRDefault="00832D71">
      <w:pPr>
        <w:jc w:val="both"/>
        <w:divId w:val="931738965"/>
        <w:rPr>
          <w:rFonts w:eastAsia="Times New Roman"/>
        </w:rPr>
      </w:pPr>
      <w:r>
        <w:rPr>
          <w:rFonts w:eastAsia="Times New Roman"/>
          <w:sz w:val="20"/>
          <w:szCs w:val="20"/>
        </w:rPr>
        <w:t>25% based on the achievement of certain Operating and Strategic O</w:t>
      </w:r>
      <w:r>
        <w:rPr>
          <w:rFonts w:eastAsia="Times New Roman"/>
          <w:sz w:val="20"/>
          <w:szCs w:val="20"/>
        </w:rPr>
        <w:t>bjectives (as determined by the Committee for each award cycle)</w:t>
      </w:r>
      <w:r>
        <w:rPr>
          <w:rFonts w:eastAsia="Times New Roman"/>
          <w:sz w:val="20"/>
          <w:szCs w:val="20"/>
        </w:rPr>
        <w:t>.</w:t>
      </w:r>
    </w:p>
    <w:p w14:paraId="6F335010" w14:textId="77777777" w:rsidR="00000000" w:rsidRDefault="00832D71">
      <w:pPr>
        <w:pStyle w:val="a3"/>
        <w:spacing w:before="0" w:beforeAutospacing="0" w:after="0" w:afterAutospacing="0"/>
        <w:ind w:firstLine="555"/>
        <w:jc w:val="both"/>
        <w:rPr>
          <w:sz w:val="20"/>
          <w:szCs w:val="20"/>
        </w:rPr>
      </w:pPr>
      <w:r>
        <w:rPr>
          <w:sz w:val="20"/>
          <w:szCs w:val="20"/>
        </w:rPr>
        <w:t> </w:t>
      </w:r>
    </w:p>
    <w:p w14:paraId="1E935DAA" w14:textId="77777777" w:rsidR="00000000" w:rsidRDefault="00832D71">
      <w:pPr>
        <w:pStyle w:val="a3"/>
        <w:spacing w:before="0" w:beforeAutospacing="0" w:after="0" w:afterAutospacing="0"/>
        <w:ind w:firstLine="555"/>
        <w:jc w:val="both"/>
        <w:rPr>
          <w:sz w:val="20"/>
          <w:szCs w:val="20"/>
        </w:rPr>
      </w:pPr>
      <w:r>
        <w:rPr>
          <w:sz w:val="20"/>
          <w:szCs w:val="20"/>
        </w:rPr>
        <w:t>When approving an award, at the beginning of that particular award’</w:t>
      </w:r>
      <w:r>
        <w:rPr>
          <w:sz w:val="20"/>
          <w:szCs w:val="20"/>
        </w:rPr>
        <w:t>s three-year measurement period, the Committee will establish a performance scale that will measure the Average Distributable Cash Flow component of the plan for the three-year measurement period. The target threshold for each fiscal year’s award cycle wil</w:t>
      </w:r>
      <w:r>
        <w:rPr>
          <w:sz w:val="20"/>
          <w:szCs w:val="20"/>
        </w:rPr>
        <w:t>l represent a level of Average Distributable Cash Flow that reflects approximately 5% growth compared to a baseline distributable cash flow, or some other target threshold, as determined by the Committee. The following table illustrates the potential payou</w:t>
      </w:r>
      <w:r>
        <w:rPr>
          <w:sz w:val="20"/>
          <w:szCs w:val="20"/>
        </w:rPr>
        <w:t>t percentages associated with various levels of Average Distributable Cash Flow for the three-year measurement period of the fiscal 2021 award</w:t>
      </w:r>
      <w:r>
        <w:rPr>
          <w:sz w:val="20"/>
          <w:szCs w:val="20"/>
        </w:rPr>
        <w:t>:</w:t>
      </w:r>
    </w:p>
    <w:p w14:paraId="167D134F" w14:textId="77777777" w:rsidR="00000000" w:rsidRDefault="00832D71">
      <w:pPr>
        <w:pStyle w:val="a3"/>
        <w:spacing w:before="0" w:beforeAutospacing="0" w:after="0" w:afterAutospacing="0"/>
        <w:jc w:val="both"/>
        <w:rPr>
          <w:sz w:val="20"/>
          <w:szCs w:val="20"/>
        </w:rPr>
      </w:pPr>
      <w:r>
        <w:rPr>
          <w:sz w:val="20"/>
          <w:szCs w:val="20"/>
        </w:rPr>
        <w:t> </w:t>
      </w:r>
    </w:p>
    <w:p w14:paraId="575A7B4A" w14:textId="77777777" w:rsidR="00000000" w:rsidRDefault="00832D71">
      <w:pPr>
        <w:pStyle w:val="a3"/>
        <w:spacing w:before="0" w:beforeAutospacing="0" w:after="0" w:afterAutospacing="0"/>
        <w:jc w:val="center"/>
        <w:rPr>
          <w:sz w:val="20"/>
          <w:szCs w:val="20"/>
        </w:rPr>
      </w:pPr>
      <w:r>
        <w:rPr>
          <w:sz w:val="20"/>
          <w:szCs w:val="20"/>
        </w:rPr>
        <w:t> </w:t>
      </w:r>
    </w:p>
    <w:p w14:paraId="4538AB8F" w14:textId="77777777" w:rsidR="00000000" w:rsidRDefault="00832D71">
      <w:pPr>
        <w:pStyle w:val="a3"/>
        <w:spacing w:before="0" w:beforeAutospacing="0" w:after="0" w:afterAutospacing="0"/>
        <w:jc w:val="center"/>
        <w:rPr>
          <w:sz w:val="20"/>
          <w:szCs w:val="20"/>
        </w:rPr>
      </w:pPr>
      <w:r>
        <w:rPr>
          <w:sz w:val="20"/>
          <w:szCs w:val="20"/>
        </w:rPr>
        <w:t>6</w:t>
      </w:r>
      <w:r>
        <w:rPr>
          <w:sz w:val="20"/>
          <w:szCs w:val="20"/>
        </w:rPr>
        <w:t>4</w:t>
      </w:r>
    </w:p>
    <w:p w14:paraId="2A1A7972" w14:textId="77777777" w:rsidR="00000000" w:rsidRDefault="00832D71">
      <w:pPr>
        <w:rPr>
          <w:rFonts w:eastAsia="Times New Roman"/>
        </w:rPr>
      </w:pPr>
      <w:r>
        <w:rPr>
          <w:rFonts w:eastAsia="Times New Roman"/>
        </w:rPr>
        <w:pict w14:anchorId="4CE139A4">
          <v:rect id="_x0000_i1091" style="width:0;height:1.5pt" o:hralign="center" o:hrstd="t" o:hr="t" fillcolor="#a0a0a0" stroked="f"/>
        </w:pict>
      </w:r>
    </w:p>
    <w:p w14:paraId="54B1E4DA"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1959"/>
        <w:gridCol w:w="110"/>
        <w:gridCol w:w="111"/>
        <w:gridCol w:w="2268"/>
        <w:gridCol w:w="110"/>
        <w:gridCol w:w="127"/>
        <w:gridCol w:w="1960"/>
      </w:tblGrid>
      <w:tr w:rsidR="00000000" w14:paraId="470257B0" w14:textId="77777777">
        <w:trPr>
          <w:tblCellSpacing w:w="15" w:type="dxa"/>
        </w:trPr>
        <w:tc>
          <w:tcPr>
            <w:tcW w:w="1500" w:type="pct"/>
            <w:vAlign w:val="center"/>
            <w:hideMark/>
          </w:tcPr>
          <w:p w14:paraId="47A56240" w14:textId="77777777" w:rsidR="00000000" w:rsidRDefault="00832D71">
            <w:pPr>
              <w:rPr>
                <w:sz w:val="20"/>
                <w:szCs w:val="20"/>
              </w:rPr>
            </w:pPr>
          </w:p>
        </w:tc>
        <w:tc>
          <w:tcPr>
            <w:tcW w:w="61" w:type="pct"/>
            <w:vAlign w:val="center"/>
            <w:hideMark/>
          </w:tcPr>
          <w:p w14:paraId="2EB71009" w14:textId="77777777" w:rsidR="00000000" w:rsidRDefault="00832D71">
            <w:pPr>
              <w:rPr>
                <w:rFonts w:eastAsia="Times New Roman"/>
                <w:sz w:val="20"/>
                <w:szCs w:val="20"/>
              </w:rPr>
            </w:pPr>
          </w:p>
        </w:tc>
        <w:tc>
          <w:tcPr>
            <w:tcW w:w="50" w:type="pct"/>
            <w:vAlign w:val="center"/>
            <w:hideMark/>
          </w:tcPr>
          <w:p w14:paraId="3FEEFA7E" w14:textId="77777777" w:rsidR="00000000" w:rsidRDefault="00832D71">
            <w:pPr>
              <w:rPr>
                <w:rFonts w:eastAsia="Times New Roman"/>
                <w:sz w:val="20"/>
                <w:szCs w:val="20"/>
              </w:rPr>
            </w:pPr>
          </w:p>
        </w:tc>
        <w:tc>
          <w:tcPr>
            <w:tcW w:w="1753" w:type="pct"/>
            <w:vAlign w:val="center"/>
            <w:hideMark/>
          </w:tcPr>
          <w:p w14:paraId="4E0C89B7" w14:textId="77777777" w:rsidR="00000000" w:rsidRDefault="00832D71">
            <w:pPr>
              <w:rPr>
                <w:rFonts w:eastAsia="Times New Roman"/>
                <w:sz w:val="20"/>
                <w:szCs w:val="20"/>
              </w:rPr>
            </w:pPr>
          </w:p>
        </w:tc>
        <w:tc>
          <w:tcPr>
            <w:tcW w:w="50" w:type="pct"/>
            <w:vAlign w:val="center"/>
            <w:hideMark/>
          </w:tcPr>
          <w:p w14:paraId="520C186E" w14:textId="77777777" w:rsidR="00000000" w:rsidRDefault="00832D71">
            <w:pPr>
              <w:rPr>
                <w:rFonts w:eastAsia="Times New Roman"/>
                <w:sz w:val="20"/>
                <w:szCs w:val="20"/>
              </w:rPr>
            </w:pPr>
          </w:p>
        </w:tc>
        <w:tc>
          <w:tcPr>
            <w:tcW w:w="83" w:type="pct"/>
            <w:vAlign w:val="center"/>
            <w:hideMark/>
          </w:tcPr>
          <w:p w14:paraId="351223D4" w14:textId="77777777" w:rsidR="00000000" w:rsidRDefault="00832D71">
            <w:pPr>
              <w:rPr>
                <w:rFonts w:eastAsia="Times New Roman"/>
                <w:sz w:val="20"/>
                <w:szCs w:val="20"/>
              </w:rPr>
            </w:pPr>
          </w:p>
        </w:tc>
        <w:tc>
          <w:tcPr>
            <w:tcW w:w="1501" w:type="pct"/>
            <w:vAlign w:val="center"/>
            <w:hideMark/>
          </w:tcPr>
          <w:p w14:paraId="13F55D20" w14:textId="77777777" w:rsidR="00000000" w:rsidRDefault="00832D71">
            <w:pPr>
              <w:rPr>
                <w:rFonts w:eastAsia="Times New Roman"/>
                <w:sz w:val="20"/>
                <w:szCs w:val="20"/>
              </w:rPr>
            </w:pPr>
          </w:p>
        </w:tc>
      </w:tr>
      <w:tr w:rsidR="00000000" w14:paraId="151C9D8C" w14:textId="77777777">
        <w:trPr>
          <w:trHeight w:val="160"/>
          <w:tblCellSpacing w:w="15" w:type="dxa"/>
        </w:trPr>
        <w:tc>
          <w:tcPr>
            <w:tcW w:w="0" w:type="auto"/>
            <w:vAlign w:val="bottom"/>
            <w:hideMark/>
          </w:tcPr>
          <w:p w14:paraId="3FEAC438"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C76648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4FC1E48" w14:textId="77777777" w:rsidR="00000000" w:rsidRDefault="00832D71">
            <w:pPr>
              <w:pStyle w:val="a3"/>
              <w:spacing w:before="0" w:beforeAutospacing="0" w:after="0" w:afterAutospacing="0"/>
              <w:jc w:val="center"/>
              <w:rPr>
                <w:sz w:val="16"/>
                <w:szCs w:val="16"/>
              </w:rPr>
            </w:pPr>
            <w:r>
              <w:rPr>
                <w:b/>
                <w:bCs/>
                <w:sz w:val="16"/>
                <w:szCs w:val="16"/>
              </w:rPr>
              <w:t>Average Distributable Cash Flow Performance Scale for the Three-Year Measurement Period (thousands</w:t>
            </w:r>
            <w:r>
              <w:rPr>
                <w:b/>
                <w:bCs/>
                <w:sz w:val="16"/>
                <w:szCs w:val="16"/>
              </w:rPr>
              <w:t>)</w:t>
            </w:r>
          </w:p>
        </w:tc>
        <w:tc>
          <w:tcPr>
            <w:tcW w:w="0" w:type="auto"/>
            <w:vAlign w:val="bottom"/>
            <w:hideMark/>
          </w:tcPr>
          <w:p w14:paraId="67229EAC"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62E299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3FF52EA" w14:textId="77777777" w:rsidR="00000000" w:rsidRDefault="00832D71">
            <w:pPr>
              <w:pStyle w:val="a3"/>
              <w:spacing w:before="0" w:beforeAutospacing="0" w:after="0" w:afterAutospacing="0"/>
              <w:jc w:val="center"/>
              <w:rPr>
                <w:sz w:val="16"/>
                <w:szCs w:val="16"/>
              </w:rPr>
            </w:pPr>
            <w:r>
              <w:rPr>
                <w:b/>
                <w:bCs/>
                <w:sz w:val="16"/>
                <w:szCs w:val="16"/>
              </w:rPr>
              <w:t>Payout Percentag</w:t>
            </w:r>
            <w:r>
              <w:rPr>
                <w:b/>
                <w:bCs/>
                <w:sz w:val="16"/>
                <w:szCs w:val="16"/>
              </w:rPr>
              <w:t>e</w:t>
            </w:r>
          </w:p>
        </w:tc>
      </w:tr>
      <w:tr w:rsidR="00000000" w14:paraId="7B456DC5" w14:textId="77777777">
        <w:trPr>
          <w:trHeight w:val="200"/>
          <w:tblCellSpacing w:w="15" w:type="dxa"/>
        </w:trPr>
        <w:tc>
          <w:tcPr>
            <w:tcW w:w="0" w:type="auto"/>
            <w:hideMark/>
          </w:tcPr>
          <w:p w14:paraId="05D4C2BA" w14:textId="77777777" w:rsidR="00000000" w:rsidRDefault="00832D71">
            <w:pPr>
              <w:pStyle w:val="a3"/>
              <w:spacing w:before="0" w:beforeAutospacing="0" w:after="0" w:afterAutospacing="0"/>
              <w:rPr>
                <w:sz w:val="20"/>
                <w:szCs w:val="20"/>
              </w:rPr>
            </w:pPr>
            <w:r>
              <w:rPr>
                <w:sz w:val="20"/>
                <w:szCs w:val="20"/>
              </w:rPr>
              <w:t>Maximum Threshol</w:t>
            </w:r>
            <w:r>
              <w:rPr>
                <w:sz w:val="20"/>
                <w:szCs w:val="20"/>
              </w:rPr>
              <w:t>d</w:t>
            </w:r>
          </w:p>
        </w:tc>
        <w:tc>
          <w:tcPr>
            <w:tcW w:w="0" w:type="auto"/>
            <w:hideMark/>
          </w:tcPr>
          <w:p w14:paraId="4E3F1C42"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662BDCC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BC19F1A" w14:textId="77777777" w:rsidR="00000000" w:rsidRDefault="00832D71">
            <w:pPr>
              <w:pStyle w:val="a3"/>
              <w:spacing w:before="0" w:beforeAutospacing="0" w:after="0" w:afterAutospacing="0"/>
              <w:jc w:val="right"/>
              <w:rPr>
                <w:sz w:val="20"/>
                <w:szCs w:val="20"/>
              </w:rPr>
            </w:pPr>
            <w:r>
              <w:rPr>
                <w:sz w:val="20"/>
                <w:szCs w:val="20"/>
              </w:rPr>
              <w:t>215,00</w:t>
            </w:r>
            <w:r>
              <w:rPr>
                <w:sz w:val="20"/>
                <w:szCs w:val="20"/>
              </w:rPr>
              <w:t>0</w:t>
            </w:r>
          </w:p>
        </w:tc>
        <w:tc>
          <w:tcPr>
            <w:tcW w:w="0" w:type="auto"/>
            <w:noWrap/>
            <w:hideMark/>
          </w:tcPr>
          <w:p w14:paraId="0E01760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918916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E8EE71E" w14:textId="77777777" w:rsidR="00000000" w:rsidRDefault="00832D71">
            <w:pPr>
              <w:pStyle w:val="a3"/>
              <w:spacing w:before="0" w:beforeAutospacing="0" w:after="0" w:afterAutospacing="0"/>
              <w:jc w:val="center"/>
              <w:rPr>
                <w:sz w:val="20"/>
                <w:szCs w:val="20"/>
              </w:rPr>
            </w:pPr>
            <w:r>
              <w:rPr>
                <w:sz w:val="20"/>
                <w:szCs w:val="20"/>
              </w:rPr>
              <w:t>150</w:t>
            </w:r>
            <w:r>
              <w:rPr>
                <w:sz w:val="20"/>
                <w:szCs w:val="20"/>
              </w:rPr>
              <w:t>%</w:t>
            </w:r>
          </w:p>
        </w:tc>
      </w:tr>
      <w:tr w:rsidR="00000000" w14:paraId="341F2B06" w14:textId="77777777">
        <w:trPr>
          <w:trHeight w:val="200"/>
          <w:tblCellSpacing w:w="15" w:type="dxa"/>
        </w:trPr>
        <w:tc>
          <w:tcPr>
            <w:tcW w:w="0" w:type="auto"/>
            <w:hideMark/>
          </w:tcPr>
          <w:p w14:paraId="319112C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58A5202"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4678D7E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50006E6" w14:textId="77777777" w:rsidR="00000000" w:rsidRDefault="00832D71">
            <w:pPr>
              <w:pStyle w:val="a3"/>
              <w:spacing w:before="0" w:beforeAutospacing="0" w:after="0" w:afterAutospacing="0"/>
              <w:jc w:val="right"/>
              <w:rPr>
                <w:sz w:val="20"/>
                <w:szCs w:val="20"/>
              </w:rPr>
            </w:pPr>
            <w:r>
              <w:rPr>
                <w:sz w:val="20"/>
                <w:szCs w:val="20"/>
              </w:rPr>
              <w:t>213,00</w:t>
            </w:r>
            <w:r>
              <w:rPr>
                <w:sz w:val="20"/>
                <w:szCs w:val="20"/>
              </w:rPr>
              <w:t>0</w:t>
            </w:r>
          </w:p>
        </w:tc>
        <w:tc>
          <w:tcPr>
            <w:tcW w:w="0" w:type="auto"/>
            <w:noWrap/>
            <w:hideMark/>
          </w:tcPr>
          <w:p w14:paraId="0D1565B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8EB23B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FC643AD" w14:textId="77777777" w:rsidR="00000000" w:rsidRDefault="00832D71">
            <w:pPr>
              <w:pStyle w:val="a3"/>
              <w:spacing w:before="0" w:beforeAutospacing="0" w:after="0" w:afterAutospacing="0"/>
              <w:jc w:val="center"/>
              <w:rPr>
                <w:sz w:val="20"/>
                <w:szCs w:val="20"/>
              </w:rPr>
            </w:pPr>
            <w:r>
              <w:rPr>
                <w:sz w:val="20"/>
                <w:szCs w:val="20"/>
              </w:rPr>
              <w:t>145</w:t>
            </w:r>
            <w:r>
              <w:rPr>
                <w:sz w:val="20"/>
                <w:szCs w:val="20"/>
              </w:rPr>
              <w:t>%</w:t>
            </w:r>
          </w:p>
        </w:tc>
      </w:tr>
      <w:tr w:rsidR="00000000" w14:paraId="16B266DE" w14:textId="77777777">
        <w:trPr>
          <w:trHeight w:val="200"/>
          <w:tblCellSpacing w:w="15" w:type="dxa"/>
        </w:trPr>
        <w:tc>
          <w:tcPr>
            <w:tcW w:w="0" w:type="auto"/>
            <w:hideMark/>
          </w:tcPr>
          <w:p w14:paraId="2AC2639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E736C99"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2D1A142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C831B37" w14:textId="77777777" w:rsidR="00000000" w:rsidRDefault="00832D71">
            <w:pPr>
              <w:pStyle w:val="a3"/>
              <w:spacing w:before="0" w:beforeAutospacing="0" w:after="0" w:afterAutospacing="0"/>
              <w:jc w:val="right"/>
              <w:rPr>
                <w:sz w:val="20"/>
                <w:szCs w:val="20"/>
              </w:rPr>
            </w:pPr>
            <w:r>
              <w:rPr>
                <w:sz w:val="20"/>
                <w:szCs w:val="20"/>
              </w:rPr>
              <w:t>211,00</w:t>
            </w:r>
            <w:r>
              <w:rPr>
                <w:sz w:val="20"/>
                <w:szCs w:val="20"/>
              </w:rPr>
              <w:t>0</w:t>
            </w:r>
          </w:p>
        </w:tc>
        <w:tc>
          <w:tcPr>
            <w:tcW w:w="0" w:type="auto"/>
            <w:noWrap/>
            <w:hideMark/>
          </w:tcPr>
          <w:p w14:paraId="2CB7F60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8665DB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A25C98F" w14:textId="77777777" w:rsidR="00000000" w:rsidRDefault="00832D71">
            <w:pPr>
              <w:pStyle w:val="a3"/>
              <w:spacing w:before="0" w:beforeAutospacing="0" w:after="0" w:afterAutospacing="0"/>
              <w:jc w:val="center"/>
              <w:rPr>
                <w:sz w:val="20"/>
                <w:szCs w:val="20"/>
              </w:rPr>
            </w:pPr>
            <w:r>
              <w:rPr>
                <w:sz w:val="20"/>
                <w:szCs w:val="20"/>
              </w:rPr>
              <w:t>140</w:t>
            </w:r>
            <w:r>
              <w:rPr>
                <w:sz w:val="20"/>
                <w:szCs w:val="20"/>
              </w:rPr>
              <w:t>%</w:t>
            </w:r>
          </w:p>
        </w:tc>
      </w:tr>
      <w:tr w:rsidR="00000000" w14:paraId="3D2A6566" w14:textId="77777777">
        <w:trPr>
          <w:trHeight w:val="200"/>
          <w:tblCellSpacing w:w="15" w:type="dxa"/>
        </w:trPr>
        <w:tc>
          <w:tcPr>
            <w:tcW w:w="0" w:type="auto"/>
            <w:hideMark/>
          </w:tcPr>
          <w:p w14:paraId="5521062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EF4CB4B"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4027FC0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8FB5A4D" w14:textId="77777777" w:rsidR="00000000" w:rsidRDefault="00832D71">
            <w:pPr>
              <w:pStyle w:val="a3"/>
              <w:spacing w:before="0" w:beforeAutospacing="0" w:after="0" w:afterAutospacing="0"/>
              <w:jc w:val="right"/>
              <w:rPr>
                <w:sz w:val="20"/>
                <w:szCs w:val="20"/>
              </w:rPr>
            </w:pPr>
            <w:r>
              <w:rPr>
                <w:sz w:val="20"/>
                <w:szCs w:val="20"/>
              </w:rPr>
              <w:t>209,00</w:t>
            </w:r>
            <w:r>
              <w:rPr>
                <w:sz w:val="20"/>
                <w:szCs w:val="20"/>
              </w:rPr>
              <w:t>0</w:t>
            </w:r>
          </w:p>
        </w:tc>
        <w:tc>
          <w:tcPr>
            <w:tcW w:w="0" w:type="auto"/>
            <w:noWrap/>
            <w:hideMark/>
          </w:tcPr>
          <w:p w14:paraId="3DC40EB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5748A8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2F2F194" w14:textId="77777777" w:rsidR="00000000" w:rsidRDefault="00832D71">
            <w:pPr>
              <w:pStyle w:val="a3"/>
              <w:spacing w:before="0" w:beforeAutospacing="0" w:after="0" w:afterAutospacing="0"/>
              <w:jc w:val="center"/>
              <w:rPr>
                <w:sz w:val="20"/>
                <w:szCs w:val="20"/>
              </w:rPr>
            </w:pPr>
            <w:r>
              <w:rPr>
                <w:sz w:val="20"/>
                <w:szCs w:val="20"/>
              </w:rPr>
              <w:t>135</w:t>
            </w:r>
            <w:r>
              <w:rPr>
                <w:sz w:val="20"/>
                <w:szCs w:val="20"/>
              </w:rPr>
              <w:t>%</w:t>
            </w:r>
          </w:p>
        </w:tc>
      </w:tr>
      <w:tr w:rsidR="00000000" w14:paraId="675CECB0" w14:textId="77777777">
        <w:trPr>
          <w:trHeight w:val="200"/>
          <w:tblCellSpacing w:w="15" w:type="dxa"/>
        </w:trPr>
        <w:tc>
          <w:tcPr>
            <w:tcW w:w="0" w:type="auto"/>
            <w:hideMark/>
          </w:tcPr>
          <w:p w14:paraId="1E80E17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1562975"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181532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960F836" w14:textId="77777777" w:rsidR="00000000" w:rsidRDefault="00832D71">
            <w:pPr>
              <w:pStyle w:val="a3"/>
              <w:spacing w:before="0" w:beforeAutospacing="0" w:after="0" w:afterAutospacing="0"/>
              <w:jc w:val="right"/>
              <w:rPr>
                <w:sz w:val="20"/>
                <w:szCs w:val="20"/>
              </w:rPr>
            </w:pPr>
            <w:r>
              <w:rPr>
                <w:sz w:val="20"/>
                <w:szCs w:val="20"/>
              </w:rPr>
              <w:t>207,00</w:t>
            </w:r>
            <w:r>
              <w:rPr>
                <w:sz w:val="20"/>
                <w:szCs w:val="20"/>
              </w:rPr>
              <w:t>0</w:t>
            </w:r>
          </w:p>
        </w:tc>
        <w:tc>
          <w:tcPr>
            <w:tcW w:w="0" w:type="auto"/>
            <w:noWrap/>
            <w:hideMark/>
          </w:tcPr>
          <w:p w14:paraId="681EE3B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411E05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CD8E1D8" w14:textId="77777777" w:rsidR="00000000" w:rsidRDefault="00832D71">
            <w:pPr>
              <w:pStyle w:val="a3"/>
              <w:spacing w:before="0" w:beforeAutospacing="0" w:after="0" w:afterAutospacing="0"/>
              <w:jc w:val="center"/>
              <w:rPr>
                <w:sz w:val="20"/>
                <w:szCs w:val="20"/>
              </w:rPr>
            </w:pPr>
            <w:r>
              <w:rPr>
                <w:sz w:val="20"/>
                <w:szCs w:val="20"/>
              </w:rPr>
              <w:t>130</w:t>
            </w:r>
            <w:r>
              <w:rPr>
                <w:sz w:val="20"/>
                <w:szCs w:val="20"/>
              </w:rPr>
              <w:t>%</w:t>
            </w:r>
          </w:p>
        </w:tc>
      </w:tr>
      <w:tr w:rsidR="00000000" w14:paraId="5703FE3F" w14:textId="77777777">
        <w:trPr>
          <w:trHeight w:val="200"/>
          <w:tblCellSpacing w:w="15" w:type="dxa"/>
        </w:trPr>
        <w:tc>
          <w:tcPr>
            <w:tcW w:w="0" w:type="auto"/>
            <w:hideMark/>
          </w:tcPr>
          <w:p w14:paraId="72F1183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63BE97A"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6378B6F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9105D81" w14:textId="77777777" w:rsidR="00000000" w:rsidRDefault="00832D71">
            <w:pPr>
              <w:pStyle w:val="a3"/>
              <w:spacing w:before="0" w:beforeAutospacing="0" w:after="0" w:afterAutospacing="0"/>
              <w:jc w:val="right"/>
              <w:rPr>
                <w:sz w:val="20"/>
                <w:szCs w:val="20"/>
              </w:rPr>
            </w:pPr>
            <w:r>
              <w:rPr>
                <w:sz w:val="20"/>
                <w:szCs w:val="20"/>
              </w:rPr>
              <w:t>205,00</w:t>
            </w:r>
            <w:r>
              <w:rPr>
                <w:sz w:val="20"/>
                <w:szCs w:val="20"/>
              </w:rPr>
              <w:t>0</w:t>
            </w:r>
          </w:p>
        </w:tc>
        <w:tc>
          <w:tcPr>
            <w:tcW w:w="0" w:type="auto"/>
            <w:noWrap/>
            <w:hideMark/>
          </w:tcPr>
          <w:p w14:paraId="73DFD8A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D887B9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7FAAE78" w14:textId="77777777" w:rsidR="00000000" w:rsidRDefault="00832D71">
            <w:pPr>
              <w:pStyle w:val="a3"/>
              <w:spacing w:before="0" w:beforeAutospacing="0" w:after="0" w:afterAutospacing="0"/>
              <w:jc w:val="center"/>
              <w:rPr>
                <w:sz w:val="20"/>
                <w:szCs w:val="20"/>
              </w:rPr>
            </w:pPr>
            <w:r>
              <w:rPr>
                <w:sz w:val="20"/>
                <w:szCs w:val="20"/>
              </w:rPr>
              <w:t>125</w:t>
            </w:r>
            <w:r>
              <w:rPr>
                <w:sz w:val="20"/>
                <w:szCs w:val="20"/>
              </w:rPr>
              <w:t>%</w:t>
            </w:r>
          </w:p>
        </w:tc>
      </w:tr>
      <w:tr w:rsidR="00000000" w14:paraId="3BF4A0D1" w14:textId="77777777">
        <w:trPr>
          <w:trHeight w:val="200"/>
          <w:tblCellSpacing w:w="15" w:type="dxa"/>
        </w:trPr>
        <w:tc>
          <w:tcPr>
            <w:tcW w:w="0" w:type="auto"/>
            <w:hideMark/>
          </w:tcPr>
          <w:p w14:paraId="4F3D89C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6DAAD46"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0E36091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A073C60" w14:textId="77777777" w:rsidR="00000000" w:rsidRDefault="00832D71">
            <w:pPr>
              <w:pStyle w:val="a3"/>
              <w:spacing w:before="0" w:beforeAutospacing="0" w:after="0" w:afterAutospacing="0"/>
              <w:jc w:val="right"/>
              <w:rPr>
                <w:sz w:val="20"/>
                <w:szCs w:val="20"/>
              </w:rPr>
            </w:pPr>
            <w:r>
              <w:rPr>
                <w:sz w:val="20"/>
                <w:szCs w:val="20"/>
              </w:rPr>
              <w:t>203,00</w:t>
            </w:r>
            <w:r>
              <w:rPr>
                <w:sz w:val="20"/>
                <w:szCs w:val="20"/>
              </w:rPr>
              <w:t>0</w:t>
            </w:r>
          </w:p>
        </w:tc>
        <w:tc>
          <w:tcPr>
            <w:tcW w:w="0" w:type="auto"/>
            <w:noWrap/>
            <w:hideMark/>
          </w:tcPr>
          <w:p w14:paraId="12A40F3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AE93AE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0857C0C" w14:textId="77777777" w:rsidR="00000000" w:rsidRDefault="00832D71">
            <w:pPr>
              <w:pStyle w:val="a3"/>
              <w:spacing w:before="0" w:beforeAutospacing="0" w:after="0" w:afterAutospacing="0"/>
              <w:jc w:val="center"/>
              <w:rPr>
                <w:sz w:val="20"/>
                <w:szCs w:val="20"/>
              </w:rPr>
            </w:pPr>
            <w:r>
              <w:rPr>
                <w:sz w:val="20"/>
                <w:szCs w:val="20"/>
              </w:rPr>
              <w:t>120</w:t>
            </w:r>
            <w:r>
              <w:rPr>
                <w:sz w:val="20"/>
                <w:szCs w:val="20"/>
              </w:rPr>
              <w:t>%</w:t>
            </w:r>
          </w:p>
        </w:tc>
      </w:tr>
      <w:tr w:rsidR="00000000" w14:paraId="2920ED9B" w14:textId="77777777">
        <w:trPr>
          <w:trHeight w:val="200"/>
          <w:tblCellSpacing w:w="15" w:type="dxa"/>
        </w:trPr>
        <w:tc>
          <w:tcPr>
            <w:tcW w:w="0" w:type="auto"/>
            <w:hideMark/>
          </w:tcPr>
          <w:p w14:paraId="32CA3E3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3C12749"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40CDF8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CE921BB" w14:textId="77777777" w:rsidR="00000000" w:rsidRDefault="00832D71">
            <w:pPr>
              <w:pStyle w:val="a3"/>
              <w:spacing w:before="0" w:beforeAutospacing="0" w:after="0" w:afterAutospacing="0"/>
              <w:jc w:val="right"/>
              <w:rPr>
                <w:sz w:val="20"/>
                <w:szCs w:val="20"/>
              </w:rPr>
            </w:pPr>
            <w:r>
              <w:rPr>
                <w:sz w:val="20"/>
                <w:szCs w:val="20"/>
              </w:rPr>
              <w:t>201,00</w:t>
            </w:r>
            <w:r>
              <w:rPr>
                <w:sz w:val="20"/>
                <w:szCs w:val="20"/>
              </w:rPr>
              <w:t>0</w:t>
            </w:r>
          </w:p>
        </w:tc>
        <w:tc>
          <w:tcPr>
            <w:tcW w:w="0" w:type="auto"/>
            <w:noWrap/>
            <w:hideMark/>
          </w:tcPr>
          <w:p w14:paraId="06BFC00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5359B4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4923C51" w14:textId="77777777" w:rsidR="00000000" w:rsidRDefault="00832D71">
            <w:pPr>
              <w:pStyle w:val="a3"/>
              <w:spacing w:before="0" w:beforeAutospacing="0" w:after="0" w:afterAutospacing="0"/>
              <w:jc w:val="center"/>
              <w:rPr>
                <w:sz w:val="20"/>
                <w:szCs w:val="20"/>
              </w:rPr>
            </w:pPr>
            <w:r>
              <w:rPr>
                <w:sz w:val="20"/>
                <w:szCs w:val="20"/>
              </w:rPr>
              <w:t>115</w:t>
            </w:r>
            <w:r>
              <w:rPr>
                <w:sz w:val="20"/>
                <w:szCs w:val="20"/>
              </w:rPr>
              <w:t>%</w:t>
            </w:r>
          </w:p>
        </w:tc>
      </w:tr>
      <w:tr w:rsidR="00000000" w14:paraId="62EA99F3" w14:textId="77777777">
        <w:trPr>
          <w:trHeight w:val="200"/>
          <w:tblCellSpacing w:w="15" w:type="dxa"/>
        </w:trPr>
        <w:tc>
          <w:tcPr>
            <w:tcW w:w="0" w:type="auto"/>
            <w:hideMark/>
          </w:tcPr>
          <w:p w14:paraId="6F4828A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E4C643D"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13AE3C6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E50C0EC" w14:textId="77777777" w:rsidR="00000000" w:rsidRDefault="00832D71">
            <w:pPr>
              <w:pStyle w:val="a3"/>
              <w:spacing w:before="0" w:beforeAutospacing="0" w:after="0" w:afterAutospacing="0"/>
              <w:jc w:val="right"/>
              <w:rPr>
                <w:sz w:val="20"/>
                <w:szCs w:val="20"/>
              </w:rPr>
            </w:pPr>
            <w:r>
              <w:rPr>
                <w:sz w:val="20"/>
                <w:szCs w:val="20"/>
              </w:rPr>
              <w:t>199,00</w:t>
            </w:r>
            <w:r>
              <w:rPr>
                <w:sz w:val="20"/>
                <w:szCs w:val="20"/>
              </w:rPr>
              <w:t>0</w:t>
            </w:r>
          </w:p>
        </w:tc>
        <w:tc>
          <w:tcPr>
            <w:tcW w:w="0" w:type="auto"/>
            <w:noWrap/>
            <w:hideMark/>
          </w:tcPr>
          <w:p w14:paraId="1B05CE5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8CA9B3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FB0F66E" w14:textId="77777777" w:rsidR="00000000" w:rsidRDefault="00832D71">
            <w:pPr>
              <w:pStyle w:val="a3"/>
              <w:spacing w:before="0" w:beforeAutospacing="0" w:after="0" w:afterAutospacing="0"/>
              <w:jc w:val="center"/>
              <w:rPr>
                <w:sz w:val="20"/>
                <w:szCs w:val="20"/>
              </w:rPr>
            </w:pPr>
            <w:r>
              <w:rPr>
                <w:sz w:val="20"/>
                <w:szCs w:val="20"/>
              </w:rPr>
              <w:t>110</w:t>
            </w:r>
            <w:r>
              <w:rPr>
                <w:sz w:val="20"/>
                <w:szCs w:val="20"/>
              </w:rPr>
              <w:t>%</w:t>
            </w:r>
          </w:p>
        </w:tc>
      </w:tr>
      <w:tr w:rsidR="00000000" w14:paraId="20500A58" w14:textId="77777777">
        <w:trPr>
          <w:trHeight w:val="200"/>
          <w:tblCellSpacing w:w="15" w:type="dxa"/>
        </w:trPr>
        <w:tc>
          <w:tcPr>
            <w:tcW w:w="0" w:type="auto"/>
            <w:hideMark/>
          </w:tcPr>
          <w:p w14:paraId="5D20DDC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0E85D8D"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D59D0A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9A655C1" w14:textId="77777777" w:rsidR="00000000" w:rsidRDefault="00832D71">
            <w:pPr>
              <w:pStyle w:val="a3"/>
              <w:spacing w:before="0" w:beforeAutospacing="0" w:after="0" w:afterAutospacing="0"/>
              <w:jc w:val="right"/>
              <w:rPr>
                <w:sz w:val="20"/>
                <w:szCs w:val="20"/>
              </w:rPr>
            </w:pPr>
            <w:r>
              <w:rPr>
                <w:sz w:val="20"/>
                <w:szCs w:val="20"/>
              </w:rPr>
              <w:t>197,00</w:t>
            </w:r>
            <w:r>
              <w:rPr>
                <w:sz w:val="20"/>
                <w:szCs w:val="20"/>
              </w:rPr>
              <w:t>0</w:t>
            </w:r>
          </w:p>
        </w:tc>
        <w:tc>
          <w:tcPr>
            <w:tcW w:w="0" w:type="auto"/>
            <w:noWrap/>
            <w:hideMark/>
          </w:tcPr>
          <w:p w14:paraId="7D34CB3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D64F1C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49CD97A" w14:textId="77777777" w:rsidR="00000000" w:rsidRDefault="00832D71">
            <w:pPr>
              <w:pStyle w:val="a3"/>
              <w:spacing w:before="0" w:beforeAutospacing="0" w:after="0" w:afterAutospacing="0"/>
              <w:jc w:val="center"/>
              <w:rPr>
                <w:sz w:val="20"/>
                <w:szCs w:val="20"/>
              </w:rPr>
            </w:pPr>
            <w:r>
              <w:rPr>
                <w:sz w:val="20"/>
                <w:szCs w:val="20"/>
              </w:rPr>
              <w:t>105</w:t>
            </w:r>
            <w:r>
              <w:rPr>
                <w:sz w:val="20"/>
                <w:szCs w:val="20"/>
              </w:rPr>
              <w:t>%</w:t>
            </w:r>
          </w:p>
        </w:tc>
      </w:tr>
      <w:tr w:rsidR="00000000" w14:paraId="7A069973" w14:textId="77777777">
        <w:trPr>
          <w:trHeight w:val="200"/>
          <w:tblCellSpacing w:w="15" w:type="dxa"/>
        </w:trPr>
        <w:tc>
          <w:tcPr>
            <w:tcW w:w="0" w:type="auto"/>
            <w:hideMark/>
          </w:tcPr>
          <w:p w14:paraId="39A99076" w14:textId="77777777" w:rsidR="00000000" w:rsidRDefault="00832D71">
            <w:pPr>
              <w:pStyle w:val="a3"/>
              <w:spacing w:before="0" w:beforeAutospacing="0" w:after="0" w:afterAutospacing="0"/>
              <w:rPr>
                <w:sz w:val="20"/>
                <w:szCs w:val="20"/>
              </w:rPr>
            </w:pPr>
            <w:r>
              <w:rPr>
                <w:sz w:val="20"/>
                <w:szCs w:val="20"/>
              </w:rPr>
              <w:t>Target Threshol</w:t>
            </w:r>
            <w:r>
              <w:rPr>
                <w:sz w:val="20"/>
                <w:szCs w:val="20"/>
              </w:rPr>
              <w:t>d</w:t>
            </w:r>
          </w:p>
        </w:tc>
        <w:tc>
          <w:tcPr>
            <w:tcW w:w="0" w:type="auto"/>
            <w:hideMark/>
          </w:tcPr>
          <w:p w14:paraId="3917C513"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FF04B4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085F4A3" w14:textId="77777777" w:rsidR="00000000" w:rsidRDefault="00832D71">
            <w:pPr>
              <w:pStyle w:val="a3"/>
              <w:spacing w:before="0" w:beforeAutospacing="0" w:after="0" w:afterAutospacing="0"/>
              <w:jc w:val="right"/>
              <w:rPr>
                <w:sz w:val="20"/>
                <w:szCs w:val="20"/>
              </w:rPr>
            </w:pPr>
            <w:r>
              <w:rPr>
                <w:sz w:val="20"/>
                <w:szCs w:val="20"/>
              </w:rPr>
              <w:t>195,00</w:t>
            </w:r>
            <w:r>
              <w:rPr>
                <w:sz w:val="20"/>
                <w:szCs w:val="20"/>
              </w:rPr>
              <w:t>0</w:t>
            </w:r>
          </w:p>
        </w:tc>
        <w:tc>
          <w:tcPr>
            <w:tcW w:w="0" w:type="auto"/>
            <w:noWrap/>
            <w:hideMark/>
          </w:tcPr>
          <w:p w14:paraId="4E06CA0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580A2C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2F20715" w14:textId="77777777" w:rsidR="00000000" w:rsidRDefault="00832D71">
            <w:pPr>
              <w:pStyle w:val="a3"/>
              <w:spacing w:before="0" w:beforeAutospacing="0" w:after="0" w:afterAutospacing="0"/>
              <w:jc w:val="center"/>
              <w:rPr>
                <w:sz w:val="20"/>
                <w:szCs w:val="20"/>
              </w:rPr>
            </w:pPr>
            <w:r>
              <w:rPr>
                <w:sz w:val="20"/>
                <w:szCs w:val="20"/>
              </w:rPr>
              <w:t>100</w:t>
            </w:r>
            <w:r>
              <w:rPr>
                <w:sz w:val="20"/>
                <w:szCs w:val="20"/>
              </w:rPr>
              <w:t>%</w:t>
            </w:r>
          </w:p>
        </w:tc>
      </w:tr>
      <w:tr w:rsidR="00000000" w14:paraId="5B7221C4" w14:textId="77777777">
        <w:trPr>
          <w:trHeight w:val="200"/>
          <w:tblCellSpacing w:w="15" w:type="dxa"/>
        </w:trPr>
        <w:tc>
          <w:tcPr>
            <w:tcW w:w="0" w:type="auto"/>
            <w:hideMark/>
          </w:tcPr>
          <w:p w14:paraId="6A39D56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7BC9760"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2908183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696B83F" w14:textId="77777777" w:rsidR="00000000" w:rsidRDefault="00832D71">
            <w:pPr>
              <w:pStyle w:val="a3"/>
              <w:spacing w:before="0" w:beforeAutospacing="0" w:after="0" w:afterAutospacing="0"/>
              <w:jc w:val="right"/>
              <w:rPr>
                <w:sz w:val="20"/>
                <w:szCs w:val="20"/>
              </w:rPr>
            </w:pPr>
            <w:r>
              <w:rPr>
                <w:sz w:val="20"/>
                <w:szCs w:val="20"/>
              </w:rPr>
              <w:t>191,00</w:t>
            </w:r>
            <w:r>
              <w:rPr>
                <w:sz w:val="20"/>
                <w:szCs w:val="20"/>
              </w:rPr>
              <w:t>0</w:t>
            </w:r>
          </w:p>
        </w:tc>
        <w:tc>
          <w:tcPr>
            <w:tcW w:w="0" w:type="auto"/>
            <w:noWrap/>
            <w:hideMark/>
          </w:tcPr>
          <w:p w14:paraId="4F272BC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CC7DB9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A402FB0" w14:textId="77777777" w:rsidR="00000000" w:rsidRDefault="00832D71">
            <w:pPr>
              <w:pStyle w:val="a3"/>
              <w:spacing w:before="0" w:beforeAutospacing="0" w:after="0" w:afterAutospacing="0"/>
              <w:jc w:val="center"/>
              <w:rPr>
                <w:sz w:val="20"/>
                <w:szCs w:val="20"/>
              </w:rPr>
            </w:pPr>
            <w:r>
              <w:rPr>
                <w:sz w:val="20"/>
                <w:szCs w:val="20"/>
              </w:rPr>
              <w:t>95</w:t>
            </w:r>
            <w:r>
              <w:rPr>
                <w:sz w:val="20"/>
                <w:szCs w:val="20"/>
              </w:rPr>
              <w:t>%</w:t>
            </w:r>
          </w:p>
        </w:tc>
      </w:tr>
      <w:tr w:rsidR="00000000" w14:paraId="18DA645D" w14:textId="77777777">
        <w:trPr>
          <w:trHeight w:val="200"/>
          <w:tblCellSpacing w:w="15" w:type="dxa"/>
        </w:trPr>
        <w:tc>
          <w:tcPr>
            <w:tcW w:w="0" w:type="auto"/>
            <w:hideMark/>
          </w:tcPr>
          <w:p w14:paraId="44864A3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ED952E0"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224D5F1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D462883" w14:textId="77777777" w:rsidR="00000000" w:rsidRDefault="00832D71">
            <w:pPr>
              <w:pStyle w:val="a3"/>
              <w:spacing w:before="0" w:beforeAutospacing="0" w:after="0" w:afterAutospacing="0"/>
              <w:jc w:val="right"/>
              <w:rPr>
                <w:sz w:val="20"/>
                <w:szCs w:val="20"/>
              </w:rPr>
            </w:pPr>
            <w:r>
              <w:rPr>
                <w:sz w:val="20"/>
                <w:szCs w:val="20"/>
              </w:rPr>
              <w:t>187,00</w:t>
            </w:r>
            <w:r>
              <w:rPr>
                <w:sz w:val="20"/>
                <w:szCs w:val="20"/>
              </w:rPr>
              <w:t>0</w:t>
            </w:r>
          </w:p>
        </w:tc>
        <w:tc>
          <w:tcPr>
            <w:tcW w:w="0" w:type="auto"/>
            <w:noWrap/>
            <w:hideMark/>
          </w:tcPr>
          <w:p w14:paraId="578CE8A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3C732C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BF4C947" w14:textId="77777777" w:rsidR="00000000" w:rsidRDefault="00832D71">
            <w:pPr>
              <w:pStyle w:val="a3"/>
              <w:spacing w:before="0" w:beforeAutospacing="0" w:after="0" w:afterAutospacing="0"/>
              <w:jc w:val="center"/>
              <w:rPr>
                <w:sz w:val="20"/>
                <w:szCs w:val="20"/>
              </w:rPr>
            </w:pPr>
            <w:r>
              <w:rPr>
                <w:sz w:val="20"/>
                <w:szCs w:val="20"/>
              </w:rPr>
              <w:t>90</w:t>
            </w:r>
            <w:r>
              <w:rPr>
                <w:sz w:val="20"/>
                <w:szCs w:val="20"/>
              </w:rPr>
              <w:t>%</w:t>
            </w:r>
          </w:p>
        </w:tc>
      </w:tr>
      <w:tr w:rsidR="00000000" w14:paraId="03670CFE" w14:textId="77777777">
        <w:trPr>
          <w:trHeight w:val="200"/>
          <w:tblCellSpacing w:w="15" w:type="dxa"/>
        </w:trPr>
        <w:tc>
          <w:tcPr>
            <w:tcW w:w="0" w:type="auto"/>
            <w:hideMark/>
          </w:tcPr>
          <w:p w14:paraId="0D4906C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5959C3E"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1797C6D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4B441E2" w14:textId="77777777" w:rsidR="00000000" w:rsidRDefault="00832D71">
            <w:pPr>
              <w:pStyle w:val="a3"/>
              <w:spacing w:before="0" w:beforeAutospacing="0" w:after="0" w:afterAutospacing="0"/>
              <w:jc w:val="right"/>
              <w:rPr>
                <w:sz w:val="20"/>
                <w:szCs w:val="20"/>
              </w:rPr>
            </w:pPr>
            <w:r>
              <w:rPr>
                <w:sz w:val="20"/>
                <w:szCs w:val="20"/>
              </w:rPr>
              <w:t>183,00</w:t>
            </w:r>
            <w:r>
              <w:rPr>
                <w:sz w:val="20"/>
                <w:szCs w:val="20"/>
              </w:rPr>
              <w:t>0</w:t>
            </w:r>
          </w:p>
        </w:tc>
        <w:tc>
          <w:tcPr>
            <w:tcW w:w="0" w:type="auto"/>
            <w:noWrap/>
            <w:hideMark/>
          </w:tcPr>
          <w:p w14:paraId="025046C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CB82BA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06FFDC4" w14:textId="77777777" w:rsidR="00000000" w:rsidRDefault="00832D71">
            <w:pPr>
              <w:pStyle w:val="a3"/>
              <w:spacing w:before="0" w:beforeAutospacing="0" w:after="0" w:afterAutospacing="0"/>
              <w:jc w:val="center"/>
              <w:rPr>
                <w:sz w:val="20"/>
                <w:szCs w:val="20"/>
              </w:rPr>
            </w:pPr>
            <w:r>
              <w:rPr>
                <w:sz w:val="20"/>
                <w:szCs w:val="20"/>
              </w:rPr>
              <w:t>85</w:t>
            </w:r>
            <w:r>
              <w:rPr>
                <w:sz w:val="20"/>
                <w:szCs w:val="20"/>
              </w:rPr>
              <w:t>%</w:t>
            </w:r>
          </w:p>
        </w:tc>
      </w:tr>
      <w:tr w:rsidR="00000000" w14:paraId="785A4272" w14:textId="77777777">
        <w:trPr>
          <w:trHeight w:val="200"/>
          <w:tblCellSpacing w:w="15" w:type="dxa"/>
        </w:trPr>
        <w:tc>
          <w:tcPr>
            <w:tcW w:w="0" w:type="auto"/>
            <w:hideMark/>
          </w:tcPr>
          <w:p w14:paraId="236A160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7DB2B3C"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6E1674D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E8D1FFD" w14:textId="77777777" w:rsidR="00000000" w:rsidRDefault="00832D71">
            <w:pPr>
              <w:pStyle w:val="a3"/>
              <w:spacing w:before="0" w:beforeAutospacing="0" w:after="0" w:afterAutospacing="0"/>
              <w:jc w:val="right"/>
              <w:rPr>
                <w:sz w:val="20"/>
                <w:szCs w:val="20"/>
              </w:rPr>
            </w:pPr>
            <w:r>
              <w:rPr>
                <w:sz w:val="20"/>
                <w:szCs w:val="20"/>
              </w:rPr>
              <w:t>179,00</w:t>
            </w:r>
            <w:r>
              <w:rPr>
                <w:sz w:val="20"/>
                <w:szCs w:val="20"/>
              </w:rPr>
              <w:t>0</w:t>
            </w:r>
          </w:p>
        </w:tc>
        <w:tc>
          <w:tcPr>
            <w:tcW w:w="0" w:type="auto"/>
            <w:noWrap/>
            <w:hideMark/>
          </w:tcPr>
          <w:p w14:paraId="37111CA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6841FB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5C24192" w14:textId="77777777" w:rsidR="00000000" w:rsidRDefault="00832D71">
            <w:pPr>
              <w:pStyle w:val="a3"/>
              <w:spacing w:before="0" w:beforeAutospacing="0" w:after="0" w:afterAutospacing="0"/>
              <w:jc w:val="center"/>
              <w:rPr>
                <w:sz w:val="20"/>
                <w:szCs w:val="20"/>
              </w:rPr>
            </w:pPr>
            <w:r>
              <w:rPr>
                <w:sz w:val="20"/>
                <w:szCs w:val="20"/>
              </w:rPr>
              <w:t>80</w:t>
            </w:r>
            <w:r>
              <w:rPr>
                <w:sz w:val="20"/>
                <w:szCs w:val="20"/>
              </w:rPr>
              <w:t>%</w:t>
            </w:r>
          </w:p>
        </w:tc>
      </w:tr>
      <w:tr w:rsidR="00000000" w14:paraId="6D7226BF" w14:textId="77777777">
        <w:trPr>
          <w:trHeight w:val="200"/>
          <w:tblCellSpacing w:w="15" w:type="dxa"/>
        </w:trPr>
        <w:tc>
          <w:tcPr>
            <w:tcW w:w="0" w:type="auto"/>
            <w:hideMark/>
          </w:tcPr>
          <w:p w14:paraId="39B4096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AD95CCE"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0FCA210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860F8DB" w14:textId="77777777" w:rsidR="00000000" w:rsidRDefault="00832D71">
            <w:pPr>
              <w:pStyle w:val="a3"/>
              <w:spacing w:before="0" w:beforeAutospacing="0" w:after="0" w:afterAutospacing="0"/>
              <w:jc w:val="right"/>
              <w:rPr>
                <w:sz w:val="20"/>
                <w:szCs w:val="20"/>
              </w:rPr>
            </w:pPr>
            <w:r>
              <w:rPr>
                <w:sz w:val="20"/>
                <w:szCs w:val="20"/>
              </w:rPr>
              <w:t>175,00</w:t>
            </w:r>
            <w:r>
              <w:rPr>
                <w:sz w:val="20"/>
                <w:szCs w:val="20"/>
              </w:rPr>
              <w:t>0</w:t>
            </w:r>
          </w:p>
        </w:tc>
        <w:tc>
          <w:tcPr>
            <w:tcW w:w="0" w:type="auto"/>
            <w:noWrap/>
            <w:hideMark/>
          </w:tcPr>
          <w:p w14:paraId="1B37CD1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6C2C10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874A1DB" w14:textId="77777777" w:rsidR="00000000" w:rsidRDefault="00832D71">
            <w:pPr>
              <w:pStyle w:val="a3"/>
              <w:spacing w:before="0" w:beforeAutospacing="0" w:after="0" w:afterAutospacing="0"/>
              <w:jc w:val="center"/>
              <w:rPr>
                <w:sz w:val="20"/>
                <w:szCs w:val="20"/>
              </w:rPr>
            </w:pPr>
            <w:r>
              <w:rPr>
                <w:sz w:val="20"/>
                <w:szCs w:val="20"/>
              </w:rPr>
              <w:t>75</w:t>
            </w:r>
            <w:r>
              <w:rPr>
                <w:sz w:val="20"/>
                <w:szCs w:val="20"/>
              </w:rPr>
              <w:t>%</w:t>
            </w:r>
          </w:p>
        </w:tc>
      </w:tr>
      <w:tr w:rsidR="00000000" w14:paraId="65B2CD39" w14:textId="77777777">
        <w:trPr>
          <w:trHeight w:val="200"/>
          <w:tblCellSpacing w:w="15" w:type="dxa"/>
        </w:trPr>
        <w:tc>
          <w:tcPr>
            <w:tcW w:w="0" w:type="auto"/>
            <w:hideMark/>
          </w:tcPr>
          <w:p w14:paraId="4F45659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456795E"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47AD12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6B5D1DB" w14:textId="77777777" w:rsidR="00000000" w:rsidRDefault="00832D71">
            <w:pPr>
              <w:pStyle w:val="a3"/>
              <w:spacing w:before="0" w:beforeAutospacing="0" w:after="0" w:afterAutospacing="0"/>
              <w:jc w:val="right"/>
              <w:rPr>
                <w:sz w:val="20"/>
                <w:szCs w:val="20"/>
              </w:rPr>
            </w:pPr>
            <w:r>
              <w:rPr>
                <w:sz w:val="20"/>
                <w:szCs w:val="20"/>
              </w:rPr>
              <w:t>171,00</w:t>
            </w:r>
            <w:r>
              <w:rPr>
                <w:sz w:val="20"/>
                <w:szCs w:val="20"/>
              </w:rPr>
              <w:t>0</w:t>
            </w:r>
          </w:p>
        </w:tc>
        <w:tc>
          <w:tcPr>
            <w:tcW w:w="0" w:type="auto"/>
            <w:noWrap/>
            <w:hideMark/>
          </w:tcPr>
          <w:p w14:paraId="2840839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E0436A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2B2855C" w14:textId="77777777" w:rsidR="00000000" w:rsidRDefault="00832D71">
            <w:pPr>
              <w:pStyle w:val="a3"/>
              <w:spacing w:before="0" w:beforeAutospacing="0" w:after="0" w:afterAutospacing="0"/>
              <w:jc w:val="center"/>
              <w:rPr>
                <w:sz w:val="20"/>
                <w:szCs w:val="20"/>
              </w:rPr>
            </w:pPr>
            <w:r>
              <w:rPr>
                <w:sz w:val="20"/>
                <w:szCs w:val="20"/>
              </w:rPr>
              <w:t>70</w:t>
            </w:r>
            <w:r>
              <w:rPr>
                <w:sz w:val="20"/>
                <w:szCs w:val="20"/>
              </w:rPr>
              <w:t>%</w:t>
            </w:r>
          </w:p>
        </w:tc>
      </w:tr>
      <w:tr w:rsidR="00000000" w14:paraId="5B8B1543" w14:textId="77777777">
        <w:trPr>
          <w:trHeight w:val="200"/>
          <w:tblCellSpacing w:w="15" w:type="dxa"/>
        </w:trPr>
        <w:tc>
          <w:tcPr>
            <w:tcW w:w="0" w:type="auto"/>
            <w:hideMark/>
          </w:tcPr>
          <w:p w14:paraId="1777E36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D5B4B71"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626A1F4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C3E5F3A" w14:textId="77777777" w:rsidR="00000000" w:rsidRDefault="00832D71">
            <w:pPr>
              <w:pStyle w:val="a3"/>
              <w:spacing w:before="0" w:beforeAutospacing="0" w:after="0" w:afterAutospacing="0"/>
              <w:jc w:val="right"/>
              <w:rPr>
                <w:sz w:val="20"/>
                <w:szCs w:val="20"/>
              </w:rPr>
            </w:pPr>
            <w:r>
              <w:rPr>
                <w:sz w:val="20"/>
                <w:szCs w:val="20"/>
              </w:rPr>
              <w:t>167,00</w:t>
            </w:r>
            <w:r>
              <w:rPr>
                <w:sz w:val="20"/>
                <w:szCs w:val="20"/>
              </w:rPr>
              <w:t>0</w:t>
            </w:r>
          </w:p>
        </w:tc>
        <w:tc>
          <w:tcPr>
            <w:tcW w:w="0" w:type="auto"/>
            <w:noWrap/>
            <w:hideMark/>
          </w:tcPr>
          <w:p w14:paraId="1FD800A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C9DAC3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7E4472C" w14:textId="77777777" w:rsidR="00000000" w:rsidRDefault="00832D71">
            <w:pPr>
              <w:pStyle w:val="a3"/>
              <w:spacing w:before="0" w:beforeAutospacing="0" w:after="0" w:afterAutospacing="0"/>
              <w:jc w:val="center"/>
              <w:rPr>
                <w:sz w:val="20"/>
                <w:szCs w:val="20"/>
              </w:rPr>
            </w:pPr>
            <w:r>
              <w:rPr>
                <w:sz w:val="20"/>
                <w:szCs w:val="20"/>
              </w:rPr>
              <w:t>65</w:t>
            </w:r>
            <w:r>
              <w:rPr>
                <w:sz w:val="20"/>
                <w:szCs w:val="20"/>
              </w:rPr>
              <w:t>%</w:t>
            </w:r>
          </w:p>
        </w:tc>
      </w:tr>
      <w:tr w:rsidR="00000000" w14:paraId="6506B651" w14:textId="77777777">
        <w:trPr>
          <w:trHeight w:val="200"/>
          <w:tblCellSpacing w:w="15" w:type="dxa"/>
        </w:trPr>
        <w:tc>
          <w:tcPr>
            <w:tcW w:w="0" w:type="auto"/>
            <w:hideMark/>
          </w:tcPr>
          <w:p w14:paraId="01BB809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141AF46"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1FEDD8A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29DC023" w14:textId="77777777" w:rsidR="00000000" w:rsidRDefault="00832D71">
            <w:pPr>
              <w:pStyle w:val="a3"/>
              <w:spacing w:before="0" w:beforeAutospacing="0" w:after="0" w:afterAutospacing="0"/>
              <w:jc w:val="right"/>
              <w:rPr>
                <w:sz w:val="20"/>
                <w:szCs w:val="20"/>
              </w:rPr>
            </w:pPr>
            <w:r>
              <w:rPr>
                <w:sz w:val="20"/>
                <w:szCs w:val="20"/>
              </w:rPr>
              <w:t>163,00</w:t>
            </w:r>
            <w:r>
              <w:rPr>
                <w:sz w:val="20"/>
                <w:szCs w:val="20"/>
              </w:rPr>
              <w:t>0</w:t>
            </w:r>
          </w:p>
        </w:tc>
        <w:tc>
          <w:tcPr>
            <w:tcW w:w="0" w:type="auto"/>
            <w:noWrap/>
            <w:hideMark/>
          </w:tcPr>
          <w:p w14:paraId="78E0B20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F1B13B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CD0E5A5" w14:textId="77777777" w:rsidR="00000000" w:rsidRDefault="00832D71">
            <w:pPr>
              <w:pStyle w:val="a3"/>
              <w:spacing w:before="0" w:beforeAutospacing="0" w:after="0" w:afterAutospacing="0"/>
              <w:jc w:val="center"/>
              <w:rPr>
                <w:sz w:val="20"/>
                <w:szCs w:val="20"/>
              </w:rPr>
            </w:pPr>
            <w:r>
              <w:rPr>
                <w:sz w:val="20"/>
                <w:szCs w:val="20"/>
              </w:rPr>
              <w:t>60</w:t>
            </w:r>
            <w:r>
              <w:rPr>
                <w:sz w:val="20"/>
                <w:szCs w:val="20"/>
              </w:rPr>
              <w:t>%</w:t>
            </w:r>
          </w:p>
        </w:tc>
      </w:tr>
      <w:tr w:rsidR="00000000" w14:paraId="70D40739" w14:textId="77777777">
        <w:trPr>
          <w:trHeight w:val="200"/>
          <w:tblCellSpacing w:w="15" w:type="dxa"/>
        </w:trPr>
        <w:tc>
          <w:tcPr>
            <w:tcW w:w="0" w:type="auto"/>
            <w:hideMark/>
          </w:tcPr>
          <w:p w14:paraId="4D8D374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D8EE102"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2D5ADC6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1C50FC4" w14:textId="77777777" w:rsidR="00000000" w:rsidRDefault="00832D71">
            <w:pPr>
              <w:pStyle w:val="a3"/>
              <w:spacing w:before="0" w:beforeAutospacing="0" w:after="0" w:afterAutospacing="0"/>
              <w:jc w:val="right"/>
              <w:rPr>
                <w:sz w:val="20"/>
                <w:szCs w:val="20"/>
              </w:rPr>
            </w:pPr>
            <w:r>
              <w:rPr>
                <w:sz w:val="20"/>
                <w:szCs w:val="20"/>
              </w:rPr>
              <w:t>159,00</w:t>
            </w:r>
            <w:r>
              <w:rPr>
                <w:sz w:val="20"/>
                <w:szCs w:val="20"/>
              </w:rPr>
              <w:t>0</w:t>
            </w:r>
          </w:p>
        </w:tc>
        <w:tc>
          <w:tcPr>
            <w:tcW w:w="0" w:type="auto"/>
            <w:noWrap/>
            <w:hideMark/>
          </w:tcPr>
          <w:p w14:paraId="4FFA913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AA1E1F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F66ABA8" w14:textId="77777777" w:rsidR="00000000" w:rsidRDefault="00832D71">
            <w:pPr>
              <w:pStyle w:val="a3"/>
              <w:spacing w:before="0" w:beforeAutospacing="0" w:after="0" w:afterAutospacing="0"/>
              <w:jc w:val="center"/>
              <w:rPr>
                <w:sz w:val="20"/>
                <w:szCs w:val="20"/>
              </w:rPr>
            </w:pPr>
            <w:r>
              <w:rPr>
                <w:sz w:val="20"/>
                <w:szCs w:val="20"/>
              </w:rPr>
              <w:t>55</w:t>
            </w:r>
            <w:r>
              <w:rPr>
                <w:sz w:val="20"/>
                <w:szCs w:val="20"/>
              </w:rPr>
              <w:t>%</w:t>
            </w:r>
          </w:p>
        </w:tc>
      </w:tr>
      <w:tr w:rsidR="00000000" w14:paraId="1D9B5A84" w14:textId="77777777">
        <w:trPr>
          <w:trHeight w:val="200"/>
          <w:tblCellSpacing w:w="15" w:type="dxa"/>
        </w:trPr>
        <w:tc>
          <w:tcPr>
            <w:tcW w:w="0" w:type="auto"/>
            <w:hideMark/>
          </w:tcPr>
          <w:p w14:paraId="11260295" w14:textId="77777777" w:rsidR="00000000" w:rsidRDefault="00832D71">
            <w:pPr>
              <w:pStyle w:val="a3"/>
              <w:spacing w:before="0" w:beforeAutospacing="0" w:after="0" w:afterAutospacing="0"/>
              <w:rPr>
                <w:sz w:val="20"/>
                <w:szCs w:val="20"/>
              </w:rPr>
            </w:pPr>
            <w:r>
              <w:rPr>
                <w:sz w:val="20"/>
                <w:szCs w:val="20"/>
              </w:rPr>
              <w:t>Minimum Threshol</w:t>
            </w:r>
            <w:r>
              <w:rPr>
                <w:sz w:val="20"/>
                <w:szCs w:val="20"/>
              </w:rPr>
              <w:t>d</w:t>
            </w:r>
          </w:p>
        </w:tc>
        <w:tc>
          <w:tcPr>
            <w:tcW w:w="0" w:type="auto"/>
            <w:hideMark/>
          </w:tcPr>
          <w:p w14:paraId="7A3DBEC1"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2DCBEDE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37246BB" w14:textId="77777777" w:rsidR="00000000" w:rsidRDefault="00832D71">
            <w:pPr>
              <w:pStyle w:val="a3"/>
              <w:spacing w:before="0" w:beforeAutospacing="0" w:after="0" w:afterAutospacing="0"/>
              <w:jc w:val="right"/>
              <w:rPr>
                <w:sz w:val="20"/>
                <w:szCs w:val="20"/>
              </w:rPr>
            </w:pPr>
            <w:r>
              <w:rPr>
                <w:sz w:val="20"/>
                <w:szCs w:val="20"/>
              </w:rPr>
              <w:t>155,00</w:t>
            </w:r>
            <w:r>
              <w:rPr>
                <w:sz w:val="20"/>
                <w:szCs w:val="20"/>
              </w:rPr>
              <w:t>0</w:t>
            </w:r>
          </w:p>
        </w:tc>
        <w:tc>
          <w:tcPr>
            <w:tcW w:w="0" w:type="auto"/>
            <w:noWrap/>
            <w:hideMark/>
          </w:tcPr>
          <w:p w14:paraId="521033E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2A4C33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5E2170F" w14:textId="77777777" w:rsidR="00000000" w:rsidRDefault="00832D71">
            <w:pPr>
              <w:pStyle w:val="a3"/>
              <w:spacing w:before="0" w:beforeAutospacing="0" w:after="0" w:afterAutospacing="0"/>
              <w:jc w:val="center"/>
              <w:rPr>
                <w:sz w:val="20"/>
                <w:szCs w:val="20"/>
              </w:rPr>
            </w:pPr>
            <w:r>
              <w:rPr>
                <w:sz w:val="20"/>
                <w:szCs w:val="20"/>
              </w:rPr>
              <w:t>50</w:t>
            </w:r>
            <w:r>
              <w:rPr>
                <w:sz w:val="20"/>
                <w:szCs w:val="20"/>
              </w:rPr>
              <w:t>%</w:t>
            </w:r>
          </w:p>
        </w:tc>
      </w:tr>
    </w:tbl>
    <w:p w14:paraId="6BEC390A" w14:textId="77777777" w:rsidR="00000000" w:rsidRDefault="00832D71">
      <w:pPr>
        <w:pStyle w:val="a3"/>
        <w:spacing w:before="0" w:beforeAutospacing="0" w:after="0" w:afterAutospacing="0"/>
        <w:jc w:val="both"/>
        <w:rPr>
          <w:sz w:val="20"/>
          <w:szCs w:val="20"/>
        </w:rPr>
      </w:pPr>
      <w:r>
        <w:rPr>
          <w:sz w:val="20"/>
          <w:szCs w:val="20"/>
        </w:rPr>
        <w:t> </w:t>
      </w:r>
    </w:p>
    <w:p w14:paraId="60553296" w14:textId="77777777" w:rsidR="00000000" w:rsidRDefault="00832D71">
      <w:pPr>
        <w:pStyle w:val="a3"/>
        <w:spacing w:before="0" w:beforeAutospacing="0" w:after="0" w:afterAutospacing="0"/>
        <w:ind w:firstLine="555"/>
        <w:jc w:val="both"/>
        <w:rPr>
          <w:sz w:val="20"/>
          <w:szCs w:val="20"/>
        </w:rPr>
      </w:pPr>
      <w:r>
        <w:rPr>
          <w:sz w:val="20"/>
          <w:szCs w:val="20"/>
        </w:rPr>
        <w:t xml:space="preserve">The Committee also established specific operating and strategic objectives (“Operating/Strategic Objectives”) for the component of the plan that will measure the Partnership’s performance in achieving such Operating/Strategic Objectives for the three-year </w:t>
      </w:r>
      <w:r>
        <w:rPr>
          <w:sz w:val="20"/>
          <w:szCs w:val="20"/>
        </w:rPr>
        <w:t>measurement period. At the end of the three-year measurement period, the Committee will evaluate the Partnership’s performance compared to the Operating/Strategic Objectives set at the beginning of the three-year measurement period to determine the amount,</w:t>
      </w:r>
      <w:r>
        <w:rPr>
          <w:sz w:val="20"/>
          <w:szCs w:val="20"/>
        </w:rPr>
        <w:t xml:space="preserve"> if any, of the Operating/Strategic Objectives component to award. The following are the Operating/Strategic Objectives set by the Committee for the fiscal 2021 award</w:t>
      </w:r>
      <w:r>
        <w:rPr>
          <w:sz w:val="20"/>
          <w:szCs w:val="20"/>
        </w:rPr>
        <w:t>:</w:t>
      </w:r>
    </w:p>
    <w:p w14:paraId="3F828B5E" w14:textId="77777777" w:rsidR="00000000" w:rsidRDefault="00832D71">
      <w:pPr>
        <w:jc w:val="both"/>
        <w:divId w:val="596868334"/>
        <w:rPr>
          <w:rFonts w:eastAsia="Times New Roman"/>
        </w:rPr>
      </w:pPr>
      <w:r>
        <w:rPr>
          <w:rFonts w:eastAsia="Times New Roman"/>
          <w:sz w:val="20"/>
          <w:szCs w:val="20"/>
        </w:rPr>
        <w:t>1</w:t>
      </w:r>
      <w:r>
        <w:rPr>
          <w:rFonts w:eastAsia="Times New Roman"/>
          <w:sz w:val="20"/>
          <w:szCs w:val="20"/>
        </w:rPr>
        <w:t>.</w:t>
      </w:r>
    </w:p>
    <w:p w14:paraId="0E297E0D" w14:textId="77777777" w:rsidR="00000000" w:rsidRDefault="00832D71">
      <w:pPr>
        <w:jc w:val="both"/>
        <w:divId w:val="1161701573"/>
        <w:rPr>
          <w:rFonts w:eastAsia="Times New Roman"/>
        </w:rPr>
      </w:pPr>
      <w:r>
        <w:rPr>
          <w:rFonts w:eastAsia="Times New Roman"/>
          <w:sz w:val="20"/>
          <w:szCs w:val="20"/>
        </w:rPr>
        <w:t>Achievement of target consolidated leverage ratio between 3.5x and 4.0x</w:t>
      </w:r>
      <w:r>
        <w:rPr>
          <w:rFonts w:eastAsia="Times New Roman"/>
          <w:sz w:val="20"/>
          <w:szCs w:val="20"/>
        </w:rPr>
        <w:t>;</w:t>
      </w:r>
    </w:p>
    <w:p w14:paraId="68D57796" w14:textId="77777777" w:rsidR="00000000" w:rsidRDefault="00832D71">
      <w:pPr>
        <w:jc w:val="both"/>
        <w:divId w:val="2128235251"/>
        <w:rPr>
          <w:rFonts w:eastAsia="Times New Roman"/>
        </w:rPr>
      </w:pPr>
      <w:r>
        <w:rPr>
          <w:rFonts w:eastAsia="Times New Roman"/>
          <w:sz w:val="20"/>
          <w:szCs w:val="20"/>
        </w:rPr>
        <w:t>2</w:t>
      </w:r>
      <w:r>
        <w:rPr>
          <w:rFonts w:eastAsia="Times New Roman"/>
          <w:sz w:val="20"/>
          <w:szCs w:val="20"/>
        </w:rPr>
        <w:t>.</w:t>
      </w:r>
    </w:p>
    <w:p w14:paraId="60599E8A" w14:textId="77777777" w:rsidR="00000000" w:rsidRDefault="00832D71">
      <w:pPr>
        <w:jc w:val="both"/>
        <w:divId w:val="1706441719"/>
        <w:rPr>
          <w:rFonts w:eastAsia="Times New Roman"/>
        </w:rPr>
      </w:pPr>
      <w:r>
        <w:rPr>
          <w:rFonts w:eastAsia="Times New Roman"/>
          <w:sz w:val="20"/>
          <w:szCs w:val="20"/>
        </w:rPr>
        <w:t xml:space="preserve">Customer </w:t>
      </w:r>
      <w:r>
        <w:rPr>
          <w:rFonts w:eastAsia="Times New Roman"/>
          <w:sz w:val="20"/>
          <w:szCs w:val="20"/>
        </w:rPr>
        <w:t>base growth; an</w:t>
      </w:r>
      <w:r>
        <w:rPr>
          <w:rFonts w:eastAsia="Times New Roman"/>
          <w:sz w:val="20"/>
          <w:szCs w:val="20"/>
        </w:rPr>
        <w:t>d</w:t>
      </w:r>
    </w:p>
    <w:p w14:paraId="6924074C" w14:textId="77777777" w:rsidR="00000000" w:rsidRDefault="00832D71">
      <w:pPr>
        <w:jc w:val="both"/>
        <w:divId w:val="121775484"/>
        <w:rPr>
          <w:rFonts w:eastAsia="Times New Roman"/>
        </w:rPr>
      </w:pPr>
      <w:r>
        <w:rPr>
          <w:rFonts w:eastAsia="Times New Roman"/>
          <w:sz w:val="20"/>
          <w:szCs w:val="20"/>
        </w:rPr>
        <w:t>3</w:t>
      </w:r>
      <w:r>
        <w:rPr>
          <w:rFonts w:eastAsia="Times New Roman"/>
          <w:sz w:val="20"/>
          <w:szCs w:val="20"/>
        </w:rPr>
        <w:t>.</w:t>
      </w:r>
    </w:p>
    <w:p w14:paraId="2638CF6B" w14:textId="77777777" w:rsidR="00000000" w:rsidRDefault="00832D71">
      <w:pPr>
        <w:jc w:val="both"/>
        <w:divId w:val="1521771360"/>
        <w:rPr>
          <w:rFonts w:eastAsia="Times New Roman"/>
        </w:rPr>
      </w:pPr>
      <w:r>
        <w:rPr>
          <w:rFonts w:eastAsia="Times New Roman"/>
          <w:sz w:val="20"/>
          <w:szCs w:val="20"/>
        </w:rPr>
        <w:t>Advancements in the Partnership’s</w:t>
      </w:r>
      <w:r>
        <w:rPr>
          <w:rFonts w:eastAsia="Times New Roman"/>
          <w:sz w:val="20"/>
          <w:szCs w:val="20"/>
        </w:rPr>
        <w:t xml:space="preserve"> </w:t>
      </w:r>
      <w:r>
        <w:rPr>
          <w:rFonts w:eastAsia="Times New Roman"/>
          <w:b/>
          <w:bCs/>
          <w:i/>
          <w:iCs/>
          <w:sz w:val="20"/>
          <w:szCs w:val="20"/>
        </w:rPr>
        <w:t>Go Green with Suburban Propan</w:t>
      </w:r>
      <w:r>
        <w:rPr>
          <w:rFonts w:eastAsia="Times New Roman"/>
          <w:b/>
          <w:bCs/>
          <w:i/>
          <w:iCs/>
          <w:sz w:val="20"/>
          <w:szCs w:val="20"/>
        </w:rPr>
        <w:t>e</w:t>
      </w:r>
      <w:r>
        <w:rPr>
          <w:rFonts w:eastAsia="Times New Roman"/>
          <w:i/>
          <w:iCs/>
          <w:sz w:val="20"/>
          <w:szCs w:val="20"/>
        </w:rPr>
        <w:t xml:space="preserve"> </w:t>
      </w:r>
      <w:r>
        <w:rPr>
          <w:rFonts w:eastAsia="Times New Roman"/>
          <w:sz w:val="20"/>
          <w:szCs w:val="20"/>
        </w:rPr>
        <w:t>Initiative and other strategic growth initiative</w:t>
      </w:r>
      <w:r>
        <w:rPr>
          <w:rFonts w:eastAsia="Times New Roman"/>
          <w:sz w:val="20"/>
          <w:szCs w:val="20"/>
        </w:rPr>
        <w:t>s</w:t>
      </w:r>
    </w:p>
    <w:p w14:paraId="6C7A096B" w14:textId="77777777" w:rsidR="00000000" w:rsidRDefault="00832D71">
      <w:pPr>
        <w:pStyle w:val="a3"/>
        <w:spacing w:before="240" w:beforeAutospacing="0" w:after="0" w:afterAutospacing="0"/>
        <w:ind w:firstLine="555"/>
        <w:jc w:val="both"/>
        <w:rPr>
          <w:sz w:val="20"/>
          <w:szCs w:val="20"/>
        </w:rPr>
      </w:pPr>
      <w:r>
        <w:rPr>
          <w:sz w:val="20"/>
          <w:szCs w:val="20"/>
        </w:rPr>
        <w:t>The Committee w</w:t>
      </w:r>
      <w:r>
        <w:rPr>
          <w:sz w:val="20"/>
          <w:szCs w:val="20"/>
        </w:rPr>
        <w:t>ill use its discretion regarding how much weight to place on any one, or several, of the Operating/Strategic Objectives in determining the amount to award, if any, of the Operating/Strategic Objectives Component as follows</w:t>
      </w:r>
      <w:r>
        <w:rPr>
          <w:sz w:val="20"/>
          <w:szCs w:val="20"/>
        </w:rPr>
        <w:t>:</w:t>
      </w:r>
    </w:p>
    <w:p w14:paraId="20C84E00" w14:textId="77777777" w:rsidR="00000000" w:rsidRDefault="00832D71">
      <w:pPr>
        <w:pStyle w:val="a3"/>
        <w:spacing w:before="0" w:beforeAutospacing="0" w:after="0" w:afterAutospacing="0"/>
        <w:ind w:firstLine="555"/>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688"/>
        <w:gridCol w:w="185"/>
        <w:gridCol w:w="1772"/>
      </w:tblGrid>
      <w:tr w:rsidR="00000000" w14:paraId="0F1D7A40" w14:textId="77777777">
        <w:trPr>
          <w:tblCellSpacing w:w="15" w:type="dxa"/>
        </w:trPr>
        <w:tc>
          <w:tcPr>
            <w:tcW w:w="3557" w:type="pct"/>
            <w:vAlign w:val="center"/>
            <w:hideMark/>
          </w:tcPr>
          <w:p w14:paraId="3F6520DB" w14:textId="77777777" w:rsidR="00000000" w:rsidRDefault="00832D71">
            <w:pPr>
              <w:rPr>
                <w:sz w:val="20"/>
                <w:szCs w:val="20"/>
              </w:rPr>
            </w:pPr>
          </w:p>
        </w:tc>
        <w:tc>
          <w:tcPr>
            <w:tcW w:w="119" w:type="pct"/>
            <w:vAlign w:val="center"/>
            <w:hideMark/>
          </w:tcPr>
          <w:p w14:paraId="25AA36A5" w14:textId="77777777" w:rsidR="00000000" w:rsidRDefault="00832D71">
            <w:pPr>
              <w:rPr>
                <w:rFonts w:eastAsia="Times New Roman"/>
                <w:sz w:val="20"/>
                <w:szCs w:val="20"/>
              </w:rPr>
            </w:pPr>
          </w:p>
        </w:tc>
        <w:tc>
          <w:tcPr>
            <w:tcW w:w="1322" w:type="pct"/>
            <w:vAlign w:val="center"/>
            <w:hideMark/>
          </w:tcPr>
          <w:p w14:paraId="0DFF1D8E" w14:textId="77777777" w:rsidR="00000000" w:rsidRDefault="00832D71">
            <w:pPr>
              <w:rPr>
                <w:rFonts w:eastAsia="Times New Roman"/>
                <w:sz w:val="20"/>
                <w:szCs w:val="20"/>
              </w:rPr>
            </w:pPr>
          </w:p>
        </w:tc>
      </w:tr>
      <w:tr w:rsidR="00000000" w14:paraId="7D471A29" w14:textId="77777777">
        <w:trPr>
          <w:trHeight w:val="160"/>
          <w:tblCellSpacing w:w="15" w:type="dxa"/>
        </w:trPr>
        <w:tc>
          <w:tcPr>
            <w:tcW w:w="0" w:type="auto"/>
            <w:vAlign w:val="bottom"/>
            <w:hideMark/>
          </w:tcPr>
          <w:p w14:paraId="78E79C6C"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6868DDC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A104581" w14:textId="77777777" w:rsidR="00000000" w:rsidRDefault="00832D71">
            <w:pPr>
              <w:pStyle w:val="a3"/>
              <w:spacing w:before="0" w:beforeAutospacing="0" w:after="0" w:afterAutospacing="0"/>
              <w:jc w:val="center"/>
              <w:rPr>
                <w:sz w:val="16"/>
                <w:szCs w:val="16"/>
              </w:rPr>
            </w:pPr>
            <w:r>
              <w:rPr>
                <w:b/>
                <w:bCs/>
                <w:sz w:val="16"/>
                <w:szCs w:val="16"/>
              </w:rPr>
              <w:t>Percentage of Operating/Strategic Objectives Component Earne</w:t>
            </w:r>
            <w:r>
              <w:rPr>
                <w:b/>
                <w:bCs/>
                <w:sz w:val="16"/>
                <w:szCs w:val="16"/>
              </w:rPr>
              <w:t>d</w:t>
            </w:r>
          </w:p>
        </w:tc>
      </w:tr>
      <w:tr w:rsidR="00000000" w14:paraId="3821AAAD" w14:textId="77777777">
        <w:trPr>
          <w:trHeight w:val="200"/>
          <w:tblCellSpacing w:w="15" w:type="dxa"/>
        </w:trPr>
        <w:tc>
          <w:tcPr>
            <w:tcW w:w="0" w:type="auto"/>
            <w:hideMark/>
          </w:tcPr>
          <w:p w14:paraId="2BC38EDB" w14:textId="77777777" w:rsidR="00000000" w:rsidRDefault="00832D71">
            <w:pPr>
              <w:pStyle w:val="a3"/>
              <w:spacing w:before="0" w:beforeAutospacing="0" w:after="0" w:afterAutospacing="0"/>
              <w:rPr>
                <w:sz w:val="20"/>
                <w:szCs w:val="20"/>
              </w:rPr>
            </w:pPr>
            <w:r>
              <w:rPr>
                <w:sz w:val="20"/>
                <w:szCs w:val="20"/>
              </w:rPr>
              <w:t>Maximum Threshol</w:t>
            </w:r>
            <w:r>
              <w:rPr>
                <w:sz w:val="20"/>
                <w:szCs w:val="20"/>
              </w:rPr>
              <w:t>d</w:t>
            </w:r>
          </w:p>
        </w:tc>
        <w:tc>
          <w:tcPr>
            <w:tcW w:w="0" w:type="auto"/>
            <w:hideMark/>
          </w:tcPr>
          <w:p w14:paraId="084C3A0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F5C0466" w14:textId="77777777" w:rsidR="00000000" w:rsidRDefault="00832D71">
            <w:pPr>
              <w:pStyle w:val="a3"/>
              <w:spacing w:before="0" w:beforeAutospacing="0" w:after="0" w:afterAutospacing="0"/>
              <w:jc w:val="center"/>
              <w:rPr>
                <w:sz w:val="20"/>
                <w:szCs w:val="20"/>
              </w:rPr>
            </w:pPr>
            <w:r>
              <w:rPr>
                <w:sz w:val="20"/>
                <w:szCs w:val="20"/>
              </w:rPr>
              <w:t>150</w:t>
            </w:r>
            <w:r>
              <w:rPr>
                <w:sz w:val="20"/>
                <w:szCs w:val="20"/>
              </w:rPr>
              <w:t>%</w:t>
            </w:r>
          </w:p>
        </w:tc>
      </w:tr>
      <w:tr w:rsidR="00000000" w14:paraId="17C6CC17" w14:textId="77777777">
        <w:trPr>
          <w:trHeight w:val="200"/>
          <w:tblCellSpacing w:w="15" w:type="dxa"/>
        </w:trPr>
        <w:tc>
          <w:tcPr>
            <w:tcW w:w="0" w:type="auto"/>
            <w:hideMark/>
          </w:tcPr>
          <w:p w14:paraId="7E9D7EC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B162AA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C7035A5" w14:textId="77777777" w:rsidR="00000000" w:rsidRDefault="00832D71">
            <w:pPr>
              <w:pStyle w:val="a3"/>
              <w:spacing w:before="0" w:beforeAutospacing="0" w:after="0" w:afterAutospacing="0"/>
              <w:jc w:val="center"/>
              <w:rPr>
                <w:sz w:val="20"/>
                <w:szCs w:val="20"/>
              </w:rPr>
            </w:pPr>
            <w:r>
              <w:rPr>
                <w:sz w:val="20"/>
                <w:szCs w:val="20"/>
              </w:rPr>
              <w:t>125</w:t>
            </w:r>
            <w:r>
              <w:rPr>
                <w:sz w:val="20"/>
                <w:szCs w:val="20"/>
              </w:rPr>
              <w:t>%</w:t>
            </w:r>
          </w:p>
        </w:tc>
      </w:tr>
      <w:tr w:rsidR="00000000" w14:paraId="4562E72D" w14:textId="77777777">
        <w:trPr>
          <w:trHeight w:val="200"/>
          <w:tblCellSpacing w:w="15" w:type="dxa"/>
        </w:trPr>
        <w:tc>
          <w:tcPr>
            <w:tcW w:w="0" w:type="auto"/>
            <w:hideMark/>
          </w:tcPr>
          <w:p w14:paraId="40905D55" w14:textId="77777777" w:rsidR="00000000" w:rsidRDefault="00832D71">
            <w:pPr>
              <w:pStyle w:val="a3"/>
              <w:spacing w:before="0" w:beforeAutospacing="0" w:after="0" w:afterAutospacing="0"/>
              <w:rPr>
                <w:sz w:val="20"/>
                <w:szCs w:val="20"/>
              </w:rPr>
            </w:pPr>
            <w:r>
              <w:rPr>
                <w:sz w:val="20"/>
                <w:szCs w:val="20"/>
              </w:rPr>
              <w:t>Target Threshol</w:t>
            </w:r>
            <w:r>
              <w:rPr>
                <w:sz w:val="20"/>
                <w:szCs w:val="20"/>
              </w:rPr>
              <w:t>d</w:t>
            </w:r>
          </w:p>
        </w:tc>
        <w:tc>
          <w:tcPr>
            <w:tcW w:w="0" w:type="auto"/>
            <w:hideMark/>
          </w:tcPr>
          <w:p w14:paraId="7D594A9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58F4BFC" w14:textId="77777777" w:rsidR="00000000" w:rsidRDefault="00832D71">
            <w:pPr>
              <w:pStyle w:val="a3"/>
              <w:spacing w:before="0" w:beforeAutospacing="0" w:after="0" w:afterAutospacing="0"/>
              <w:jc w:val="center"/>
              <w:rPr>
                <w:sz w:val="20"/>
                <w:szCs w:val="20"/>
              </w:rPr>
            </w:pPr>
            <w:r>
              <w:rPr>
                <w:sz w:val="20"/>
                <w:szCs w:val="20"/>
              </w:rPr>
              <w:t>100</w:t>
            </w:r>
            <w:r>
              <w:rPr>
                <w:sz w:val="20"/>
                <w:szCs w:val="20"/>
              </w:rPr>
              <w:t>%</w:t>
            </w:r>
          </w:p>
        </w:tc>
      </w:tr>
      <w:tr w:rsidR="00000000" w14:paraId="4D121587" w14:textId="77777777">
        <w:trPr>
          <w:trHeight w:val="200"/>
          <w:tblCellSpacing w:w="15" w:type="dxa"/>
        </w:trPr>
        <w:tc>
          <w:tcPr>
            <w:tcW w:w="0" w:type="auto"/>
            <w:hideMark/>
          </w:tcPr>
          <w:p w14:paraId="7E4B810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1A13DD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CEFECF" w14:textId="77777777" w:rsidR="00000000" w:rsidRDefault="00832D71">
            <w:pPr>
              <w:pStyle w:val="a3"/>
              <w:spacing w:before="0" w:beforeAutospacing="0" w:after="0" w:afterAutospacing="0"/>
              <w:jc w:val="center"/>
              <w:rPr>
                <w:sz w:val="20"/>
                <w:szCs w:val="20"/>
              </w:rPr>
            </w:pPr>
            <w:r>
              <w:rPr>
                <w:sz w:val="20"/>
                <w:szCs w:val="20"/>
              </w:rPr>
              <w:t>75</w:t>
            </w:r>
            <w:r>
              <w:rPr>
                <w:sz w:val="20"/>
                <w:szCs w:val="20"/>
              </w:rPr>
              <w:t>%</w:t>
            </w:r>
          </w:p>
        </w:tc>
      </w:tr>
      <w:tr w:rsidR="00000000" w14:paraId="133D6C7C" w14:textId="77777777">
        <w:trPr>
          <w:trHeight w:val="200"/>
          <w:tblCellSpacing w:w="15" w:type="dxa"/>
        </w:trPr>
        <w:tc>
          <w:tcPr>
            <w:tcW w:w="0" w:type="auto"/>
            <w:hideMark/>
          </w:tcPr>
          <w:p w14:paraId="49D0BD13" w14:textId="77777777" w:rsidR="00000000" w:rsidRDefault="00832D71">
            <w:pPr>
              <w:pStyle w:val="a3"/>
              <w:spacing w:before="0" w:beforeAutospacing="0" w:after="0" w:afterAutospacing="0"/>
              <w:rPr>
                <w:sz w:val="20"/>
                <w:szCs w:val="20"/>
              </w:rPr>
            </w:pPr>
            <w:r>
              <w:rPr>
                <w:sz w:val="20"/>
                <w:szCs w:val="20"/>
              </w:rPr>
              <w:t>Minimum Threshol</w:t>
            </w:r>
            <w:r>
              <w:rPr>
                <w:sz w:val="20"/>
                <w:szCs w:val="20"/>
              </w:rPr>
              <w:t>d</w:t>
            </w:r>
          </w:p>
        </w:tc>
        <w:tc>
          <w:tcPr>
            <w:tcW w:w="0" w:type="auto"/>
            <w:hideMark/>
          </w:tcPr>
          <w:p w14:paraId="67F2645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900EAD2" w14:textId="77777777" w:rsidR="00000000" w:rsidRDefault="00832D71">
            <w:pPr>
              <w:pStyle w:val="a3"/>
              <w:spacing w:before="0" w:beforeAutospacing="0" w:after="0" w:afterAutospacing="0"/>
              <w:jc w:val="center"/>
              <w:rPr>
                <w:sz w:val="20"/>
                <w:szCs w:val="20"/>
              </w:rPr>
            </w:pPr>
            <w:r>
              <w:rPr>
                <w:sz w:val="20"/>
                <w:szCs w:val="20"/>
              </w:rPr>
              <w:t>50</w:t>
            </w:r>
            <w:r>
              <w:rPr>
                <w:sz w:val="20"/>
                <w:szCs w:val="20"/>
              </w:rPr>
              <w:t>%</w:t>
            </w:r>
          </w:p>
        </w:tc>
      </w:tr>
    </w:tbl>
    <w:p w14:paraId="36777DA1" w14:textId="77777777" w:rsidR="00000000" w:rsidRDefault="00832D71">
      <w:pPr>
        <w:pStyle w:val="a3"/>
        <w:spacing w:before="240" w:beforeAutospacing="0" w:after="0" w:afterAutospacing="0"/>
        <w:ind w:firstLine="555"/>
        <w:jc w:val="both"/>
        <w:rPr>
          <w:sz w:val="20"/>
          <w:szCs w:val="20"/>
        </w:rPr>
      </w:pPr>
      <w:r>
        <w:rPr>
          <w:sz w:val="20"/>
          <w:szCs w:val="20"/>
        </w:rPr>
        <w:t>At its meeting on November 9, 2021, the Committee approved a modification to the performance conditions of the 2021 LTIP, beginning with the fiscal 2022 award, which will start at the beginning of fiscal 2022 and end at the conclusion of fiscal 2024. Speci</w:t>
      </w:r>
      <w:r>
        <w:rPr>
          <w:sz w:val="20"/>
          <w:szCs w:val="20"/>
        </w:rPr>
        <w:t>fically, the Committee modified the weighting between the two-component performance metrics under the 2021 LTIP awards beginning with the fiscal 2022 award, as follows</w:t>
      </w:r>
      <w:r>
        <w:rPr>
          <w:sz w:val="20"/>
          <w:szCs w:val="20"/>
        </w:rPr>
        <w:t>:</w:t>
      </w:r>
    </w:p>
    <w:p w14:paraId="211B6640" w14:textId="77777777" w:rsidR="00000000" w:rsidRDefault="00832D71">
      <w:pPr>
        <w:jc w:val="both"/>
        <w:divId w:val="1379091638"/>
        <w:rPr>
          <w:rFonts w:eastAsia="Times New Roman"/>
        </w:rPr>
      </w:pPr>
      <w:r>
        <w:rPr>
          <w:rFonts w:eastAsia="Times New Roman"/>
          <w:sz w:val="20"/>
          <w:szCs w:val="20"/>
        </w:rPr>
        <w:t>•</w:t>
      </w:r>
    </w:p>
    <w:p w14:paraId="332E7A25" w14:textId="77777777" w:rsidR="00000000" w:rsidRDefault="00832D71">
      <w:pPr>
        <w:jc w:val="both"/>
        <w:divId w:val="1738941014"/>
        <w:rPr>
          <w:rFonts w:eastAsia="Times New Roman"/>
        </w:rPr>
      </w:pPr>
      <w:r>
        <w:rPr>
          <w:rFonts w:eastAsia="Times New Roman"/>
          <w:sz w:val="20"/>
          <w:szCs w:val="20"/>
        </w:rPr>
        <w:t>50% based on the level of Average Distributable Cash Flow achieved during an outstand</w:t>
      </w:r>
      <w:r>
        <w:rPr>
          <w:rFonts w:eastAsia="Times New Roman"/>
          <w:sz w:val="20"/>
          <w:szCs w:val="20"/>
        </w:rPr>
        <w:t>ing award’s three-year measurement period; an</w:t>
      </w:r>
      <w:r>
        <w:rPr>
          <w:rFonts w:eastAsia="Times New Roman"/>
          <w:sz w:val="20"/>
          <w:szCs w:val="20"/>
        </w:rPr>
        <w:t>d</w:t>
      </w:r>
    </w:p>
    <w:p w14:paraId="1910AF91" w14:textId="77777777" w:rsidR="00000000" w:rsidRDefault="00832D71">
      <w:pPr>
        <w:jc w:val="both"/>
        <w:divId w:val="1532298457"/>
        <w:rPr>
          <w:rFonts w:eastAsia="Times New Roman"/>
        </w:rPr>
      </w:pPr>
      <w:r>
        <w:rPr>
          <w:rFonts w:eastAsia="Times New Roman"/>
          <w:sz w:val="20"/>
          <w:szCs w:val="20"/>
        </w:rPr>
        <w:t>•</w:t>
      </w:r>
    </w:p>
    <w:p w14:paraId="302C0426" w14:textId="77777777" w:rsidR="00000000" w:rsidRDefault="00832D71">
      <w:pPr>
        <w:jc w:val="both"/>
        <w:divId w:val="117142775"/>
        <w:rPr>
          <w:rFonts w:eastAsia="Times New Roman"/>
        </w:rPr>
      </w:pPr>
      <w:r>
        <w:rPr>
          <w:rFonts w:eastAsia="Times New Roman"/>
          <w:sz w:val="20"/>
          <w:szCs w:val="20"/>
        </w:rPr>
        <w:t>50% based on the achievement of certain Operating/Strategic Objectives (as determined by the Committee for each award cycle</w:t>
      </w:r>
      <w:r>
        <w:rPr>
          <w:rFonts w:eastAsia="Times New Roman"/>
          <w:sz w:val="20"/>
          <w:szCs w:val="20"/>
        </w:rPr>
        <w:t>)</w:t>
      </w:r>
    </w:p>
    <w:p w14:paraId="23A801AB" w14:textId="77777777" w:rsidR="00000000" w:rsidRDefault="00832D71">
      <w:pPr>
        <w:pStyle w:val="a3"/>
        <w:spacing w:before="0" w:beforeAutospacing="0" w:after="0" w:afterAutospacing="0"/>
        <w:jc w:val="center"/>
        <w:rPr>
          <w:sz w:val="20"/>
          <w:szCs w:val="20"/>
        </w:rPr>
      </w:pPr>
      <w:r>
        <w:rPr>
          <w:sz w:val="20"/>
          <w:szCs w:val="20"/>
        </w:rPr>
        <w:t> </w:t>
      </w:r>
    </w:p>
    <w:p w14:paraId="7F54CB1E" w14:textId="77777777" w:rsidR="00000000" w:rsidRDefault="00832D71">
      <w:pPr>
        <w:pStyle w:val="a3"/>
        <w:spacing w:before="0" w:beforeAutospacing="0" w:after="0" w:afterAutospacing="0"/>
        <w:jc w:val="center"/>
        <w:rPr>
          <w:sz w:val="20"/>
          <w:szCs w:val="20"/>
        </w:rPr>
      </w:pPr>
      <w:r>
        <w:rPr>
          <w:sz w:val="20"/>
          <w:szCs w:val="20"/>
        </w:rPr>
        <w:t>6</w:t>
      </w:r>
      <w:r>
        <w:rPr>
          <w:sz w:val="20"/>
          <w:szCs w:val="20"/>
        </w:rPr>
        <w:t>5</w:t>
      </w:r>
    </w:p>
    <w:p w14:paraId="73014178" w14:textId="77777777" w:rsidR="00000000" w:rsidRDefault="00832D71">
      <w:pPr>
        <w:rPr>
          <w:rFonts w:eastAsia="Times New Roman"/>
        </w:rPr>
      </w:pPr>
      <w:r>
        <w:rPr>
          <w:rFonts w:eastAsia="Times New Roman"/>
        </w:rPr>
        <w:pict w14:anchorId="776D27F5">
          <v:rect id="_x0000_i1092" style="width:0;height:1.5pt" o:hralign="center" o:hrstd="t" o:hr="t" fillcolor="#a0a0a0" stroked="f"/>
        </w:pict>
      </w:r>
    </w:p>
    <w:p w14:paraId="1239974D"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466E1E71" w14:textId="77777777" w:rsidR="00000000" w:rsidRDefault="00832D71">
      <w:pPr>
        <w:pStyle w:val="a3"/>
        <w:spacing w:before="240" w:beforeAutospacing="0" w:after="0" w:afterAutospacing="0"/>
        <w:ind w:firstLine="555"/>
        <w:jc w:val="both"/>
        <w:rPr>
          <w:sz w:val="20"/>
          <w:szCs w:val="20"/>
        </w:rPr>
      </w:pPr>
      <w:r>
        <w:rPr>
          <w:sz w:val="20"/>
          <w:szCs w:val="20"/>
        </w:rPr>
        <w:t>For purposes of the fiscal 2022 award, the same performance scale to measure the Average Distributable Cash Flow component as was in effect for the fiscal 2021 award (as set forth above) was approved. For the Operating/Strategic Objective</w:t>
      </w:r>
      <w:r>
        <w:rPr>
          <w:sz w:val="20"/>
          <w:szCs w:val="20"/>
        </w:rPr>
        <w:t>s component of the fiscal 2022 award, the Committee set the following qualitative items to be evaluated at the end of the three-year measurement period</w:t>
      </w:r>
      <w:r>
        <w:rPr>
          <w:sz w:val="20"/>
          <w:szCs w:val="20"/>
        </w:rPr>
        <w:t>:</w:t>
      </w:r>
    </w:p>
    <w:p w14:paraId="0992BB1B" w14:textId="77777777" w:rsidR="00000000" w:rsidRDefault="00832D71">
      <w:pPr>
        <w:jc w:val="both"/>
        <w:divId w:val="395664412"/>
        <w:rPr>
          <w:rFonts w:eastAsia="Times New Roman"/>
        </w:rPr>
      </w:pPr>
      <w:r>
        <w:rPr>
          <w:rFonts w:eastAsia="Times New Roman"/>
          <w:sz w:val="20"/>
          <w:szCs w:val="20"/>
        </w:rPr>
        <w:t>1</w:t>
      </w:r>
    </w:p>
    <w:p w14:paraId="5D20BD6B" w14:textId="77777777" w:rsidR="00000000" w:rsidRDefault="00832D71">
      <w:pPr>
        <w:jc w:val="both"/>
        <w:divId w:val="341204205"/>
        <w:rPr>
          <w:rFonts w:eastAsia="Times New Roman"/>
        </w:rPr>
      </w:pPr>
      <w:r>
        <w:rPr>
          <w:rFonts w:eastAsia="Times New Roman"/>
          <w:sz w:val="20"/>
          <w:szCs w:val="20"/>
        </w:rPr>
        <w:t>Achievement of target consolidated leverage ratio between 3.5x and 4.0x</w:t>
      </w:r>
      <w:r>
        <w:rPr>
          <w:rFonts w:eastAsia="Times New Roman"/>
          <w:sz w:val="20"/>
          <w:szCs w:val="20"/>
        </w:rPr>
        <w:t>;</w:t>
      </w:r>
    </w:p>
    <w:p w14:paraId="4C0F9E11" w14:textId="77777777" w:rsidR="00000000" w:rsidRDefault="00832D71">
      <w:pPr>
        <w:jc w:val="both"/>
        <w:divId w:val="35467666"/>
        <w:rPr>
          <w:rFonts w:eastAsia="Times New Roman"/>
        </w:rPr>
      </w:pPr>
      <w:r>
        <w:rPr>
          <w:rFonts w:eastAsia="Times New Roman"/>
          <w:sz w:val="20"/>
          <w:szCs w:val="20"/>
        </w:rPr>
        <w:t>2</w:t>
      </w:r>
    </w:p>
    <w:p w14:paraId="0E2FD71C" w14:textId="77777777" w:rsidR="00000000" w:rsidRDefault="00832D71">
      <w:pPr>
        <w:jc w:val="both"/>
        <w:divId w:val="855845671"/>
        <w:rPr>
          <w:rFonts w:eastAsia="Times New Roman"/>
        </w:rPr>
      </w:pPr>
      <w:r>
        <w:rPr>
          <w:rFonts w:eastAsia="Times New Roman"/>
          <w:sz w:val="20"/>
          <w:szCs w:val="20"/>
        </w:rPr>
        <w:t>Customer base growth</w:t>
      </w:r>
      <w:r>
        <w:rPr>
          <w:rFonts w:eastAsia="Times New Roman"/>
          <w:sz w:val="20"/>
          <w:szCs w:val="20"/>
        </w:rPr>
        <w:t>;</w:t>
      </w:r>
    </w:p>
    <w:p w14:paraId="5C5BF3FC" w14:textId="77777777" w:rsidR="00000000" w:rsidRDefault="00832D71">
      <w:pPr>
        <w:jc w:val="both"/>
        <w:divId w:val="1792479671"/>
        <w:rPr>
          <w:rFonts w:eastAsia="Times New Roman"/>
        </w:rPr>
      </w:pPr>
      <w:r>
        <w:rPr>
          <w:rFonts w:eastAsia="Times New Roman"/>
          <w:sz w:val="20"/>
          <w:szCs w:val="20"/>
        </w:rPr>
        <w:t>3</w:t>
      </w:r>
    </w:p>
    <w:p w14:paraId="4EABE7D5" w14:textId="77777777" w:rsidR="00000000" w:rsidRDefault="00832D71">
      <w:pPr>
        <w:jc w:val="both"/>
        <w:divId w:val="1282347235"/>
        <w:rPr>
          <w:rFonts w:eastAsia="Times New Roman"/>
        </w:rPr>
      </w:pPr>
      <w:r>
        <w:rPr>
          <w:rFonts w:eastAsia="Times New Roman"/>
          <w:sz w:val="20"/>
          <w:szCs w:val="20"/>
        </w:rPr>
        <w:t>Relative performance in absolute total return to Unitholders compared to the Alerian MLP Index; an</w:t>
      </w:r>
      <w:r>
        <w:rPr>
          <w:rFonts w:eastAsia="Times New Roman"/>
          <w:sz w:val="20"/>
          <w:szCs w:val="20"/>
        </w:rPr>
        <w:t>d</w:t>
      </w:r>
    </w:p>
    <w:p w14:paraId="33E9B5B0" w14:textId="77777777" w:rsidR="00000000" w:rsidRDefault="00832D71">
      <w:pPr>
        <w:jc w:val="both"/>
        <w:divId w:val="53353639"/>
        <w:rPr>
          <w:rFonts w:eastAsia="Times New Roman"/>
        </w:rPr>
      </w:pPr>
      <w:r>
        <w:rPr>
          <w:rFonts w:eastAsia="Times New Roman"/>
          <w:sz w:val="20"/>
          <w:szCs w:val="20"/>
        </w:rPr>
        <w:t>4</w:t>
      </w:r>
    </w:p>
    <w:p w14:paraId="27EBFC94" w14:textId="77777777" w:rsidR="00000000" w:rsidRDefault="00832D71">
      <w:pPr>
        <w:jc w:val="both"/>
        <w:divId w:val="819931095"/>
        <w:rPr>
          <w:rFonts w:eastAsia="Times New Roman"/>
        </w:rPr>
      </w:pPr>
      <w:r>
        <w:rPr>
          <w:rFonts w:eastAsia="Times New Roman"/>
          <w:sz w:val="20"/>
          <w:szCs w:val="20"/>
        </w:rPr>
        <w:t>Advancements in the Partnership’s</w:t>
      </w:r>
      <w:r>
        <w:rPr>
          <w:rFonts w:eastAsia="Times New Roman"/>
          <w:sz w:val="20"/>
          <w:szCs w:val="20"/>
        </w:rPr>
        <w:t xml:space="preserve"> </w:t>
      </w:r>
      <w:r>
        <w:rPr>
          <w:rFonts w:eastAsia="Times New Roman"/>
          <w:b/>
          <w:bCs/>
          <w:i/>
          <w:iCs/>
          <w:sz w:val="20"/>
          <w:szCs w:val="20"/>
        </w:rPr>
        <w:t>Go Green with Suburban Propan</w:t>
      </w:r>
      <w:r>
        <w:rPr>
          <w:rFonts w:eastAsia="Times New Roman"/>
          <w:b/>
          <w:bCs/>
          <w:i/>
          <w:iCs/>
          <w:sz w:val="20"/>
          <w:szCs w:val="20"/>
        </w:rPr>
        <w:t>e</w:t>
      </w:r>
      <w:r>
        <w:rPr>
          <w:rFonts w:eastAsia="Times New Roman"/>
          <w:i/>
          <w:iCs/>
          <w:sz w:val="20"/>
          <w:szCs w:val="20"/>
        </w:rPr>
        <w:t xml:space="preserve"> </w:t>
      </w:r>
      <w:r>
        <w:rPr>
          <w:rFonts w:eastAsia="Times New Roman"/>
          <w:sz w:val="20"/>
          <w:szCs w:val="20"/>
        </w:rPr>
        <w:t>Initiative and other strategic growth initiative</w:t>
      </w:r>
      <w:r>
        <w:rPr>
          <w:rFonts w:eastAsia="Times New Roman"/>
          <w:sz w:val="20"/>
          <w:szCs w:val="20"/>
        </w:rPr>
        <w:t>s</w:t>
      </w:r>
    </w:p>
    <w:p w14:paraId="234572DD" w14:textId="77777777" w:rsidR="00000000" w:rsidRDefault="00832D71">
      <w:pPr>
        <w:pStyle w:val="a3"/>
        <w:spacing w:before="240" w:beforeAutospacing="0" w:after="0" w:afterAutospacing="0"/>
        <w:ind w:firstLine="555"/>
        <w:jc w:val="both"/>
        <w:rPr>
          <w:sz w:val="20"/>
          <w:szCs w:val="20"/>
        </w:rPr>
      </w:pPr>
      <w:r>
        <w:rPr>
          <w:sz w:val="20"/>
          <w:szCs w:val="20"/>
        </w:rPr>
        <w:t xml:space="preserve">For purposes of the fiscal 2023 award, </w:t>
      </w:r>
      <w:r>
        <w:rPr>
          <w:sz w:val="20"/>
          <w:szCs w:val="20"/>
        </w:rPr>
        <w:t>the Committee established the following performance scale to measure the Average Distributable Cash Flow component for the award’s three-year measurement period</w:t>
      </w:r>
      <w:r>
        <w:rPr>
          <w:sz w:val="20"/>
          <w:szCs w:val="20"/>
        </w:rPr>
        <w:t>.</w:t>
      </w:r>
    </w:p>
    <w:p w14:paraId="3A544B7F" w14:textId="77777777" w:rsidR="00000000" w:rsidRDefault="00832D71">
      <w:pPr>
        <w:pStyle w:val="a3"/>
        <w:spacing w:before="0" w:beforeAutospacing="0" w:after="0" w:afterAutospacing="0"/>
        <w:ind w:firstLine="555"/>
        <w:jc w:val="both"/>
        <w:rPr>
          <w:sz w:val="20"/>
          <w:szCs w:val="20"/>
        </w:rPr>
      </w:pPr>
      <w:r>
        <w:rPr>
          <w:sz w:val="20"/>
          <w:szCs w:val="20"/>
        </w:rPr>
        <w:t> </w:t>
      </w:r>
    </w:p>
    <w:tbl>
      <w:tblPr>
        <w:tblW w:w="4050" w:type="pct"/>
        <w:tblCellSpacing w:w="15" w:type="dxa"/>
        <w:tblCellMar>
          <w:top w:w="15" w:type="dxa"/>
          <w:left w:w="15" w:type="dxa"/>
          <w:bottom w:w="15" w:type="dxa"/>
          <w:right w:w="15" w:type="dxa"/>
        </w:tblCellMar>
        <w:tblLook w:val="04A0" w:firstRow="1" w:lastRow="0" w:firstColumn="1" w:lastColumn="0" w:noHBand="0" w:noVBand="1"/>
      </w:tblPr>
      <w:tblGrid>
        <w:gridCol w:w="1987"/>
        <w:gridCol w:w="110"/>
        <w:gridCol w:w="111"/>
        <w:gridCol w:w="2312"/>
        <w:gridCol w:w="110"/>
        <w:gridCol w:w="110"/>
        <w:gridCol w:w="1988"/>
      </w:tblGrid>
      <w:tr w:rsidR="00000000" w14:paraId="0F70639C" w14:textId="77777777">
        <w:trPr>
          <w:tblCellSpacing w:w="15" w:type="dxa"/>
        </w:trPr>
        <w:tc>
          <w:tcPr>
            <w:tcW w:w="1507" w:type="pct"/>
            <w:vAlign w:val="center"/>
            <w:hideMark/>
          </w:tcPr>
          <w:p w14:paraId="4EE11E5A" w14:textId="77777777" w:rsidR="00000000" w:rsidRDefault="00832D71">
            <w:pPr>
              <w:rPr>
                <w:sz w:val="20"/>
                <w:szCs w:val="20"/>
              </w:rPr>
            </w:pPr>
          </w:p>
        </w:tc>
        <w:tc>
          <w:tcPr>
            <w:tcW w:w="58" w:type="pct"/>
            <w:vAlign w:val="center"/>
            <w:hideMark/>
          </w:tcPr>
          <w:p w14:paraId="2D564D05" w14:textId="77777777" w:rsidR="00000000" w:rsidRDefault="00832D71">
            <w:pPr>
              <w:rPr>
                <w:rFonts w:eastAsia="Times New Roman"/>
                <w:sz w:val="20"/>
                <w:szCs w:val="20"/>
              </w:rPr>
            </w:pPr>
          </w:p>
        </w:tc>
        <w:tc>
          <w:tcPr>
            <w:tcW w:w="50" w:type="pct"/>
            <w:vAlign w:val="center"/>
            <w:hideMark/>
          </w:tcPr>
          <w:p w14:paraId="62D588FD" w14:textId="77777777" w:rsidR="00000000" w:rsidRDefault="00832D71">
            <w:pPr>
              <w:rPr>
                <w:rFonts w:eastAsia="Times New Roman"/>
                <w:sz w:val="20"/>
                <w:szCs w:val="20"/>
              </w:rPr>
            </w:pPr>
          </w:p>
        </w:tc>
        <w:tc>
          <w:tcPr>
            <w:tcW w:w="1769" w:type="pct"/>
            <w:vAlign w:val="center"/>
            <w:hideMark/>
          </w:tcPr>
          <w:p w14:paraId="34F53963" w14:textId="77777777" w:rsidR="00000000" w:rsidRDefault="00832D71">
            <w:pPr>
              <w:rPr>
                <w:rFonts w:eastAsia="Times New Roman"/>
                <w:sz w:val="20"/>
                <w:szCs w:val="20"/>
              </w:rPr>
            </w:pPr>
          </w:p>
        </w:tc>
        <w:tc>
          <w:tcPr>
            <w:tcW w:w="50" w:type="pct"/>
            <w:vAlign w:val="center"/>
            <w:hideMark/>
          </w:tcPr>
          <w:p w14:paraId="3EA75EE3" w14:textId="77777777" w:rsidR="00000000" w:rsidRDefault="00832D71">
            <w:pPr>
              <w:rPr>
                <w:rFonts w:eastAsia="Times New Roman"/>
                <w:sz w:val="20"/>
                <w:szCs w:val="20"/>
              </w:rPr>
            </w:pPr>
          </w:p>
        </w:tc>
        <w:tc>
          <w:tcPr>
            <w:tcW w:w="57" w:type="pct"/>
            <w:vAlign w:val="center"/>
            <w:hideMark/>
          </w:tcPr>
          <w:p w14:paraId="35EFEEBA" w14:textId="77777777" w:rsidR="00000000" w:rsidRDefault="00832D71">
            <w:pPr>
              <w:rPr>
                <w:rFonts w:eastAsia="Times New Roman"/>
                <w:sz w:val="20"/>
                <w:szCs w:val="20"/>
              </w:rPr>
            </w:pPr>
          </w:p>
        </w:tc>
        <w:tc>
          <w:tcPr>
            <w:tcW w:w="1507" w:type="pct"/>
            <w:vAlign w:val="center"/>
            <w:hideMark/>
          </w:tcPr>
          <w:p w14:paraId="50A61B41" w14:textId="77777777" w:rsidR="00000000" w:rsidRDefault="00832D71">
            <w:pPr>
              <w:rPr>
                <w:rFonts w:eastAsia="Times New Roman"/>
                <w:sz w:val="20"/>
                <w:szCs w:val="20"/>
              </w:rPr>
            </w:pPr>
          </w:p>
        </w:tc>
      </w:tr>
      <w:tr w:rsidR="00000000" w14:paraId="7772B5D7" w14:textId="77777777">
        <w:trPr>
          <w:trHeight w:val="160"/>
          <w:tblCellSpacing w:w="15" w:type="dxa"/>
        </w:trPr>
        <w:tc>
          <w:tcPr>
            <w:tcW w:w="0" w:type="auto"/>
            <w:vAlign w:val="bottom"/>
            <w:hideMark/>
          </w:tcPr>
          <w:p w14:paraId="65AA06BA"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6D0EA1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7B1F429" w14:textId="77777777" w:rsidR="00000000" w:rsidRDefault="00832D71">
            <w:pPr>
              <w:pStyle w:val="a3"/>
              <w:spacing w:before="0" w:beforeAutospacing="0" w:after="0" w:afterAutospacing="0"/>
              <w:jc w:val="center"/>
              <w:rPr>
                <w:sz w:val="16"/>
                <w:szCs w:val="16"/>
              </w:rPr>
            </w:pPr>
            <w:r>
              <w:rPr>
                <w:b/>
                <w:bCs/>
                <w:sz w:val="16"/>
                <w:szCs w:val="16"/>
              </w:rPr>
              <w:t>Average Distributable Cash Flow Performance Scale for the Three-Year Measurement</w:t>
            </w:r>
            <w:r>
              <w:rPr>
                <w:b/>
                <w:bCs/>
                <w:sz w:val="16"/>
                <w:szCs w:val="16"/>
              </w:rPr>
              <w:t xml:space="preserve"> Period (thousands</w:t>
            </w:r>
            <w:r>
              <w:rPr>
                <w:b/>
                <w:bCs/>
                <w:sz w:val="16"/>
                <w:szCs w:val="16"/>
              </w:rPr>
              <w:t>)</w:t>
            </w:r>
          </w:p>
        </w:tc>
        <w:tc>
          <w:tcPr>
            <w:tcW w:w="0" w:type="auto"/>
            <w:vAlign w:val="bottom"/>
            <w:hideMark/>
          </w:tcPr>
          <w:p w14:paraId="60F0A761"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B520FF4"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63AC3B4" w14:textId="77777777" w:rsidR="00000000" w:rsidRDefault="00832D71">
            <w:pPr>
              <w:pStyle w:val="a3"/>
              <w:spacing w:before="0" w:beforeAutospacing="0" w:after="0" w:afterAutospacing="0"/>
              <w:jc w:val="center"/>
              <w:rPr>
                <w:sz w:val="16"/>
                <w:szCs w:val="16"/>
              </w:rPr>
            </w:pPr>
            <w:r>
              <w:rPr>
                <w:b/>
                <w:bCs/>
                <w:sz w:val="16"/>
                <w:szCs w:val="16"/>
              </w:rPr>
              <w:t>Payout Percentag</w:t>
            </w:r>
            <w:r>
              <w:rPr>
                <w:b/>
                <w:bCs/>
                <w:sz w:val="16"/>
                <w:szCs w:val="16"/>
              </w:rPr>
              <w:t>e</w:t>
            </w:r>
          </w:p>
        </w:tc>
      </w:tr>
      <w:tr w:rsidR="00000000" w14:paraId="5BA07E59" w14:textId="77777777">
        <w:trPr>
          <w:trHeight w:val="200"/>
          <w:tblCellSpacing w:w="15" w:type="dxa"/>
        </w:trPr>
        <w:tc>
          <w:tcPr>
            <w:tcW w:w="0" w:type="auto"/>
            <w:hideMark/>
          </w:tcPr>
          <w:p w14:paraId="06B6F710" w14:textId="77777777" w:rsidR="00000000" w:rsidRDefault="00832D71">
            <w:pPr>
              <w:pStyle w:val="a3"/>
              <w:spacing w:before="0" w:beforeAutospacing="0" w:after="0" w:afterAutospacing="0"/>
              <w:rPr>
                <w:sz w:val="20"/>
                <w:szCs w:val="20"/>
              </w:rPr>
            </w:pPr>
            <w:r>
              <w:rPr>
                <w:sz w:val="20"/>
                <w:szCs w:val="20"/>
              </w:rPr>
              <w:t>Maximum Threshol</w:t>
            </w:r>
            <w:r>
              <w:rPr>
                <w:sz w:val="20"/>
                <w:szCs w:val="20"/>
              </w:rPr>
              <w:t>d</w:t>
            </w:r>
          </w:p>
        </w:tc>
        <w:tc>
          <w:tcPr>
            <w:tcW w:w="0" w:type="auto"/>
            <w:hideMark/>
          </w:tcPr>
          <w:p w14:paraId="3430E154"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241160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5F7D5F4" w14:textId="77777777" w:rsidR="00000000" w:rsidRDefault="00832D71">
            <w:pPr>
              <w:pStyle w:val="a3"/>
              <w:spacing w:before="0" w:beforeAutospacing="0" w:after="0" w:afterAutospacing="0"/>
              <w:jc w:val="right"/>
              <w:rPr>
                <w:sz w:val="20"/>
                <w:szCs w:val="20"/>
              </w:rPr>
            </w:pPr>
            <w:r>
              <w:rPr>
                <w:sz w:val="20"/>
                <w:szCs w:val="20"/>
              </w:rPr>
              <w:t>222,00</w:t>
            </w:r>
            <w:r>
              <w:rPr>
                <w:sz w:val="20"/>
                <w:szCs w:val="20"/>
              </w:rPr>
              <w:t>0</w:t>
            </w:r>
          </w:p>
        </w:tc>
        <w:tc>
          <w:tcPr>
            <w:tcW w:w="0" w:type="auto"/>
            <w:noWrap/>
            <w:hideMark/>
          </w:tcPr>
          <w:p w14:paraId="2FD7B45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12DC75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4444F3B" w14:textId="77777777" w:rsidR="00000000" w:rsidRDefault="00832D71">
            <w:pPr>
              <w:pStyle w:val="a3"/>
              <w:spacing w:before="0" w:beforeAutospacing="0" w:after="0" w:afterAutospacing="0"/>
              <w:jc w:val="center"/>
              <w:rPr>
                <w:sz w:val="20"/>
                <w:szCs w:val="20"/>
              </w:rPr>
            </w:pPr>
            <w:r>
              <w:rPr>
                <w:sz w:val="20"/>
                <w:szCs w:val="20"/>
              </w:rPr>
              <w:t>150</w:t>
            </w:r>
            <w:r>
              <w:rPr>
                <w:sz w:val="20"/>
                <w:szCs w:val="20"/>
              </w:rPr>
              <w:t>%</w:t>
            </w:r>
          </w:p>
        </w:tc>
      </w:tr>
      <w:tr w:rsidR="00000000" w14:paraId="33819F54" w14:textId="77777777">
        <w:trPr>
          <w:trHeight w:val="200"/>
          <w:tblCellSpacing w:w="15" w:type="dxa"/>
        </w:trPr>
        <w:tc>
          <w:tcPr>
            <w:tcW w:w="0" w:type="auto"/>
            <w:hideMark/>
          </w:tcPr>
          <w:p w14:paraId="371C019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874B400"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402A30C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D9F0948" w14:textId="77777777" w:rsidR="00000000" w:rsidRDefault="00832D71">
            <w:pPr>
              <w:pStyle w:val="a3"/>
              <w:spacing w:before="0" w:beforeAutospacing="0" w:after="0" w:afterAutospacing="0"/>
              <w:jc w:val="right"/>
              <w:rPr>
                <w:sz w:val="20"/>
                <w:szCs w:val="20"/>
              </w:rPr>
            </w:pPr>
            <w:r>
              <w:rPr>
                <w:sz w:val="20"/>
                <w:szCs w:val="20"/>
              </w:rPr>
              <w:t>220,00</w:t>
            </w:r>
            <w:r>
              <w:rPr>
                <w:sz w:val="20"/>
                <w:szCs w:val="20"/>
              </w:rPr>
              <w:t>0</w:t>
            </w:r>
          </w:p>
        </w:tc>
        <w:tc>
          <w:tcPr>
            <w:tcW w:w="0" w:type="auto"/>
            <w:noWrap/>
            <w:hideMark/>
          </w:tcPr>
          <w:p w14:paraId="4933DCB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5A6E58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EBFEA05" w14:textId="77777777" w:rsidR="00000000" w:rsidRDefault="00832D71">
            <w:pPr>
              <w:pStyle w:val="a3"/>
              <w:spacing w:before="0" w:beforeAutospacing="0" w:after="0" w:afterAutospacing="0"/>
              <w:jc w:val="center"/>
              <w:rPr>
                <w:sz w:val="20"/>
                <w:szCs w:val="20"/>
              </w:rPr>
            </w:pPr>
            <w:r>
              <w:rPr>
                <w:sz w:val="20"/>
                <w:szCs w:val="20"/>
              </w:rPr>
              <w:t>145</w:t>
            </w:r>
            <w:r>
              <w:rPr>
                <w:sz w:val="20"/>
                <w:szCs w:val="20"/>
              </w:rPr>
              <w:t>%</w:t>
            </w:r>
          </w:p>
        </w:tc>
      </w:tr>
      <w:tr w:rsidR="00000000" w14:paraId="53B43C8B" w14:textId="77777777">
        <w:trPr>
          <w:trHeight w:val="200"/>
          <w:tblCellSpacing w:w="15" w:type="dxa"/>
        </w:trPr>
        <w:tc>
          <w:tcPr>
            <w:tcW w:w="0" w:type="auto"/>
            <w:hideMark/>
          </w:tcPr>
          <w:p w14:paraId="0ECA275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C55106B"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6663DFD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08E3403" w14:textId="77777777" w:rsidR="00000000" w:rsidRDefault="00832D71">
            <w:pPr>
              <w:pStyle w:val="a3"/>
              <w:spacing w:before="0" w:beforeAutospacing="0" w:after="0" w:afterAutospacing="0"/>
              <w:jc w:val="right"/>
              <w:rPr>
                <w:sz w:val="20"/>
                <w:szCs w:val="20"/>
              </w:rPr>
            </w:pPr>
            <w:r>
              <w:rPr>
                <w:sz w:val="20"/>
                <w:szCs w:val="20"/>
              </w:rPr>
              <w:t>218,00</w:t>
            </w:r>
            <w:r>
              <w:rPr>
                <w:sz w:val="20"/>
                <w:szCs w:val="20"/>
              </w:rPr>
              <w:t>0</w:t>
            </w:r>
          </w:p>
        </w:tc>
        <w:tc>
          <w:tcPr>
            <w:tcW w:w="0" w:type="auto"/>
            <w:noWrap/>
            <w:hideMark/>
          </w:tcPr>
          <w:p w14:paraId="0A6E1DD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D7AED1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FE733A0" w14:textId="77777777" w:rsidR="00000000" w:rsidRDefault="00832D71">
            <w:pPr>
              <w:pStyle w:val="a3"/>
              <w:spacing w:before="0" w:beforeAutospacing="0" w:after="0" w:afterAutospacing="0"/>
              <w:jc w:val="center"/>
              <w:rPr>
                <w:sz w:val="20"/>
                <w:szCs w:val="20"/>
              </w:rPr>
            </w:pPr>
            <w:r>
              <w:rPr>
                <w:sz w:val="20"/>
                <w:szCs w:val="20"/>
              </w:rPr>
              <w:t>140</w:t>
            </w:r>
            <w:r>
              <w:rPr>
                <w:sz w:val="20"/>
                <w:szCs w:val="20"/>
              </w:rPr>
              <w:t>%</w:t>
            </w:r>
          </w:p>
        </w:tc>
      </w:tr>
      <w:tr w:rsidR="00000000" w14:paraId="19471E19" w14:textId="77777777">
        <w:trPr>
          <w:trHeight w:val="200"/>
          <w:tblCellSpacing w:w="15" w:type="dxa"/>
        </w:trPr>
        <w:tc>
          <w:tcPr>
            <w:tcW w:w="0" w:type="auto"/>
            <w:hideMark/>
          </w:tcPr>
          <w:p w14:paraId="44837BE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3356434"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3251C81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676638B" w14:textId="77777777" w:rsidR="00000000" w:rsidRDefault="00832D71">
            <w:pPr>
              <w:pStyle w:val="a3"/>
              <w:spacing w:before="0" w:beforeAutospacing="0" w:after="0" w:afterAutospacing="0"/>
              <w:jc w:val="right"/>
              <w:rPr>
                <w:sz w:val="20"/>
                <w:szCs w:val="20"/>
              </w:rPr>
            </w:pPr>
            <w:r>
              <w:rPr>
                <w:sz w:val="20"/>
                <w:szCs w:val="20"/>
              </w:rPr>
              <w:t>216,00</w:t>
            </w:r>
            <w:r>
              <w:rPr>
                <w:sz w:val="20"/>
                <w:szCs w:val="20"/>
              </w:rPr>
              <w:t>0</w:t>
            </w:r>
          </w:p>
        </w:tc>
        <w:tc>
          <w:tcPr>
            <w:tcW w:w="0" w:type="auto"/>
            <w:noWrap/>
            <w:hideMark/>
          </w:tcPr>
          <w:p w14:paraId="06D58AA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93553F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DE29A53" w14:textId="77777777" w:rsidR="00000000" w:rsidRDefault="00832D71">
            <w:pPr>
              <w:pStyle w:val="a3"/>
              <w:spacing w:before="0" w:beforeAutospacing="0" w:after="0" w:afterAutospacing="0"/>
              <w:jc w:val="center"/>
              <w:rPr>
                <w:sz w:val="20"/>
                <w:szCs w:val="20"/>
              </w:rPr>
            </w:pPr>
            <w:r>
              <w:rPr>
                <w:sz w:val="20"/>
                <w:szCs w:val="20"/>
              </w:rPr>
              <w:t>135</w:t>
            </w:r>
            <w:r>
              <w:rPr>
                <w:sz w:val="20"/>
                <w:szCs w:val="20"/>
              </w:rPr>
              <w:t>%</w:t>
            </w:r>
          </w:p>
        </w:tc>
      </w:tr>
      <w:tr w:rsidR="00000000" w14:paraId="12F9B14D" w14:textId="77777777">
        <w:trPr>
          <w:trHeight w:val="200"/>
          <w:tblCellSpacing w:w="15" w:type="dxa"/>
        </w:trPr>
        <w:tc>
          <w:tcPr>
            <w:tcW w:w="0" w:type="auto"/>
            <w:hideMark/>
          </w:tcPr>
          <w:p w14:paraId="585A648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ED022EE"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31D8D6A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6AFCED5" w14:textId="77777777" w:rsidR="00000000" w:rsidRDefault="00832D71">
            <w:pPr>
              <w:pStyle w:val="a3"/>
              <w:spacing w:before="0" w:beforeAutospacing="0" w:after="0" w:afterAutospacing="0"/>
              <w:jc w:val="right"/>
              <w:rPr>
                <w:sz w:val="20"/>
                <w:szCs w:val="20"/>
              </w:rPr>
            </w:pPr>
            <w:r>
              <w:rPr>
                <w:sz w:val="20"/>
                <w:szCs w:val="20"/>
              </w:rPr>
              <w:t>214,00</w:t>
            </w:r>
            <w:r>
              <w:rPr>
                <w:sz w:val="20"/>
                <w:szCs w:val="20"/>
              </w:rPr>
              <w:t>0</w:t>
            </w:r>
          </w:p>
        </w:tc>
        <w:tc>
          <w:tcPr>
            <w:tcW w:w="0" w:type="auto"/>
            <w:noWrap/>
            <w:hideMark/>
          </w:tcPr>
          <w:p w14:paraId="019EBF7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224C66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7DCF6ED" w14:textId="77777777" w:rsidR="00000000" w:rsidRDefault="00832D71">
            <w:pPr>
              <w:pStyle w:val="a3"/>
              <w:spacing w:before="0" w:beforeAutospacing="0" w:after="0" w:afterAutospacing="0"/>
              <w:jc w:val="center"/>
              <w:rPr>
                <w:sz w:val="20"/>
                <w:szCs w:val="20"/>
              </w:rPr>
            </w:pPr>
            <w:r>
              <w:rPr>
                <w:sz w:val="20"/>
                <w:szCs w:val="20"/>
              </w:rPr>
              <w:t>130</w:t>
            </w:r>
            <w:r>
              <w:rPr>
                <w:sz w:val="20"/>
                <w:szCs w:val="20"/>
              </w:rPr>
              <w:t>%</w:t>
            </w:r>
          </w:p>
        </w:tc>
      </w:tr>
      <w:tr w:rsidR="00000000" w14:paraId="7694FF11" w14:textId="77777777">
        <w:trPr>
          <w:trHeight w:val="200"/>
          <w:tblCellSpacing w:w="15" w:type="dxa"/>
        </w:trPr>
        <w:tc>
          <w:tcPr>
            <w:tcW w:w="0" w:type="auto"/>
            <w:hideMark/>
          </w:tcPr>
          <w:p w14:paraId="10138A3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8AA8FD6"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225CEA7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19CD73C" w14:textId="77777777" w:rsidR="00000000" w:rsidRDefault="00832D71">
            <w:pPr>
              <w:pStyle w:val="a3"/>
              <w:spacing w:before="0" w:beforeAutospacing="0" w:after="0" w:afterAutospacing="0"/>
              <w:jc w:val="right"/>
              <w:rPr>
                <w:sz w:val="20"/>
                <w:szCs w:val="20"/>
              </w:rPr>
            </w:pPr>
            <w:r>
              <w:rPr>
                <w:sz w:val="20"/>
                <w:szCs w:val="20"/>
              </w:rPr>
              <w:t>212,00</w:t>
            </w:r>
            <w:r>
              <w:rPr>
                <w:sz w:val="20"/>
                <w:szCs w:val="20"/>
              </w:rPr>
              <w:t>0</w:t>
            </w:r>
          </w:p>
        </w:tc>
        <w:tc>
          <w:tcPr>
            <w:tcW w:w="0" w:type="auto"/>
            <w:noWrap/>
            <w:hideMark/>
          </w:tcPr>
          <w:p w14:paraId="58FA157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D16CCC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EB9BD03" w14:textId="77777777" w:rsidR="00000000" w:rsidRDefault="00832D71">
            <w:pPr>
              <w:pStyle w:val="a3"/>
              <w:spacing w:before="0" w:beforeAutospacing="0" w:after="0" w:afterAutospacing="0"/>
              <w:jc w:val="center"/>
              <w:rPr>
                <w:sz w:val="20"/>
                <w:szCs w:val="20"/>
              </w:rPr>
            </w:pPr>
            <w:r>
              <w:rPr>
                <w:sz w:val="20"/>
                <w:szCs w:val="20"/>
              </w:rPr>
              <w:t>125</w:t>
            </w:r>
            <w:r>
              <w:rPr>
                <w:sz w:val="20"/>
                <w:szCs w:val="20"/>
              </w:rPr>
              <w:t>%</w:t>
            </w:r>
          </w:p>
        </w:tc>
      </w:tr>
      <w:tr w:rsidR="00000000" w14:paraId="228A12A5" w14:textId="77777777">
        <w:trPr>
          <w:trHeight w:val="200"/>
          <w:tblCellSpacing w:w="15" w:type="dxa"/>
        </w:trPr>
        <w:tc>
          <w:tcPr>
            <w:tcW w:w="0" w:type="auto"/>
            <w:hideMark/>
          </w:tcPr>
          <w:p w14:paraId="4D0A2D5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A7AD168"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4C031F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C4A7B06" w14:textId="77777777" w:rsidR="00000000" w:rsidRDefault="00832D71">
            <w:pPr>
              <w:pStyle w:val="a3"/>
              <w:spacing w:before="0" w:beforeAutospacing="0" w:after="0" w:afterAutospacing="0"/>
              <w:jc w:val="right"/>
              <w:rPr>
                <w:sz w:val="20"/>
                <w:szCs w:val="20"/>
              </w:rPr>
            </w:pPr>
            <w:r>
              <w:rPr>
                <w:sz w:val="20"/>
                <w:szCs w:val="20"/>
              </w:rPr>
              <w:t>210,00</w:t>
            </w:r>
            <w:r>
              <w:rPr>
                <w:sz w:val="20"/>
                <w:szCs w:val="20"/>
              </w:rPr>
              <w:t>0</w:t>
            </w:r>
          </w:p>
        </w:tc>
        <w:tc>
          <w:tcPr>
            <w:tcW w:w="0" w:type="auto"/>
            <w:noWrap/>
            <w:hideMark/>
          </w:tcPr>
          <w:p w14:paraId="205E4D0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CBCDF3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4CB9E70" w14:textId="77777777" w:rsidR="00000000" w:rsidRDefault="00832D71">
            <w:pPr>
              <w:pStyle w:val="a3"/>
              <w:spacing w:before="0" w:beforeAutospacing="0" w:after="0" w:afterAutospacing="0"/>
              <w:jc w:val="center"/>
              <w:rPr>
                <w:sz w:val="20"/>
                <w:szCs w:val="20"/>
              </w:rPr>
            </w:pPr>
            <w:r>
              <w:rPr>
                <w:sz w:val="20"/>
                <w:szCs w:val="20"/>
              </w:rPr>
              <w:t>120</w:t>
            </w:r>
            <w:r>
              <w:rPr>
                <w:sz w:val="20"/>
                <w:szCs w:val="20"/>
              </w:rPr>
              <w:t>%</w:t>
            </w:r>
          </w:p>
        </w:tc>
      </w:tr>
      <w:tr w:rsidR="00000000" w14:paraId="4D96982E" w14:textId="77777777">
        <w:trPr>
          <w:trHeight w:val="200"/>
          <w:tblCellSpacing w:w="15" w:type="dxa"/>
        </w:trPr>
        <w:tc>
          <w:tcPr>
            <w:tcW w:w="0" w:type="auto"/>
            <w:hideMark/>
          </w:tcPr>
          <w:p w14:paraId="25FA034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35BC11D"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20C299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7A528BA" w14:textId="77777777" w:rsidR="00000000" w:rsidRDefault="00832D71">
            <w:pPr>
              <w:pStyle w:val="a3"/>
              <w:spacing w:before="0" w:beforeAutospacing="0" w:after="0" w:afterAutospacing="0"/>
              <w:jc w:val="right"/>
              <w:rPr>
                <w:sz w:val="20"/>
                <w:szCs w:val="20"/>
              </w:rPr>
            </w:pPr>
            <w:r>
              <w:rPr>
                <w:sz w:val="20"/>
                <w:szCs w:val="20"/>
              </w:rPr>
              <w:t>208,00</w:t>
            </w:r>
            <w:r>
              <w:rPr>
                <w:sz w:val="20"/>
                <w:szCs w:val="20"/>
              </w:rPr>
              <w:t>0</w:t>
            </w:r>
          </w:p>
        </w:tc>
        <w:tc>
          <w:tcPr>
            <w:tcW w:w="0" w:type="auto"/>
            <w:noWrap/>
            <w:hideMark/>
          </w:tcPr>
          <w:p w14:paraId="7618468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C55A20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C358E08" w14:textId="77777777" w:rsidR="00000000" w:rsidRDefault="00832D71">
            <w:pPr>
              <w:pStyle w:val="a3"/>
              <w:spacing w:before="0" w:beforeAutospacing="0" w:after="0" w:afterAutospacing="0"/>
              <w:jc w:val="center"/>
              <w:rPr>
                <w:sz w:val="20"/>
                <w:szCs w:val="20"/>
              </w:rPr>
            </w:pPr>
            <w:r>
              <w:rPr>
                <w:sz w:val="20"/>
                <w:szCs w:val="20"/>
              </w:rPr>
              <w:t>115</w:t>
            </w:r>
            <w:r>
              <w:rPr>
                <w:sz w:val="20"/>
                <w:szCs w:val="20"/>
              </w:rPr>
              <w:t>%</w:t>
            </w:r>
          </w:p>
        </w:tc>
      </w:tr>
      <w:tr w:rsidR="00000000" w14:paraId="1D54B50E" w14:textId="77777777">
        <w:trPr>
          <w:trHeight w:val="200"/>
          <w:tblCellSpacing w:w="15" w:type="dxa"/>
        </w:trPr>
        <w:tc>
          <w:tcPr>
            <w:tcW w:w="0" w:type="auto"/>
            <w:hideMark/>
          </w:tcPr>
          <w:p w14:paraId="2558FD4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1FA0541"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4FA874B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C93669B" w14:textId="77777777" w:rsidR="00000000" w:rsidRDefault="00832D71">
            <w:pPr>
              <w:pStyle w:val="a3"/>
              <w:spacing w:before="0" w:beforeAutospacing="0" w:after="0" w:afterAutospacing="0"/>
              <w:jc w:val="right"/>
              <w:rPr>
                <w:sz w:val="20"/>
                <w:szCs w:val="20"/>
              </w:rPr>
            </w:pPr>
            <w:r>
              <w:rPr>
                <w:sz w:val="20"/>
                <w:szCs w:val="20"/>
              </w:rPr>
              <w:t>206,00</w:t>
            </w:r>
            <w:r>
              <w:rPr>
                <w:sz w:val="20"/>
                <w:szCs w:val="20"/>
              </w:rPr>
              <w:t>0</w:t>
            </w:r>
          </w:p>
        </w:tc>
        <w:tc>
          <w:tcPr>
            <w:tcW w:w="0" w:type="auto"/>
            <w:noWrap/>
            <w:hideMark/>
          </w:tcPr>
          <w:p w14:paraId="0DD40A0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A91471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26239EA" w14:textId="77777777" w:rsidR="00000000" w:rsidRDefault="00832D71">
            <w:pPr>
              <w:pStyle w:val="a3"/>
              <w:spacing w:before="0" w:beforeAutospacing="0" w:after="0" w:afterAutospacing="0"/>
              <w:jc w:val="center"/>
              <w:rPr>
                <w:sz w:val="20"/>
                <w:szCs w:val="20"/>
              </w:rPr>
            </w:pPr>
            <w:r>
              <w:rPr>
                <w:sz w:val="20"/>
                <w:szCs w:val="20"/>
              </w:rPr>
              <w:t>110</w:t>
            </w:r>
            <w:r>
              <w:rPr>
                <w:sz w:val="20"/>
                <w:szCs w:val="20"/>
              </w:rPr>
              <w:t>%</w:t>
            </w:r>
          </w:p>
        </w:tc>
      </w:tr>
      <w:tr w:rsidR="00000000" w14:paraId="0F456CB0" w14:textId="77777777">
        <w:trPr>
          <w:trHeight w:val="200"/>
          <w:tblCellSpacing w:w="15" w:type="dxa"/>
        </w:trPr>
        <w:tc>
          <w:tcPr>
            <w:tcW w:w="0" w:type="auto"/>
            <w:hideMark/>
          </w:tcPr>
          <w:p w14:paraId="55B294E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F075250"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16ED8C3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2293349" w14:textId="77777777" w:rsidR="00000000" w:rsidRDefault="00832D71">
            <w:pPr>
              <w:pStyle w:val="a3"/>
              <w:spacing w:before="0" w:beforeAutospacing="0" w:after="0" w:afterAutospacing="0"/>
              <w:jc w:val="right"/>
              <w:rPr>
                <w:sz w:val="20"/>
                <w:szCs w:val="20"/>
              </w:rPr>
            </w:pPr>
            <w:r>
              <w:rPr>
                <w:sz w:val="20"/>
                <w:szCs w:val="20"/>
              </w:rPr>
              <w:t>204,00</w:t>
            </w:r>
            <w:r>
              <w:rPr>
                <w:sz w:val="20"/>
                <w:szCs w:val="20"/>
              </w:rPr>
              <w:t>0</w:t>
            </w:r>
          </w:p>
        </w:tc>
        <w:tc>
          <w:tcPr>
            <w:tcW w:w="0" w:type="auto"/>
            <w:noWrap/>
            <w:hideMark/>
          </w:tcPr>
          <w:p w14:paraId="71A1436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2A4602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7096A73" w14:textId="77777777" w:rsidR="00000000" w:rsidRDefault="00832D71">
            <w:pPr>
              <w:pStyle w:val="a3"/>
              <w:spacing w:before="0" w:beforeAutospacing="0" w:after="0" w:afterAutospacing="0"/>
              <w:jc w:val="center"/>
              <w:rPr>
                <w:sz w:val="20"/>
                <w:szCs w:val="20"/>
              </w:rPr>
            </w:pPr>
            <w:r>
              <w:rPr>
                <w:sz w:val="20"/>
                <w:szCs w:val="20"/>
              </w:rPr>
              <w:t>105</w:t>
            </w:r>
            <w:r>
              <w:rPr>
                <w:sz w:val="20"/>
                <w:szCs w:val="20"/>
              </w:rPr>
              <w:t>%</w:t>
            </w:r>
          </w:p>
        </w:tc>
      </w:tr>
      <w:tr w:rsidR="00000000" w14:paraId="1754B50B" w14:textId="77777777">
        <w:trPr>
          <w:trHeight w:val="200"/>
          <w:tblCellSpacing w:w="15" w:type="dxa"/>
        </w:trPr>
        <w:tc>
          <w:tcPr>
            <w:tcW w:w="0" w:type="auto"/>
            <w:hideMark/>
          </w:tcPr>
          <w:p w14:paraId="7567442C" w14:textId="77777777" w:rsidR="00000000" w:rsidRDefault="00832D71">
            <w:pPr>
              <w:pStyle w:val="a3"/>
              <w:spacing w:before="0" w:beforeAutospacing="0" w:after="0" w:afterAutospacing="0"/>
              <w:rPr>
                <w:sz w:val="20"/>
                <w:szCs w:val="20"/>
              </w:rPr>
            </w:pPr>
            <w:r>
              <w:rPr>
                <w:sz w:val="20"/>
                <w:szCs w:val="20"/>
              </w:rPr>
              <w:t>Target Threshol</w:t>
            </w:r>
            <w:r>
              <w:rPr>
                <w:sz w:val="20"/>
                <w:szCs w:val="20"/>
              </w:rPr>
              <w:t>d</w:t>
            </w:r>
          </w:p>
        </w:tc>
        <w:tc>
          <w:tcPr>
            <w:tcW w:w="0" w:type="auto"/>
            <w:hideMark/>
          </w:tcPr>
          <w:p w14:paraId="15AF3A95"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E671D7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4E39A41" w14:textId="77777777" w:rsidR="00000000" w:rsidRDefault="00832D71">
            <w:pPr>
              <w:pStyle w:val="a3"/>
              <w:spacing w:before="0" w:beforeAutospacing="0" w:after="0" w:afterAutospacing="0"/>
              <w:jc w:val="right"/>
              <w:rPr>
                <w:sz w:val="20"/>
                <w:szCs w:val="20"/>
              </w:rPr>
            </w:pPr>
            <w:r>
              <w:rPr>
                <w:sz w:val="20"/>
                <w:szCs w:val="20"/>
              </w:rPr>
              <w:t>202,00</w:t>
            </w:r>
            <w:r>
              <w:rPr>
                <w:sz w:val="20"/>
                <w:szCs w:val="20"/>
              </w:rPr>
              <w:t>0</w:t>
            </w:r>
          </w:p>
        </w:tc>
        <w:tc>
          <w:tcPr>
            <w:tcW w:w="0" w:type="auto"/>
            <w:noWrap/>
            <w:hideMark/>
          </w:tcPr>
          <w:p w14:paraId="3AA1990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478DDE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BE62637" w14:textId="77777777" w:rsidR="00000000" w:rsidRDefault="00832D71">
            <w:pPr>
              <w:pStyle w:val="a3"/>
              <w:spacing w:before="0" w:beforeAutospacing="0" w:after="0" w:afterAutospacing="0"/>
              <w:jc w:val="center"/>
              <w:rPr>
                <w:sz w:val="20"/>
                <w:szCs w:val="20"/>
              </w:rPr>
            </w:pPr>
            <w:r>
              <w:rPr>
                <w:sz w:val="20"/>
                <w:szCs w:val="20"/>
              </w:rPr>
              <w:t>100</w:t>
            </w:r>
            <w:r>
              <w:rPr>
                <w:sz w:val="20"/>
                <w:szCs w:val="20"/>
              </w:rPr>
              <w:t>%</w:t>
            </w:r>
          </w:p>
        </w:tc>
      </w:tr>
      <w:tr w:rsidR="00000000" w14:paraId="260B46AF" w14:textId="77777777">
        <w:trPr>
          <w:trHeight w:val="200"/>
          <w:tblCellSpacing w:w="15" w:type="dxa"/>
        </w:trPr>
        <w:tc>
          <w:tcPr>
            <w:tcW w:w="0" w:type="auto"/>
            <w:hideMark/>
          </w:tcPr>
          <w:p w14:paraId="27B22F2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9C7C1EF"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F67D4B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D57C000" w14:textId="77777777" w:rsidR="00000000" w:rsidRDefault="00832D71">
            <w:pPr>
              <w:pStyle w:val="a3"/>
              <w:spacing w:before="0" w:beforeAutospacing="0" w:after="0" w:afterAutospacing="0"/>
              <w:jc w:val="right"/>
              <w:rPr>
                <w:sz w:val="20"/>
                <w:szCs w:val="20"/>
              </w:rPr>
            </w:pPr>
            <w:r>
              <w:rPr>
                <w:sz w:val="20"/>
                <w:szCs w:val="20"/>
              </w:rPr>
              <w:t>198,00</w:t>
            </w:r>
            <w:r>
              <w:rPr>
                <w:sz w:val="20"/>
                <w:szCs w:val="20"/>
              </w:rPr>
              <w:t>0</w:t>
            </w:r>
          </w:p>
        </w:tc>
        <w:tc>
          <w:tcPr>
            <w:tcW w:w="0" w:type="auto"/>
            <w:noWrap/>
            <w:hideMark/>
          </w:tcPr>
          <w:p w14:paraId="3A6DAC4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C76BEF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288D2CA" w14:textId="77777777" w:rsidR="00000000" w:rsidRDefault="00832D71">
            <w:pPr>
              <w:pStyle w:val="a3"/>
              <w:spacing w:before="0" w:beforeAutospacing="0" w:after="0" w:afterAutospacing="0"/>
              <w:jc w:val="center"/>
              <w:rPr>
                <w:sz w:val="20"/>
                <w:szCs w:val="20"/>
              </w:rPr>
            </w:pPr>
            <w:r>
              <w:rPr>
                <w:sz w:val="20"/>
                <w:szCs w:val="20"/>
              </w:rPr>
              <w:t>95</w:t>
            </w:r>
            <w:r>
              <w:rPr>
                <w:sz w:val="20"/>
                <w:szCs w:val="20"/>
              </w:rPr>
              <w:t>%</w:t>
            </w:r>
          </w:p>
        </w:tc>
      </w:tr>
      <w:tr w:rsidR="00000000" w14:paraId="0D6642C6" w14:textId="77777777">
        <w:trPr>
          <w:trHeight w:val="200"/>
          <w:tblCellSpacing w:w="15" w:type="dxa"/>
        </w:trPr>
        <w:tc>
          <w:tcPr>
            <w:tcW w:w="0" w:type="auto"/>
            <w:hideMark/>
          </w:tcPr>
          <w:p w14:paraId="19A35D0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B339009"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429643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2F75020" w14:textId="77777777" w:rsidR="00000000" w:rsidRDefault="00832D71">
            <w:pPr>
              <w:pStyle w:val="a3"/>
              <w:spacing w:before="0" w:beforeAutospacing="0" w:after="0" w:afterAutospacing="0"/>
              <w:jc w:val="right"/>
              <w:rPr>
                <w:sz w:val="20"/>
                <w:szCs w:val="20"/>
              </w:rPr>
            </w:pPr>
            <w:r>
              <w:rPr>
                <w:sz w:val="20"/>
                <w:szCs w:val="20"/>
              </w:rPr>
              <w:t>194,00</w:t>
            </w:r>
            <w:r>
              <w:rPr>
                <w:sz w:val="20"/>
                <w:szCs w:val="20"/>
              </w:rPr>
              <w:t>0</w:t>
            </w:r>
          </w:p>
        </w:tc>
        <w:tc>
          <w:tcPr>
            <w:tcW w:w="0" w:type="auto"/>
            <w:noWrap/>
            <w:hideMark/>
          </w:tcPr>
          <w:p w14:paraId="14C9BF0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AB3576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D2DB42E" w14:textId="77777777" w:rsidR="00000000" w:rsidRDefault="00832D71">
            <w:pPr>
              <w:pStyle w:val="a3"/>
              <w:spacing w:before="0" w:beforeAutospacing="0" w:after="0" w:afterAutospacing="0"/>
              <w:jc w:val="center"/>
              <w:rPr>
                <w:sz w:val="20"/>
                <w:szCs w:val="20"/>
              </w:rPr>
            </w:pPr>
            <w:r>
              <w:rPr>
                <w:sz w:val="20"/>
                <w:szCs w:val="20"/>
              </w:rPr>
              <w:t>90</w:t>
            </w:r>
            <w:r>
              <w:rPr>
                <w:sz w:val="20"/>
                <w:szCs w:val="20"/>
              </w:rPr>
              <w:t>%</w:t>
            </w:r>
          </w:p>
        </w:tc>
      </w:tr>
      <w:tr w:rsidR="00000000" w14:paraId="5C24C17E" w14:textId="77777777">
        <w:trPr>
          <w:trHeight w:val="200"/>
          <w:tblCellSpacing w:w="15" w:type="dxa"/>
        </w:trPr>
        <w:tc>
          <w:tcPr>
            <w:tcW w:w="0" w:type="auto"/>
            <w:hideMark/>
          </w:tcPr>
          <w:p w14:paraId="271C555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5038371"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2D6316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E334FAF" w14:textId="77777777" w:rsidR="00000000" w:rsidRDefault="00832D71">
            <w:pPr>
              <w:pStyle w:val="a3"/>
              <w:spacing w:before="0" w:beforeAutospacing="0" w:after="0" w:afterAutospacing="0"/>
              <w:jc w:val="right"/>
              <w:rPr>
                <w:sz w:val="20"/>
                <w:szCs w:val="20"/>
              </w:rPr>
            </w:pPr>
            <w:r>
              <w:rPr>
                <w:sz w:val="20"/>
                <w:szCs w:val="20"/>
              </w:rPr>
              <w:t>190,00</w:t>
            </w:r>
            <w:r>
              <w:rPr>
                <w:sz w:val="20"/>
                <w:szCs w:val="20"/>
              </w:rPr>
              <w:t>0</w:t>
            </w:r>
          </w:p>
        </w:tc>
        <w:tc>
          <w:tcPr>
            <w:tcW w:w="0" w:type="auto"/>
            <w:noWrap/>
            <w:hideMark/>
          </w:tcPr>
          <w:p w14:paraId="3184B6D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B66BD1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F708ED8" w14:textId="77777777" w:rsidR="00000000" w:rsidRDefault="00832D71">
            <w:pPr>
              <w:pStyle w:val="a3"/>
              <w:spacing w:before="0" w:beforeAutospacing="0" w:after="0" w:afterAutospacing="0"/>
              <w:jc w:val="center"/>
              <w:rPr>
                <w:sz w:val="20"/>
                <w:szCs w:val="20"/>
              </w:rPr>
            </w:pPr>
            <w:r>
              <w:rPr>
                <w:sz w:val="20"/>
                <w:szCs w:val="20"/>
              </w:rPr>
              <w:t>85</w:t>
            </w:r>
            <w:r>
              <w:rPr>
                <w:sz w:val="20"/>
                <w:szCs w:val="20"/>
              </w:rPr>
              <w:t>%</w:t>
            </w:r>
          </w:p>
        </w:tc>
      </w:tr>
      <w:tr w:rsidR="00000000" w14:paraId="73ACACC0" w14:textId="77777777">
        <w:trPr>
          <w:trHeight w:val="200"/>
          <w:tblCellSpacing w:w="15" w:type="dxa"/>
        </w:trPr>
        <w:tc>
          <w:tcPr>
            <w:tcW w:w="0" w:type="auto"/>
            <w:hideMark/>
          </w:tcPr>
          <w:p w14:paraId="091FF47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9F32099"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6F36687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552AA19" w14:textId="77777777" w:rsidR="00000000" w:rsidRDefault="00832D71">
            <w:pPr>
              <w:pStyle w:val="a3"/>
              <w:spacing w:before="0" w:beforeAutospacing="0" w:after="0" w:afterAutospacing="0"/>
              <w:jc w:val="right"/>
              <w:rPr>
                <w:sz w:val="20"/>
                <w:szCs w:val="20"/>
              </w:rPr>
            </w:pPr>
            <w:r>
              <w:rPr>
                <w:sz w:val="20"/>
                <w:szCs w:val="20"/>
              </w:rPr>
              <w:t>186,00</w:t>
            </w:r>
            <w:r>
              <w:rPr>
                <w:sz w:val="20"/>
                <w:szCs w:val="20"/>
              </w:rPr>
              <w:t>0</w:t>
            </w:r>
          </w:p>
        </w:tc>
        <w:tc>
          <w:tcPr>
            <w:tcW w:w="0" w:type="auto"/>
            <w:noWrap/>
            <w:hideMark/>
          </w:tcPr>
          <w:p w14:paraId="1F54472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F3A038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FA6F908" w14:textId="77777777" w:rsidR="00000000" w:rsidRDefault="00832D71">
            <w:pPr>
              <w:pStyle w:val="a3"/>
              <w:spacing w:before="0" w:beforeAutospacing="0" w:after="0" w:afterAutospacing="0"/>
              <w:jc w:val="center"/>
              <w:rPr>
                <w:sz w:val="20"/>
                <w:szCs w:val="20"/>
              </w:rPr>
            </w:pPr>
            <w:r>
              <w:rPr>
                <w:sz w:val="20"/>
                <w:szCs w:val="20"/>
              </w:rPr>
              <w:t>80</w:t>
            </w:r>
            <w:r>
              <w:rPr>
                <w:sz w:val="20"/>
                <w:szCs w:val="20"/>
              </w:rPr>
              <w:t>%</w:t>
            </w:r>
          </w:p>
        </w:tc>
      </w:tr>
      <w:tr w:rsidR="00000000" w14:paraId="5DD83293" w14:textId="77777777">
        <w:trPr>
          <w:trHeight w:val="200"/>
          <w:tblCellSpacing w:w="15" w:type="dxa"/>
        </w:trPr>
        <w:tc>
          <w:tcPr>
            <w:tcW w:w="0" w:type="auto"/>
            <w:hideMark/>
          </w:tcPr>
          <w:p w14:paraId="426C43E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E75BC06"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15BB1A7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5F3B487" w14:textId="77777777" w:rsidR="00000000" w:rsidRDefault="00832D71">
            <w:pPr>
              <w:pStyle w:val="a3"/>
              <w:spacing w:before="0" w:beforeAutospacing="0" w:after="0" w:afterAutospacing="0"/>
              <w:jc w:val="right"/>
              <w:rPr>
                <w:sz w:val="20"/>
                <w:szCs w:val="20"/>
              </w:rPr>
            </w:pPr>
            <w:r>
              <w:rPr>
                <w:sz w:val="20"/>
                <w:szCs w:val="20"/>
              </w:rPr>
              <w:t>182,00</w:t>
            </w:r>
            <w:r>
              <w:rPr>
                <w:sz w:val="20"/>
                <w:szCs w:val="20"/>
              </w:rPr>
              <w:t>0</w:t>
            </w:r>
          </w:p>
        </w:tc>
        <w:tc>
          <w:tcPr>
            <w:tcW w:w="0" w:type="auto"/>
            <w:noWrap/>
            <w:hideMark/>
          </w:tcPr>
          <w:p w14:paraId="316182B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4DFD6D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A418000" w14:textId="77777777" w:rsidR="00000000" w:rsidRDefault="00832D71">
            <w:pPr>
              <w:pStyle w:val="a3"/>
              <w:spacing w:before="0" w:beforeAutospacing="0" w:after="0" w:afterAutospacing="0"/>
              <w:jc w:val="center"/>
              <w:rPr>
                <w:sz w:val="20"/>
                <w:szCs w:val="20"/>
              </w:rPr>
            </w:pPr>
            <w:r>
              <w:rPr>
                <w:sz w:val="20"/>
                <w:szCs w:val="20"/>
              </w:rPr>
              <w:t>75</w:t>
            </w:r>
            <w:r>
              <w:rPr>
                <w:sz w:val="20"/>
                <w:szCs w:val="20"/>
              </w:rPr>
              <w:t>%</w:t>
            </w:r>
          </w:p>
        </w:tc>
      </w:tr>
      <w:tr w:rsidR="00000000" w14:paraId="65814E93" w14:textId="77777777">
        <w:trPr>
          <w:trHeight w:val="200"/>
          <w:tblCellSpacing w:w="15" w:type="dxa"/>
        </w:trPr>
        <w:tc>
          <w:tcPr>
            <w:tcW w:w="0" w:type="auto"/>
            <w:hideMark/>
          </w:tcPr>
          <w:p w14:paraId="4A19228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14F12FA"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1197CA8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74252E0" w14:textId="77777777" w:rsidR="00000000" w:rsidRDefault="00832D71">
            <w:pPr>
              <w:pStyle w:val="a3"/>
              <w:spacing w:before="0" w:beforeAutospacing="0" w:after="0" w:afterAutospacing="0"/>
              <w:jc w:val="right"/>
              <w:rPr>
                <w:sz w:val="20"/>
                <w:szCs w:val="20"/>
              </w:rPr>
            </w:pPr>
            <w:r>
              <w:rPr>
                <w:sz w:val="20"/>
                <w:szCs w:val="20"/>
              </w:rPr>
              <w:t>178,00</w:t>
            </w:r>
            <w:r>
              <w:rPr>
                <w:sz w:val="20"/>
                <w:szCs w:val="20"/>
              </w:rPr>
              <w:t>0</w:t>
            </w:r>
          </w:p>
        </w:tc>
        <w:tc>
          <w:tcPr>
            <w:tcW w:w="0" w:type="auto"/>
            <w:noWrap/>
            <w:hideMark/>
          </w:tcPr>
          <w:p w14:paraId="1672121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12C2D4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6D2F157" w14:textId="77777777" w:rsidR="00000000" w:rsidRDefault="00832D71">
            <w:pPr>
              <w:pStyle w:val="a3"/>
              <w:spacing w:before="0" w:beforeAutospacing="0" w:after="0" w:afterAutospacing="0"/>
              <w:jc w:val="center"/>
              <w:rPr>
                <w:sz w:val="20"/>
                <w:szCs w:val="20"/>
              </w:rPr>
            </w:pPr>
            <w:r>
              <w:rPr>
                <w:sz w:val="20"/>
                <w:szCs w:val="20"/>
              </w:rPr>
              <w:t>70</w:t>
            </w:r>
            <w:r>
              <w:rPr>
                <w:sz w:val="20"/>
                <w:szCs w:val="20"/>
              </w:rPr>
              <w:t>%</w:t>
            </w:r>
          </w:p>
        </w:tc>
      </w:tr>
      <w:tr w:rsidR="00000000" w14:paraId="51731DC0" w14:textId="77777777">
        <w:trPr>
          <w:trHeight w:val="200"/>
          <w:tblCellSpacing w:w="15" w:type="dxa"/>
        </w:trPr>
        <w:tc>
          <w:tcPr>
            <w:tcW w:w="0" w:type="auto"/>
            <w:hideMark/>
          </w:tcPr>
          <w:p w14:paraId="2CB0518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33509CE"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24C5E22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682B6FC" w14:textId="77777777" w:rsidR="00000000" w:rsidRDefault="00832D71">
            <w:pPr>
              <w:pStyle w:val="a3"/>
              <w:spacing w:before="0" w:beforeAutospacing="0" w:after="0" w:afterAutospacing="0"/>
              <w:jc w:val="right"/>
              <w:rPr>
                <w:sz w:val="20"/>
                <w:szCs w:val="20"/>
              </w:rPr>
            </w:pPr>
            <w:r>
              <w:rPr>
                <w:sz w:val="20"/>
                <w:szCs w:val="20"/>
              </w:rPr>
              <w:t>174,00</w:t>
            </w:r>
            <w:r>
              <w:rPr>
                <w:sz w:val="20"/>
                <w:szCs w:val="20"/>
              </w:rPr>
              <w:t>0</w:t>
            </w:r>
          </w:p>
        </w:tc>
        <w:tc>
          <w:tcPr>
            <w:tcW w:w="0" w:type="auto"/>
            <w:noWrap/>
            <w:hideMark/>
          </w:tcPr>
          <w:p w14:paraId="6FB2BBD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6DCD5D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1053FF3" w14:textId="77777777" w:rsidR="00000000" w:rsidRDefault="00832D71">
            <w:pPr>
              <w:pStyle w:val="a3"/>
              <w:spacing w:before="0" w:beforeAutospacing="0" w:after="0" w:afterAutospacing="0"/>
              <w:jc w:val="center"/>
              <w:rPr>
                <w:sz w:val="20"/>
                <w:szCs w:val="20"/>
              </w:rPr>
            </w:pPr>
            <w:r>
              <w:rPr>
                <w:sz w:val="20"/>
                <w:szCs w:val="20"/>
              </w:rPr>
              <w:t>65</w:t>
            </w:r>
            <w:r>
              <w:rPr>
                <w:sz w:val="20"/>
                <w:szCs w:val="20"/>
              </w:rPr>
              <w:t>%</w:t>
            </w:r>
          </w:p>
        </w:tc>
      </w:tr>
      <w:tr w:rsidR="00000000" w14:paraId="1B6883DD" w14:textId="77777777">
        <w:trPr>
          <w:trHeight w:val="200"/>
          <w:tblCellSpacing w:w="15" w:type="dxa"/>
        </w:trPr>
        <w:tc>
          <w:tcPr>
            <w:tcW w:w="0" w:type="auto"/>
            <w:hideMark/>
          </w:tcPr>
          <w:p w14:paraId="48492BB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A1FB519"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6D7345D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A4B2710" w14:textId="77777777" w:rsidR="00000000" w:rsidRDefault="00832D71">
            <w:pPr>
              <w:pStyle w:val="a3"/>
              <w:spacing w:before="0" w:beforeAutospacing="0" w:after="0" w:afterAutospacing="0"/>
              <w:jc w:val="right"/>
              <w:rPr>
                <w:sz w:val="20"/>
                <w:szCs w:val="20"/>
              </w:rPr>
            </w:pPr>
            <w:r>
              <w:rPr>
                <w:sz w:val="20"/>
                <w:szCs w:val="20"/>
              </w:rPr>
              <w:t>170,00</w:t>
            </w:r>
            <w:r>
              <w:rPr>
                <w:sz w:val="20"/>
                <w:szCs w:val="20"/>
              </w:rPr>
              <w:t>0</w:t>
            </w:r>
          </w:p>
        </w:tc>
        <w:tc>
          <w:tcPr>
            <w:tcW w:w="0" w:type="auto"/>
            <w:noWrap/>
            <w:hideMark/>
          </w:tcPr>
          <w:p w14:paraId="302688A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15426A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45CE922" w14:textId="77777777" w:rsidR="00000000" w:rsidRDefault="00832D71">
            <w:pPr>
              <w:pStyle w:val="a3"/>
              <w:spacing w:before="0" w:beforeAutospacing="0" w:after="0" w:afterAutospacing="0"/>
              <w:jc w:val="center"/>
              <w:rPr>
                <w:sz w:val="20"/>
                <w:szCs w:val="20"/>
              </w:rPr>
            </w:pPr>
            <w:r>
              <w:rPr>
                <w:sz w:val="20"/>
                <w:szCs w:val="20"/>
              </w:rPr>
              <w:t>60</w:t>
            </w:r>
            <w:r>
              <w:rPr>
                <w:sz w:val="20"/>
                <w:szCs w:val="20"/>
              </w:rPr>
              <w:t>%</w:t>
            </w:r>
          </w:p>
        </w:tc>
      </w:tr>
      <w:tr w:rsidR="00000000" w14:paraId="5BCC9A66" w14:textId="77777777">
        <w:trPr>
          <w:trHeight w:val="200"/>
          <w:tblCellSpacing w:w="15" w:type="dxa"/>
        </w:trPr>
        <w:tc>
          <w:tcPr>
            <w:tcW w:w="0" w:type="auto"/>
            <w:hideMark/>
          </w:tcPr>
          <w:p w14:paraId="139765D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22AB78E"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2BD0A33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E13677F" w14:textId="77777777" w:rsidR="00000000" w:rsidRDefault="00832D71">
            <w:pPr>
              <w:pStyle w:val="a3"/>
              <w:spacing w:before="0" w:beforeAutospacing="0" w:after="0" w:afterAutospacing="0"/>
              <w:jc w:val="right"/>
              <w:rPr>
                <w:sz w:val="20"/>
                <w:szCs w:val="20"/>
              </w:rPr>
            </w:pPr>
            <w:r>
              <w:rPr>
                <w:sz w:val="20"/>
                <w:szCs w:val="20"/>
              </w:rPr>
              <w:t>166,00</w:t>
            </w:r>
            <w:r>
              <w:rPr>
                <w:sz w:val="20"/>
                <w:szCs w:val="20"/>
              </w:rPr>
              <w:t>0</w:t>
            </w:r>
          </w:p>
        </w:tc>
        <w:tc>
          <w:tcPr>
            <w:tcW w:w="0" w:type="auto"/>
            <w:noWrap/>
            <w:hideMark/>
          </w:tcPr>
          <w:p w14:paraId="49767B8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16CF42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BE06D44" w14:textId="77777777" w:rsidR="00000000" w:rsidRDefault="00832D71">
            <w:pPr>
              <w:pStyle w:val="a3"/>
              <w:spacing w:before="0" w:beforeAutospacing="0" w:after="0" w:afterAutospacing="0"/>
              <w:jc w:val="center"/>
              <w:rPr>
                <w:sz w:val="20"/>
                <w:szCs w:val="20"/>
              </w:rPr>
            </w:pPr>
            <w:r>
              <w:rPr>
                <w:sz w:val="20"/>
                <w:szCs w:val="20"/>
              </w:rPr>
              <w:t>55</w:t>
            </w:r>
            <w:r>
              <w:rPr>
                <w:sz w:val="20"/>
                <w:szCs w:val="20"/>
              </w:rPr>
              <w:t>%</w:t>
            </w:r>
          </w:p>
        </w:tc>
      </w:tr>
      <w:tr w:rsidR="00000000" w14:paraId="67C863A8" w14:textId="77777777">
        <w:trPr>
          <w:trHeight w:val="200"/>
          <w:tblCellSpacing w:w="15" w:type="dxa"/>
        </w:trPr>
        <w:tc>
          <w:tcPr>
            <w:tcW w:w="0" w:type="auto"/>
            <w:hideMark/>
          </w:tcPr>
          <w:p w14:paraId="534C2CF2" w14:textId="77777777" w:rsidR="00000000" w:rsidRDefault="00832D71">
            <w:pPr>
              <w:pStyle w:val="a3"/>
              <w:spacing w:before="0" w:beforeAutospacing="0" w:after="0" w:afterAutospacing="0"/>
              <w:rPr>
                <w:sz w:val="20"/>
                <w:szCs w:val="20"/>
              </w:rPr>
            </w:pPr>
            <w:r>
              <w:rPr>
                <w:sz w:val="20"/>
                <w:szCs w:val="20"/>
              </w:rPr>
              <w:t>Minimum Threshol</w:t>
            </w:r>
            <w:r>
              <w:rPr>
                <w:sz w:val="20"/>
                <w:szCs w:val="20"/>
              </w:rPr>
              <w:t>d</w:t>
            </w:r>
          </w:p>
        </w:tc>
        <w:tc>
          <w:tcPr>
            <w:tcW w:w="0" w:type="auto"/>
            <w:hideMark/>
          </w:tcPr>
          <w:p w14:paraId="2C651D5A"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3E23CC9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E6C1D28" w14:textId="77777777" w:rsidR="00000000" w:rsidRDefault="00832D71">
            <w:pPr>
              <w:pStyle w:val="a3"/>
              <w:spacing w:before="0" w:beforeAutospacing="0" w:after="0" w:afterAutospacing="0"/>
              <w:jc w:val="right"/>
              <w:rPr>
                <w:sz w:val="20"/>
                <w:szCs w:val="20"/>
              </w:rPr>
            </w:pPr>
            <w:r>
              <w:rPr>
                <w:sz w:val="20"/>
                <w:szCs w:val="20"/>
              </w:rPr>
              <w:t>162,00</w:t>
            </w:r>
            <w:r>
              <w:rPr>
                <w:sz w:val="20"/>
                <w:szCs w:val="20"/>
              </w:rPr>
              <w:t>0</w:t>
            </w:r>
          </w:p>
        </w:tc>
        <w:tc>
          <w:tcPr>
            <w:tcW w:w="0" w:type="auto"/>
            <w:noWrap/>
            <w:hideMark/>
          </w:tcPr>
          <w:p w14:paraId="14A78E1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B035DF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B391430" w14:textId="77777777" w:rsidR="00000000" w:rsidRDefault="00832D71">
            <w:pPr>
              <w:pStyle w:val="a3"/>
              <w:spacing w:before="0" w:beforeAutospacing="0" w:after="0" w:afterAutospacing="0"/>
              <w:jc w:val="center"/>
              <w:rPr>
                <w:sz w:val="20"/>
                <w:szCs w:val="20"/>
              </w:rPr>
            </w:pPr>
            <w:r>
              <w:rPr>
                <w:sz w:val="20"/>
                <w:szCs w:val="20"/>
              </w:rPr>
              <w:t>50</w:t>
            </w:r>
            <w:r>
              <w:rPr>
                <w:sz w:val="20"/>
                <w:szCs w:val="20"/>
              </w:rPr>
              <w:t>%</w:t>
            </w:r>
          </w:p>
        </w:tc>
      </w:tr>
    </w:tbl>
    <w:p w14:paraId="0DA4054B" w14:textId="77777777" w:rsidR="00000000" w:rsidRDefault="00832D71">
      <w:pPr>
        <w:pStyle w:val="a3"/>
        <w:spacing w:before="240" w:beforeAutospacing="0" w:after="0" w:afterAutospacing="0"/>
        <w:ind w:firstLine="555"/>
        <w:jc w:val="both"/>
        <w:rPr>
          <w:sz w:val="20"/>
          <w:szCs w:val="20"/>
        </w:rPr>
      </w:pPr>
      <w:r>
        <w:rPr>
          <w:sz w:val="20"/>
          <w:szCs w:val="20"/>
        </w:rPr>
        <w:t>For the Operating/Strategic Objectives component of the fiscal 2023 award, the Committee set the following qualitative items to be evaluated at the end of the three-year measurement period</w:t>
      </w:r>
      <w:r>
        <w:rPr>
          <w:sz w:val="20"/>
          <w:szCs w:val="20"/>
        </w:rPr>
        <w:t>:</w:t>
      </w:r>
    </w:p>
    <w:p w14:paraId="686BB8E1" w14:textId="77777777" w:rsidR="00000000" w:rsidRDefault="00832D71">
      <w:pPr>
        <w:jc w:val="both"/>
        <w:divId w:val="215703232"/>
        <w:rPr>
          <w:rFonts w:eastAsia="Times New Roman"/>
        </w:rPr>
      </w:pPr>
      <w:r>
        <w:rPr>
          <w:rFonts w:eastAsia="Times New Roman"/>
          <w:sz w:val="20"/>
          <w:szCs w:val="20"/>
        </w:rPr>
        <w:t>1</w:t>
      </w:r>
    </w:p>
    <w:p w14:paraId="07A07725" w14:textId="77777777" w:rsidR="00000000" w:rsidRDefault="00832D71">
      <w:pPr>
        <w:jc w:val="both"/>
        <w:divId w:val="1067608712"/>
        <w:rPr>
          <w:rFonts w:eastAsia="Times New Roman"/>
        </w:rPr>
      </w:pPr>
      <w:r>
        <w:rPr>
          <w:rFonts w:eastAsia="Times New Roman"/>
          <w:sz w:val="20"/>
          <w:szCs w:val="20"/>
        </w:rPr>
        <w:t>Achievement of target consolidated leverage ratio between 3.5x a</w:t>
      </w:r>
      <w:r>
        <w:rPr>
          <w:rFonts w:eastAsia="Times New Roman"/>
          <w:sz w:val="20"/>
          <w:szCs w:val="20"/>
        </w:rPr>
        <w:t>nd 4.0x</w:t>
      </w:r>
      <w:r>
        <w:rPr>
          <w:rFonts w:eastAsia="Times New Roman"/>
          <w:sz w:val="20"/>
          <w:szCs w:val="20"/>
        </w:rPr>
        <w:t>;</w:t>
      </w:r>
    </w:p>
    <w:p w14:paraId="32076D08" w14:textId="77777777" w:rsidR="00000000" w:rsidRDefault="00832D71">
      <w:pPr>
        <w:jc w:val="both"/>
        <w:divId w:val="1704283330"/>
        <w:rPr>
          <w:rFonts w:eastAsia="Times New Roman"/>
        </w:rPr>
      </w:pPr>
      <w:r>
        <w:rPr>
          <w:rFonts w:eastAsia="Times New Roman"/>
          <w:sz w:val="20"/>
          <w:szCs w:val="20"/>
        </w:rPr>
        <w:t>2</w:t>
      </w:r>
    </w:p>
    <w:p w14:paraId="61EE9449" w14:textId="77777777" w:rsidR="00000000" w:rsidRDefault="00832D71">
      <w:pPr>
        <w:jc w:val="both"/>
        <w:divId w:val="16278571"/>
        <w:rPr>
          <w:rFonts w:eastAsia="Times New Roman"/>
        </w:rPr>
      </w:pPr>
      <w:r>
        <w:rPr>
          <w:rFonts w:eastAsia="Times New Roman"/>
          <w:sz w:val="20"/>
          <w:szCs w:val="20"/>
        </w:rPr>
        <w:t>Customer base growth</w:t>
      </w:r>
      <w:r>
        <w:rPr>
          <w:rFonts w:eastAsia="Times New Roman"/>
          <w:sz w:val="20"/>
          <w:szCs w:val="20"/>
        </w:rPr>
        <w:t>;</w:t>
      </w:r>
    </w:p>
    <w:p w14:paraId="18BBA032" w14:textId="77777777" w:rsidR="00000000" w:rsidRDefault="00832D71">
      <w:pPr>
        <w:jc w:val="both"/>
        <w:divId w:val="1521045433"/>
        <w:rPr>
          <w:rFonts w:eastAsia="Times New Roman"/>
        </w:rPr>
      </w:pPr>
      <w:r>
        <w:rPr>
          <w:rFonts w:eastAsia="Times New Roman"/>
          <w:sz w:val="20"/>
          <w:szCs w:val="20"/>
        </w:rPr>
        <w:t>3</w:t>
      </w:r>
    </w:p>
    <w:p w14:paraId="70FD5250" w14:textId="77777777" w:rsidR="00000000" w:rsidRDefault="00832D71">
      <w:pPr>
        <w:jc w:val="both"/>
        <w:divId w:val="1121535043"/>
        <w:rPr>
          <w:rFonts w:eastAsia="Times New Roman"/>
        </w:rPr>
      </w:pPr>
      <w:r>
        <w:rPr>
          <w:rFonts w:eastAsia="Times New Roman"/>
          <w:sz w:val="20"/>
          <w:szCs w:val="20"/>
        </w:rPr>
        <w:t>Relative performance in absolute total return to Unitholders compared to the Alerian MLP Index; an</w:t>
      </w:r>
      <w:r>
        <w:rPr>
          <w:rFonts w:eastAsia="Times New Roman"/>
          <w:sz w:val="20"/>
          <w:szCs w:val="20"/>
        </w:rPr>
        <w:t>d</w:t>
      </w:r>
    </w:p>
    <w:p w14:paraId="414BB116" w14:textId="77777777" w:rsidR="00000000" w:rsidRDefault="00832D71">
      <w:pPr>
        <w:jc w:val="both"/>
        <w:divId w:val="1531917306"/>
        <w:rPr>
          <w:rFonts w:eastAsia="Times New Roman"/>
        </w:rPr>
      </w:pPr>
      <w:r>
        <w:rPr>
          <w:rFonts w:eastAsia="Times New Roman"/>
          <w:sz w:val="20"/>
          <w:szCs w:val="20"/>
        </w:rPr>
        <w:t>4</w:t>
      </w:r>
    </w:p>
    <w:p w14:paraId="0FD573BC" w14:textId="77777777" w:rsidR="00000000" w:rsidRDefault="00832D71">
      <w:pPr>
        <w:jc w:val="both"/>
        <w:divId w:val="226260726"/>
        <w:rPr>
          <w:rFonts w:eastAsia="Times New Roman"/>
        </w:rPr>
      </w:pPr>
      <w:r>
        <w:rPr>
          <w:rFonts w:eastAsia="Times New Roman"/>
          <w:sz w:val="20"/>
          <w:szCs w:val="20"/>
        </w:rPr>
        <w:t>Advancements in the Partnership’s</w:t>
      </w:r>
      <w:r>
        <w:rPr>
          <w:rFonts w:eastAsia="Times New Roman"/>
          <w:sz w:val="20"/>
          <w:szCs w:val="20"/>
        </w:rPr>
        <w:t xml:space="preserve"> </w:t>
      </w:r>
      <w:r>
        <w:rPr>
          <w:rFonts w:eastAsia="Times New Roman"/>
          <w:b/>
          <w:bCs/>
          <w:i/>
          <w:iCs/>
          <w:sz w:val="20"/>
          <w:szCs w:val="20"/>
        </w:rPr>
        <w:t>Go Green with Suburban Propan</w:t>
      </w:r>
      <w:r>
        <w:rPr>
          <w:rFonts w:eastAsia="Times New Roman"/>
          <w:b/>
          <w:bCs/>
          <w:i/>
          <w:iCs/>
          <w:sz w:val="20"/>
          <w:szCs w:val="20"/>
        </w:rPr>
        <w:t>e</w:t>
      </w:r>
      <w:r>
        <w:rPr>
          <w:rFonts w:eastAsia="Times New Roman"/>
          <w:i/>
          <w:iCs/>
          <w:sz w:val="20"/>
          <w:szCs w:val="20"/>
        </w:rPr>
        <w:t xml:space="preserve"> </w:t>
      </w:r>
      <w:r>
        <w:rPr>
          <w:rFonts w:eastAsia="Times New Roman"/>
          <w:sz w:val="20"/>
          <w:szCs w:val="20"/>
        </w:rPr>
        <w:t>Initiative and other strategic growth initiative</w:t>
      </w:r>
      <w:r>
        <w:rPr>
          <w:rFonts w:eastAsia="Times New Roman"/>
          <w:sz w:val="20"/>
          <w:szCs w:val="20"/>
        </w:rPr>
        <w:t>s</w:t>
      </w:r>
    </w:p>
    <w:p w14:paraId="0AC5A581" w14:textId="77777777" w:rsidR="00000000" w:rsidRDefault="00832D71">
      <w:pPr>
        <w:pStyle w:val="a3"/>
        <w:spacing w:before="240" w:beforeAutospacing="0" w:after="0" w:afterAutospacing="0"/>
        <w:jc w:val="both"/>
        <w:rPr>
          <w:sz w:val="20"/>
          <w:szCs w:val="20"/>
        </w:rPr>
      </w:pPr>
      <w:r>
        <w:rPr>
          <w:i/>
          <w:iCs/>
          <w:sz w:val="20"/>
          <w:szCs w:val="20"/>
        </w:rPr>
        <w:t>Gran</w:t>
      </w:r>
      <w:r>
        <w:rPr>
          <w:i/>
          <w:iCs/>
          <w:sz w:val="20"/>
          <w:szCs w:val="20"/>
        </w:rPr>
        <w:t>t Proces</w:t>
      </w:r>
      <w:r>
        <w:rPr>
          <w:i/>
          <w:iCs/>
          <w:sz w:val="20"/>
          <w:szCs w:val="20"/>
        </w:rPr>
        <w:t>s</w:t>
      </w:r>
    </w:p>
    <w:p w14:paraId="5B6AEDCC" w14:textId="77777777" w:rsidR="00000000" w:rsidRDefault="00832D71">
      <w:pPr>
        <w:pStyle w:val="a3"/>
        <w:spacing w:before="240" w:beforeAutospacing="0" w:after="0" w:afterAutospacing="0"/>
        <w:ind w:firstLine="555"/>
        <w:jc w:val="both"/>
        <w:rPr>
          <w:sz w:val="20"/>
          <w:szCs w:val="20"/>
        </w:rPr>
      </w:pPr>
      <w:r>
        <w:rPr>
          <w:sz w:val="20"/>
          <w:szCs w:val="20"/>
        </w:rPr>
        <w:t>At the beginning of each fiscal year, LTIP phantom unit awards are granted as a Committee-approved percentage of each named executive officer’s salary. In accordance with the terms of the 2014 LTIP and the 2021 LTIP, at the beginning of the three</w:t>
      </w:r>
      <w:r>
        <w:rPr>
          <w:sz w:val="20"/>
          <w:szCs w:val="20"/>
        </w:rPr>
        <w:t>-year measurement periods for the fiscal 2020 and fiscal 2021 LTIP awards, the number of each named executive officer’s unvested LTIP phantom unit award was calculated by dividing their target LTIP amount (representing 50% of that named executive officer’s</w:t>
      </w:r>
      <w:r>
        <w:rPr>
          <w:sz w:val="20"/>
          <w:szCs w:val="20"/>
        </w:rPr>
        <w:t xml:space="preserve"> target cash bonus under the annual cash bonus plan) by the average of the closing prices of our Common Units for the twenty days preceding the beginning of the three-year measurement period. At its meeting on November 9, 2021, the Committee approved a mod</w:t>
      </w:r>
      <w:r>
        <w:rPr>
          <w:sz w:val="20"/>
          <w:szCs w:val="20"/>
        </w:rPr>
        <w:t>ification to the 2021 LTIP to provide for an increase in the target LTIP amount by increasing the target amount to represent 75% of the named executive officer’s (and certain other executive officers) target cash bonus under the annual cash bonus plan. Thi</w:t>
      </w:r>
      <w:r>
        <w:rPr>
          <w:sz w:val="20"/>
          <w:szCs w:val="20"/>
        </w:rPr>
        <w:t>s increased target amount is effective for the three-year measurement period beginning with the target award for the fiscal 2022 award cycle, which started at the beginning of fiscal 2022 and will end at the conclusion of fiscal 2024</w:t>
      </w:r>
      <w:r>
        <w:rPr>
          <w:sz w:val="20"/>
          <w:szCs w:val="20"/>
        </w:rPr>
        <w:t>.</w:t>
      </w:r>
      <w:r>
        <w:rPr>
          <w:sz w:val="20"/>
          <w:szCs w:val="20"/>
        </w:rPr>
        <w:t xml:space="preserve"> </w:t>
      </w:r>
    </w:p>
    <w:p w14:paraId="3031A432" w14:textId="77777777" w:rsidR="00000000" w:rsidRDefault="00832D71">
      <w:pPr>
        <w:pStyle w:val="a3"/>
        <w:spacing w:before="0" w:beforeAutospacing="0" w:after="0" w:afterAutospacing="0"/>
        <w:jc w:val="center"/>
        <w:rPr>
          <w:sz w:val="20"/>
          <w:szCs w:val="20"/>
        </w:rPr>
      </w:pPr>
      <w:r>
        <w:rPr>
          <w:sz w:val="20"/>
          <w:szCs w:val="20"/>
        </w:rPr>
        <w:t> </w:t>
      </w:r>
    </w:p>
    <w:p w14:paraId="7B74DA04" w14:textId="77777777" w:rsidR="00000000" w:rsidRDefault="00832D71">
      <w:pPr>
        <w:pStyle w:val="a3"/>
        <w:spacing w:before="0" w:beforeAutospacing="0" w:after="0" w:afterAutospacing="0"/>
        <w:jc w:val="center"/>
        <w:rPr>
          <w:sz w:val="20"/>
          <w:szCs w:val="20"/>
        </w:rPr>
      </w:pPr>
      <w:r>
        <w:rPr>
          <w:sz w:val="20"/>
          <w:szCs w:val="20"/>
        </w:rPr>
        <w:t>6</w:t>
      </w:r>
      <w:r>
        <w:rPr>
          <w:sz w:val="20"/>
          <w:szCs w:val="20"/>
        </w:rPr>
        <w:t>6</w:t>
      </w:r>
    </w:p>
    <w:p w14:paraId="4CDCD313" w14:textId="77777777" w:rsidR="00000000" w:rsidRDefault="00832D71">
      <w:pPr>
        <w:rPr>
          <w:rFonts w:eastAsia="Times New Roman"/>
        </w:rPr>
      </w:pPr>
      <w:r>
        <w:rPr>
          <w:rFonts w:eastAsia="Times New Roman"/>
        </w:rPr>
        <w:pict w14:anchorId="31A2EAF9">
          <v:rect id="_x0000_i1093" style="width:0;height:1.5pt" o:hralign="center" o:hrstd="t" o:hr="t" fillcolor="#a0a0a0" stroked="f"/>
        </w:pict>
      </w:r>
    </w:p>
    <w:p w14:paraId="4E9A510D"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11242EB3" w14:textId="77777777" w:rsidR="00000000" w:rsidRDefault="00832D71">
      <w:pPr>
        <w:pStyle w:val="a3"/>
        <w:spacing w:before="240" w:beforeAutospacing="0" w:after="0" w:afterAutospacing="0"/>
        <w:jc w:val="both"/>
        <w:rPr>
          <w:sz w:val="20"/>
          <w:szCs w:val="20"/>
        </w:rPr>
      </w:pPr>
      <w:r>
        <w:rPr>
          <w:i/>
          <w:iCs/>
          <w:sz w:val="20"/>
          <w:szCs w:val="20"/>
        </w:rPr>
        <w:t>Cash Payment</w:t>
      </w:r>
      <w:r>
        <w:rPr>
          <w:i/>
          <w:iCs/>
          <w:sz w:val="20"/>
          <w:szCs w:val="20"/>
        </w:rPr>
        <w:t>s</w:t>
      </w:r>
    </w:p>
    <w:p w14:paraId="34204DBD" w14:textId="77777777" w:rsidR="00000000" w:rsidRDefault="00832D71">
      <w:pPr>
        <w:pStyle w:val="a3"/>
        <w:spacing w:before="240" w:beforeAutospacing="0" w:after="0" w:afterAutospacing="0"/>
        <w:ind w:firstLine="555"/>
        <w:jc w:val="both"/>
        <w:rPr>
          <w:sz w:val="20"/>
          <w:szCs w:val="20"/>
        </w:rPr>
      </w:pPr>
      <w:r>
        <w:rPr>
          <w:sz w:val="20"/>
          <w:szCs w:val="20"/>
        </w:rPr>
        <w:t>For awards granted under the 2014 LTIP and 2021 LTIP, our named executive officers, as well as the other LTIP participants (all of whom are key employees), will, at the end of the three-year measurement period, receive cash payments equal to: (i) the quant</w:t>
      </w:r>
      <w:r>
        <w:rPr>
          <w:sz w:val="20"/>
          <w:szCs w:val="20"/>
        </w:rPr>
        <w:t>ity of the participant’s unvested phantom units that become vested phantom units at the conclusion of the three-year measurement period based on the applicable percentage earned under the respective plan multiplied by; (ii) the average of the closing price</w:t>
      </w:r>
      <w:r>
        <w:rPr>
          <w:sz w:val="20"/>
          <w:szCs w:val="20"/>
        </w:rPr>
        <w:t>s of our Common Units for the twenty days preceding the conclusion of the three-year measurement period, plus the sum of the distributions that would have inured to one of our outstanding Common Units during the three-year measurement period</w:t>
      </w:r>
      <w:r>
        <w:rPr>
          <w:sz w:val="20"/>
          <w:szCs w:val="20"/>
        </w:rPr>
        <w:t>.</w:t>
      </w:r>
    </w:p>
    <w:p w14:paraId="565314CA" w14:textId="77777777" w:rsidR="00000000" w:rsidRDefault="00832D71">
      <w:pPr>
        <w:pStyle w:val="a3"/>
        <w:spacing w:before="240" w:beforeAutospacing="0" w:after="0" w:afterAutospacing="0"/>
        <w:jc w:val="both"/>
        <w:rPr>
          <w:sz w:val="20"/>
          <w:szCs w:val="20"/>
        </w:rPr>
      </w:pPr>
      <w:r>
        <w:rPr>
          <w:i/>
          <w:iCs/>
          <w:sz w:val="20"/>
          <w:szCs w:val="20"/>
        </w:rPr>
        <w:t>Retirement Pr</w:t>
      </w:r>
      <w:r>
        <w:rPr>
          <w:i/>
          <w:iCs/>
          <w:sz w:val="20"/>
          <w:szCs w:val="20"/>
        </w:rPr>
        <w:t>ovisio</w:t>
      </w:r>
      <w:r>
        <w:rPr>
          <w:i/>
          <w:iCs/>
          <w:sz w:val="20"/>
          <w:szCs w:val="20"/>
        </w:rPr>
        <w:t>n</w:t>
      </w:r>
    </w:p>
    <w:p w14:paraId="4C516E03" w14:textId="77777777" w:rsidR="00000000" w:rsidRDefault="00832D71">
      <w:pPr>
        <w:pStyle w:val="a3"/>
        <w:spacing w:before="240" w:beforeAutospacing="0" w:after="0" w:afterAutospacing="0"/>
        <w:ind w:firstLine="555"/>
        <w:jc w:val="both"/>
        <w:rPr>
          <w:sz w:val="20"/>
          <w:szCs w:val="20"/>
        </w:rPr>
      </w:pPr>
      <w:r>
        <w:rPr>
          <w:sz w:val="20"/>
          <w:szCs w:val="20"/>
        </w:rPr>
        <w:t>The retirement provision applies to all LTIP participants who have been employed by the Partnership for ten years and have attained age 55. A retirement-eligible participant’s outstanding awards under the LTIP will vest as of the retirement-eligibl</w:t>
      </w:r>
      <w:r>
        <w:rPr>
          <w:sz w:val="20"/>
          <w:szCs w:val="20"/>
        </w:rPr>
        <w:t>e date, but will remain subject to the same three-year measurement period for purposes of determining the eventual cash payment, if any, at the conclusion of the remaining measurement period. Mr. Boyd, Mr. Brinkworth and Mr. Scanlon are our only named exec</w:t>
      </w:r>
      <w:r>
        <w:rPr>
          <w:sz w:val="20"/>
          <w:szCs w:val="20"/>
        </w:rPr>
        <w:t>utive officers to whom this retirement provision applied at the conclusion of fiscal 2022</w:t>
      </w:r>
      <w:r>
        <w:rPr>
          <w:sz w:val="20"/>
          <w:szCs w:val="20"/>
        </w:rPr>
        <w:t>.</w:t>
      </w:r>
      <w:r>
        <w:rPr>
          <w:sz w:val="20"/>
          <w:szCs w:val="20"/>
        </w:rPr>
        <w:t xml:space="preserve"> </w:t>
      </w:r>
    </w:p>
    <w:p w14:paraId="6AF640C1" w14:textId="77777777" w:rsidR="00000000" w:rsidRDefault="00832D71">
      <w:pPr>
        <w:pStyle w:val="a3"/>
        <w:spacing w:before="240" w:beforeAutospacing="0" w:after="0" w:afterAutospacing="0"/>
        <w:jc w:val="both"/>
        <w:rPr>
          <w:sz w:val="20"/>
          <w:szCs w:val="20"/>
        </w:rPr>
      </w:pPr>
      <w:r>
        <w:rPr>
          <w:i/>
          <w:iCs/>
          <w:sz w:val="20"/>
          <w:szCs w:val="20"/>
        </w:rPr>
        <w:t>Outstanding Awards under the 2021 LTI</w:t>
      </w:r>
      <w:r>
        <w:rPr>
          <w:i/>
          <w:iCs/>
          <w:sz w:val="20"/>
          <w:szCs w:val="20"/>
        </w:rPr>
        <w:t>P</w:t>
      </w:r>
    </w:p>
    <w:p w14:paraId="041F19E3" w14:textId="77777777" w:rsidR="00000000" w:rsidRDefault="00832D71">
      <w:pPr>
        <w:pStyle w:val="a3"/>
        <w:spacing w:before="240" w:beforeAutospacing="0" w:after="0" w:afterAutospacing="0"/>
        <w:ind w:firstLine="555"/>
        <w:jc w:val="both"/>
        <w:rPr>
          <w:sz w:val="20"/>
          <w:szCs w:val="20"/>
        </w:rPr>
      </w:pPr>
      <w:r>
        <w:rPr>
          <w:sz w:val="20"/>
          <w:szCs w:val="20"/>
        </w:rPr>
        <w:t>The following are the quantities of unvested LTIP phantom units granted to our named executive officers during fiscal 2022 an</w:t>
      </w:r>
      <w:r>
        <w:rPr>
          <w:sz w:val="20"/>
          <w:szCs w:val="20"/>
        </w:rPr>
        <w:t>d fiscal 2021 that will be used to calculate cash payments at the end of the respective award’s three-year measurement period</w:t>
      </w:r>
      <w:r>
        <w:rPr>
          <w:sz w:val="20"/>
          <w:szCs w:val="20"/>
        </w:rPr>
        <w:t>:</w:t>
      </w:r>
    </w:p>
    <w:p w14:paraId="3830D0FD" w14:textId="77777777" w:rsidR="00000000" w:rsidRDefault="00832D71">
      <w:pPr>
        <w:pStyle w:val="a3"/>
        <w:spacing w:before="0" w:beforeAutospacing="0" w:after="0" w:afterAutospacing="0"/>
        <w:jc w:val="center"/>
        <w:rPr>
          <w:sz w:val="20"/>
          <w:szCs w:val="20"/>
        </w:rPr>
      </w:pPr>
      <w:r>
        <w:rPr>
          <w:sz w:val="20"/>
          <w:szCs w:val="20"/>
        </w:rPr>
        <w:t> </w:t>
      </w:r>
    </w:p>
    <w:tbl>
      <w:tblPr>
        <w:tblW w:w="3950" w:type="pct"/>
        <w:tblCellSpacing w:w="15" w:type="dxa"/>
        <w:tblCellMar>
          <w:top w:w="15" w:type="dxa"/>
          <w:left w:w="15" w:type="dxa"/>
          <w:bottom w:w="15" w:type="dxa"/>
          <w:right w:w="15" w:type="dxa"/>
        </w:tblCellMar>
        <w:tblLook w:val="04A0" w:firstRow="1" w:lastRow="0" w:firstColumn="1" w:lastColumn="0" w:noHBand="0" w:noVBand="1"/>
      </w:tblPr>
      <w:tblGrid>
        <w:gridCol w:w="3749"/>
        <w:gridCol w:w="110"/>
        <w:gridCol w:w="110"/>
        <w:gridCol w:w="1069"/>
        <w:gridCol w:w="110"/>
        <w:gridCol w:w="110"/>
        <w:gridCol w:w="110"/>
        <w:gridCol w:w="1069"/>
        <w:gridCol w:w="125"/>
      </w:tblGrid>
      <w:tr w:rsidR="00000000" w14:paraId="3E8325EC" w14:textId="77777777">
        <w:trPr>
          <w:tblCellSpacing w:w="15" w:type="dxa"/>
        </w:trPr>
        <w:tc>
          <w:tcPr>
            <w:tcW w:w="2975" w:type="pct"/>
            <w:vAlign w:val="center"/>
            <w:hideMark/>
          </w:tcPr>
          <w:p w14:paraId="43CE443D" w14:textId="77777777" w:rsidR="00000000" w:rsidRDefault="00832D71">
            <w:pPr>
              <w:rPr>
                <w:sz w:val="20"/>
                <w:szCs w:val="20"/>
              </w:rPr>
            </w:pPr>
          </w:p>
        </w:tc>
        <w:tc>
          <w:tcPr>
            <w:tcW w:w="63" w:type="pct"/>
            <w:vAlign w:val="center"/>
            <w:hideMark/>
          </w:tcPr>
          <w:p w14:paraId="5B1CB931" w14:textId="77777777" w:rsidR="00000000" w:rsidRDefault="00832D71">
            <w:pPr>
              <w:rPr>
                <w:rFonts w:eastAsia="Times New Roman"/>
                <w:sz w:val="20"/>
                <w:szCs w:val="20"/>
              </w:rPr>
            </w:pPr>
          </w:p>
        </w:tc>
        <w:tc>
          <w:tcPr>
            <w:tcW w:w="50" w:type="pct"/>
            <w:vAlign w:val="center"/>
            <w:hideMark/>
          </w:tcPr>
          <w:p w14:paraId="77F96F41" w14:textId="77777777" w:rsidR="00000000" w:rsidRDefault="00832D71">
            <w:pPr>
              <w:rPr>
                <w:rFonts w:eastAsia="Times New Roman"/>
                <w:sz w:val="20"/>
                <w:szCs w:val="20"/>
              </w:rPr>
            </w:pPr>
          </w:p>
        </w:tc>
        <w:tc>
          <w:tcPr>
            <w:tcW w:w="848" w:type="pct"/>
            <w:vAlign w:val="center"/>
            <w:hideMark/>
          </w:tcPr>
          <w:p w14:paraId="372E0461" w14:textId="77777777" w:rsidR="00000000" w:rsidRDefault="00832D71">
            <w:pPr>
              <w:rPr>
                <w:rFonts w:eastAsia="Times New Roman"/>
                <w:sz w:val="20"/>
                <w:szCs w:val="20"/>
              </w:rPr>
            </w:pPr>
          </w:p>
        </w:tc>
        <w:tc>
          <w:tcPr>
            <w:tcW w:w="50" w:type="pct"/>
            <w:vAlign w:val="center"/>
            <w:hideMark/>
          </w:tcPr>
          <w:p w14:paraId="7B6AC923" w14:textId="77777777" w:rsidR="00000000" w:rsidRDefault="00832D71">
            <w:pPr>
              <w:rPr>
                <w:rFonts w:eastAsia="Times New Roman"/>
                <w:sz w:val="20"/>
                <w:szCs w:val="20"/>
              </w:rPr>
            </w:pPr>
          </w:p>
        </w:tc>
        <w:tc>
          <w:tcPr>
            <w:tcW w:w="63" w:type="pct"/>
            <w:vAlign w:val="center"/>
            <w:hideMark/>
          </w:tcPr>
          <w:p w14:paraId="4AB343FE" w14:textId="77777777" w:rsidR="00000000" w:rsidRDefault="00832D71">
            <w:pPr>
              <w:rPr>
                <w:rFonts w:eastAsia="Times New Roman"/>
                <w:sz w:val="20"/>
                <w:szCs w:val="20"/>
              </w:rPr>
            </w:pPr>
          </w:p>
        </w:tc>
        <w:tc>
          <w:tcPr>
            <w:tcW w:w="50" w:type="pct"/>
            <w:vAlign w:val="center"/>
            <w:hideMark/>
          </w:tcPr>
          <w:p w14:paraId="5A443FEA" w14:textId="77777777" w:rsidR="00000000" w:rsidRDefault="00832D71">
            <w:pPr>
              <w:rPr>
                <w:rFonts w:eastAsia="Times New Roman"/>
                <w:sz w:val="20"/>
                <w:szCs w:val="20"/>
              </w:rPr>
            </w:pPr>
          </w:p>
        </w:tc>
        <w:tc>
          <w:tcPr>
            <w:tcW w:w="848" w:type="pct"/>
            <w:vAlign w:val="center"/>
            <w:hideMark/>
          </w:tcPr>
          <w:p w14:paraId="0754C948" w14:textId="77777777" w:rsidR="00000000" w:rsidRDefault="00832D71">
            <w:pPr>
              <w:rPr>
                <w:rFonts w:eastAsia="Times New Roman"/>
                <w:sz w:val="20"/>
                <w:szCs w:val="20"/>
              </w:rPr>
            </w:pPr>
          </w:p>
        </w:tc>
        <w:tc>
          <w:tcPr>
            <w:tcW w:w="50" w:type="pct"/>
            <w:vAlign w:val="center"/>
            <w:hideMark/>
          </w:tcPr>
          <w:p w14:paraId="5ABA7764" w14:textId="77777777" w:rsidR="00000000" w:rsidRDefault="00832D71">
            <w:pPr>
              <w:rPr>
                <w:rFonts w:eastAsia="Times New Roman"/>
                <w:sz w:val="20"/>
                <w:szCs w:val="20"/>
              </w:rPr>
            </w:pPr>
          </w:p>
        </w:tc>
      </w:tr>
      <w:tr w:rsidR="00000000" w14:paraId="5E6C7E77" w14:textId="77777777">
        <w:trPr>
          <w:trHeight w:val="160"/>
          <w:tblCellSpacing w:w="15" w:type="dxa"/>
        </w:trPr>
        <w:tc>
          <w:tcPr>
            <w:tcW w:w="0" w:type="auto"/>
            <w:vAlign w:val="bottom"/>
            <w:hideMark/>
          </w:tcPr>
          <w:p w14:paraId="4852AC78"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6AF5A5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029F19C" w14:textId="77777777" w:rsidR="00000000" w:rsidRDefault="00832D71">
            <w:pPr>
              <w:pStyle w:val="a3"/>
              <w:spacing w:before="0" w:beforeAutospacing="0" w:after="0" w:afterAutospacing="0"/>
              <w:jc w:val="center"/>
              <w:rPr>
                <w:sz w:val="16"/>
                <w:szCs w:val="16"/>
              </w:rPr>
            </w:pPr>
            <w:r>
              <w:rPr>
                <w:b/>
                <w:bCs/>
                <w:sz w:val="16"/>
                <w:szCs w:val="16"/>
              </w:rPr>
              <w:t>Fiscal 2022 Awar</w:t>
            </w:r>
            <w:r>
              <w:rPr>
                <w:b/>
                <w:bCs/>
                <w:sz w:val="16"/>
                <w:szCs w:val="16"/>
              </w:rPr>
              <w:t>d</w:t>
            </w:r>
          </w:p>
        </w:tc>
        <w:tc>
          <w:tcPr>
            <w:tcW w:w="0" w:type="auto"/>
            <w:vAlign w:val="bottom"/>
            <w:hideMark/>
          </w:tcPr>
          <w:p w14:paraId="5426A904"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A2ED2E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15D903B" w14:textId="77777777" w:rsidR="00000000" w:rsidRDefault="00832D71">
            <w:pPr>
              <w:pStyle w:val="a3"/>
              <w:spacing w:before="0" w:beforeAutospacing="0" w:after="0" w:afterAutospacing="0"/>
              <w:jc w:val="center"/>
              <w:rPr>
                <w:sz w:val="16"/>
                <w:szCs w:val="16"/>
              </w:rPr>
            </w:pPr>
            <w:r>
              <w:rPr>
                <w:b/>
                <w:bCs/>
                <w:sz w:val="16"/>
                <w:szCs w:val="16"/>
              </w:rPr>
              <w:t>Fiscal 2021 Awar</w:t>
            </w:r>
            <w:r>
              <w:rPr>
                <w:b/>
                <w:bCs/>
                <w:sz w:val="16"/>
                <w:szCs w:val="16"/>
              </w:rPr>
              <w:t>d</w:t>
            </w:r>
          </w:p>
        </w:tc>
        <w:tc>
          <w:tcPr>
            <w:tcW w:w="0" w:type="auto"/>
            <w:vAlign w:val="bottom"/>
            <w:hideMark/>
          </w:tcPr>
          <w:p w14:paraId="1D72F6A3"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7C5A8FB" w14:textId="77777777">
        <w:trPr>
          <w:trHeight w:val="200"/>
          <w:tblCellSpacing w:w="15" w:type="dxa"/>
        </w:trPr>
        <w:tc>
          <w:tcPr>
            <w:tcW w:w="0" w:type="auto"/>
            <w:hideMark/>
          </w:tcPr>
          <w:p w14:paraId="033C7E5D" w14:textId="77777777" w:rsidR="00000000" w:rsidRDefault="00832D71">
            <w:pPr>
              <w:pStyle w:val="a3"/>
              <w:spacing w:before="0" w:beforeAutospacing="0" w:after="0" w:afterAutospacing="0"/>
              <w:rPr>
                <w:sz w:val="20"/>
                <w:szCs w:val="20"/>
              </w:rPr>
            </w:pPr>
            <w:r>
              <w:rPr>
                <w:sz w:val="20"/>
                <w:szCs w:val="20"/>
              </w:rPr>
              <w:t>Michael A. Stival</w:t>
            </w:r>
            <w:r>
              <w:rPr>
                <w:sz w:val="20"/>
                <w:szCs w:val="20"/>
              </w:rPr>
              <w:t>a</w:t>
            </w:r>
          </w:p>
        </w:tc>
        <w:tc>
          <w:tcPr>
            <w:tcW w:w="0" w:type="auto"/>
            <w:hideMark/>
          </w:tcPr>
          <w:p w14:paraId="42C8752D"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1F440C7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09E851A" w14:textId="77777777" w:rsidR="00000000" w:rsidRDefault="00832D71">
            <w:pPr>
              <w:pStyle w:val="a3"/>
              <w:spacing w:before="0" w:beforeAutospacing="0" w:after="0" w:afterAutospacing="0"/>
              <w:jc w:val="right"/>
              <w:rPr>
                <w:sz w:val="20"/>
                <w:szCs w:val="20"/>
              </w:rPr>
            </w:pPr>
            <w:r>
              <w:rPr>
                <w:sz w:val="20"/>
                <w:szCs w:val="20"/>
              </w:rPr>
              <w:t>48,43</w:t>
            </w:r>
            <w:r>
              <w:rPr>
                <w:sz w:val="20"/>
                <w:szCs w:val="20"/>
              </w:rPr>
              <w:t>6</w:t>
            </w:r>
          </w:p>
        </w:tc>
        <w:tc>
          <w:tcPr>
            <w:tcW w:w="0" w:type="auto"/>
            <w:noWrap/>
            <w:hideMark/>
          </w:tcPr>
          <w:p w14:paraId="2C64EA7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682F380"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8C4586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F805EA0" w14:textId="77777777" w:rsidR="00000000" w:rsidRDefault="00832D71">
            <w:pPr>
              <w:pStyle w:val="a3"/>
              <w:spacing w:before="0" w:beforeAutospacing="0" w:after="0" w:afterAutospacing="0"/>
              <w:jc w:val="right"/>
              <w:rPr>
                <w:sz w:val="20"/>
                <w:szCs w:val="20"/>
              </w:rPr>
            </w:pPr>
            <w:r>
              <w:rPr>
                <w:sz w:val="20"/>
                <w:szCs w:val="20"/>
              </w:rPr>
              <w:t>22,03</w:t>
            </w:r>
            <w:r>
              <w:rPr>
                <w:sz w:val="20"/>
                <w:szCs w:val="20"/>
              </w:rPr>
              <w:t>6</w:t>
            </w:r>
          </w:p>
        </w:tc>
        <w:tc>
          <w:tcPr>
            <w:tcW w:w="0" w:type="auto"/>
            <w:noWrap/>
            <w:hideMark/>
          </w:tcPr>
          <w:p w14:paraId="7ABB1FF3" w14:textId="77777777" w:rsidR="00000000" w:rsidRDefault="00832D71">
            <w:pPr>
              <w:pStyle w:val="a3"/>
              <w:spacing w:before="0" w:beforeAutospacing="0" w:after="0" w:afterAutospacing="0"/>
              <w:rPr>
                <w:sz w:val="20"/>
                <w:szCs w:val="20"/>
              </w:rPr>
            </w:pPr>
            <w:r>
              <w:rPr>
                <w:sz w:val="20"/>
                <w:szCs w:val="20"/>
              </w:rPr>
              <w:t> </w:t>
            </w:r>
          </w:p>
        </w:tc>
      </w:tr>
      <w:tr w:rsidR="00000000" w14:paraId="65AAB61D" w14:textId="77777777">
        <w:trPr>
          <w:trHeight w:val="200"/>
          <w:tblCellSpacing w:w="15" w:type="dxa"/>
        </w:trPr>
        <w:tc>
          <w:tcPr>
            <w:tcW w:w="0" w:type="auto"/>
            <w:hideMark/>
          </w:tcPr>
          <w:p w14:paraId="74F0A130" w14:textId="77777777" w:rsidR="00000000" w:rsidRDefault="00832D71">
            <w:pPr>
              <w:pStyle w:val="a3"/>
              <w:spacing w:before="0" w:beforeAutospacing="0" w:after="0" w:afterAutospacing="0"/>
              <w:rPr>
                <w:sz w:val="20"/>
                <w:szCs w:val="20"/>
              </w:rPr>
            </w:pPr>
            <w:r>
              <w:rPr>
                <w:sz w:val="20"/>
                <w:szCs w:val="20"/>
              </w:rPr>
              <w:t>Michael A. Kugli</w:t>
            </w:r>
            <w:r>
              <w:rPr>
                <w:sz w:val="20"/>
                <w:szCs w:val="20"/>
              </w:rPr>
              <w:t>n</w:t>
            </w:r>
          </w:p>
        </w:tc>
        <w:tc>
          <w:tcPr>
            <w:tcW w:w="0" w:type="auto"/>
            <w:hideMark/>
          </w:tcPr>
          <w:p w14:paraId="4E649FF4"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055934A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A468CF1" w14:textId="77777777" w:rsidR="00000000" w:rsidRDefault="00832D71">
            <w:pPr>
              <w:pStyle w:val="a3"/>
              <w:spacing w:before="0" w:beforeAutospacing="0" w:after="0" w:afterAutospacing="0"/>
              <w:jc w:val="right"/>
              <w:rPr>
                <w:sz w:val="20"/>
                <w:szCs w:val="20"/>
              </w:rPr>
            </w:pPr>
            <w:r>
              <w:rPr>
                <w:sz w:val="20"/>
                <w:szCs w:val="20"/>
              </w:rPr>
              <w:t>17,72</w:t>
            </w:r>
            <w:r>
              <w:rPr>
                <w:sz w:val="20"/>
                <w:szCs w:val="20"/>
              </w:rPr>
              <w:t>1</w:t>
            </w:r>
          </w:p>
        </w:tc>
        <w:tc>
          <w:tcPr>
            <w:tcW w:w="0" w:type="auto"/>
            <w:noWrap/>
            <w:hideMark/>
          </w:tcPr>
          <w:p w14:paraId="0F99C6F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9724A79"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09FB08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9447AE6" w14:textId="77777777" w:rsidR="00000000" w:rsidRDefault="00832D71">
            <w:pPr>
              <w:pStyle w:val="a3"/>
              <w:spacing w:before="0" w:beforeAutospacing="0" w:after="0" w:afterAutospacing="0"/>
              <w:jc w:val="right"/>
              <w:rPr>
                <w:sz w:val="20"/>
                <w:szCs w:val="20"/>
              </w:rPr>
            </w:pPr>
            <w:r>
              <w:rPr>
                <w:sz w:val="20"/>
                <w:szCs w:val="20"/>
              </w:rPr>
              <w:t>11,75</w:t>
            </w:r>
            <w:r>
              <w:rPr>
                <w:sz w:val="20"/>
                <w:szCs w:val="20"/>
              </w:rPr>
              <w:t>3</w:t>
            </w:r>
          </w:p>
        </w:tc>
        <w:tc>
          <w:tcPr>
            <w:tcW w:w="0" w:type="auto"/>
            <w:noWrap/>
            <w:hideMark/>
          </w:tcPr>
          <w:p w14:paraId="732B7815" w14:textId="77777777" w:rsidR="00000000" w:rsidRDefault="00832D71">
            <w:pPr>
              <w:pStyle w:val="a3"/>
              <w:spacing w:before="0" w:beforeAutospacing="0" w:after="0" w:afterAutospacing="0"/>
              <w:rPr>
                <w:sz w:val="20"/>
                <w:szCs w:val="20"/>
              </w:rPr>
            </w:pPr>
            <w:r>
              <w:rPr>
                <w:sz w:val="20"/>
                <w:szCs w:val="20"/>
              </w:rPr>
              <w:t> </w:t>
            </w:r>
          </w:p>
        </w:tc>
      </w:tr>
      <w:tr w:rsidR="00000000" w14:paraId="55AB86A4" w14:textId="77777777">
        <w:trPr>
          <w:trHeight w:val="200"/>
          <w:tblCellSpacing w:w="15" w:type="dxa"/>
        </w:trPr>
        <w:tc>
          <w:tcPr>
            <w:tcW w:w="0" w:type="auto"/>
            <w:hideMark/>
          </w:tcPr>
          <w:p w14:paraId="6119535F" w14:textId="77777777" w:rsidR="00000000" w:rsidRDefault="00832D71">
            <w:pPr>
              <w:pStyle w:val="a3"/>
              <w:spacing w:before="0" w:beforeAutospacing="0" w:after="0" w:afterAutospacing="0"/>
              <w:rPr>
                <w:sz w:val="20"/>
                <w:szCs w:val="20"/>
              </w:rPr>
            </w:pPr>
            <w:r>
              <w:rPr>
                <w:sz w:val="20"/>
                <w:szCs w:val="20"/>
              </w:rPr>
              <w:t>Steven C. Boy</w:t>
            </w:r>
            <w:r>
              <w:rPr>
                <w:sz w:val="20"/>
                <w:szCs w:val="20"/>
              </w:rPr>
              <w:t>d</w:t>
            </w:r>
          </w:p>
        </w:tc>
        <w:tc>
          <w:tcPr>
            <w:tcW w:w="0" w:type="auto"/>
            <w:hideMark/>
          </w:tcPr>
          <w:p w14:paraId="23A03F60"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5AC13E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5835596" w14:textId="77777777" w:rsidR="00000000" w:rsidRDefault="00832D71">
            <w:pPr>
              <w:pStyle w:val="a3"/>
              <w:spacing w:before="0" w:beforeAutospacing="0" w:after="0" w:afterAutospacing="0"/>
              <w:jc w:val="right"/>
              <w:rPr>
                <w:sz w:val="20"/>
                <w:szCs w:val="20"/>
              </w:rPr>
            </w:pPr>
            <w:r>
              <w:rPr>
                <w:sz w:val="20"/>
                <w:szCs w:val="20"/>
              </w:rPr>
              <w:t>18,11</w:t>
            </w:r>
            <w:r>
              <w:rPr>
                <w:sz w:val="20"/>
                <w:szCs w:val="20"/>
              </w:rPr>
              <w:t>4</w:t>
            </w:r>
          </w:p>
        </w:tc>
        <w:tc>
          <w:tcPr>
            <w:tcW w:w="0" w:type="auto"/>
            <w:noWrap/>
            <w:hideMark/>
          </w:tcPr>
          <w:p w14:paraId="5A7733D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A0C5224"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35B7E7C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B446A34" w14:textId="77777777" w:rsidR="00000000" w:rsidRDefault="00832D71">
            <w:pPr>
              <w:pStyle w:val="a3"/>
              <w:spacing w:before="0" w:beforeAutospacing="0" w:after="0" w:afterAutospacing="0"/>
              <w:jc w:val="right"/>
              <w:rPr>
                <w:sz w:val="20"/>
                <w:szCs w:val="20"/>
              </w:rPr>
            </w:pPr>
            <w:r>
              <w:rPr>
                <w:sz w:val="20"/>
                <w:szCs w:val="20"/>
              </w:rPr>
              <w:t>11,75</w:t>
            </w:r>
            <w:r>
              <w:rPr>
                <w:sz w:val="20"/>
                <w:szCs w:val="20"/>
              </w:rPr>
              <w:t>3</w:t>
            </w:r>
          </w:p>
        </w:tc>
        <w:tc>
          <w:tcPr>
            <w:tcW w:w="0" w:type="auto"/>
            <w:noWrap/>
            <w:hideMark/>
          </w:tcPr>
          <w:p w14:paraId="3AAB38B7" w14:textId="77777777" w:rsidR="00000000" w:rsidRDefault="00832D71">
            <w:pPr>
              <w:pStyle w:val="a3"/>
              <w:spacing w:before="0" w:beforeAutospacing="0" w:after="0" w:afterAutospacing="0"/>
              <w:rPr>
                <w:sz w:val="20"/>
                <w:szCs w:val="20"/>
              </w:rPr>
            </w:pPr>
            <w:r>
              <w:rPr>
                <w:sz w:val="20"/>
                <w:szCs w:val="20"/>
              </w:rPr>
              <w:t> </w:t>
            </w:r>
          </w:p>
        </w:tc>
      </w:tr>
      <w:tr w:rsidR="00000000" w14:paraId="22A01267" w14:textId="77777777">
        <w:trPr>
          <w:trHeight w:val="200"/>
          <w:tblCellSpacing w:w="15" w:type="dxa"/>
        </w:trPr>
        <w:tc>
          <w:tcPr>
            <w:tcW w:w="0" w:type="auto"/>
            <w:hideMark/>
          </w:tcPr>
          <w:p w14:paraId="30592A54" w14:textId="77777777" w:rsidR="00000000" w:rsidRDefault="00832D71">
            <w:pPr>
              <w:pStyle w:val="a3"/>
              <w:spacing w:before="0" w:beforeAutospacing="0" w:after="0" w:afterAutospacing="0"/>
              <w:rPr>
                <w:sz w:val="20"/>
                <w:szCs w:val="20"/>
              </w:rPr>
            </w:pPr>
            <w:r>
              <w:rPr>
                <w:sz w:val="20"/>
                <w:szCs w:val="20"/>
              </w:rPr>
              <w:t>Douglas T. Brinkwort</w:t>
            </w:r>
            <w:r>
              <w:rPr>
                <w:sz w:val="20"/>
                <w:szCs w:val="20"/>
              </w:rPr>
              <w:t>h</w:t>
            </w:r>
          </w:p>
        </w:tc>
        <w:tc>
          <w:tcPr>
            <w:tcW w:w="0" w:type="auto"/>
            <w:hideMark/>
          </w:tcPr>
          <w:p w14:paraId="67B9AFCE"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99A632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2D9B50B" w14:textId="77777777" w:rsidR="00000000" w:rsidRDefault="00832D71">
            <w:pPr>
              <w:pStyle w:val="a3"/>
              <w:spacing w:before="0" w:beforeAutospacing="0" w:after="0" w:afterAutospacing="0"/>
              <w:jc w:val="right"/>
              <w:rPr>
                <w:sz w:val="20"/>
                <w:szCs w:val="20"/>
              </w:rPr>
            </w:pPr>
            <w:r>
              <w:rPr>
                <w:sz w:val="20"/>
                <w:szCs w:val="20"/>
              </w:rPr>
              <w:t>15,75</w:t>
            </w:r>
            <w:r>
              <w:rPr>
                <w:sz w:val="20"/>
                <w:szCs w:val="20"/>
              </w:rPr>
              <w:t>2</w:t>
            </w:r>
          </w:p>
        </w:tc>
        <w:tc>
          <w:tcPr>
            <w:tcW w:w="0" w:type="auto"/>
            <w:noWrap/>
            <w:hideMark/>
          </w:tcPr>
          <w:p w14:paraId="4503287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534ED72"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A86046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264DDE3" w14:textId="77777777" w:rsidR="00000000" w:rsidRDefault="00832D71">
            <w:pPr>
              <w:pStyle w:val="a3"/>
              <w:spacing w:before="0" w:beforeAutospacing="0" w:after="0" w:afterAutospacing="0"/>
              <w:jc w:val="right"/>
              <w:rPr>
                <w:sz w:val="20"/>
                <w:szCs w:val="20"/>
              </w:rPr>
            </w:pPr>
            <w:r>
              <w:rPr>
                <w:sz w:val="20"/>
                <w:szCs w:val="20"/>
              </w:rPr>
              <w:t>10,57</w:t>
            </w:r>
            <w:r>
              <w:rPr>
                <w:sz w:val="20"/>
                <w:szCs w:val="20"/>
              </w:rPr>
              <w:t>7</w:t>
            </w:r>
          </w:p>
        </w:tc>
        <w:tc>
          <w:tcPr>
            <w:tcW w:w="0" w:type="auto"/>
            <w:noWrap/>
            <w:hideMark/>
          </w:tcPr>
          <w:p w14:paraId="72A0EC8F" w14:textId="77777777" w:rsidR="00000000" w:rsidRDefault="00832D71">
            <w:pPr>
              <w:pStyle w:val="a3"/>
              <w:spacing w:before="0" w:beforeAutospacing="0" w:after="0" w:afterAutospacing="0"/>
              <w:rPr>
                <w:sz w:val="20"/>
                <w:szCs w:val="20"/>
              </w:rPr>
            </w:pPr>
            <w:r>
              <w:rPr>
                <w:sz w:val="20"/>
                <w:szCs w:val="20"/>
              </w:rPr>
              <w:t> </w:t>
            </w:r>
          </w:p>
        </w:tc>
      </w:tr>
      <w:tr w:rsidR="00000000" w14:paraId="18BD75AC" w14:textId="77777777">
        <w:trPr>
          <w:trHeight w:val="200"/>
          <w:tblCellSpacing w:w="15" w:type="dxa"/>
        </w:trPr>
        <w:tc>
          <w:tcPr>
            <w:tcW w:w="0" w:type="auto"/>
            <w:hideMark/>
          </w:tcPr>
          <w:p w14:paraId="71EECBE9" w14:textId="77777777" w:rsidR="00000000" w:rsidRDefault="00832D71">
            <w:pPr>
              <w:pStyle w:val="a3"/>
              <w:spacing w:before="0" w:beforeAutospacing="0" w:after="0" w:afterAutospacing="0"/>
              <w:rPr>
                <w:sz w:val="20"/>
                <w:szCs w:val="20"/>
              </w:rPr>
            </w:pPr>
            <w:r>
              <w:rPr>
                <w:sz w:val="20"/>
                <w:szCs w:val="20"/>
              </w:rPr>
              <w:t>Neil E. Scanlo</w:t>
            </w:r>
            <w:r>
              <w:rPr>
                <w:sz w:val="20"/>
                <w:szCs w:val="20"/>
              </w:rPr>
              <w:t>n</w:t>
            </w:r>
          </w:p>
        </w:tc>
        <w:tc>
          <w:tcPr>
            <w:tcW w:w="0" w:type="auto"/>
            <w:hideMark/>
          </w:tcPr>
          <w:p w14:paraId="7111A952"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4D999C6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9123819" w14:textId="77777777" w:rsidR="00000000" w:rsidRDefault="00832D71">
            <w:pPr>
              <w:pStyle w:val="a3"/>
              <w:spacing w:before="0" w:beforeAutospacing="0" w:after="0" w:afterAutospacing="0"/>
              <w:jc w:val="right"/>
              <w:rPr>
                <w:sz w:val="20"/>
                <w:szCs w:val="20"/>
              </w:rPr>
            </w:pPr>
            <w:r>
              <w:rPr>
                <w:sz w:val="20"/>
                <w:szCs w:val="20"/>
              </w:rPr>
              <w:t>13,78</w:t>
            </w:r>
            <w:r>
              <w:rPr>
                <w:sz w:val="20"/>
                <w:szCs w:val="20"/>
              </w:rPr>
              <w:t>3</w:t>
            </w:r>
          </w:p>
        </w:tc>
        <w:tc>
          <w:tcPr>
            <w:tcW w:w="0" w:type="auto"/>
            <w:noWrap/>
            <w:hideMark/>
          </w:tcPr>
          <w:p w14:paraId="6AFEC34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A96CE2A"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16700AD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35C6498" w14:textId="77777777" w:rsidR="00000000" w:rsidRDefault="00832D71">
            <w:pPr>
              <w:pStyle w:val="a3"/>
              <w:spacing w:before="0" w:beforeAutospacing="0" w:after="0" w:afterAutospacing="0"/>
              <w:jc w:val="right"/>
              <w:rPr>
                <w:sz w:val="20"/>
                <w:szCs w:val="20"/>
              </w:rPr>
            </w:pPr>
            <w:r>
              <w:rPr>
                <w:sz w:val="20"/>
                <w:szCs w:val="20"/>
              </w:rPr>
              <w:t>9,40</w:t>
            </w:r>
            <w:r>
              <w:rPr>
                <w:sz w:val="20"/>
                <w:szCs w:val="20"/>
              </w:rPr>
              <w:t>2</w:t>
            </w:r>
          </w:p>
        </w:tc>
        <w:tc>
          <w:tcPr>
            <w:tcW w:w="0" w:type="auto"/>
            <w:noWrap/>
            <w:hideMark/>
          </w:tcPr>
          <w:p w14:paraId="6A8C058A" w14:textId="77777777" w:rsidR="00000000" w:rsidRDefault="00832D71">
            <w:pPr>
              <w:pStyle w:val="a3"/>
              <w:spacing w:before="0" w:beforeAutospacing="0" w:after="0" w:afterAutospacing="0"/>
              <w:rPr>
                <w:sz w:val="20"/>
                <w:szCs w:val="20"/>
              </w:rPr>
            </w:pPr>
            <w:r>
              <w:rPr>
                <w:sz w:val="20"/>
                <w:szCs w:val="20"/>
              </w:rPr>
              <w:t> </w:t>
            </w:r>
          </w:p>
        </w:tc>
      </w:tr>
    </w:tbl>
    <w:p w14:paraId="37580899" w14:textId="77777777" w:rsidR="00000000" w:rsidRDefault="00832D71">
      <w:pPr>
        <w:pStyle w:val="a3"/>
        <w:spacing w:before="240" w:beforeAutospacing="0" w:after="0" w:afterAutospacing="0"/>
        <w:ind w:firstLine="555"/>
        <w:rPr>
          <w:sz w:val="20"/>
          <w:szCs w:val="20"/>
        </w:rPr>
      </w:pPr>
      <w:r>
        <w:rPr>
          <w:sz w:val="20"/>
          <w:szCs w:val="20"/>
        </w:rPr>
        <w:t>The grant date values based on the target outcomes of the awards under the LTIP granted during fiscal 2022, fiscal 2021 and fiscal 2020 are reported in the column titled “Unit Awards” in the Summary Compensation Table below</w:t>
      </w:r>
      <w:r>
        <w:rPr>
          <w:sz w:val="20"/>
          <w:szCs w:val="20"/>
        </w:rPr>
        <w:t>.</w:t>
      </w:r>
    </w:p>
    <w:p w14:paraId="474EA980" w14:textId="77777777" w:rsidR="00000000" w:rsidRDefault="00832D71">
      <w:pPr>
        <w:pStyle w:val="a3"/>
        <w:spacing w:before="240" w:beforeAutospacing="0" w:after="0" w:afterAutospacing="0"/>
        <w:ind w:firstLine="555"/>
        <w:jc w:val="both"/>
        <w:rPr>
          <w:sz w:val="20"/>
          <w:szCs w:val="20"/>
        </w:rPr>
      </w:pPr>
      <w:r>
        <w:rPr>
          <w:sz w:val="20"/>
          <w:szCs w:val="20"/>
        </w:rPr>
        <w:t>At its meeting on November 8, 2</w:t>
      </w:r>
      <w:r>
        <w:rPr>
          <w:sz w:val="20"/>
          <w:szCs w:val="20"/>
        </w:rPr>
        <w:t>022, the Committee granted the following quantities of unvested LTIP phantom units to our named executive officers for fiscal 2023. These quantities will be used to calculate cash payments, if earned, at the end of this award’s three-year measurement perio</w:t>
      </w:r>
      <w:r>
        <w:rPr>
          <w:sz w:val="20"/>
          <w:szCs w:val="20"/>
        </w:rPr>
        <w:t>d (i.e., at the end of fiscal 2025)</w:t>
      </w:r>
      <w:r>
        <w:rPr>
          <w:sz w:val="20"/>
          <w:szCs w:val="20"/>
        </w:rPr>
        <w:t>.</w:t>
      </w:r>
    </w:p>
    <w:p w14:paraId="2FC97E20" w14:textId="77777777" w:rsidR="00000000" w:rsidRDefault="00832D71">
      <w:pPr>
        <w:pStyle w:val="a3"/>
        <w:spacing w:before="0" w:beforeAutospacing="0" w:after="0" w:afterAutospacing="0"/>
        <w:jc w:val="center"/>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637"/>
        <w:gridCol w:w="110"/>
        <w:gridCol w:w="110"/>
        <w:gridCol w:w="1663"/>
        <w:gridCol w:w="125"/>
      </w:tblGrid>
      <w:tr w:rsidR="00000000" w14:paraId="53B0887D" w14:textId="77777777">
        <w:trPr>
          <w:tblCellSpacing w:w="15" w:type="dxa"/>
        </w:trPr>
        <w:tc>
          <w:tcPr>
            <w:tcW w:w="3558" w:type="pct"/>
            <w:vAlign w:val="center"/>
            <w:hideMark/>
          </w:tcPr>
          <w:p w14:paraId="5FF8574F" w14:textId="77777777" w:rsidR="00000000" w:rsidRDefault="00832D71">
            <w:pPr>
              <w:rPr>
                <w:sz w:val="20"/>
                <w:szCs w:val="20"/>
              </w:rPr>
            </w:pPr>
          </w:p>
        </w:tc>
        <w:tc>
          <w:tcPr>
            <w:tcW w:w="63" w:type="pct"/>
            <w:vAlign w:val="center"/>
            <w:hideMark/>
          </w:tcPr>
          <w:p w14:paraId="553A48B1" w14:textId="77777777" w:rsidR="00000000" w:rsidRDefault="00832D71">
            <w:pPr>
              <w:rPr>
                <w:rFonts w:eastAsia="Times New Roman"/>
                <w:sz w:val="20"/>
                <w:szCs w:val="20"/>
              </w:rPr>
            </w:pPr>
          </w:p>
        </w:tc>
        <w:tc>
          <w:tcPr>
            <w:tcW w:w="50" w:type="pct"/>
            <w:vAlign w:val="center"/>
            <w:hideMark/>
          </w:tcPr>
          <w:p w14:paraId="380383B8" w14:textId="77777777" w:rsidR="00000000" w:rsidRDefault="00832D71">
            <w:pPr>
              <w:rPr>
                <w:rFonts w:eastAsia="Times New Roman"/>
                <w:sz w:val="20"/>
                <w:szCs w:val="20"/>
              </w:rPr>
            </w:pPr>
          </w:p>
        </w:tc>
        <w:tc>
          <w:tcPr>
            <w:tcW w:w="1277" w:type="pct"/>
            <w:vAlign w:val="center"/>
            <w:hideMark/>
          </w:tcPr>
          <w:p w14:paraId="79E10661" w14:textId="77777777" w:rsidR="00000000" w:rsidRDefault="00832D71">
            <w:pPr>
              <w:rPr>
                <w:rFonts w:eastAsia="Times New Roman"/>
                <w:sz w:val="20"/>
                <w:szCs w:val="20"/>
              </w:rPr>
            </w:pPr>
          </w:p>
        </w:tc>
        <w:tc>
          <w:tcPr>
            <w:tcW w:w="50" w:type="pct"/>
            <w:vAlign w:val="center"/>
            <w:hideMark/>
          </w:tcPr>
          <w:p w14:paraId="48BE9D97" w14:textId="77777777" w:rsidR="00000000" w:rsidRDefault="00832D71">
            <w:pPr>
              <w:rPr>
                <w:rFonts w:eastAsia="Times New Roman"/>
                <w:sz w:val="20"/>
                <w:szCs w:val="20"/>
              </w:rPr>
            </w:pPr>
          </w:p>
        </w:tc>
      </w:tr>
      <w:tr w:rsidR="00000000" w14:paraId="470952CE" w14:textId="77777777">
        <w:trPr>
          <w:trHeight w:val="160"/>
          <w:tblCellSpacing w:w="15" w:type="dxa"/>
        </w:trPr>
        <w:tc>
          <w:tcPr>
            <w:tcW w:w="0" w:type="auto"/>
            <w:vAlign w:val="bottom"/>
            <w:hideMark/>
          </w:tcPr>
          <w:p w14:paraId="36710D0F"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2A0ED6A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64CEB0E" w14:textId="77777777" w:rsidR="00000000" w:rsidRDefault="00832D71">
            <w:pPr>
              <w:pStyle w:val="a3"/>
              <w:spacing w:before="0" w:beforeAutospacing="0" w:after="0" w:afterAutospacing="0"/>
              <w:jc w:val="center"/>
              <w:rPr>
                <w:sz w:val="16"/>
                <w:szCs w:val="16"/>
              </w:rPr>
            </w:pPr>
            <w:r>
              <w:rPr>
                <w:b/>
                <w:bCs/>
                <w:sz w:val="16"/>
                <w:szCs w:val="16"/>
              </w:rPr>
              <w:t>Fiscal 2023 Awar</w:t>
            </w:r>
            <w:r>
              <w:rPr>
                <w:b/>
                <w:bCs/>
                <w:sz w:val="16"/>
                <w:szCs w:val="16"/>
              </w:rPr>
              <w:t>d</w:t>
            </w:r>
          </w:p>
        </w:tc>
        <w:tc>
          <w:tcPr>
            <w:tcW w:w="0" w:type="auto"/>
            <w:vAlign w:val="bottom"/>
            <w:hideMark/>
          </w:tcPr>
          <w:p w14:paraId="1FE248A3"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5EB7061F" w14:textId="77777777">
        <w:trPr>
          <w:trHeight w:val="200"/>
          <w:tblCellSpacing w:w="15" w:type="dxa"/>
        </w:trPr>
        <w:tc>
          <w:tcPr>
            <w:tcW w:w="0" w:type="auto"/>
            <w:hideMark/>
          </w:tcPr>
          <w:p w14:paraId="4BBA8E83" w14:textId="77777777" w:rsidR="00000000" w:rsidRDefault="00832D71">
            <w:pPr>
              <w:pStyle w:val="a3"/>
              <w:spacing w:before="0" w:beforeAutospacing="0" w:after="0" w:afterAutospacing="0"/>
              <w:rPr>
                <w:sz w:val="20"/>
                <w:szCs w:val="20"/>
              </w:rPr>
            </w:pPr>
            <w:r>
              <w:rPr>
                <w:sz w:val="20"/>
                <w:szCs w:val="20"/>
              </w:rPr>
              <w:t>Michael A. Stival</w:t>
            </w:r>
            <w:r>
              <w:rPr>
                <w:sz w:val="20"/>
                <w:szCs w:val="20"/>
              </w:rPr>
              <w:t>a</w:t>
            </w:r>
          </w:p>
        </w:tc>
        <w:tc>
          <w:tcPr>
            <w:tcW w:w="0" w:type="auto"/>
            <w:hideMark/>
          </w:tcPr>
          <w:p w14:paraId="4EFA2416"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6D473A6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0997104" w14:textId="77777777" w:rsidR="00000000" w:rsidRDefault="00832D71">
            <w:pPr>
              <w:pStyle w:val="a3"/>
              <w:spacing w:before="0" w:beforeAutospacing="0" w:after="0" w:afterAutospacing="0"/>
              <w:jc w:val="right"/>
              <w:rPr>
                <w:sz w:val="20"/>
                <w:szCs w:val="20"/>
              </w:rPr>
            </w:pPr>
            <w:r>
              <w:rPr>
                <w:sz w:val="20"/>
                <w:szCs w:val="20"/>
              </w:rPr>
              <w:t>44,69</w:t>
            </w:r>
            <w:r>
              <w:rPr>
                <w:sz w:val="20"/>
                <w:szCs w:val="20"/>
              </w:rPr>
              <w:t>3</w:t>
            </w:r>
          </w:p>
        </w:tc>
        <w:tc>
          <w:tcPr>
            <w:tcW w:w="0" w:type="auto"/>
            <w:noWrap/>
            <w:hideMark/>
          </w:tcPr>
          <w:p w14:paraId="79918562" w14:textId="77777777" w:rsidR="00000000" w:rsidRDefault="00832D71">
            <w:pPr>
              <w:pStyle w:val="a3"/>
              <w:spacing w:before="0" w:beforeAutospacing="0" w:after="0" w:afterAutospacing="0"/>
              <w:rPr>
                <w:sz w:val="20"/>
                <w:szCs w:val="20"/>
              </w:rPr>
            </w:pPr>
            <w:r>
              <w:rPr>
                <w:sz w:val="20"/>
                <w:szCs w:val="20"/>
              </w:rPr>
              <w:t> </w:t>
            </w:r>
          </w:p>
        </w:tc>
      </w:tr>
      <w:tr w:rsidR="00000000" w14:paraId="62ED4D24" w14:textId="77777777">
        <w:trPr>
          <w:trHeight w:val="200"/>
          <w:tblCellSpacing w:w="15" w:type="dxa"/>
        </w:trPr>
        <w:tc>
          <w:tcPr>
            <w:tcW w:w="0" w:type="auto"/>
            <w:hideMark/>
          </w:tcPr>
          <w:p w14:paraId="2E72C77A" w14:textId="77777777" w:rsidR="00000000" w:rsidRDefault="00832D71">
            <w:pPr>
              <w:pStyle w:val="a3"/>
              <w:spacing w:before="0" w:beforeAutospacing="0" w:after="0" w:afterAutospacing="0"/>
              <w:rPr>
                <w:sz w:val="20"/>
                <w:szCs w:val="20"/>
              </w:rPr>
            </w:pPr>
            <w:r>
              <w:rPr>
                <w:sz w:val="20"/>
                <w:szCs w:val="20"/>
              </w:rPr>
              <w:t>Michael A. Kugli</w:t>
            </w:r>
            <w:r>
              <w:rPr>
                <w:sz w:val="20"/>
                <w:szCs w:val="20"/>
              </w:rPr>
              <w:t>n</w:t>
            </w:r>
          </w:p>
        </w:tc>
        <w:tc>
          <w:tcPr>
            <w:tcW w:w="0" w:type="auto"/>
            <w:hideMark/>
          </w:tcPr>
          <w:p w14:paraId="045B6299"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40E241C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303347B" w14:textId="77777777" w:rsidR="00000000" w:rsidRDefault="00832D71">
            <w:pPr>
              <w:pStyle w:val="a3"/>
              <w:spacing w:before="0" w:beforeAutospacing="0" w:after="0" w:afterAutospacing="0"/>
              <w:jc w:val="right"/>
              <w:rPr>
                <w:sz w:val="20"/>
                <w:szCs w:val="20"/>
              </w:rPr>
            </w:pPr>
            <w:r>
              <w:rPr>
                <w:sz w:val="20"/>
                <w:szCs w:val="20"/>
              </w:rPr>
              <w:t>16,35</w:t>
            </w:r>
            <w:r>
              <w:rPr>
                <w:sz w:val="20"/>
                <w:szCs w:val="20"/>
              </w:rPr>
              <w:t>1</w:t>
            </w:r>
          </w:p>
        </w:tc>
        <w:tc>
          <w:tcPr>
            <w:tcW w:w="0" w:type="auto"/>
            <w:noWrap/>
            <w:hideMark/>
          </w:tcPr>
          <w:p w14:paraId="6D0138CF" w14:textId="77777777" w:rsidR="00000000" w:rsidRDefault="00832D71">
            <w:pPr>
              <w:pStyle w:val="a3"/>
              <w:spacing w:before="0" w:beforeAutospacing="0" w:after="0" w:afterAutospacing="0"/>
              <w:rPr>
                <w:sz w:val="20"/>
                <w:szCs w:val="20"/>
              </w:rPr>
            </w:pPr>
            <w:r>
              <w:rPr>
                <w:sz w:val="20"/>
                <w:szCs w:val="20"/>
              </w:rPr>
              <w:t> </w:t>
            </w:r>
          </w:p>
        </w:tc>
      </w:tr>
      <w:tr w:rsidR="00000000" w14:paraId="75E3E57D" w14:textId="77777777">
        <w:trPr>
          <w:trHeight w:val="200"/>
          <w:tblCellSpacing w:w="15" w:type="dxa"/>
        </w:trPr>
        <w:tc>
          <w:tcPr>
            <w:tcW w:w="0" w:type="auto"/>
            <w:hideMark/>
          </w:tcPr>
          <w:p w14:paraId="44B5464E" w14:textId="77777777" w:rsidR="00000000" w:rsidRDefault="00832D71">
            <w:pPr>
              <w:pStyle w:val="a3"/>
              <w:spacing w:before="0" w:beforeAutospacing="0" w:after="0" w:afterAutospacing="0"/>
              <w:rPr>
                <w:sz w:val="20"/>
                <w:szCs w:val="20"/>
              </w:rPr>
            </w:pPr>
            <w:r>
              <w:rPr>
                <w:sz w:val="20"/>
                <w:szCs w:val="20"/>
              </w:rPr>
              <w:t>Steven C. Boy</w:t>
            </w:r>
            <w:r>
              <w:rPr>
                <w:sz w:val="20"/>
                <w:szCs w:val="20"/>
              </w:rPr>
              <w:t>d</w:t>
            </w:r>
          </w:p>
        </w:tc>
        <w:tc>
          <w:tcPr>
            <w:tcW w:w="0" w:type="auto"/>
            <w:hideMark/>
          </w:tcPr>
          <w:p w14:paraId="7956EB36"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168A5E6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5541232" w14:textId="77777777" w:rsidR="00000000" w:rsidRDefault="00832D71">
            <w:pPr>
              <w:pStyle w:val="a3"/>
              <w:spacing w:before="0" w:beforeAutospacing="0" w:after="0" w:afterAutospacing="0"/>
              <w:jc w:val="right"/>
              <w:rPr>
                <w:sz w:val="20"/>
                <w:szCs w:val="20"/>
              </w:rPr>
            </w:pPr>
            <w:r>
              <w:rPr>
                <w:sz w:val="20"/>
                <w:szCs w:val="20"/>
              </w:rPr>
              <w:t>16,71</w:t>
            </w:r>
            <w:r>
              <w:rPr>
                <w:sz w:val="20"/>
                <w:szCs w:val="20"/>
              </w:rPr>
              <w:t>5</w:t>
            </w:r>
          </w:p>
        </w:tc>
        <w:tc>
          <w:tcPr>
            <w:tcW w:w="0" w:type="auto"/>
            <w:noWrap/>
            <w:hideMark/>
          </w:tcPr>
          <w:p w14:paraId="154AE946" w14:textId="77777777" w:rsidR="00000000" w:rsidRDefault="00832D71">
            <w:pPr>
              <w:pStyle w:val="a3"/>
              <w:spacing w:before="0" w:beforeAutospacing="0" w:after="0" w:afterAutospacing="0"/>
              <w:rPr>
                <w:sz w:val="20"/>
                <w:szCs w:val="20"/>
              </w:rPr>
            </w:pPr>
            <w:r>
              <w:rPr>
                <w:sz w:val="20"/>
                <w:szCs w:val="20"/>
              </w:rPr>
              <w:t> </w:t>
            </w:r>
          </w:p>
        </w:tc>
      </w:tr>
      <w:tr w:rsidR="00000000" w14:paraId="5C881AA3" w14:textId="77777777">
        <w:trPr>
          <w:trHeight w:val="200"/>
          <w:tblCellSpacing w:w="15" w:type="dxa"/>
        </w:trPr>
        <w:tc>
          <w:tcPr>
            <w:tcW w:w="0" w:type="auto"/>
            <w:hideMark/>
          </w:tcPr>
          <w:p w14:paraId="42E7DC0E" w14:textId="77777777" w:rsidR="00000000" w:rsidRDefault="00832D71">
            <w:pPr>
              <w:pStyle w:val="a3"/>
              <w:spacing w:before="0" w:beforeAutospacing="0" w:after="0" w:afterAutospacing="0"/>
              <w:rPr>
                <w:sz w:val="20"/>
                <w:szCs w:val="20"/>
              </w:rPr>
            </w:pPr>
            <w:r>
              <w:rPr>
                <w:sz w:val="20"/>
                <w:szCs w:val="20"/>
              </w:rPr>
              <w:t>Douglas T. Brinkwort</w:t>
            </w:r>
            <w:r>
              <w:rPr>
                <w:sz w:val="20"/>
                <w:szCs w:val="20"/>
              </w:rPr>
              <w:t>h</w:t>
            </w:r>
          </w:p>
        </w:tc>
        <w:tc>
          <w:tcPr>
            <w:tcW w:w="0" w:type="auto"/>
            <w:hideMark/>
          </w:tcPr>
          <w:p w14:paraId="53F1D170"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EFC930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AA219A3" w14:textId="77777777" w:rsidR="00000000" w:rsidRDefault="00832D71">
            <w:pPr>
              <w:pStyle w:val="a3"/>
              <w:spacing w:before="0" w:beforeAutospacing="0" w:after="0" w:afterAutospacing="0"/>
              <w:jc w:val="right"/>
              <w:rPr>
                <w:sz w:val="20"/>
                <w:szCs w:val="20"/>
              </w:rPr>
            </w:pPr>
            <w:r>
              <w:rPr>
                <w:sz w:val="20"/>
                <w:szCs w:val="20"/>
              </w:rPr>
              <w:t>14,53</w:t>
            </w:r>
            <w:r>
              <w:rPr>
                <w:sz w:val="20"/>
                <w:szCs w:val="20"/>
              </w:rPr>
              <w:t>4</w:t>
            </w:r>
          </w:p>
        </w:tc>
        <w:tc>
          <w:tcPr>
            <w:tcW w:w="0" w:type="auto"/>
            <w:noWrap/>
            <w:hideMark/>
          </w:tcPr>
          <w:p w14:paraId="77BE59CE" w14:textId="77777777" w:rsidR="00000000" w:rsidRDefault="00832D71">
            <w:pPr>
              <w:pStyle w:val="a3"/>
              <w:spacing w:before="0" w:beforeAutospacing="0" w:after="0" w:afterAutospacing="0"/>
              <w:rPr>
                <w:sz w:val="20"/>
                <w:szCs w:val="20"/>
              </w:rPr>
            </w:pPr>
            <w:r>
              <w:rPr>
                <w:sz w:val="20"/>
                <w:szCs w:val="20"/>
              </w:rPr>
              <w:t> </w:t>
            </w:r>
          </w:p>
        </w:tc>
      </w:tr>
      <w:tr w:rsidR="00000000" w14:paraId="6AB86944" w14:textId="77777777">
        <w:trPr>
          <w:trHeight w:val="200"/>
          <w:tblCellSpacing w:w="15" w:type="dxa"/>
        </w:trPr>
        <w:tc>
          <w:tcPr>
            <w:tcW w:w="0" w:type="auto"/>
            <w:hideMark/>
          </w:tcPr>
          <w:p w14:paraId="6C72C125" w14:textId="77777777" w:rsidR="00000000" w:rsidRDefault="00832D71">
            <w:pPr>
              <w:pStyle w:val="a3"/>
              <w:spacing w:before="0" w:beforeAutospacing="0" w:after="0" w:afterAutospacing="0"/>
              <w:rPr>
                <w:sz w:val="20"/>
                <w:szCs w:val="20"/>
              </w:rPr>
            </w:pPr>
            <w:r>
              <w:rPr>
                <w:sz w:val="20"/>
                <w:szCs w:val="20"/>
              </w:rPr>
              <w:t>Neil E. Scanlo</w:t>
            </w:r>
            <w:r>
              <w:rPr>
                <w:sz w:val="20"/>
                <w:szCs w:val="20"/>
              </w:rPr>
              <w:t>n</w:t>
            </w:r>
          </w:p>
        </w:tc>
        <w:tc>
          <w:tcPr>
            <w:tcW w:w="0" w:type="auto"/>
            <w:hideMark/>
          </w:tcPr>
          <w:p w14:paraId="096891CB"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0BADDB3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7BF5E84" w14:textId="77777777" w:rsidR="00000000" w:rsidRDefault="00832D71">
            <w:pPr>
              <w:pStyle w:val="a3"/>
              <w:spacing w:before="0" w:beforeAutospacing="0" w:after="0" w:afterAutospacing="0"/>
              <w:jc w:val="right"/>
              <w:rPr>
                <w:sz w:val="20"/>
                <w:szCs w:val="20"/>
              </w:rPr>
            </w:pPr>
            <w:r>
              <w:rPr>
                <w:sz w:val="20"/>
                <w:szCs w:val="20"/>
              </w:rPr>
              <w:t>12,71</w:t>
            </w:r>
            <w:r>
              <w:rPr>
                <w:sz w:val="20"/>
                <w:szCs w:val="20"/>
              </w:rPr>
              <w:t>8</w:t>
            </w:r>
          </w:p>
        </w:tc>
        <w:tc>
          <w:tcPr>
            <w:tcW w:w="0" w:type="auto"/>
            <w:noWrap/>
            <w:hideMark/>
          </w:tcPr>
          <w:p w14:paraId="7399B4C2" w14:textId="77777777" w:rsidR="00000000" w:rsidRDefault="00832D71">
            <w:pPr>
              <w:pStyle w:val="a3"/>
              <w:spacing w:before="0" w:beforeAutospacing="0" w:after="0" w:afterAutospacing="0"/>
              <w:rPr>
                <w:sz w:val="20"/>
                <w:szCs w:val="20"/>
              </w:rPr>
            </w:pPr>
            <w:r>
              <w:rPr>
                <w:sz w:val="20"/>
                <w:szCs w:val="20"/>
              </w:rPr>
              <w:t> </w:t>
            </w:r>
          </w:p>
        </w:tc>
      </w:tr>
    </w:tbl>
    <w:p w14:paraId="3FAB3A08" w14:textId="77777777" w:rsidR="00000000" w:rsidRDefault="00832D71">
      <w:pPr>
        <w:pStyle w:val="a3"/>
        <w:spacing w:before="360" w:beforeAutospacing="0" w:after="0" w:afterAutospacing="0"/>
        <w:jc w:val="both"/>
        <w:rPr>
          <w:sz w:val="20"/>
          <w:szCs w:val="20"/>
        </w:rPr>
      </w:pPr>
      <w:r>
        <w:rPr>
          <w:b/>
          <w:bCs/>
          <w:sz w:val="20"/>
          <w:szCs w:val="20"/>
        </w:rPr>
        <w:t>Restricted Unit Pla</w:t>
      </w:r>
      <w:r>
        <w:rPr>
          <w:b/>
          <w:bCs/>
          <w:sz w:val="20"/>
          <w:szCs w:val="20"/>
        </w:rPr>
        <w:t>n</w:t>
      </w:r>
    </w:p>
    <w:p w14:paraId="26DE2710" w14:textId="77777777" w:rsidR="00000000" w:rsidRDefault="00832D71">
      <w:pPr>
        <w:pStyle w:val="a3"/>
        <w:spacing w:before="240" w:beforeAutospacing="0" w:after="0" w:afterAutospacing="0"/>
        <w:ind w:firstLine="555"/>
        <w:jc w:val="both"/>
        <w:rPr>
          <w:sz w:val="20"/>
          <w:szCs w:val="20"/>
        </w:rPr>
      </w:pPr>
      <w:r>
        <w:rPr>
          <w:sz w:val="20"/>
          <w:szCs w:val="20"/>
        </w:rPr>
        <w:t>At their May 15, 2018 Tri-Annual Meeting, our Unitholders approved the adoption of our 2018 Restricted Unit Plan (the “2018 RUP”). Upon adoption, this plan authorized the issuance of 1,800,000 Common Units to our named executive office</w:t>
      </w:r>
      <w:r>
        <w:rPr>
          <w:sz w:val="20"/>
          <w:szCs w:val="20"/>
        </w:rPr>
        <w:t xml:space="preserve">rs, managers, other employees and to members of our Board of Supervisors. At their May 18, 2021 Tri-Annual Meeting, our Unitholders authorized the issuance of an additional 1,725,000 Common Units under the 2018 RUP. At the conclusion of fiscal 2022, there </w:t>
      </w:r>
      <w:r>
        <w:rPr>
          <w:sz w:val="20"/>
          <w:szCs w:val="20"/>
        </w:rPr>
        <w:t>were 1,261,165 restricted units remaining available under the 2018 RUP for future awards</w:t>
      </w:r>
      <w:r>
        <w:rPr>
          <w:sz w:val="20"/>
          <w:szCs w:val="20"/>
        </w:rPr>
        <w:t>.</w:t>
      </w:r>
    </w:p>
    <w:p w14:paraId="338D68B4" w14:textId="77777777" w:rsidR="00000000" w:rsidRDefault="00832D71">
      <w:pPr>
        <w:pStyle w:val="a3"/>
        <w:spacing w:before="240" w:beforeAutospacing="0" w:after="0" w:afterAutospacing="0"/>
        <w:jc w:val="both"/>
        <w:rPr>
          <w:sz w:val="20"/>
          <w:szCs w:val="20"/>
        </w:rPr>
      </w:pPr>
      <w:r>
        <w:rPr>
          <w:i/>
          <w:iCs/>
          <w:sz w:val="20"/>
          <w:szCs w:val="20"/>
        </w:rPr>
        <w:t>Grant Proces</w:t>
      </w:r>
      <w:r>
        <w:rPr>
          <w:i/>
          <w:iCs/>
          <w:sz w:val="20"/>
          <w:szCs w:val="20"/>
        </w:rPr>
        <w:t>s</w:t>
      </w:r>
    </w:p>
    <w:p w14:paraId="52F69DB4" w14:textId="77777777" w:rsidR="00000000" w:rsidRDefault="00832D71">
      <w:pPr>
        <w:pStyle w:val="a3"/>
        <w:spacing w:before="120" w:beforeAutospacing="0" w:after="0" w:afterAutospacing="0"/>
        <w:ind w:firstLine="555"/>
        <w:jc w:val="both"/>
        <w:rPr>
          <w:sz w:val="20"/>
          <w:szCs w:val="20"/>
        </w:rPr>
      </w:pPr>
      <w:r>
        <w:rPr>
          <w:sz w:val="20"/>
          <w:szCs w:val="20"/>
        </w:rPr>
        <w:t xml:space="preserve">All restricted unit awards are approved by the Committee. </w:t>
      </w:r>
      <w:r>
        <w:rPr>
          <w:sz w:val="20"/>
          <w:szCs w:val="20"/>
        </w:rPr>
        <w:t>Because individual circumstances differ, the Committee has not adopted a formulaic approach to making restricted unit awards. Although the reasons for granting an award can vary, the general objective of granting an award to a recipient is to retain the se</w:t>
      </w:r>
      <w:r>
        <w:rPr>
          <w:sz w:val="20"/>
          <w:szCs w:val="20"/>
        </w:rPr>
        <w:t>rvices of the recipient over the vesting period while, at the same time, providing the type of motivation that further aligns the long-term interests of the recipient with the long-term interests of our Unitholders. The reasons for which the Committee gran</w:t>
      </w:r>
      <w:r>
        <w:rPr>
          <w:sz w:val="20"/>
          <w:szCs w:val="20"/>
        </w:rPr>
        <w:t>ts restricted unit awards include, but are not limited to, the following</w:t>
      </w:r>
      <w:r>
        <w:rPr>
          <w:sz w:val="20"/>
          <w:szCs w:val="20"/>
        </w:rPr>
        <w:t>:</w:t>
      </w:r>
    </w:p>
    <w:p w14:paraId="5A0CD3D6" w14:textId="77777777" w:rsidR="00000000" w:rsidRDefault="00832D71">
      <w:pPr>
        <w:pStyle w:val="a3"/>
        <w:spacing w:before="0" w:beforeAutospacing="0" w:after="0" w:afterAutospacing="0"/>
        <w:jc w:val="center"/>
        <w:rPr>
          <w:sz w:val="20"/>
          <w:szCs w:val="20"/>
        </w:rPr>
      </w:pPr>
      <w:r>
        <w:rPr>
          <w:sz w:val="20"/>
          <w:szCs w:val="20"/>
        </w:rPr>
        <w:t> </w:t>
      </w:r>
    </w:p>
    <w:p w14:paraId="3927A397" w14:textId="77777777" w:rsidR="00000000" w:rsidRDefault="00832D71">
      <w:pPr>
        <w:pStyle w:val="a3"/>
        <w:spacing w:before="0" w:beforeAutospacing="0" w:after="0" w:afterAutospacing="0"/>
        <w:jc w:val="center"/>
        <w:rPr>
          <w:sz w:val="20"/>
          <w:szCs w:val="20"/>
        </w:rPr>
      </w:pPr>
      <w:r>
        <w:rPr>
          <w:sz w:val="20"/>
          <w:szCs w:val="20"/>
        </w:rPr>
        <w:t>6</w:t>
      </w:r>
      <w:r>
        <w:rPr>
          <w:sz w:val="20"/>
          <w:szCs w:val="20"/>
        </w:rPr>
        <w:t>7</w:t>
      </w:r>
    </w:p>
    <w:p w14:paraId="40BBB272" w14:textId="77777777" w:rsidR="00000000" w:rsidRDefault="00832D71">
      <w:pPr>
        <w:rPr>
          <w:rFonts w:eastAsia="Times New Roman"/>
        </w:rPr>
      </w:pPr>
      <w:r>
        <w:rPr>
          <w:rFonts w:eastAsia="Times New Roman"/>
        </w:rPr>
        <w:pict w14:anchorId="521D2DCB">
          <v:rect id="_x0000_i1094" style="width:0;height:1.5pt" o:hralign="center" o:hrstd="t" o:hr="t" fillcolor="#a0a0a0" stroked="f"/>
        </w:pict>
      </w:r>
    </w:p>
    <w:p w14:paraId="7BB98A0A"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17F19E8B" w14:textId="77777777" w:rsidR="00000000" w:rsidRDefault="00832D71">
      <w:pPr>
        <w:jc w:val="both"/>
        <w:divId w:val="599458494"/>
        <w:rPr>
          <w:rFonts w:eastAsia="Times New Roman"/>
        </w:rPr>
      </w:pPr>
      <w:r>
        <w:rPr>
          <w:rFonts w:eastAsia="Times New Roman"/>
          <w:sz w:val="20"/>
          <w:szCs w:val="20"/>
        </w:rPr>
        <w:t>•</w:t>
      </w:r>
    </w:p>
    <w:p w14:paraId="2B5BE62E" w14:textId="77777777" w:rsidR="00000000" w:rsidRDefault="00832D71">
      <w:pPr>
        <w:jc w:val="both"/>
        <w:divId w:val="1308897114"/>
        <w:rPr>
          <w:rFonts w:eastAsia="Times New Roman"/>
        </w:rPr>
      </w:pPr>
      <w:r>
        <w:rPr>
          <w:rFonts w:eastAsia="Times New Roman"/>
          <w:sz w:val="20"/>
          <w:szCs w:val="20"/>
        </w:rPr>
        <w:t>To attract skilled and capable candidates to fill vacant positions</w:t>
      </w:r>
      <w:r>
        <w:rPr>
          <w:rFonts w:eastAsia="Times New Roman"/>
          <w:sz w:val="20"/>
          <w:szCs w:val="20"/>
        </w:rPr>
        <w:t>;</w:t>
      </w:r>
    </w:p>
    <w:p w14:paraId="7F9A4893" w14:textId="77777777" w:rsidR="00000000" w:rsidRDefault="00832D71">
      <w:pPr>
        <w:jc w:val="both"/>
        <w:divId w:val="494345413"/>
        <w:rPr>
          <w:rFonts w:eastAsia="Times New Roman"/>
        </w:rPr>
      </w:pPr>
      <w:r>
        <w:rPr>
          <w:rFonts w:eastAsia="Times New Roman"/>
          <w:sz w:val="20"/>
          <w:szCs w:val="20"/>
        </w:rPr>
        <w:t>•</w:t>
      </w:r>
    </w:p>
    <w:p w14:paraId="5CDF35BF" w14:textId="77777777" w:rsidR="00000000" w:rsidRDefault="00832D71">
      <w:pPr>
        <w:jc w:val="both"/>
        <w:divId w:val="1117942829"/>
        <w:rPr>
          <w:rFonts w:eastAsia="Times New Roman"/>
        </w:rPr>
      </w:pPr>
      <w:r>
        <w:rPr>
          <w:rFonts w:eastAsia="Times New Roman"/>
          <w:sz w:val="20"/>
          <w:szCs w:val="20"/>
        </w:rPr>
        <w:t xml:space="preserve">To retain </w:t>
      </w:r>
      <w:r>
        <w:rPr>
          <w:rFonts w:eastAsia="Times New Roman"/>
          <w:sz w:val="20"/>
          <w:szCs w:val="20"/>
        </w:rPr>
        <w:t>the services of an employee</w:t>
      </w:r>
      <w:r>
        <w:rPr>
          <w:rFonts w:eastAsia="Times New Roman"/>
          <w:sz w:val="20"/>
          <w:szCs w:val="20"/>
        </w:rPr>
        <w:t>;</w:t>
      </w:r>
    </w:p>
    <w:p w14:paraId="7A1DD473" w14:textId="77777777" w:rsidR="00000000" w:rsidRDefault="00832D71">
      <w:pPr>
        <w:jc w:val="both"/>
        <w:divId w:val="993296212"/>
        <w:rPr>
          <w:rFonts w:eastAsia="Times New Roman"/>
        </w:rPr>
      </w:pPr>
      <w:r>
        <w:rPr>
          <w:rFonts w:eastAsia="Times New Roman"/>
          <w:sz w:val="20"/>
          <w:szCs w:val="20"/>
        </w:rPr>
        <w:t>•</w:t>
      </w:r>
    </w:p>
    <w:p w14:paraId="656C277A" w14:textId="77777777" w:rsidR="00000000" w:rsidRDefault="00832D71">
      <w:pPr>
        <w:jc w:val="both"/>
        <w:divId w:val="1009261738"/>
        <w:rPr>
          <w:rFonts w:eastAsia="Times New Roman"/>
        </w:rPr>
      </w:pPr>
      <w:r>
        <w:rPr>
          <w:rFonts w:eastAsia="Times New Roman"/>
          <w:sz w:val="20"/>
          <w:szCs w:val="20"/>
        </w:rPr>
        <w:t>To provide an adequate compensation package to accompany an internal promotion; an</w:t>
      </w:r>
      <w:r>
        <w:rPr>
          <w:rFonts w:eastAsia="Times New Roman"/>
          <w:sz w:val="20"/>
          <w:szCs w:val="20"/>
        </w:rPr>
        <w:t>d</w:t>
      </w:r>
    </w:p>
    <w:p w14:paraId="01335C26" w14:textId="77777777" w:rsidR="00000000" w:rsidRDefault="00832D71">
      <w:pPr>
        <w:jc w:val="both"/>
        <w:divId w:val="1739475500"/>
        <w:rPr>
          <w:rFonts w:eastAsia="Times New Roman"/>
        </w:rPr>
      </w:pPr>
      <w:r>
        <w:rPr>
          <w:rFonts w:eastAsia="Times New Roman"/>
          <w:sz w:val="20"/>
          <w:szCs w:val="20"/>
        </w:rPr>
        <w:t>•</w:t>
      </w:r>
    </w:p>
    <w:p w14:paraId="2A62D5B4" w14:textId="77777777" w:rsidR="00000000" w:rsidRDefault="00832D71">
      <w:pPr>
        <w:jc w:val="both"/>
        <w:divId w:val="1826816416"/>
        <w:rPr>
          <w:rFonts w:eastAsia="Times New Roman"/>
        </w:rPr>
      </w:pPr>
      <w:r>
        <w:rPr>
          <w:rFonts w:eastAsia="Times New Roman"/>
          <w:sz w:val="20"/>
          <w:szCs w:val="20"/>
        </w:rPr>
        <w:t>To reward outstanding performance.</w:t>
      </w:r>
      <w:r>
        <w:rPr>
          <w:rFonts w:eastAsia="Times New Roman"/>
          <w:sz w:val="20"/>
          <w:szCs w:val="20"/>
        </w:rPr>
        <w:t xml:space="preserve"> </w:t>
      </w:r>
    </w:p>
    <w:p w14:paraId="2CAD2133" w14:textId="77777777" w:rsidR="00000000" w:rsidRDefault="00832D71">
      <w:pPr>
        <w:pStyle w:val="a3"/>
        <w:spacing w:before="240" w:beforeAutospacing="0" w:after="0" w:afterAutospacing="0"/>
        <w:ind w:firstLine="555"/>
        <w:jc w:val="both"/>
        <w:rPr>
          <w:sz w:val="20"/>
          <w:szCs w:val="20"/>
        </w:rPr>
      </w:pPr>
      <w:r>
        <w:rPr>
          <w:sz w:val="20"/>
          <w:szCs w:val="20"/>
        </w:rPr>
        <w:t>In determining the quantity of restricted units to grant to named executive officers and other key empl</w:t>
      </w:r>
      <w:r>
        <w:rPr>
          <w:sz w:val="20"/>
          <w:szCs w:val="20"/>
        </w:rPr>
        <w:t>oyees, the Committee considers, without limitation</w:t>
      </w:r>
      <w:r>
        <w:rPr>
          <w:sz w:val="20"/>
          <w:szCs w:val="20"/>
        </w:rPr>
        <w:t>:</w:t>
      </w:r>
    </w:p>
    <w:p w14:paraId="08DF7976" w14:textId="77777777" w:rsidR="00000000" w:rsidRDefault="00832D71">
      <w:pPr>
        <w:jc w:val="both"/>
        <w:divId w:val="1597907448"/>
        <w:rPr>
          <w:rFonts w:eastAsia="Times New Roman"/>
        </w:rPr>
      </w:pPr>
      <w:r>
        <w:rPr>
          <w:rFonts w:eastAsia="Times New Roman"/>
          <w:sz w:val="20"/>
          <w:szCs w:val="20"/>
        </w:rPr>
        <w:t>•</w:t>
      </w:r>
    </w:p>
    <w:p w14:paraId="00434A1F" w14:textId="77777777" w:rsidR="00000000" w:rsidRDefault="00832D71">
      <w:pPr>
        <w:jc w:val="both"/>
        <w:divId w:val="135294906"/>
        <w:rPr>
          <w:rFonts w:eastAsia="Times New Roman"/>
        </w:rPr>
      </w:pPr>
      <w:r>
        <w:rPr>
          <w:rFonts w:eastAsia="Times New Roman"/>
          <w:sz w:val="20"/>
          <w:szCs w:val="20"/>
        </w:rPr>
        <w:t>The named executive officer’s or key employee’s scope of responsibility, performance and contribution to meeting our objectives</w:t>
      </w:r>
      <w:r>
        <w:rPr>
          <w:rFonts w:eastAsia="Times New Roman"/>
          <w:sz w:val="20"/>
          <w:szCs w:val="20"/>
        </w:rPr>
        <w:t>;</w:t>
      </w:r>
    </w:p>
    <w:p w14:paraId="307F4378" w14:textId="77777777" w:rsidR="00000000" w:rsidRDefault="00832D71">
      <w:pPr>
        <w:jc w:val="both"/>
        <w:divId w:val="655305822"/>
        <w:rPr>
          <w:rFonts w:eastAsia="Times New Roman"/>
        </w:rPr>
      </w:pPr>
      <w:r>
        <w:rPr>
          <w:rFonts w:eastAsia="Times New Roman"/>
          <w:sz w:val="20"/>
          <w:szCs w:val="20"/>
        </w:rPr>
        <w:t>•</w:t>
      </w:r>
    </w:p>
    <w:p w14:paraId="1D4C1745" w14:textId="77777777" w:rsidR="00000000" w:rsidRDefault="00832D71">
      <w:pPr>
        <w:jc w:val="both"/>
        <w:divId w:val="1071579804"/>
        <w:rPr>
          <w:rFonts w:eastAsia="Times New Roman"/>
        </w:rPr>
      </w:pPr>
      <w:r>
        <w:rPr>
          <w:rFonts w:eastAsia="Times New Roman"/>
          <w:sz w:val="20"/>
          <w:szCs w:val="20"/>
        </w:rPr>
        <w:t>The total cash compensation opportunity provided to the named executive officer or key employee for whom the award is being considered</w:t>
      </w:r>
      <w:r>
        <w:rPr>
          <w:rFonts w:eastAsia="Times New Roman"/>
          <w:sz w:val="20"/>
          <w:szCs w:val="20"/>
        </w:rPr>
        <w:t>;</w:t>
      </w:r>
    </w:p>
    <w:p w14:paraId="0B2572EC" w14:textId="77777777" w:rsidR="00000000" w:rsidRDefault="00832D71">
      <w:pPr>
        <w:jc w:val="both"/>
        <w:divId w:val="1500656266"/>
        <w:rPr>
          <w:rFonts w:eastAsia="Times New Roman"/>
        </w:rPr>
      </w:pPr>
      <w:r>
        <w:rPr>
          <w:rFonts w:eastAsia="Times New Roman"/>
          <w:sz w:val="20"/>
          <w:szCs w:val="20"/>
        </w:rPr>
        <w:t>•</w:t>
      </w:r>
    </w:p>
    <w:p w14:paraId="36B67016" w14:textId="77777777" w:rsidR="00000000" w:rsidRDefault="00832D71">
      <w:pPr>
        <w:jc w:val="both"/>
        <w:divId w:val="517357735"/>
        <w:rPr>
          <w:rFonts w:eastAsia="Times New Roman"/>
        </w:rPr>
      </w:pPr>
      <w:r>
        <w:rPr>
          <w:rFonts w:eastAsia="Times New Roman"/>
          <w:sz w:val="20"/>
          <w:szCs w:val="20"/>
        </w:rPr>
        <w:t>The value of similar equity awards to named executive officers of similarly sized companies; an</w:t>
      </w:r>
      <w:r>
        <w:rPr>
          <w:rFonts w:eastAsia="Times New Roman"/>
          <w:sz w:val="20"/>
          <w:szCs w:val="20"/>
        </w:rPr>
        <w:t>d</w:t>
      </w:r>
    </w:p>
    <w:p w14:paraId="0FF6BB7F" w14:textId="77777777" w:rsidR="00000000" w:rsidRDefault="00832D71">
      <w:pPr>
        <w:jc w:val="both"/>
        <w:divId w:val="1462578677"/>
        <w:rPr>
          <w:rFonts w:eastAsia="Times New Roman"/>
        </w:rPr>
      </w:pPr>
      <w:r>
        <w:rPr>
          <w:rFonts w:eastAsia="Times New Roman"/>
          <w:sz w:val="20"/>
          <w:szCs w:val="20"/>
        </w:rPr>
        <w:t>•</w:t>
      </w:r>
    </w:p>
    <w:p w14:paraId="0783BB7A" w14:textId="77777777" w:rsidR="00000000" w:rsidRDefault="00832D71">
      <w:pPr>
        <w:jc w:val="both"/>
        <w:divId w:val="1767068557"/>
        <w:rPr>
          <w:rFonts w:eastAsia="Times New Roman"/>
        </w:rPr>
      </w:pPr>
      <w:r>
        <w:rPr>
          <w:rFonts w:eastAsia="Times New Roman"/>
          <w:sz w:val="20"/>
          <w:szCs w:val="20"/>
        </w:rPr>
        <w:t>The current value of an equivalent quantity of outstanding Common Units</w:t>
      </w:r>
      <w:r>
        <w:rPr>
          <w:rFonts w:eastAsia="Times New Roman"/>
          <w:sz w:val="20"/>
          <w:szCs w:val="20"/>
        </w:rPr>
        <w:t>.</w:t>
      </w:r>
    </w:p>
    <w:p w14:paraId="63BBDD9B" w14:textId="77777777" w:rsidR="00000000" w:rsidRDefault="00832D71">
      <w:pPr>
        <w:pStyle w:val="a3"/>
        <w:spacing w:before="240" w:beforeAutospacing="0" w:after="0" w:afterAutospacing="0"/>
        <w:ind w:firstLine="555"/>
        <w:jc w:val="both"/>
        <w:rPr>
          <w:sz w:val="20"/>
          <w:szCs w:val="20"/>
        </w:rPr>
      </w:pPr>
      <w:r>
        <w:rPr>
          <w:sz w:val="20"/>
          <w:szCs w:val="20"/>
        </w:rPr>
        <w:t>In addition, in establishing the level of restricted units to grant to our named executive officers, the Committee considers the existing level of outstanding unvested restricted unit</w:t>
      </w:r>
      <w:r>
        <w:rPr>
          <w:sz w:val="20"/>
          <w:szCs w:val="20"/>
        </w:rPr>
        <w:t xml:space="preserve"> awards held by our named executive officers</w:t>
      </w:r>
      <w:r>
        <w:rPr>
          <w:sz w:val="20"/>
          <w:szCs w:val="20"/>
        </w:rPr>
        <w:t>.</w:t>
      </w:r>
      <w:r>
        <w:rPr>
          <w:sz w:val="20"/>
          <w:szCs w:val="20"/>
        </w:rPr>
        <w:t xml:space="preserve"> </w:t>
      </w:r>
    </w:p>
    <w:p w14:paraId="39317C8B" w14:textId="77777777" w:rsidR="00000000" w:rsidRDefault="00832D71">
      <w:pPr>
        <w:pStyle w:val="a3"/>
        <w:spacing w:before="240" w:beforeAutospacing="0" w:after="0" w:afterAutospacing="0"/>
        <w:ind w:firstLine="555"/>
        <w:jc w:val="both"/>
        <w:rPr>
          <w:sz w:val="20"/>
          <w:szCs w:val="20"/>
        </w:rPr>
      </w:pPr>
      <w:r>
        <w:rPr>
          <w:sz w:val="20"/>
          <w:szCs w:val="20"/>
        </w:rPr>
        <w:t>The Committee generally approves awards under our 2018 RUP at its first meeting each fiscal year following the availability of the financial results for the prior fiscal year; however, occasionally the Committ</w:t>
      </w:r>
      <w:r>
        <w:rPr>
          <w:sz w:val="20"/>
          <w:szCs w:val="20"/>
        </w:rPr>
        <w:t>ee grants awards at other times of the year, particularly when the need arises to grant awards because of promotions and new hires</w:t>
      </w:r>
      <w:r>
        <w:rPr>
          <w:sz w:val="20"/>
          <w:szCs w:val="20"/>
        </w:rPr>
        <w:t>.</w:t>
      </w:r>
      <w:r>
        <w:rPr>
          <w:sz w:val="20"/>
          <w:szCs w:val="20"/>
        </w:rPr>
        <w:t xml:space="preserve"> </w:t>
      </w:r>
    </w:p>
    <w:p w14:paraId="3A83B64A" w14:textId="77777777" w:rsidR="00000000" w:rsidRDefault="00832D71">
      <w:pPr>
        <w:pStyle w:val="a3"/>
        <w:spacing w:before="240" w:beforeAutospacing="0" w:after="0" w:afterAutospacing="0"/>
        <w:ind w:firstLine="555"/>
        <w:jc w:val="both"/>
        <w:rPr>
          <w:sz w:val="20"/>
          <w:szCs w:val="20"/>
        </w:rPr>
      </w:pPr>
      <w:r>
        <w:rPr>
          <w:sz w:val="20"/>
          <w:szCs w:val="20"/>
        </w:rPr>
        <w:t>When the Committee authorizes an award of restricted units, the unvested units underlying an award do not provide the grant</w:t>
      </w:r>
      <w:r>
        <w:rPr>
          <w:sz w:val="20"/>
          <w:szCs w:val="20"/>
        </w:rPr>
        <w:t>ee with voting rights and do not receive distributions or accrue rights to distributions during the vesting period. Upon vesting, restricted units are automatically converted into our Common Units, with full voting rights and rights to receive distribution</w:t>
      </w:r>
      <w:r>
        <w:rPr>
          <w:sz w:val="20"/>
          <w:szCs w:val="20"/>
        </w:rPr>
        <w:t>s</w:t>
      </w:r>
      <w:r>
        <w:rPr>
          <w:sz w:val="20"/>
          <w:szCs w:val="20"/>
        </w:rPr>
        <w:t>.</w:t>
      </w:r>
      <w:r>
        <w:rPr>
          <w:sz w:val="20"/>
          <w:szCs w:val="20"/>
        </w:rPr>
        <w:t xml:space="preserve"> </w:t>
      </w:r>
    </w:p>
    <w:p w14:paraId="69F50DE5" w14:textId="77777777" w:rsidR="00000000" w:rsidRDefault="00832D71">
      <w:pPr>
        <w:pStyle w:val="a3"/>
        <w:spacing w:before="240" w:beforeAutospacing="0" w:after="0" w:afterAutospacing="0"/>
        <w:rPr>
          <w:sz w:val="20"/>
          <w:szCs w:val="20"/>
        </w:rPr>
      </w:pPr>
      <w:r>
        <w:rPr>
          <w:i/>
          <w:iCs/>
          <w:sz w:val="20"/>
          <w:szCs w:val="20"/>
        </w:rPr>
        <w:t>Vesting Schedul</w:t>
      </w:r>
      <w:r>
        <w:rPr>
          <w:i/>
          <w:iCs/>
          <w:sz w:val="20"/>
          <w:szCs w:val="20"/>
        </w:rPr>
        <w:t>e</w:t>
      </w:r>
    </w:p>
    <w:p w14:paraId="7923024C" w14:textId="77777777" w:rsidR="00000000" w:rsidRDefault="00832D71">
      <w:pPr>
        <w:pStyle w:val="a3"/>
        <w:spacing w:before="120" w:beforeAutospacing="0" w:after="0" w:afterAutospacing="0"/>
        <w:ind w:firstLine="555"/>
        <w:jc w:val="both"/>
        <w:rPr>
          <w:sz w:val="20"/>
          <w:szCs w:val="20"/>
        </w:rPr>
      </w:pPr>
      <w:r>
        <w:rPr>
          <w:sz w:val="20"/>
          <w:szCs w:val="20"/>
        </w:rPr>
        <w:t xml:space="preserve">The standard vesting schedule of all of our outstanding 2018 RUP awards is one third of each award on each of the first three anniversaries of the award grant date. The Committee retains the ability to deviate, at its discretion, from </w:t>
      </w:r>
      <w:r>
        <w:rPr>
          <w:sz w:val="20"/>
          <w:szCs w:val="20"/>
        </w:rPr>
        <w:t>the normal vesting schedule with respect to particular restricted unit awards, subject to the limitations set forth in the 2018 RUP, and described above, with respect to restricted units awarded under that plan. Unvested awards are subject to forfeiture in</w:t>
      </w:r>
      <w:r>
        <w:rPr>
          <w:sz w:val="20"/>
          <w:szCs w:val="20"/>
        </w:rPr>
        <w:t xml:space="preserve"> certain circumstances, as defined in the 2018 RUP. The 2018 RUP places a five percent (5%) limit on the number of units then authorized for issuance under the 2018 RUP that may (a) be awarded with a vesting schedule other than the standard vesting schedul</w:t>
      </w:r>
      <w:r>
        <w:rPr>
          <w:sz w:val="20"/>
          <w:szCs w:val="20"/>
        </w:rPr>
        <w:t>e described below, and (b) subject to certain limited exceptions, have their vesting accelerated to a date prior to the twelve-month anniversary of the effective date of their grant</w:t>
      </w:r>
      <w:r>
        <w:rPr>
          <w:sz w:val="20"/>
          <w:szCs w:val="20"/>
        </w:rPr>
        <w:t>.</w:t>
      </w:r>
    </w:p>
    <w:p w14:paraId="4F1C2454" w14:textId="77777777" w:rsidR="00000000" w:rsidRDefault="00832D71">
      <w:pPr>
        <w:pStyle w:val="a3"/>
        <w:spacing w:before="240" w:beforeAutospacing="0" w:after="0" w:afterAutospacing="0"/>
        <w:jc w:val="both"/>
        <w:rPr>
          <w:sz w:val="20"/>
          <w:szCs w:val="20"/>
        </w:rPr>
      </w:pPr>
      <w:r>
        <w:rPr>
          <w:i/>
          <w:iCs/>
          <w:sz w:val="20"/>
          <w:szCs w:val="20"/>
        </w:rPr>
        <w:t>Outstanding Awards under the 2018 RU</w:t>
      </w:r>
      <w:r>
        <w:rPr>
          <w:i/>
          <w:iCs/>
          <w:sz w:val="20"/>
          <w:szCs w:val="20"/>
        </w:rPr>
        <w:t>P</w:t>
      </w:r>
    </w:p>
    <w:p w14:paraId="05AA9B23" w14:textId="77777777" w:rsidR="00000000" w:rsidRDefault="00832D71">
      <w:pPr>
        <w:pStyle w:val="a3"/>
        <w:spacing w:before="120" w:beforeAutospacing="0" w:after="0" w:afterAutospacing="0"/>
        <w:ind w:firstLine="555"/>
        <w:jc w:val="both"/>
        <w:rPr>
          <w:sz w:val="20"/>
          <w:szCs w:val="20"/>
        </w:rPr>
      </w:pPr>
      <w:r>
        <w:rPr>
          <w:sz w:val="20"/>
          <w:szCs w:val="20"/>
        </w:rPr>
        <w:t>At its November 9, 2021 meeting, th</w:t>
      </w:r>
      <w:r>
        <w:rPr>
          <w:sz w:val="20"/>
          <w:szCs w:val="20"/>
        </w:rPr>
        <w:t>e Committee approved a grant of restricted units to each of our named executive officers. In determining these fiscal 2022 awards for our named executive officers, the Committee relied upon information provided by the Mercer benchmarking database and recom</w:t>
      </w:r>
      <w:r>
        <w:rPr>
          <w:sz w:val="20"/>
          <w:szCs w:val="20"/>
        </w:rPr>
        <w:t>mendations by WTW to conclude that these awards were necessary to remediate shortfalls perceived by the Committee in the cash compensation opportunities provided by the Partnership to these executives, as well as in recognition of their individual achievem</w:t>
      </w:r>
      <w:r>
        <w:rPr>
          <w:sz w:val="20"/>
          <w:szCs w:val="20"/>
        </w:rPr>
        <w:t>ents throughout fiscal 2021. The Committee uses restricted unit awards to satisfy a perceived need to balance cash compensation with equity (or non-cash) compensation, and to encourage our named executive officers, and other key employees, to have an equit</w:t>
      </w:r>
      <w:r>
        <w:rPr>
          <w:sz w:val="20"/>
          <w:szCs w:val="20"/>
        </w:rPr>
        <w:t>y stake in the Partnership, thereby further aligning the economic interests of our named executive officers with the economic interests of our Unitholders</w:t>
      </w:r>
      <w:r>
        <w:rPr>
          <w:sz w:val="20"/>
          <w:szCs w:val="20"/>
        </w:rPr>
        <w:t>.</w:t>
      </w:r>
    </w:p>
    <w:p w14:paraId="7D0E4169" w14:textId="77777777" w:rsidR="00000000" w:rsidRDefault="00832D71">
      <w:pPr>
        <w:pStyle w:val="a3"/>
        <w:spacing w:before="240" w:beforeAutospacing="0" w:after="0" w:afterAutospacing="0"/>
        <w:ind w:firstLine="555"/>
        <w:jc w:val="both"/>
        <w:rPr>
          <w:sz w:val="20"/>
          <w:szCs w:val="20"/>
        </w:rPr>
      </w:pPr>
      <w:r>
        <w:rPr>
          <w:sz w:val="20"/>
          <w:szCs w:val="20"/>
        </w:rPr>
        <w:t>The following table summarizes the 2018 RUP awards granted to our named executive officers at the Co</w:t>
      </w:r>
      <w:r>
        <w:rPr>
          <w:sz w:val="20"/>
          <w:szCs w:val="20"/>
        </w:rPr>
        <w:t>mmittee’s November 9, 2021 meeting</w:t>
      </w:r>
      <w:r>
        <w:rPr>
          <w:sz w:val="20"/>
          <w:szCs w:val="20"/>
        </w:rPr>
        <w:t>:</w:t>
      </w:r>
    </w:p>
    <w:p w14:paraId="26F06616" w14:textId="77777777" w:rsidR="00000000" w:rsidRDefault="00832D71">
      <w:pPr>
        <w:pStyle w:val="a3"/>
        <w:spacing w:before="0" w:beforeAutospacing="0" w:after="0" w:afterAutospacing="0"/>
        <w:ind w:firstLine="555"/>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279"/>
        <w:gridCol w:w="129"/>
        <w:gridCol w:w="1345"/>
        <w:gridCol w:w="133"/>
        <w:gridCol w:w="110"/>
        <w:gridCol w:w="1524"/>
        <w:gridCol w:w="125"/>
      </w:tblGrid>
      <w:tr w:rsidR="00000000" w14:paraId="0CE82B53" w14:textId="77777777">
        <w:trPr>
          <w:tblCellSpacing w:w="15" w:type="dxa"/>
        </w:trPr>
        <w:tc>
          <w:tcPr>
            <w:tcW w:w="2528" w:type="pct"/>
            <w:vAlign w:val="center"/>
            <w:hideMark/>
          </w:tcPr>
          <w:p w14:paraId="6F892717" w14:textId="77777777" w:rsidR="00000000" w:rsidRDefault="00832D71">
            <w:pPr>
              <w:rPr>
                <w:sz w:val="20"/>
                <w:szCs w:val="20"/>
              </w:rPr>
            </w:pPr>
          </w:p>
        </w:tc>
        <w:tc>
          <w:tcPr>
            <w:tcW w:w="83" w:type="pct"/>
            <w:vAlign w:val="center"/>
            <w:hideMark/>
          </w:tcPr>
          <w:p w14:paraId="7BAD9A08" w14:textId="77777777" w:rsidR="00000000" w:rsidRDefault="00832D71">
            <w:pPr>
              <w:rPr>
                <w:rFonts w:eastAsia="Times New Roman"/>
                <w:sz w:val="20"/>
                <w:szCs w:val="20"/>
              </w:rPr>
            </w:pPr>
          </w:p>
        </w:tc>
        <w:tc>
          <w:tcPr>
            <w:tcW w:w="1031" w:type="pct"/>
            <w:vAlign w:val="center"/>
            <w:hideMark/>
          </w:tcPr>
          <w:p w14:paraId="4DFB2EB3" w14:textId="77777777" w:rsidR="00000000" w:rsidRDefault="00832D71">
            <w:pPr>
              <w:rPr>
                <w:rFonts w:eastAsia="Times New Roman"/>
                <w:sz w:val="20"/>
                <w:szCs w:val="20"/>
              </w:rPr>
            </w:pPr>
          </w:p>
        </w:tc>
        <w:tc>
          <w:tcPr>
            <w:tcW w:w="85" w:type="pct"/>
            <w:vAlign w:val="center"/>
            <w:hideMark/>
          </w:tcPr>
          <w:p w14:paraId="383B645E" w14:textId="77777777" w:rsidR="00000000" w:rsidRDefault="00832D71">
            <w:pPr>
              <w:rPr>
                <w:rFonts w:eastAsia="Times New Roman"/>
                <w:sz w:val="20"/>
                <w:szCs w:val="20"/>
              </w:rPr>
            </w:pPr>
          </w:p>
        </w:tc>
        <w:tc>
          <w:tcPr>
            <w:tcW w:w="50" w:type="pct"/>
            <w:vAlign w:val="center"/>
            <w:hideMark/>
          </w:tcPr>
          <w:p w14:paraId="59862DBC" w14:textId="77777777" w:rsidR="00000000" w:rsidRDefault="00832D71">
            <w:pPr>
              <w:rPr>
                <w:rFonts w:eastAsia="Times New Roman"/>
                <w:sz w:val="20"/>
                <w:szCs w:val="20"/>
              </w:rPr>
            </w:pPr>
          </w:p>
        </w:tc>
        <w:tc>
          <w:tcPr>
            <w:tcW w:w="1170" w:type="pct"/>
            <w:vAlign w:val="center"/>
            <w:hideMark/>
          </w:tcPr>
          <w:p w14:paraId="0B9558FF" w14:textId="77777777" w:rsidR="00000000" w:rsidRDefault="00832D71">
            <w:pPr>
              <w:rPr>
                <w:rFonts w:eastAsia="Times New Roman"/>
                <w:sz w:val="20"/>
                <w:szCs w:val="20"/>
              </w:rPr>
            </w:pPr>
          </w:p>
        </w:tc>
        <w:tc>
          <w:tcPr>
            <w:tcW w:w="50" w:type="pct"/>
            <w:vAlign w:val="center"/>
            <w:hideMark/>
          </w:tcPr>
          <w:p w14:paraId="7B83DDFD" w14:textId="77777777" w:rsidR="00000000" w:rsidRDefault="00832D71">
            <w:pPr>
              <w:rPr>
                <w:rFonts w:eastAsia="Times New Roman"/>
                <w:sz w:val="20"/>
                <w:szCs w:val="20"/>
              </w:rPr>
            </w:pPr>
          </w:p>
        </w:tc>
      </w:tr>
      <w:tr w:rsidR="00000000" w14:paraId="40F8D1F0" w14:textId="77777777">
        <w:trPr>
          <w:trHeight w:val="160"/>
          <w:tblCellSpacing w:w="15" w:type="dxa"/>
        </w:trPr>
        <w:tc>
          <w:tcPr>
            <w:tcW w:w="0" w:type="auto"/>
            <w:vAlign w:val="bottom"/>
            <w:hideMark/>
          </w:tcPr>
          <w:p w14:paraId="41D2BEBB"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4CEBF2E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2D1B7F9" w14:textId="77777777" w:rsidR="00000000" w:rsidRDefault="00832D71">
            <w:pPr>
              <w:pStyle w:val="a3"/>
              <w:spacing w:before="0" w:beforeAutospacing="0" w:after="0" w:afterAutospacing="0"/>
              <w:jc w:val="center"/>
              <w:rPr>
                <w:sz w:val="16"/>
                <w:szCs w:val="16"/>
              </w:rPr>
            </w:pPr>
            <w:r>
              <w:rPr>
                <w:b/>
                <w:bCs/>
                <w:sz w:val="16"/>
                <w:szCs w:val="16"/>
              </w:rPr>
              <w:t>Grant Dat</w:t>
            </w:r>
            <w:r>
              <w:rPr>
                <w:b/>
                <w:bCs/>
                <w:sz w:val="16"/>
                <w:szCs w:val="16"/>
              </w:rPr>
              <w:t>e</w:t>
            </w:r>
          </w:p>
        </w:tc>
        <w:tc>
          <w:tcPr>
            <w:tcW w:w="0" w:type="auto"/>
            <w:hideMark/>
          </w:tcPr>
          <w:p w14:paraId="128B863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DA83BF4" w14:textId="77777777" w:rsidR="00000000" w:rsidRDefault="00832D71">
            <w:pPr>
              <w:pStyle w:val="a3"/>
              <w:spacing w:before="0" w:beforeAutospacing="0" w:after="0" w:afterAutospacing="0"/>
              <w:jc w:val="center"/>
              <w:rPr>
                <w:sz w:val="16"/>
                <w:szCs w:val="16"/>
              </w:rPr>
            </w:pPr>
            <w:r>
              <w:rPr>
                <w:b/>
                <w:bCs/>
                <w:sz w:val="16"/>
                <w:szCs w:val="16"/>
              </w:rPr>
              <w:t>Quantit</w:t>
            </w:r>
            <w:r>
              <w:rPr>
                <w:b/>
                <w:bCs/>
                <w:sz w:val="16"/>
                <w:szCs w:val="16"/>
              </w:rPr>
              <w:t>y</w:t>
            </w:r>
          </w:p>
        </w:tc>
        <w:tc>
          <w:tcPr>
            <w:tcW w:w="0" w:type="auto"/>
            <w:vAlign w:val="bottom"/>
            <w:hideMark/>
          </w:tcPr>
          <w:p w14:paraId="0A10C8ED"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C4308AA" w14:textId="77777777">
        <w:trPr>
          <w:trHeight w:val="200"/>
          <w:tblCellSpacing w:w="15" w:type="dxa"/>
        </w:trPr>
        <w:tc>
          <w:tcPr>
            <w:tcW w:w="0" w:type="auto"/>
            <w:hideMark/>
          </w:tcPr>
          <w:p w14:paraId="249AB39D" w14:textId="77777777" w:rsidR="00000000" w:rsidRDefault="00832D71">
            <w:pPr>
              <w:pStyle w:val="a3"/>
              <w:spacing w:before="0" w:beforeAutospacing="0" w:after="0" w:afterAutospacing="0"/>
              <w:rPr>
                <w:sz w:val="20"/>
                <w:szCs w:val="20"/>
              </w:rPr>
            </w:pPr>
            <w:r>
              <w:rPr>
                <w:sz w:val="20"/>
                <w:szCs w:val="20"/>
              </w:rPr>
              <w:t>Michael A. Stival</w:t>
            </w:r>
            <w:r>
              <w:rPr>
                <w:sz w:val="20"/>
                <w:szCs w:val="20"/>
              </w:rPr>
              <w:t>a</w:t>
            </w:r>
          </w:p>
        </w:tc>
        <w:tc>
          <w:tcPr>
            <w:tcW w:w="0" w:type="auto"/>
            <w:hideMark/>
          </w:tcPr>
          <w:p w14:paraId="5DE9563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B9C6C91" w14:textId="77777777" w:rsidR="00000000" w:rsidRDefault="00832D71">
            <w:pPr>
              <w:pStyle w:val="a3"/>
              <w:spacing w:before="0" w:beforeAutospacing="0" w:after="0" w:afterAutospacing="0"/>
              <w:jc w:val="center"/>
              <w:rPr>
                <w:sz w:val="20"/>
                <w:szCs w:val="20"/>
              </w:rPr>
            </w:pPr>
            <w:r>
              <w:rPr>
                <w:sz w:val="20"/>
                <w:szCs w:val="20"/>
              </w:rPr>
              <w:t>November 15, 202</w:t>
            </w:r>
            <w:r>
              <w:rPr>
                <w:sz w:val="20"/>
                <w:szCs w:val="20"/>
              </w:rPr>
              <w:t>1</w:t>
            </w:r>
          </w:p>
        </w:tc>
        <w:tc>
          <w:tcPr>
            <w:tcW w:w="0" w:type="auto"/>
            <w:hideMark/>
          </w:tcPr>
          <w:p w14:paraId="1AFDDD8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829532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466B17E" w14:textId="77777777" w:rsidR="00000000" w:rsidRDefault="00832D71">
            <w:pPr>
              <w:pStyle w:val="a3"/>
              <w:spacing w:before="0" w:beforeAutospacing="0" w:after="0" w:afterAutospacing="0"/>
              <w:jc w:val="right"/>
              <w:rPr>
                <w:sz w:val="20"/>
                <w:szCs w:val="20"/>
              </w:rPr>
            </w:pPr>
            <w:r>
              <w:rPr>
                <w:sz w:val="20"/>
                <w:szCs w:val="20"/>
              </w:rPr>
              <w:t>57,38</w:t>
            </w:r>
            <w:r>
              <w:rPr>
                <w:sz w:val="20"/>
                <w:szCs w:val="20"/>
              </w:rPr>
              <w:t>2</w:t>
            </w:r>
          </w:p>
        </w:tc>
        <w:tc>
          <w:tcPr>
            <w:tcW w:w="0" w:type="auto"/>
            <w:noWrap/>
            <w:vAlign w:val="bottom"/>
            <w:hideMark/>
          </w:tcPr>
          <w:p w14:paraId="72B3F175" w14:textId="77777777" w:rsidR="00000000" w:rsidRDefault="00832D71">
            <w:pPr>
              <w:pStyle w:val="a3"/>
              <w:spacing w:before="0" w:beforeAutospacing="0" w:after="0" w:afterAutospacing="0"/>
              <w:rPr>
                <w:sz w:val="20"/>
                <w:szCs w:val="20"/>
              </w:rPr>
            </w:pPr>
            <w:r>
              <w:rPr>
                <w:sz w:val="20"/>
                <w:szCs w:val="20"/>
              </w:rPr>
              <w:t> </w:t>
            </w:r>
          </w:p>
        </w:tc>
      </w:tr>
      <w:tr w:rsidR="00000000" w14:paraId="5C795F83" w14:textId="77777777">
        <w:trPr>
          <w:trHeight w:val="200"/>
          <w:tblCellSpacing w:w="15" w:type="dxa"/>
        </w:trPr>
        <w:tc>
          <w:tcPr>
            <w:tcW w:w="0" w:type="auto"/>
            <w:hideMark/>
          </w:tcPr>
          <w:p w14:paraId="32B06901" w14:textId="77777777" w:rsidR="00000000" w:rsidRDefault="00832D71">
            <w:pPr>
              <w:pStyle w:val="a3"/>
              <w:spacing w:before="0" w:beforeAutospacing="0" w:after="0" w:afterAutospacing="0"/>
              <w:rPr>
                <w:sz w:val="20"/>
                <w:szCs w:val="20"/>
              </w:rPr>
            </w:pPr>
            <w:r>
              <w:rPr>
                <w:sz w:val="20"/>
                <w:szCs w:val="20"/>
              </w:rPr>
              <w:t>Michael A. Kugli</w:t>
            </w:r>
            <w:r>
              <w:rPr>
                <w:sz w:val="20"/>
                <w:szCs w:val="20"/>
              </w:rPr>
              <w:t>n</w:t>
            </w:r>
          </w:p>
        </w:tc>
        <w:tc>
          <w:tcPr>
            <w:tcW w:w="0" w:type="auto"/>
            <w:hideMark/>
          </w:tcPr>
          <w:p w14:paraId="34B91FF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D0BD69E" w14:textId="77777777" w:rsidR="00000000" w:rsidRDefault="00832D71">
            <w:pPr>
              <w:pStyle w:val="a3"/>
              <w:spacing w:before="0" w:beforeAutospacing="0" w:after="0" w:afterAutospacing="0"/>
              <w:jc w:val="center"/>
              <w:rPr>
                <w:sz w:val="20"/>
                <w:szCs w:val="20"/>
              </w:rPr>
            </w:pPr>
            <w:r>
              <w:rPr>
                <w:sz w:val="20"/>
                <w:szCs w:val="20"/>
              </w:rPr>
              <w:t>November 15, 202</w:t>
            </w:r>
            <w:r>
              <w:rPr>
                <w:sz w:val="20"/>
                <w:szCs w:val="20"/>
              </w:rPr>
              <w:t>1</w:t>
            </w:r>
          </w:p>
        </w:tc>
        <w:tc>
          <w:tcPr>
            <w:tcW w:w="0" w:type="auto"/>
            <w:hideMark/>
          </w:tcPr>
          <w:p w14:paraId="0A35325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5D9A76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9F8B651" w14:textId="77777777" w:rsidR="00000000" w:rsidRDefault="00832D71">
            <w:pPr>
              <w:pStyle w:val="a3"/>
              <w:spacing w:before="0" w:beforeAutospacing="0" w:after="0" w:afterAutospacing="0"/>
              <w:jc w:val="right"/>
              <w:rPr>
                <w:sz w:val="20"/>
                <w:szCs w:val="20"/>
              </w:rPr>
            </w:pPr>
            <w:r>
              <w:rPr>
                <w:sz w:val="20"/>
                <w:szCs w:val="20"/>
              </w:rPr>
              <w:t>47,81</w:t>
            </w:r>
            <w:r>
              <w:rPr>
                <w:sz w:val="20"/>
                <w:szCs w:val="20"/>
              </w:rPr>
              <w:t>8</w:t>
            </w:r>
          </w:p>
        </w:tc>
        <w:tc>
          <w:tcPr>
            <w:tcW w:w="0" w:type="auto"/>
            <w:noWrap/>
            <w:vAlign w:val="bottom"/>
            <w:hideMark/>
          </w:tcPr>
          <w:p w14:paraId="55774AB2" w14:textId="77777777" w:rsidR="00000000" w:rsidRDefault="00832D71">
            <w:pPr>
              <w:pStyle w:val="a3"/>
              <w:spacing w:before="0" w:beforeAutospacing="0" w:after="0" w:afterAutospacing="0"/>
              <w:rPr>
                <w:sz w:val="20"/>
                <w:szCs w:val="20"/>
              </w:rPr>
            </w:pPr>
            <w:r>
              <w:rPr>
                <w:sz w:val="20"/>
                <w:szCs w:val="20"/>
              </w:rPr>
              <w:t> </w:t>
            </w:r>
          </w:p>
        </w:tc>
      </w:tr>
      <w:tr w:rsidR="00000000" w14:paraId="0EE27DB0" w14:textId="77777777">
        <w:trPr>
          <w:trHeight w:val="200"/>
          <w:tblCellSpacing w:w="15" w:type="dxa"/>
        </w:trPr>
        <w:tc>
          <w:tcPr>
            <w:tcW w:w="0" w:type="auto"/>
            <w:hideMark/>
          </w:tcPr>
          <w:p w14:paraId="3751FE0E" w14:textId="77777777" w:rsidR="00000000" w:rsidRDefault="00832D71">
            <w:pPr>
              <w:pStyle w:val="a3"/>
              <w:spacing w:before="0" w:beforeAutospacing="0" w:after="0" w:afterAutospacing="0"/>
              <w:rPr>
                <w:sz w:val="20"/>
                <w:szCs w:val="20"/>
              </w:rPr>
            </w:pPr>
            <w:r>
              <w:rPr>
                <w:sz w:val="20"/>
                <w:szCs w:val="20"/>
              </w:rPr>
              <w:t>Steven C. Boy</w:t>
            </w:r>
            <w:r>
              <w:rPr>
                <w:sz w:val="20"/>
                <w:szCs w:val="20"/>
              </w:rPr>
              <w:t>d</w:t>
            </w:r>
          </w:p>
        </w:tc>
        <w:tc>
          <w:tcPr>
            <w:tcW w:w="0" w:type="auto"/>
            <w:hideMark/>
          </w:tcPr>
          <w:p w14:paraId="5F8C344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0BE75CA" w14:textId="77777777" w:rsidR="00000000" w:rsidRDefault="00832D71">
            <w:pPr>
              <w:pStyle w:val="a3"/>
              <w:spacing w:before="0" w:beforeAutospacing="0" w:after="0" w:afterAutospacing="0"/>
              <w:jc w:val="center"/>
              <w:rPr>
                <w:sz w:val="20"/>
                <w:szCs w:val="20"/>
              </w:rPr>
            </w:pPr>
            <w:r>
              <w:rPr>
                <w:sz w:val="20"/>
                <w:szCs w:val="20"/>
              </w:rPr>
              <w:t>November 15, 202</w:t>
            </w:r>
            <w:r>
              <w:rPr>
                <w:sz w:val="20"/>
                <w:szCs w:val="20"/>
              </w:rPr>
              <w:t>1</w:t>
            </w:r>
          </w:p>
        </w:tc>
        <w:tc>
          <w:tcPr>
            <w:tcW w:w="0" w:type="auto"/>
            <w:hideMark/>
          </w:tcPr>
          <w:p w14:paraId="45B992B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B3F13A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DE1FA4F" w14:textId="77777777" w:rsidR="00000000" w:rsidRDefault="00832D71">
            <w:pPr>
              <w:pStyle w:val="a3"/>
              <w:spacing w:before="0" w:beforeAutospacing="0" w:after="0" w:afterAutospacing="0"/>
              <w:jc w:val="right"/>
              <w:rPr>
                <w:sz w:val="20"/>
                <w:szCs w:val="20"/>
              </w:rPr>
            </w:pPr>
            <w:r>
              <w:rPr>
                <w:sz w:val="20"/>
                <w:szCs w:val="20"/>
              </w:rPr>
              <w:t>47,81</w:t>
            </w:r>
            <w:r>
              <w:rPr>
                <w:sz w:val="20"/>
                <w:szCs w:val="20"/>
              </w:rPr>
              <w:t>8</w:t>
            </w:r>
          </w:p>
        </w:tc>
        <w:tc>
          <w:tcPr>
            <w:tcW w:w="0" w:type="auto"/>
            <w:noWrap/>
            <w:vAlign w:val="bottom"/>
            <w:hideMark/>
          </w:tcPr>
          <w:p w14:paraId="214C804B" w14:textId="77777777" w:rsidR="00000000" w:rsidRDefault="00832D71">
            <w:pPr>
              <w:pStyle w:val="a3"/>
              <w:spacing w:before="0" w:beforeAutospacing="0" w:after="0" w:afterAutospacing="0"/>
              <w:rPr>
                <w:sz w:val="20"/>
                <w:szCs w:val="20"/>
              </w:rPr>
            </w:pPr>
            <w:r>
              <w:rPr>
                <w:sz w:val="20"/>
                <w:szCs w:val="20"/>
              </w:rPr>
              <w:t> </w:t>
            </w:r>
          </w:p>
        </w:tc>
      </w:tr>
      <w:tr w:rsidR="00000000" w14:paraId="6E4BC309" w14:textId="77777777">
        <w:trPr>
          <w:trHeight w:val="200"/>
          <w:tblCellSpacing w:w="15" w:type="dxa"/>
        </w:trPr>
        <w:tc>
          <w:tcPr>
            <w:tcW w:w="0" w:type="auto"/>
            <w:hideMark/>
          </w:tcPr>
          <w:p w14:paraId="21FC8482" w14:textId="77777777" w:rsidR="00000000" w:rsidRDefault="00832D71">
            <w:pPr>
              <w:pStyle w:val="a3"/>
              <w:spacing w:before="0" w:beforeAutospacing="0" w:after="0" w:afterAutospacing="0"/>
              <w:rPr>
                <w:sz w:val="20"/>
                <w:szCs w:val="20"/>
              </w:rPr>
            </w:pPr>
            <w:r>
              <w:rPr>
                <w:sz w:val="20"/>
                <w:szCs w:val="20"/>
              </w:rPr>
              <w:t>Douglas T. Brinkwort</w:t>
            </w:r>
            <w:r>
              <w:rPr>
                <w:sz w:val="20"/>
                <w:szCs w:val="20"/>
              </w:rPr>
              <w:t>h</w:t>
            </w:r>
          </w:p>
        </w:tc>
        <w:tc>
          <w:tcPr>
            <w:tcW w:w="0" w:type="auto"/>
            <w:hideMark/>
          </w:tcPr>
          <w:p w14:paraId="6F74323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7B72A4A" w14:textId="77777777" w:rsidR="00000000" w:rsidRDefault="00832D71">
            <w:pPr>
              <w:pStyle w:val="a3"/>
              <w:spacing w:before="0" w:beforeAutospacing="0" w:after="0" w:afterAutospacing="0"/>
              <w:jc w:val="center"/>
              <w:rPr>
                <w:sz w:val="20"/>
                <w:szCs w:val="20"/>
              </w:rPr>
            </w:pPr>
            <w:r>
              <w:rPr>
                <w:sz w:val="20"/>
                <w:szCs w:val="20"/>
              </w:rPr>
              <w:t>November 15, 202</w:t>
            </w:r>
            <w:r>
              <w:rPr>
                <w:sz w:val="20"/>
                <w:szCs w:val="20"/>
              </w:rPr>
              <w:t>1</w:t>
            </w:r>
          </w:p>
        </w:tc>
        <w:tc>
          <w:tcPr>
            <w:tcW w:w="0" w:type="auto"/>
            <w:hideMark/>
          </w:tcPr>
          <w:p w14:paraId="28DE4FA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3A242F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2EF9EED" w14:textId="77777777" w:rsidR="00000000" w:rsidRDefault="00832D71">
            <w:pPr>
              <w:pStyle w:val="a3"/>
              <w:spacing w:before="0" w:beforeAutospacing="0" w:after="0" w:afterAutospacing="0"/>
              <w:jc w:val="right"/>
              <w:rPr>
                <w:sz w:val="20"/>
                <w:szCs w:val="20"/>
              </w:rPr>
            </w:pPr>
            <w:r>
              <w:rPr>
                <w:sz w:val="20"/>
                <w:szCs w:val="20"/>
              </w:rPr>
              <w:t>47,81</w:t>
            </w:r>
            <w:r>
              <w:rPr>
                <w:sz w:val="20"/>
                <w:szCs w:val="20"/>
              </w:rPr>
              <w:t>8</w:t>
            </w:r>
          </w:p>
        </w:tc>
        <w:tc>
          <w:tcPr>
            <w:tcW w:w="0" w:type="auto"/>
            <w:noWrap/>
            <w:vAlign w:val="bottom"/>
            <w:hideMark/>
          </w:tcPr>
          <w:p w14:paraId="2DB0AF8F" w14:textId="77777777" w:rsidR="00000000" w:rsidRDefault="00832D71">
            <w:pPr>
              <w:pStyle w:val="a3"/>
              <w:spacing w:before="0" w:beforeAutospacing="0" w:after="0" w:afterAutospacing="0"/>
              <w:rPr>
                <w:sz w:val="20"/>
                <w:szCs w:val="20"/>
              </w:rPr>
            </w:pPr>
            <w:r>
              <w:rPr>
                <w:sz w:val="20"/>
                <w:szCs w:val="20"/>
              </w:rPr>
              <w:t> </w:t>
            </w:r>
          </w:p>
        </w:tc>
      </w:tr>
      <w:tr w:rsidR="00000000" w14:paraId="6B0C025A" w14:textId="77777777">
        <w:trPr>
          <w:trHeight w:val="200"/>
          <w:tblCellSpacing w:w="15" w:type="dxa"/>
        </w:trPr>
        <w:tc>
          <w:tcPr>
            <w:tcW w:w="0" w:type="auto"/>
            <w:hideMark/>
          </w:tcPr>
          <w:p w14:paraId="6B86120C" w14:textId="77777777" w:rsidR="00000000" w:rsidRDefault="00832D71">
            <w:pPr>
              <w:pStyle w:val="a3"/>
              <w:spacing w:before="0" w:beforeAutospacing="0" w:after="0" w:afterAutospacing="0"/>
              <w:rPr>
                <w:sz w:val="20"/>
                <w:szCs w:val="20"/>
              </w:rPr>
            </w:pPr>
            <w:r>
              <w:rPr>
                <w:sz w:val="20"/>
                <w:szCs w:val="20"/>
              </w:rPr>
              <w:t>Neil E. Scanlo</w:t>
            </w:r>
            <w:r>
              <w:rPr>
                <w:sz w:val="20"/>
                <w:szCs w:val="20"/>
              </w:rPr>
              <w:t>n</w:t>
            </w:r>
          </w:p>
        </w:tc>
        <w:tc>
          <w:tcPr>
            <w:tcW w:w="0" w:type="auto"/>
            <w:hideMark/>
          </w:tcPr>
          <w:p w14:paraId="116F583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797E136" w14:textId="77777777" w:rsidR="00000000" w:rsidRDefault="00832D71">
            <w:pPr>
              <w:pStyle w:val="a3"/>
              <w:spacing w:before="0" w:beforeAutospacing="0" w:after="0" w:afterAutospacing="0"/>
              <w:jc w:val="center"/>
              <w:rPr>
                <w:sz w:val="20"/>
                <w:szCs w:val="20"/>
              </w:rPr>
            </w:pPr>
            <w:r>
              <w:rPr>
                <w:sz w:val="20"/>
                <w:szCs w:val="20"/>
              </w:rPr>
              <w:t>November 15, 202</w:t>
            </w:r>
            <w:r>
              <w:rPr>
                <w:sz w:val="20"/>
                <w:szCs w:val="20"/>
              </w:rPr>
              <w:t>1</w:t>
            </w:r>
          </w:p>
        </w:tc>
        <w:tc>
          <w:tcPr>
            <w:tcW w:w="0" w:type="auto"/>
            <w:hideMark/>
          </w:tcPr>
          <w:p w14:paraId="18A7CD6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87FBAC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72CBC94" w14:textId="77777777" w:rsidR="00000000" w:rsidRDefault="00832D71">
            <w:pPr>
              <w:pStyle w:val="a3"/>
              <w:spacing w:before="0" w:beforeAutospacing="0" w:after="0" w:afterAutospacing="0"/>
              <w:jc w:val="right"/>
              <w:rPr>
                <w:sz w:val="20"/>
                <w:szCs w:val="20"/>
              </w:rPr>
            </w:pPr>
            <w:r>
              <w:rPr>
                <w:sz w:val="20"/>
                <w:szCs w:val="20"/>
              </w:rPr>
              <w:t>44,63</w:t>
            </w:r>
            <w:r>
              <w:rPr>
                <w:sz w:val="20"/>
                <w:szCs w:val="20"/>
              </w:rPr>
              <w:t>1</w:t>
            </w:r>
          </w:p>
        </w:tc>
        <w:tc>
          <w:tcPr>
            <w:tcW w:w="0" w:type="auto"/>
            <w:noWrap/>
            <w:vAlign w:val="bottom"/>
            <w:hideMark/>
          </w:tcPr>
          <w:p w14:paraId="6A4B6FC7" w14:textId="77777777" w:rsidR="00000000" w:rsidRDefault="00832D71">
            <w:pPr>
              <w:pStyle w:val="a3"/>
              <w:spacing w:before="0" w:beforeAutospacing="0" w:after="0" w:afterAutospacing="0"/>
              <w:rPr>
                <w:sz w:val="20"/>
                <w:szCs w:val="20"/>
              </w:rPr>
            </w:pPr>
            <w:r>
              <w:rPr>
                <w:sz w:val="20"/>
                <w:szCs w:val="20"/>
              </w:rPr>
              <w:t> </w:t>
            </w:r>
          </w:p>
        </w:tc>
      </w:tr>
    </w:tbl>
    <w:p w14:paraId="46C32776" w14:textId="77777777" w:rsidR="00000000" w:rsidRDefault="00832D71">
      <w:pPr>
        <w:pStyle w:val="a3"/>
        <w:spacing w:before="0" w:beforeAutospacing="0" w:after="0" w:afterAutospacing="0"/>
        <w:rPr>
          <w:sz w:val="20"/>
          <w:szCs w:val="20"/>
        </w:rPr>
      </w:pPr>
      <w:r>
        <w:rPr>
          <w:sz w:val="20"/>
          <w:szCs w:val="20"/>
        </w:rPr>
        <w:t> </w:t>
      </w:r>
    </w:p>
    <w:p w14:paraId="47CDC1F1" w14:textId="77777777" w:rsidR="00000000" w:rsidRDefault="00832D71">
      <w:pPr>
        <w:pStyle w:val="a3"/>
        <w:spacing w:before="0" w:beforeAutospacing="0" w:after="0" w:afterAutospacing="0"/>
        <w:jc w:val="center"/>
        <w:rPr>
          <w:sz w:val="20"/>
          <w:szCs w:val="20"/>
        </w:rPr>
      </w:pPr>
      <w:r>
        <w:rPr>
          <w:sz w:val="20"/>
          <w:szCs w:val="20"/>
        </w:rPr>
        <w:t> </w:t>
      </w:r>
    </w:p>
    <w:p w14:paraId="3B961FDB" w14:textId="77777777" w:rsidR="00000000" w:rsidRDefault="00832D71">
      <w:pPr>
        <w:pStyle w:val="a3"/>
        <w:spacing w:before="0" w:beforeAutospacing="0" w:after="0" w:afterAutospacing="0"/>
        <w:jc w:val="center"/>
        <w:rPr>
          <w:sz w:val="20"/>
          <w:szCs w:val="20"/>
        </w:rPr>
      </w:pPr>
      <w:r>
        <w:rPr>
          <w:sz w:val="20"/>
          <w:szCs w:val="20"/>
        </w:rPr>
        <w:t>6</w:t>
      </w:r>
      <w:r>
        <w:rPr>
          <w:sz w:val="20"/>
          <w:szCs w:val="20"/>
        </w:rPr>
        <w:t>8</w:t>
      </w:r>
    </w:p>
    <w:p w14:paraId="0950DE37" w14:textId="77777777" w:rsidR="00000000" w:rsidRDefault="00832D71">
      <w:pPr>
        <w:rPr>
          <w:rFonts w:eastAsia="Times New Roman"/>
        </w:rPr>
      </w:pPr>
      <w:r>
        <w:rPr>
          <w:rFonts w:eastAsia="Times New Roman"/>
        </w:rPr>
        <w:pict w14:anchorId="4472AEB2">
          <v:rect id="_x0000_i1095" style="width:0;height:1.5pt" o:hralign="center" o:hrstd="t" o:hr="t" fillcolor="#a0a0a0" stroked="f"/>
        </w:pict>
      </w:r>
    </w:p>
    <w:p w14:paraId="7E69ACA8"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3711B094" w14:textId="77777777" w:rsidR="00000000" w:rsidRDefault="00832D71">
      <w:pPr>
        <w:pStyle w:val="a3"/>
        <w:spacing w:before="240" w:beforeAutospacing="0" w:after="0" w:afterAutospacing="0"/>
        <w:ind w:firstLine="555"/>
        <w:jc w:val="both"/>
        <w:rPr>
          <w:sz w:val="20"/>
          <w:szCs w:val="20"/>
        </w:rPr>
      </w:pPr>
      <w:r>
        <w:rPr>
          <w:sz w:val="20"/>
          <w:szCs w:val="20"/>
        </w:rPr>
        <w:t>At its November 8, 2022 meeting, the Committee granted the following awards under the 2018 RUP to our named executive officers</w:t>
      </w:r>
      <w:r>
        <w:rPr>
          <w:sz w:val="20"/>
          <w:szCs w:val="20"/>
        </w:rPr>
        <w:t>:</w:t>
      </w:r>
    </w:p>
    <w:p w14:paraId="3CAFE7DF" w14:textId="77777777" w:rsidR="00000000" w:rsidRDefault="00832D71">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276"/>
        <w:gridCol w:w="132"/>
        <w:gridCol w:w="1347"/>
        <w:gridCol w:w="110"/>
        <w:gridCol w:w="110"/>
        <w:gridCol w:w="1545"/>
        <w:gridCol w:w="125"/>
      </w:tblGrid>
      <w:tr w:rsidR="00000000" w14:paraId="6F4EC35C" w14:textId="77777777">
        <w:trPr>
          <w:tblCellSpacing w:w="15" w:type="dxa"/>
        </w:trPr>
        <w:tc>
          <w:tcPr>
            <w:tcW w:w="2527" w:type="pct"/>
            <w:vAlign w:val="center"/>
            <w:hideMark/>
          </w:tcPr>
          <w:p w14:paraId="435F2224" w14:textId="77777777" w:rsidR="00000000" w:rsidRDefault="00832D71">
            <w:pPr>
              <w:rPr>
                <w:sz w:val="20"/>
                <w:szCs w:val="20"/>
              </w:rPr>
            </w:pPr>
          </w:p>
        </w:tc>
        <w:tc>
          <w:tcPr>
            <w:tcW w:w="85" w:type="pct"/>
            <w:vAlign w:val="center"/>
            <w:hideMark/>
          </w:tcPr>
          <w:p w14:paraId="33AD8789" w14:textId="77777777" w:rsidR="00000000" w:rsidRDefault="00832D71">
            <w:pPr>
              <w:rPr>
                <w:rFonts w:eastAsia="Times New Roman"/>
                <w:sz w:val="20"/>
                <w:szCs w:val="20"/>
              </w:rPr>
            </w:pPr>
          </w:p>
        </w:tc>
        <w:tc>
          <w:tcPr>
            <w:tcW w:w="1033" w:type="pct"/>
            <w:vAlign w:val="center"/>
            <w:hideMark/>
          </w:tcPr>
          <w:p w14:paraId="23355F0C" w14:textId="77777777" w:rsidR="00000000" w:rsidRDefault="00832D71">
            <w:pPr>
              <w:rPr>
                <w:rFonts w:eastAsia="Times New Roman"/>
                <w:sz w:val="20"/>
                <w:szCs w:val="20"/>
              </w:rPr>
            </w:pPr>
          </w:p>
        </w:tc>
        <w:tc>
          <w:tcPr>
            <w:tcW w:w="63" w:type="pct"/>
            <w:vAlign w:val="center"/>
            <w:hideMark/>
          </w:tcPr>
          <w:p w14:paraId="518C25C0" w14:textId="77777777" w:rsidR="00000000" w:rsidRDefault="00832D71">
            <w:pPr>
              <w:rPr>
                <w:rFonts w:eastAsia="Times New Roman"/>
                <w:sz w:val="20"/>
                <w:szCs w:val="20"/>
              </w:rPr>
            </w:pPr>
          </w:p>
        </w:tc>
        <w:tc>
          <w:tcPr>
            <w:tcW w:w="50" w:type="pct"/>
            <w:vAlign w:val="center"/>
            <w:hideMark/>
          </w:tcPr>
          <w:p w14:paraId="08912127" w14:textId="77777777" w:rsidR="00000000" w:rsidRDefault="00832D71">
            <w:pPr>
              <w:rPr>
                <w:rFonts w:eastAsia="Times New Roman"/>
                <w:sz w:val="20"/>
                <w:szCs w:val="20"/>
              </w:rPr>
            </w:pPr>
          </w:p>
        </w:tc>
        <w:tc>
          <w:tcPr>
            <w:tcW w:w="1191" w:type="pct"/>
            <w:vAlign w:val="center"/>
            <w:hideMark/>
          </w:tcPr>
          <w:p w14:paraId="42B185F2" w14:textId="77777777" w:rsidR="00000000" w:rsidRDefault="00832D71">
            <w:pPr>
              <w:rPr>
                <w:rFonts w:eastAsia="Times New Roman"/>
                <w:sz w:val="20"/>
                <w:szCs w:val="20"/>
              </w:rPr>
            </w:pPr>
          </w:p>
        </w:tc>
        <w:tc>
          <w:tcPr>
            <w:tcW w:w="50" w:type="pct"/>
            <w:vAlign w:val="center"/>
            <w:hideMark/>
          </w:tcPr>
          <w:p w14:paraId="2F6C7845" w14:textId="77777777" w:rsidR="00000000" w:rsidRDefault="00832D71">
            <w:pPr>
              <w:rPr>
                <w:rFonts w:eastAsia="Times New Roman"/>
                <w:sz w:val="20"/>
                <w:szCs w:val="20"/>
              </w:rPr>
            </w:pPr>
          </w:p>
        </w:tc>
      </w:tr>
      <w:tr w:rsidR="00000000" w14:paraId="3B76E489" w14:textId="77777777">
        <w:trPr>
          <w:trHeight w:val="160"/>
          <w:tblCellSpacing w:w="15" w:type="dxa"/>
        </w:trPr>
        <w:tc>
          <w:tcPr>
            <w:tcW w:w="0" w:type="auto"/>
            <w:vAlign w:val="bottom"/>
            <w:hideMark/>
          </w:tcPr>
          <w:p w14:paraId="3BA98786"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71C0F71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2D53921" w14:textId="77777777" w:rsidR="00000000" w:rsidRDefault="00832D71">
            <w:pPr>
              <w:pStyle w:val="a3"/>
              <w:spacing w:before="0" w:beforeAutospacing="0" w:after="0" w:afterAutospacing="0"/>
              <w:jc w:val="center"/>
              <w:rPr>
                <w:sz w:val="16"/>
                <w:szCs w:val="16"/>
              </w:rPr>
            </w:pPr>
            <w:r>
              <w:rPr>
                <w:b/>
                <w:bCs/>
                <w:sz w:val="16"/>
                <w:szCs w:val="16"/>
              </w:rPr>
              <w:t>Grant Dat</w:t>
            </w:r>
            <w:r>
              <w:rPr>
                <w:b/>
                <w:bCs/>
                <w:sz w:val="16"/>
                <w:szCs w:val="16"/>
              </w:rPr>
              <w:t>e</w:t>
            </w:r>
          </w:p>
        </w:tc>
        <w:tc>
          <w:tcPr>
            <w:tcW w:w="0" w:type="auto"/>
            <w:hideMark/>
          </w:tcPr>
          <w:p w14:paraId="18FD6AF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CFCBC73" w14:textId="77777777" w:rsidR="00000000" w:rsidRDefault="00832D71">
            <w:pPr>
              <w:pStyle w:val="a3"/>
              <w:spacing w:before="0" w:beforeAutospacing="0" w:after="0" w:afterAutospacing="0"/>
              <w:jc w:val="center"/>
              <w:rPr>
                <w:sz w:val="16"/>
                <w:szCs w:val="16"/>
              </w:rPr>
            </w:pPr>
            <w:r>
              <w:rPr>
                <w:b/>
                <w:bCs/>
                <w:sz w:val="16"/>
                <w:szCs w:val="16"/>
              </w:rPr>
              <w:t>Quantit</w:t>
            </w:r>
            <w:r>
              <w:rPr>
                <w:b/>
                <w:bCs/>
                <w:sz w:val="16"/>
                <w:szCs w:val="16"/>
              </w:rPr>
              <w:t>y</w:t>
            </w:r>
          </w:p>
        </w:tc>
        <w:tc>
          <w:tcPr>
            <w:tcW w:w="0" w:type="auto"/>
            <w:vAlign w:val="bottom"/>
            <w:hideMark/>
          </w:tcPr>
          <w:p w14:paraId="16D66F42"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9F004B8" w14:textId="77777777">
        <w:trPr>
          <w:trHeight w:val="200"/>
          <w:tblCellSpacing w:w="15" w:type="dxa"/>
        </w:trPr>
        <w:tc>
          <w:tcPr>
            <w:tcW w:w="0" w:type="auto"/>
            <w:hideMark/>
          </w:tcPr>
          <w:p w14:paraId="5B2A2007" w14:textId="77777777" w:rsidR="00000000" w:rsidRDefault="00832D71">
            <w:pPr>
              <w:pStyle w:val="a3"/>
              <w:spacing w:before="0" w:beforeAutospacing="0" w:after="0" w:afterAutospacing="0"/>
              <w:rPr>
                <w:sz w:val="20"/>
                <w:szCs w:val="20"/>
              </w:rPr>
            </w:pPr>
            <w:r>
              <w:rPr>
                <w:sz w:val="20"/>
                <w:szCs w:val="20"/>
              </w:rPr>
              <w:t>Michael A. Stival</w:t>
            </w:r>
            <w:r>
              <w:rPr>
                <w:sz w:val="20"/>
                <w:szCs w:val="20"/>
              </w:rPr>
              <w:t>a</w:t>
            </w:r>
          </w:p>
        </w:tc>
        <w:tc>
          <w:tcPr>
            <w:tcW w:w="0" w:type="auto"/>
            <w:hideMark/>
          </w:tcPr>
          <w:p w14:paraId="7A1B989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FB9AFDA" w14:textId="77777777" w:rsidR="00000000" w:rsidRDefault="00832D71">
            <w:pPr>
              <w:pStyle w:val="a3"/>
              <w:spacing w:before="0" w:beforeAutospacing="0" w:after="0" w:afterAutospacing="0"/>
              <w:jc w:val="center"/>
              <w:rPr>
                <w:sz w:val="20"/>
                <w:szCs w:val="20"/>
              </w:rPr>
            </w:pPr>
            <w:r>
              <w:rPr>
                <w:sz w:val="20"/>
                <w:szCs w:val="20"/>
              </w:rPr>
              <w:t>November 15, 202</w:t>
            </w:r>
            <w:r>
              <w:rPr>
                <w:sz w:val="20"/>
                <w:szCs w:val="20"/>
              </w:rPr>
              <w:t>2</w:t>
            </w:r>
          </w:p>
        </w:tc>
        <w:tc>
          <w:tcPr>
            <w:tcW w:w="0" w:type="auto"/>
            <w:hideMark/>
          </w:tcPr>
          <w:p w14:paraId="619BED5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5EC6CA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A114B43" w14:textId="77777777" w:rsidR="00000000" w:rsidRDefault="00832D71">
            <w:pPr>
              <w:pStyle w:val="a3"/>
              <w:spacing w:before="0" w:beforeAutospacing="0" w:after="0" w:afterAutospacing="0"/>
              <w:jc w:val="right"/>
              <w:rPr>
                <w:sz w:val="20"/>
                <w:szCs w:val="20"/>
              </w:rPr>
            </w:pPr>
            <w:r>
              <w:rPr>
                <w:sz w:val="20"/>
                <w:szCs w:val="20"/>
              </w:rPr>
              <w:t>46,44</w:t>
            </w:r>
            <w:r>
              <w:rPr>
                <w:sz w:val="20"/>
                <w:szCs w:val="20"/>
              </w:rPr>
              <w:t>8</w:t>
            </w:r>
          </w:p>
        </w:tc>
        <w:tc>
          <w:tcPr>
            <w:tcW w:w="0" w:type="auto"/>
            <w:noWrap/>
            <w:vAlign w:val="bottom"/>
            <w:hideMark/>
          </w:tcPr>
          <w:p w14:paraId="14812834" w14:textId="77777777" w:rsidR="00000000" w:rsidRDefault="00832D71">
            <w:pPr>
              <w:pStyle w:val="a3"/>
              <w:spacing w:before="0" w:beforeAutospacing="0" w:after="0" w:afterAutospacing="0"/>
              <w:rPr>
                <w:sz w:val="20"/>
                <w:szCs w:val="20"/>
              </w:rPr>
            </w:pPr>
            <w:r>
              <w:rPr>
                <w:sz w:val="20"/>
                <w:szCs w:val="20"/>
              </w:rPr>
              <w:t> </w:t>
            </w:r>
          </w:p>
        </w:tc>
      </w:tr>
      <w:tr w:rsidR="00000000" w14:paraId="64105623" w14:textId="77777777">
        <w:trPr>
          <w:trHeight w:val="200"/>
          <w:tblCellSpacing w:w="15" w:type="dxa"/>
        </w:trPr>
        <w:tc>
          <w:tcPr>
            <w:tcW w:w="0" w:type="auto"/>
            <w:hideMark/>
          </w:tcPr>
          <w:p w14:paraId="47F1D8AA" w14:textId="77777777" w:rsidR="00000000" w:rsidRDefault="00832D71">
            <w:pPr>
              <w:pStyle w:val="a3"/>
              <w:spacing w:before="0" w:beforeAutospacing="0" w:after="0" w:afterAutospacing="0"/>
              <w:rPr>
                <w:sz w:val="20"/>
                <w:szCs w:val="20"/>
              </w:rPr>
            </w:pPr>
            <w:r>
              <w:rPr>
                <w:sz w:val="20"/>
                <w:szCs w:val="20"/>
              </w:rPr>
              <w:t>Michael A. Kugli</w:t>
            </w:r>
            <w:r>
              <w:rPr>
                <w:sz w:val="20"/>
                <w:szCs w:val="20"/>
              </w:rPr>
              <w:t>n</w:t>
            </w:r>
          </w:p>
        </w:tc>
        <w:tc>
          <w:tcPr>
            <w:tcW w:w="0" w:type="auto"/>
            <w:hideMark/>
          </w:tcPr>
          <w:p w14:paraId="2411D91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BC1E6F9" w14:textId="77777777" w:rsidR="00000000" w:rsidRDefault="00832D71">
            <w:pPr>
              <w:pStyle w:val="a3"/>
              <w:spacing w:before="0" w:beforeAutospacing="0" w:after="0" w:afterAutospacing="0"/>
              <w:jc w:val="center"/>
              <w:rPr>
                <w:sz w:val="20"/>
                <w:szCs w:val="20"/>
              </w:rPr>
            </w:pPr>
            <w:r>
              <w:rPr>
                <w:sz w:val="20"/>
                <w:szCs w:val="20"/>
              </w:rPr>
              <w:t>November 15, 202</w:t>
            </w:r>
            <w:r>
              <w:rPr>
                <w:sz w:val="20"/>
                <w:szCs w:val="20"/>
              </w:rPr>
              <w:t>2</w:t>
            </w:r>
          </w:p>
        </w:tc>
        <w:tc>
          <w:tcPr>
            <w:tcW w:w="0" w:type="auto"/>
            <w:hideMark/>
          </w:tcPr>
          <w:p w14:paraId="38C6D15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E59221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C7D8406" w14:textId="77777777" w:rsidR="00000000" w:rsidRDefault="00832D71">
            <w:pPr>
              <w:pStyle w:val="a3"/>
              <w:spacing w:before="0" w:beforeAutospacing="0" w:after="0" w:afterAutospacing="0"/>
              <w:jc w:val="right"/>
              <w:rPr>
                <w:sz w:val="20"/>
                <w:szCs w:val="20"/>
              </w:rPr>
            </w:pPr>
            <w:r>
              <w:rPr>
                <w:sz w:val="20"/>
                <w:szCs w:val="20"/>
              </w:rPr>
              <w:t>29,33</w:t>
            </w:r>
            <w:r>
              <w:rPr>
                <w:sz w:val="20"/>
                <w:szCs w:val="20"/>
              </w:rPr>
              <w:t>6</w:t>
            </w:r>
          </w:p>
        </w:tc>
        <w:tc>
          <w:tcPr>
            <w:tcW w:w="0" w:type="auto"/>
            <w:noWrap/>
            <w:vAlign w:val="bottom"/>
            <w:hideMark/>
          </w:tcPr>
          <w:p w14:paraId="763ED8CE" w14:textId="77777777" w:rsidR="00000000" w:rsidRDefault="00832D71">
            <w:pPr>
              <w:pStyle w:val="a3"/>
              <w:spacing w:before="0" w:beforeAutospacing="0" w:after="0" w:afterAutospacing="0"/>
              <w:rPr>
                <w:sz w:val="20"/>
                <w:szCs w:val="20"/>
              </w:rPr>
            </w:pPr>
            <w:r>
              <w:rPr>
                <w:sz w:val="20"/>
                <w:szCs w:val="20"/>
              </w:rPr>
              <w:t> </w:t>
            </w:r>
          </w:p>
        </w:tc>
      </w:tr>
      <w:tr w:rsidR="00000000" w14:paraId="4B91B06E" w14:textId="77777777">
        <w:trPr>
          <w:trHeight w:val="200"/>
          <w:tblCellSpacing w:w="15" w:type="dxa"/>
        </w:trPr>
        <w:tc>
          <w:tcPr>
            <w:tcW w:w="0" w:type="auto"/>
            <w:hideMark/>
          </w:tcPr>
          <w:p w14:paraId="61C56DEE" w14:textId="77777777" w:rsidR="00000000" w:rsidRDefault="00832D71">
            <w:pPr>
              <w:pStyle w:val="a3"/>
              <w:spacing w:before="0" w:beforeAutospacing="0" w:after="0" w:afterAutospacing="0"/>
              <w:rPr>
                <w:sz w:val="20"/>
                <w:szCs w:val="20"/>
              </w:rPr>
            </w:pPr>
            <w:r>
              <w:rPr>
                <w:sz w:val="20"/>
                <w:szCs w:val="20"/>
              </w:rPr>
              <w:t>Steven C. Boy</w:t>
            </w:r>
            <w:r>
              <w:rPr>
                <w:sz w:val="20"/>
                <w:szCs w:val="20"/>
              </w:rPr>
              <w:t>d</w:t>
            </w:r>
          </w:p>
        </w:tc>
        <w:tc>
          <w:tcPr>
            <w:tcW w:w="0" w:type="auto"/>
            <w:hideMark/>
          </w:tcPr>
          <w:p w14:paraId="6E172EE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A6F6642" w14:textId="77777777" w:rsidR="00000000" w:rsidRDefault="00832D71">
            <w:pPr>
              <w:pStyle w:val="a3"/>
              <w:spacing w:before="0" w:beforeAutospacing="0" w:after="0" w:afterAutospacing="0"/>
              <w:jc w:val="center"/>
              <w:rPr>
                <w:sz w:val="20"/>
                <w:szCs w:val="20"/>
              </w:rPr>
            </w:pPr>
            <w:r>
              <w:rPr>
                <w:sz w:val="20"/>
                <w:szCs w:val="20"/>
              </w:rPr>
              <w:t>November 15, 202</w:t>
            </w:r>
            <w:r>
              <w:rPr>
                <w:sz w:val="20"/>
                <w:szCs w:val="20"/>
              </w:rPr>
              <w:t>2</w:t>
            </w:r>
          </w:p>
        </w:tc>
        <w:tc>
          <w:tcPr>
            <w:tcW w:w="0" w:type="auto"/>
            <w:hideMark/>
          </w:tcPr>
          <w:p w14:paraId="6EB29BB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50C75A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A09532A" w14:textId="77777777" w:rsidR="00000000" w:rsidRDefault="00832D71">
            <w:pPr>
              <w:pStyle w:val="a3"/>
              <w:spacing w:before="0" w:beforeAutospacing="0" w:after="0" w:afterAutospacing="0"/>
              <w:jc w:val="right"/>
              <w:rPr>
                <w:sz w:val="20"/>
                <w:szCs w:val="20"/>
              </w:rPr>
            </w:pPr>
            <w:r>
              <w:rPr>
                <w:sz w:val="20"/>
                <w:szCs w:val="20"/>
              </w:rPr>
              <w:t>29,33</w:t>
            </w:r>
            <w:r>
              <w:rPr>
                <w:sz w:val="20"/>
                <w:szCs w:val="20"/>
              </w:rPr>
              <w:t>6</w:t>
            </w:r>
          </w:p>
        </w:tc>
        <w:tc>
          <w:tcPr>
            <w:tcW w:w="0" w:type="auto"/>
            <w:noWrap/>
            <w:vAlign w:val="bottom"/>
            <w:hideMark/>
          </w:tcPr>
          <w:p w14:paraId="32C85C82" w14:textId="77777777" w:rsidR="00000000" w:rsidRDefault="00832D71">
            <w:pPr>
              <w:pStyle w:val="a3"/>
              <w:spacing w:before="0" w:beforeAutospacing="0" w:after="0" w:afterAutospacing="0"/>
              <w:rPr>
                <w:sz w:val="20"/>
                <w:szCs w:val="20"/>
              </w:rPr>
            </w:pPr>
            <w:r>
              <w:rPr>
                <w:sz w:val="20"/>
                <w:szCs w:val="20"/>
              </w:rPr>
              <w:t> </w:t>
            </w:r>
          </w:p>
        </w:tc>
      </w:tr>
      <w:tr w:rsidR="00000000" w14:paraId="7CF540FF" w14:textId="77777777">
        <w:trPr>
          <w:trHeight w:val="200"/>
          <w:tblCellSpacing w:w="15" w:type="dxa"/>
        </w:trPr>
        <w:tc>
          <w:tcPr>
            <w:tcW w:w="0" w:type="auto"/>
            <w:hideMark/>
          </w:tcPr>
          <w:p w14:paraId="2F2A578F" w14:textId="77777777" w:rsidR="00000000" w:rsidRDefault="00832D71">
            <w:pPr>
              <w:pStyle w:val="a3"/>
              <w:spacing w:before="0" w:beforeAutospacing="0" w:after="0" w:afterAutospacing="0"/>
              <w:rPr>
                <w:sz w:val="20"/>
                <w:szCs w:val="20"/>
              </w:rPr>
            </w:pPr>
            <w:r>
              <w:rPr>
                <w:sz w:val="20"/>
                <w:szCs w:val="20"/>
              </w:rPr>
              <w:t>Douglas T. Brinkwort</w:t>
            </w:r>
            <w:r>
              <w:rPr>
                <w:sz w:val="20"/>
                <w:szCs w:val="20"/>
              </w:rPr>
              <w:t>h</w:t>
            </w:r>
          </w:p>
        </w:tc>
        <w:tc>
          <w:tcPr>
            <w:tcW w:w="0" w:type="auto"/>
            <w:hideMark/>
          </w:tcPr>
          <w:p w14:paraId="066DDC8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FB0BBEB" w14:textId="77777777" w:rsidR="00000000" w:rsidRDefault="00832D71">
            <w:pPr>
              <w:pStyle w:val="a3"/>
              <w:spacing w:before="0" w:beforeAutospacing="0" w:after="0" w:afterAutospacing="0"/>
              <w:jc w:val="center"/>
              <w:rPr>
                <w:sz w:val="20"/>
                <w:szCs w:val="20"/>
              </w:rPr>
            </w:pPr>
            <w:r>
              <w:rPr>
                <w:sz w:val="20"/>
                <w:szCs w:val="20"/>
              </w:rPr>
              <w:t>November 15, 202</w:t>
            </w:r>
            <w:r>
              <w:rPr>
                <w:sz w:val="20"/>
                <w:szCs w:val="20"/>
              </w:rPr>
              <w:t>2</w:t>
            </w:r>
          </w:p>
        </w:tc>
        <w:tc>
          <w:tcPr>
            <w:tcW w:w="0" w:type="auto"/>
            <w:hideMark/>
          </w:tcPr>
          <w:p w14:paraId="7A2600A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EF4288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7C3109E" w14:textId="77777777" w:rsidR="00000000" w:rsidRDefault="00832D71">
            <w:pPr>
              <w:pStyle w:val="a3"/>
              <w:spacing w:before="0" w:beforeAutospacing="0" w:after="0" w:afterAutospacing="0"/>
              <w:jc w:val="right"/>
              <w:rPr>
                <w:sz w:val="20"/>
                <w:szCs w:val="20"/>
              </w:rPr>
            </w:pPr>
            <w:r>
              <w:rPr>
                <w:sz w:val="20"/>
                <w:szCs w:val="20"/>
              </w:rPr>
              <w:t>29,33</w:t>
            </w:r>
            <w:r>
              <w:rPr>
                <w:sz w:val="20"/>
                <w:szCs w:val="20"/>
              </w:rPr>
              <w:t>6</w:t>
            </w:r>
          </w:p>
        </w:tc>
        <w:tc>
          <w:tcPr>
            <w:tcW w:w="0" w:type="auto"/>
            <w:noWrap/>
            <w:vAlign w:val="bottom"/>
            <w:hideMark/>
          </w:tcPr>
          <w:p w14:paraId="31614DDF" w14:textId="77777777" w:rsidR="00000000" w:rsidRDefault="00832D71">
            <w:pPr>
              <w:pStyle w:val="a3"/>
              <w:spacing w:before="0" w:beforeAutospacing="0" w:after="0" w:afterAutospacing="0"/>
              <w:rPr>
                <w:sz w:val="20"/>
                <w:szCs w:val="20"/>
              </w:rPr>
            </w:pPr>
            <w:r>
              <w:rPr>
                <w:sz w:val="20"/>
                <w:szCs w:val="20"/>
              </w:rPr>
              <w:t> </w:t>
            </w:r>
          </w:p>
        </w:tc>
      </w:tr>
      <w:tr w:rsidR="00000000" w14:paraId="4FBD54D6" w14:textId="77777777">
        <w:trPr>
          <w:trHeight w:val="200"/>
          <w:tblCellSpacing w:w="15" w:type="dxa"/>
        </w:trPr>
        <w:tc>
          <w:tcPr>
            <w:tcW w:w="0" w:type="auto"/>
            <w:hideMark/>
          </w:tcPr>
          <w:p w14:paraId="67CB606F" w14:textId="77777777" w:rsidR="00000000" w:rsidRDefault="00832D71">
            <w:pPr>
              <w:pStyle w:val="a3"/>
              <w:spacing w:before="0" w:beforeAutospacing="0" w:after="0" w:afterAutospacing="0"/>
              <w:rPr>
                <w:sz w:val="20"/>
                <w:szCs w:val="20"/>
              </w:rPr>
            </w:pPr>
            <w:r>
              <w:rPr>
                <w:sz w:val="20"/>
                <w:szCs w:val="20"/>
              </w:rPr>
              <w:t>Neil E. Scanlo</w:t>
            </w:r>
            <w:r>
              <w:rPr>
                <w:sz w:val="20"/>
                <w:szCs w:val="20"/>
              </w:rPr>
              <w:t>n</w:t>
            </w:r>
          </w:p>
        </w:tc>
        <w:tc>
          <w:tcPr>
            <w:tcW w:w="0" w:type="auto"/>
            <w:hideMark/>
          </w:tcPr>
          <w:p w14:paraId="003F6E7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C7CE960" w14:textId="77777777" w:rsidR="00000000" w:rsidRDefault="00832D71">
            <w:pPr>
              <w:pStyle w:val="a3"/>
              <w:spacing w:before="0" w:beforeAutospacing="0" w:after="0" w:afterAutospacing="0"/>
              <w:jc w:val="center"/>
              <w:rPr>
                <w:sz w:val="20"/>
                <w:szCs w:val="20"/>
              </w:rPr>
            </w:pPr>
            <w:r>
              <w:rPr>
                <w:sz w:val="20"/>
                <w:szCs w:val="20"/>
              </w:rPr>
              <w:t>November 15, 202</w:t>
            </w:r>
            <w:r>
              <w:rPr>
                <w:sz w:val="20"/>
                <w:szCs w:val="20"/>
              </w:rPr>
              <w:t>2</w:t>
            </w:r>
          </w:p>
        </w:tc>
        <w:tc>
          <w:tcPr>
            <w:tcW w:w="0" w:type="auto"/>
            <w:hideMark/>
          </w:tcPr>
          <w:p w14:paraId="7F11D92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AC5584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FD8A031" w14:textId="77777777" w:rsidR="00000000" w:rsidRDefault="00832D71">
            <w:pPr>
              <w:pStyle w:val="a3"/>
              <w:spacing w:before="0" w:beforeAutospacing="0" w:after="0" w:afterAutospacing="0"/>
              <w:jc w:val="right"/>
              <w:rPr>
                <w:sz w:val="20"/>
                <w:szCs w:val="20"/>
              </w:rPr>
            </w:pPr>
            <w:r>
              <w:rPr>
                <w:sz w:val="20"/>
                <w:szCs w:val="20"/>
              </w:rPr>
              <w:t>25,66</w:t>
            </w:r>
            <w:r>
              <w:rPr>
                <w:sz w:val="20"/>
                <w:szCs w:val="20"/>
              </w:rPr>
              <w:t>9</w:t>
            </w:r>
          </w:p>
        </w:tc>
        <w:tc>
          <w:tcPr>
            <w:tcW w:w="0" w:type="auto"/>
            <w:noWrap/>
            <w:vAlign w:val="bottom"/>
            <w:hideMark/>
          </w:tcPr>
          <w:p w14:paraId="24865025" w14:textId="77777777" w:rsidR="00000000" w:rsidRDefault="00832D71">
            <w:pPr>
              <w:pStyle w:val="a3"/>
              <w:spacing w:before="0" w:beforeAutospacing="0" w:after="0" w:afterAutospacing="0"/>
              <w:rPr>
                <w:sz w:val="20"/>
                <w:szCs w:val="20"/>
              </w:rPr>
            </w:pPr>
            <w:r>
              <w:rPr>
                <w:sz w:val="20"/>
                <w:szCs w:val="20"/>
              </w:rPr>
              <w:t> </w:t>
            </w:r>
          </w:p>
        </w:tc>
      </w:tr>
    </w:tbl>
    <w:p w14:paraId="2D6C74D4" w14:textId="77777777" w:rsidR="00000000" w:rsidRDefault="00832D71">
      <w:pPr>
        <w:pStyle w:val="a3"/>
        <w:spacing w:before="240" w:beforeAutospacing="0" w:after="0" w:afterAutospacing="0"/>
        <w:ind w:firstLine="555"/>
        <w:jc w:val="both"/>
        <w:rPr>
          <w:sz w:val="20"/>
          <w:szCs w:val="20"/>
        </w:rPr>
      </w:pPr>
      <w:r>
        <w:rPr>
          <w:sz w:val="20"/>
          <w:szCs w:val="20"/>
        </w:rPr>
        <w:t>The aggregate grant date fair values of 2018 RUP awards made during fiscal 2022, fiscal 2021 and fiscal 2020, computed in accordance with accounting principles generally accepted in the United States of America, are reported in the column titled “Unit Awar</w:t>
      </w:r>
      <w:r>
        <w:rPr>
          <w:sz w:val="20"/>
          <w:szCs w:val="20"/>
        </w:rPr>
        <w:t>ds” in the Summary Compensation Table below</w:t>
      </w:r>
      <w:r>
        <w:rPr>
          <w:sz w:val="20"/>
          <w:szCs w:val="20"/>
        </w:rPr>
        <w:t>.</w:t>
      </w:r>
    </w:p>
    <w:p w14:paraId="34CAAFC0" w14:textId="77777777" w:rsidR="00000000" w:rsidRDefault="00832D71">
      <w:pPr>
        <w:pStyle w:val="a3"/>
        <w:spacing w:before="240" w:beforeAutospacing="0" w:after="0" w:afterAutospacing="0"/>
        <w:rPr>
          <w:sz w:val="20"/>
          <w:szCs w:val="20"/>
        </w:rPr>
      </w:pPr>
      <w:r>
        <w:rPr>
          <w:i/>
          <w:iCs/>
          <w:sz w:val="20"/>
          <w:szCs w:val="20"/>
        </w:rPr>
        <w:t>Retirement Provision</w:t>
      </w:r>
      <w:r>
        <w:rPr>
          <w:i/>
          <w:iCs/>
          <w:sz w:val="20"/>
          <w:szCs w:val="20"/>
        </w:rPr>
        <w:t>s</w:t>
      </w:r>
    </w:p>
    <w:p w14:paraId="5EC51E35" w14:textId="77777777" w:rsidR="00000000" w:rsidRDefault="00832D71">
      <w:pPr>
        <w:pStyle w:val="a3"/>
        <w:spacing w:before="240" w:beforeAutospacing="0" w:after="0" w:afterAutospacing="0"/>
        <w:ind w:firstLine="555"/>
        <w:jc w:val="both"/>
        <w:rPr>
          <w:sz w:val="20"/>
          <w:szCs w:val="20"/>
        </w:rPr>
      </w:pPr>
      <w:r>
        <w:rPr>
          <w:sz w:val="20"/>
          <w:szCs w:val="20"/>
        </w:rPr>
        <w:t xml:space="preserve">The 2018 RUP contains retirement provisions that provide for the issuance of Common Units (six months and one day after the retirement date of qualifying participants) relating to unvested </w:t>
      </w:r>
      <w:r>
        <w:rPr>
          <w:sz w:val="20"/>
          <w:szCs w:val="20"/>
        </w:rPr>
        <w:t>awards held by a retiring participant who meets all three of the following conditions on his or her retirement date</w:t>
      </w:r>
      <w:r>
        <w:rPr>
          <w:sz w:val="20"/>
          <w:szCs w:val="20"/>
        </w:rPr>
        <w:t>:</w:t>
      </w:r>
    </w:p>
    <w:p w14:paraId="4B24BFB4" w14:textId="77777777" w:rsidR="00000000" w:rsidRDefault="00832D71">
      <w:pPr>
        <w:jc w:val="both"/>
        <w:divId w:val="379937791"/>
        <w:rPr>
          <w:rFonts w:eastAsia="Times New Roman"/>
        </w:rPr>
      </w:pPr>
      <w:r>
        <w:rPr>
          <w:rFonts w:eastAsia="Times New Roman"/>
          <w:sz w:val="20"/>
          <w:szCs w:val="20"/>
        </w:rPr>
        <w:t>•</w:t>
      </w:r>
    </w:p>
    <w:p w14:paraId="5BDB3E2C" w14:textId="77777777" w:rsidR="00000000" w:rsidRDefault="00832D71">
      <w:pPr>
        <w:jc w:val="both"/>
        <w:divId w:val="1457600209"/>
        <w:rPr>
          <w:rFonts w:eastAsia="Times New Roman"/>
        </w:rPr>
      </w:pPr>
      <w:r>
        <w:rPr>
          <w:rFonts w:eastAsia="Times New Roman"/>
          <w:sz w:val="20"/>
          <w:szCs w:val="20"/>
        </w:rPr>
        <w:t>The unvested award has been held by the grantee for at least one year</w:t>
      </w:r>
      <w:r>
        <w:rPr>
          <w:rFonts w:eastAsia="Times New Roman"/>
          <w:sz w:val="20"/>
          <w:szCs w:val="20"/>
        </w:rPr>
        <w:t>;</w:t>
      </w:r>
    </w:p>
    <w:p w14:paraId="04ECF967" w14:textId="77777777" w:rsidR="00000000" w:rsidRDefault="00832D71">
      <w:pPr>
        <w:jc w:val="both"/>
        <w:divId w:val="138571048"/>
        <w:rPr>
          <w:rFonts w:eastAsia="Times New Roman"/>
        </w:rPr>
      </w:pPr>
      <w:r>
        <w:rPr>
          <w:rFonts w:eastAsia="Times New Roman"/>
          <w:sz w:val="20"/>
          <w:szCs w:val="20"/>
        </w:rPr>
        <w:t>•</w:t>
      </w:r>
    </w:p>
    <w:p w14:paraId="1228889D" w14:textId="77777777" w:rsidR="00000000" w:rsidRDefault="00832D71">
      <w:pPr>
        <w:jc w:val="both"/>
        <w:divId w:val="1331983051"/>
        <w:rPr>
          <w:rFonts w:eastAsia="Times New Roman"/>
        </w:rPr>
      </w:pPr>
      <w:r>
        <w:rPr>
          <w:rFonts w:eastAsia="Times New Roman"/>
          <w:sz w:val="20"/>
          <w:szCs w:val="20"/>
        </w:rPr>
        <w:t>The grantee is age 55 or older; an</w:t>
      </w:r>
      <w:r>
        <w:rPr>
          <w:rFonts w:eastAsia="Times New Roman"/>
          <w:sz w:val="20"/>
          <w:szCs w:val="20"/>
        </w:rPr>
        <w:t>d</w:t>
      </w:r>
    </w:p>
    <w:p w14:paraId="380D983F" w14:textId="77777777" w:rsidR="00000000" w:rsidRDefault="00832D71">
      <w:pPr>
        <w:jc w:val="both"/>
        <w:divId w:val="284970627"/>
        <w:rPr>
          <w:rFonts w:eastAsia="Times New Roman"/>
        </w:rPr>
      </w:pPr>
      <w:r>
        <w:rPr>
          <w:rFonts w:eastAsia="Times New Roman"/>
          <w:sz w:val="20"/>
          <w:szCs w:val="20"/>
        </w:rPr>
        <w:t>•</w:t>
      </w:r>
    </w:p>
    <w:p w14:paraId="7C967EFA" w14:textId="77777777" w:rsidR="00000000" w:rsidRDefault="00832D71">
      <w:pPr>
        <w:jc w:val="both"/>
        <w:divId w:val="1095831493"/>
        <w:rPr>
          <w:rFonts w:eastAsia="Times New Roman"/>
        </w:rPr>
      </w:pPr>
      <w:r>
        <w:rPr>
          <w:rFonts w:eastAsia="Times New Roman"/>
          <w:sz w:val="20"/>
          <w:szCs w:val="20"/>
        </w:rPr>
        <w:t>The grantee has worked for</w:t>
      </w:r>
      <w:r>
        <w:rPr>
          <w:rFonts w:eastAsia="Times New Roman"/>
          <w:sz w:val="20"/>
          <w:szCs w:val="20"/>
        </w:rPr>
        <w:t xml:space="preserve"> us, or one of our predecessors, for at least 10 years</w:t>
      </w:r>
      <w:r>
        <w:rPr>
          <w:rFonts w:eastAsia="Times New Roman"/>
          <w:sz w:val="20"/>
          <w:szCs w:val="20"/>
        </w:rPr>
        <w:t>.</w:t>
      </w:r>
    </w:p>
    <w:p w14:paraId="349231B6" w14:textId="77777777" w:rsidR="00000000" w:rsidRDefault="00832D71">
      <w:pPr>
        <w:pStyle w:val="a3"/>
        <w:spacing w:before="240" w:beforeAutospacing="0" w:after="0" w:afterAutospacing="0"/>
        <w:ind w:firstLine="555"/>
        <w:jc w:val="both"/>
        <w:rPr>
          <w:sz w:val="20"/>
          <w:szCs w:val="20"/>
        </w:rPr>
      </w:pPr>
      <w:r>
        <w:rPr>
          <w:sz w:val="20"/>
          <w:szCs w:val="20"/>
        </w:rPr>
        <w:t>Mr. Boyd, Mr. Brinkworth and Mr. Scanlon are our only named executive officers to whom these retirement provisions applied at the end of fiscal 2022</w:t>
      </w:r>
      <w:r>
        <w:rPr>
          <w:sz w:val="20"/>
          <w:szCs w:val="20"/>
        </w:rPr>
        <w:t>.</w:t>
      </w:r>
    </w:p>
    <w:p w14:paraId="6789D461" w14:textId="77777777" w:rsidR="00000000" w:rsidRDefault="00832D71">
      <w:pPr>
        <w:pStyle w:val="a3"/>
        <w:spacing w:before="360" w:beforeAutospacing="0" w:after="0" w:afterAutospacing="0"/>
        <w:jc w:val="both"/>
        <w:rPr>
          <w:sz w:val="20"/>
          <w:szCs w:val="20"/>
        </w:rPr>
      </w:pPr>
      <w:r>
        <w:rPr>
          <w:b/>
          <w:bCs/>
          <w:sz w:val="20"/>
          <w:szCs w:val="20"/>
        </w:rPr>
        <w:t>2022 Phantom Unit Pla</w:t>
      </w:r>
      <w:r>
        <w:rPr>
          <w:b/>
          <w:bCs/>
          <w:sz w:val="20"/>
          <w:szCs w:val="20"/>
        </w:rPr>
        <w:t>n</w:t>
      </w:r>
    </w:p>
    <w:p w14:paraId="2DA56F19" w14:textId="77777777" w:rsidR="00000000" w:rsidRDefault="00832D71">
      <w:pPr>
        <w:pStyle w:val="a3"/>
        <w:spacing w:before="240" w:beforeAutospacing="0" w:after="0" w:afterAutospacing="0"/>
        <w:ind w:firstLine="555"/>
        <w:jc w:val="both"/>
        <w:rPr>
          <w:sz w:val="20"/>
          <w:szCs w:val="20"/>
        </w:rPr>
      </w:pPr>
      <w:r>
        <w:rPr>
          <w:sz w:val="20"/>
          <w:szCs w:val="20"/>
        </w:rPr>
        <w:t>At its November 8, 2022 meeting, the Committee adopted a Phantom Unit Plan (the “PU</w:t>
      </w:r>
      <w:r>
        <w:rPr>
          <w:sz w:val="20"/>
          <w:szCs w:val="20"/>
        </w:rPr>
        <w:t>P”) as a component of our long-term executive compensation, based on an analysis of market practices of different components of total compensation prepared by WTW. The adoption of the PUP was recommended by WTW to provide an additional component of long-te</w:t>
      </w:r>
      <w:r>
        <w:rPr>
          <w:sz w:val="20"/>
          <w:szCs w:val="20"/>
        </w:rPr>
        <w:t>rm compensation that has similar characteristics of our 2018 RUP, but that provides for cash settlement. In adopting the PUP, the Committee’s intent is to provide a reasonable mixture of both cash and non-cash equity-based compensation as components of lon</w:t>
      </w:r>
      <w:r>
        <w:rPr>
          <w:sz w:val="20"/>
          <w:szCs w:val="20"/>
        </w:rPr>
        <w:t>g-term compensation</w:t>
      </w:r>
      <w:r>
        <w:rPr>
          <w:sz w:val="20"/>
          <w:szCs w:val="20"/>
        </w:rPr>
        <w:t>.</w:t>
      </w:r>
    </w:p>
    <w:p w14:paraId="3EA3CE1A" w14:textId="77777777" w:rsidR="00000000" w:rsidRDefault="00832D71">
      <w:pPr>
        <w:pStyle w:val="a3"/>
        <w:spacing w:before="240" w:beforeAutospacing="0" w:after="0" w:afterAutospacing="0"/>
        <w:rPr>
          <w:sz w:val="20"/>
          <w:szCs w:val="20"/>
        </w:rPr>
      </w:pPr>
      <w:r>
        <w:rPr>
          <w:i/>
          <w:iCs/>
          <w:sz w:val="20"/>
          <w:szCs w:val="20"/>
        </w:rPr>
        <w:t>Grant Proces</w:t>
      </w:r>
      <w:r>
        <w:rPr>
          <w:i/>
          <w:iCs/>
          <w:sz w:val="20"/>
          <w:szCs w:val="20"/>
        </w:rPr>
        <w:t>s</w:t>
      </w:r>
    </w:p>
    <w:p w14:paraId="2D2681E1" w14:textId="77777777" w:rsidR="00000000" w:rsidRDefault="00832D71">
      <w:pPr>
        <w:pStyle w:val="a3"/>
        <w:spacing w:before="240" w:beforeAutospacing="0" w:after="0" w:afterAutospacing="0"/>
        <w:ind w:firstLine="555"/>
        <w:jc w:val="both"/>
        <w:rPr>
          <w:sz w:val="20"/>
          <w:szCs w:val="20"/>
        </w:rPr>
      </w:pPr>
      <w:r>
        <w:rPr>
          <w:sz w:val="20"/>
          <w:szCs w:val="20"/>
        </w:rPr>
        <w:t>The grant process, and the decision-making process for the granting of phantom units, for the PUP are identical to that of our 2018 RUP (described above). The Committee will generally approve awards under our PUP at its f</w:t>
      </w:r>
      <w:r>
        <w:rPr>
          <w:sz w:val="20"/>
          <w:szCs w:val="20"/>
        </w:rPr>
        <w:t xml:space="preserve">irst meeting each fiscal year following the availability of the financial results for the prior fiscal year; however, the Committee reserves the right to grant awards at other times of the year, particularly when the need arises to grant awards because of </w:t>
      </w:r>
      <w:r>
        <w:rPr>
          <w:sz w:val="20"/>
          <w:szCs w:val="20"/>
        </w:rPr>
        <w:t>promotions and new hires</w:t>
      </w:r>
      <w:r>
        <w:rPr>
          <w:sz w:val="20"/>
          <w:szCs w:val="20"/>
        </w:rPr>
        <w:t>.</w:t>
      </w:r>
    </w:p>
    <w:p w14:paraId="395164B0" w14:textId="77777777" w:rsidR="00000000" w:rsidRDefault="00832D71">
      <w:pPr>
        <w:pStyle w:val="a3"/>
        <w:spacing w:before="240" w:beforeAutospacing="0" w:after="0" w:afterAutospacing="0"/>
        <w:ind w:firstLine="555"/>
        <w:jc w:val="both"/>
        <w:rPr>
          <w:sz w:val="20"/>
          <w:szCs w:val="20"/>
        </w:rPr>
      </w:pPr>
      <w:r>
        <w:rPr>
          <w:sz w:val="20"/>
          <w:szCs w:val="20"/>
        </w:rPr>
        <w:t>Upon vesting, phantom units are automatically converted into cash, the value of which is equal to the average of the highest and lowest trading prices of our Common Units on the trading day immediately preceding the date of issuan</w:t>
      </w:r>
      <w:r>
        <w:rPr>
          <w:sz w:val="20"/>
          <w:szCs w:val="20"/>
        </w:rPr>
        <w:t>ce</w:t>
      </w:r>
      <w:r>
        <w:rPr>
          <w:sz w:val="20"/>
          <w:szCs w:val="20"/>
        </w:rPr>
        <w:t>.</w:t>
      </w:r>
    </w:p>
    <w:p w14:paraId="02908683" w14:textId="77777777" w:rsidR="00000000" w:rsidRDefault="00832D71">
      <w:pPr>
        <w:pStyle w:val="a3"/>
        <w:spacing w:before="240" w:beforeAutospacing="0" w:after="0" w:afterAutospacing="0"/>
        <w:rPr>
          <w:sz w:val="20"/>
          <w:szCs w:val="20"/>
        </w:rPr>
      </w:pPr>
      <w:r>
        <w:rPr>
          <w:i/>
          <w:iCs/>
          <w:sz w:val="20"/>
          <w:szCs w:val="20"/>
        </w:rPr>
        <w:t>Vesting Schedul</w:t>
      </w:r>
      <w:r>
        <w:rPr>
          <w:i/>
          <w:iCs/>
          <w:sz w:val="20"/>
          <w:szCs w:val="20"/>
        </w:rPr>
        <w:t>e</w:t>
      </w:r>
    </w:p>
    <w:p w14:paraId="7D850982" w14:textId="77777777" w:rsidR="00000000" w:rsidRDefault="00832D71">
      <w:pPr>
        <w:pStyle w:val="a3"/>
        <w:spacing w:before="240" w:beforeAutospacing="0" w:after="0" w:afterAutospacing="0"/>
        <w:ind w:firstLine="555"/>
        <w:jc w:val="both"/>
        <w:rPr>
          <w:sz w:val="20"/>
          <w:szCs w:val="20"/>
        </w:rPr>
      </w:pPr>
      <w:r>
        <w:rPr>
          <w:sz w:val="20"/>
          <w:szCs w:val="20"/>
        </w:rPr>
        <w:t xml:space="preserve">The standard vesting schedule of all of our outstanding PUP awards will be one third of each award on each of the </w:t>
      </w:r>
      <w:r>
        <w:rPr>
          <w:sz w:val="20"/>
          <w:szCs w:val="20"/>
        </w:rPr>
        <w:t>first three anniversaries of the award grant date, subject to continuous employment or service from the grant date through the applicable payment date. The Committee retains the ability to deviate, at its discretion, from the normal vesting schedule with r</w:t>
      </w:r>
      <w:r>
        <w:rPr>
          <w:sz w:val="20"/>
          <w:szCs w:val="20"/>
        </w:rPr>
        <w:t>espect to particular PUP awards. Unvested awards are subject to forfeiture in certain circumstances, as defined in the PUP document and the applicable award agreements</w:t>
      </w:r>
      <w:r>
        <w:rPr>
          <w:sz w:val="20"/>
          <w:szCs w:val="20"/>
        </w:rPr>
        <w:t>.</w:t>
      </w:r>
    </w:p>
    <w:p w14:paraId="73CAA9BA" w14:textId="77777777" w:rsidR="00000000" w:rsidRDefault="00832D71">
      <w:pPr>
        <w:pStyle w:val="a3"/>
        <w:spacing w:before="240" w:beforeAutospacing="0" w:after="0" w:afterAutospacing="0"/>
        <w:rPr>
          <w:sz w:val="20"/>
          <w:szCs w:val="20"/>
        </w:rPr>
      </w:pPr>
      <w:r>
        <w:rPr>
          <w:i/>
          <w:iCs/>
          <w:sz w:val="20"/>
          <w:szCs w:val="20"/>
        </w:rPr>
        <w:t>Outstanding Awards under the PU</w:t>
      </w:r>
      <w:r>
        <w:rPr>
          <w:i/>
          <w:iCs/>
          <w:sz w:val="20"/>
          <w:szCs w:val="20"/>
        </w:rPr>
        <w:t>P</w:t>
      </w:r>
    </w:p>
    <w:p w14:paraId="40DE2BE6" w14:textId="77777777" w:rsidR="00000000" w:rsidRDefault="00832D71">
      <w:pPr>
        <w:pStyle w:val="a3"/>
        <w:spacing w:before="240" w:beforeAutospacing="0" w:after="0" w:afterAutospacing="0"/>
        <w:ind w:firstLine="555"/>
        <w:jc w:val="both"/>
        <w:rPr>
          <w:sz w:val="20"/>
          <w:szCs w:val="20"/>
        </w:rPr>
      </w:pPr>
      <w:r>
        <w:rPr>
          <w:sz w:val="20"/>
          <w:szCs w:val="20"/>
        </w:rPr>
        <w:t xml:space="preserve">Because the PUP was adopted after September 24, 2022, </w:t>
      </w:r>
      <w:r>
        <w:rPr>
          <w:sz w:val="20"/>
          <w:szCs w:val="20"/>
        </w:rPr>
        <w:t>there were no outstanding awards under the PUP at the end of fiscal 2022. At its November 8, 2022 meeting, in tandem with 2018 RUP awards, the Committee approved phantom units awards for each of our named executive officers. In determining these fiscal 202</w:t>
      </w:r>
      <w:r>
        <w:rPr>
          <w:sz w:val="20"/>
          <w:szCs w:val="20"/>
        </w:rPr>
        <w:t>3 awards for our named executive officers, the Committee relied upo</w:t>
      </w:r>
      <w:r>
        <w:rPr>
          <w:sz w:val="20"/>
          <w:szCs w:val="20"/>
        </w:rPr>
        <w:t>n</w:t>
      </w:r>
      <w:r>
        <w:rPr>
          <w:sz w:val="20"/>
          <w:szCs w:val="20"/>
        </w:rPr>
        <w:t xml:space="preserve"> </w:t>
      </w:r>
    </w:p>
    <w:p w14:paraId="2646DC9D" w14:textId="77777777" w:rsidR="00000000" w:rsidRDefault="00832D71">
      <w:pPr>
        <w:pStyle w:val="a3"/>
        <w:spacing w:before="0" w:beforeAutospacing="0" w:after="0" w:afterAutospacing="0"/>
        <w:jc w:val="center"/>
        <w:rPr>
          <w:sz w:val="20"/>
          <w:szCs w:val="20"/>
        </w:rPr>
      </w:pPr>
      <w:r>
        <w:rPr>
          <w:sz w:val="20"/>
          <w:szCs w:val="20"/>
        </w:rPr>
        <w:t> </w:t>
      </w:r>
    </w:p>
    <w:p w14:paraId="078A4682" w14:textId="77777777" w:rsidR="00000000" w:rsidRDefault="00832D71">
      <w:pPr>
        <w:pStyle w:val="a3"/>
        <w:spacing w:before="0" w:beforeAutospacing="0" w:after="0" w:afterAutospacing="0"/>
        <w:jc w:val="center"/>
        <w:rPr>
          <w:sz w:val="20"/>
          <w:szCs w:val="20"/>
        </w:rPr>
      </w:pPr>
      <w:r>
        <w:rPr>
          <w:sz w:val="20"/>
          <w:szCs w:val="20"/>
        </w:rPr>
        <w:t>6</w:t>
      </w:r>
      <w:r>
        <w:rPr>
          <w:sz w:val="20"/>
          <w:szCs w:val="20"/>
        </w:rPr>
        <w:t>9</w:t>
      </w:r>
    </w:p>
    <w:p w14:paraId="5EBFAA0A" w14:textId="77777777" w:rsidR="00000000" w:rsidRDefault="00832D71">
      <w:pPr>
        <w:rPr>
          <w:rFonts w:eastAsia="Times New Roman"/>
        </w:rPr>
      </w:pPr>
      <w:r>
        <w:rPr>
          <w:rFonts w:eastAsia="Times New Roman"/>
        </w:rPr>
        <w:pict w14:anchorId="7EA4B65B">
          <v:rect id="_x0000_i1096" style="width:0;height:1.5pt" o:hralign="center" o:hrstd="t" o:hr="t" fillcolor="#a0a0a0" stroked="f"/>
        </w:pict>
      </w:r>
    </w:p>
    <w:p w14:paraId="79EB200A"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4C391ABD" w14:textId="77777777" w:rsidR="00000000" w:rsidRDefault="00832D71">
      <w:pPr>
        <w:pStyle w:val="a3"/>
        <w:spacing w:before="240" w:beforeAutospacing="0" w:after="0" w:afterAutospacing="0"/>
        <w:jc w:val="both"/>
        <w:rPr>
          <w:sz w:val="20"/>
          <w:szCs w:val="20"/>
        </w:rPr>
      </w:pPr>
      <w:r>
        <w:rPr>
          <w:sz w:val="20"/>
          <w:szCs w:val="20"/>
        </w:rPr>
        <w:t>information provided by the Mercer benchmarking database and recommendations by WTW to</w:t>
      </w:r>
      <w:r>
        <w:rPr>
          <w:sz w:val="20"/>
          <w:szCs w:val="20"/>
        </w:rPr>
        <w:t xml:space="preserve"> conclude that these awards were necessary to remediate shortfalls perceived by the Committee in the cash compensation opportunities provided by the Partnership to these executives, as well as in recognition of their individual achievements throughout fisc</w:t>
      </w:r>
      <w:r>
        <w:rPr>
          <w:sz w:val="20"/>
          <w:szCs w:val="20"/>
        </w:rPr>
        <w:t>al 2022</w:t>
      </w:r>
      <w:r>
        <w:rPr>
          <w:sz w:val="20"/>
          <w:szCs w:val="20"/>
        </w:rPr>
        <w:t>.</w:t>
      </w:r>
    </w:p>
    <w:p w14:paraId="45C3AF48" w14:textId="77777777" w:rsidR="00000000" w:rsidRDefault="00832D71">
      <w:pPr>
        <w:pStyle w:val="a3"/>
        <w:spacing w:before="240" w:beforeAutospacing="0" w:after="0" w:afterAutospacing="0"/>
        <w:ind w:firstLine="555"/>
        <w:jc w:val="both"/>
        <w:rPr>
          <w:sz w:val="20"/>
          <w:szCs w:val="20"/>
        </w:rPr>
      </w:pPr>
      <w:r>
        <w:rPr>
          <w:sz w:val="20"/>
          <w:szCs w:val="20"/>
        </w:rPr>
        <w:t>The following table summarizes the PUP awards granted to our named executive officers at the Committee’s November 8, 2022 meeting</w:t>
      </w:r>
      <w:r>
        <w:rPr>
          <w:sz w:val="20"/>
          <w:szCs w:val="20"/>
        </w:rPr>
        <w:t>:</w:t>
      </w:r>
    </w:p>
    <w:tbl>
      <w:tblPr>
        <w:tblW w:w="3900" w:type="pct"/>
        <w:tblCellSpacing w:w="15" w:type="dxa"/>
        <w:tblCellMar>
          <w:top w:w="15" w:type="dxa"/>
          <w:left w:w="15" w:type="dxa"/>
          <w:bottom w:w="15" w:type="dxa"/>
          <w:right w:w="15" w:type="dxa"/>
        </w:tblCellMar>
        <w:tblLook w:val="04A0" w:firstRow="1" w:lastRow="0" w:firstColumn="1" w:lastColumn="0" w:noHBand="0" w:noVBand="1"/>
      </w:tblPr>
      <w:tblGrid>
        <w:gridCol w:w="3185"/>
        <w:gridCol w:w="127"/>
        <w:gridCol w:w="1307"/>
        <w:gridCol w:w="110"/>
        <w:gridCol w:w="110"/>
        <w:gridCol w:w="1515"/>
        <w:gridCol w:w="125"/>
      </w:tblGrid>
      <w:tr w:rsidR="00000000" w14:paraId="0FFCC89F" w14:textId="77777777">
        <w:trPr>
          <w:tblCellSpacing w:w="15" w:type="dxa"/>
        </w:trPr>
        <w:tc>
          <w:tcPr>
            <w:tcW w:w="2523" w:type="pct"/>
            <w:vAlign w:val="center"/>
            <w:hideMark/>
          </w:tcPr>
          <w:p w14:paraId="7F284933" w14:textId="77777777" w:rsidR="00000000" w:rsidRDefault="00832D71">
            <w:pPr>
              <w:rPr>
                <w:sz w:val="20"/>
                <w:szCs w:val="20"/>
              </w:rPr>
            </w:pPr>
          </w:p>
        </w:tc>
        <w:tc>
          <w:tcPr>
            <w:tcW w:w="85" w:type="pct"/>
            <w:vAlign w:val="center"/>
            <w:hideMark/>
          </w:tcPr>
          <w:p w14:paraId="478D26E2" w14:textId="77777777" w:rsidR="00000000" w:rsidRDefault="00832D71">
            <w:pPr>
              <w:rPr>
                <w:rFonts w:eastAsia="Times New Roman"/>
                <w:sz w:val="20"/>
                <w:szCs w:val="20"/>
              </w:rPr>
            </w:pPr>
          </w:p>
        </w:tc>
        <w:tc>
          <w:tcPr>
            <w:tcW w:w="1031" w:type="pct"/>
            <w:vAlign w:val="center"/>
            <w:hideMark/>
          </w:tcPr>
          <w:p w14:paraId="0D198199" w14:textId="77777777" w:rsidR="00000000" w:rsidRDefault="00832D71">
            <w:pPr>
              <w:rPr>
                <w:rFonts w:eastAsia="Times New Roman"/>
                <w:sz w:val="20"/>
                <w:szCs w:val="20"/>
              </w:rPr>
            </w:pPr>
          </w:p>
        </w:tc>
        <w:tc>
          <w:tcPr>
            <w:tcW w:w="62" w:type="pct"/>
            <w:vAlign w:val="center"/>
            <w:hideMark/>
          </w:tcPr>
          <w:p w14:paraId="268D87BA" w14:textId="77777777" w:rsidR="00000000" w:rsidRDefault="00832D71">
            <w:pPr>
              <w:rPr>
                <w:rFonts w:eastAsia="Times New Roman"/>
                <w:sz w:val="20"/>
                <w:szCs w:val="20"/>
              </w:rPr>
            </w:pPr>
          </w:p>
        </w:tc>
        <w:tc>
          <w:tcPr>
            <w:tcW w:w="50" w:type="pct"/>
            <w:vAlign w:val="center"/>
            <w:hideMark/>
          </w:tcPr>
          <w:p w14:paraId="1E9CA671" w14:textId="77777777" w:rsidR="00000000" w:rsidRDefault="00832D71">
            <w:pPr>
              <w:rPr>
                <w:rFonts w:eastAsia="Times New Roman"/>
                <w:sz w:val="20"/>
                <w:szCs w:val="20"/>
              </w:rPr>
            </w:pPr>
          </w:p>
        </w:tc>
        <w:tc>
          <w:tcPr>
            <w:tcW w:w="1197" w:type="pct"/>
            <w:vAlign w:val="center"/>
            <w:hideMark/>
          </w:tcPr>
          <w:p w14:paraId="7AA9F58B" w14:textId="77777777" w:rsidR="00000000" w:rsidRDefault="00832D71">
            <w:pPr>
              <w:rPr>
                <w:rFonts w:eastAsia="Times New Roman"/>
                <w:sz w:val="20"/>
                <w:szCs w:val="20"/>
              </w:rPr>
            </w:pPr>
          </w:p>
        </w:tc>
        <w:tc>
          <w:tcPr>
            <w:tcW w:w="50" w:type="pct"/>
            <w:vAlign w:val="center"/>
            <w:hideMark/>
          </w:tcPr>
          <w:p w14:paraId="653DD40C" w14:textId="77777777" w:rsidR="00000000" w:rsidRDefault="00832D71">
            <w:pPr>
              <w:rPr>
                <w:rFonts w:eastAsia="Times New Roman"/>
                <w:sz w:val="20"/>
                <w:szCs w:val="20"/>
              </w:rPr>
            </w:pPr>
          </w:p>
        </w:tc>
      </w:tr>
      <w:tr w:rsidR="00000000" w14:paraId="54B9D605" w14:textId="77777777">
        <w:trPr>
          <w:trHeight w:val="160"/>
          <w:tblCellSpacing w:w="15" w:type="dxa"/>
        </w:trPr>
        <w:tc>
          <w:tcPr>
            <w:tcW w:w="0" w:type="auto"/>
            <w:vAlign w:val="bottom"/>
            <w:hideMark/>
          </w:tcPr>
          <w:p w14:paraId="6FA943B1"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4B96C587"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22498FE" w14:textId="77777777" w:rsidR="00000000" w:rsidRDefault="00832D71">
            <w:pPr>
              <w:pStyle w:val="a3"/>
              <w:spacing w:before="0" w:beforeAutospacing="0" w:after="0" w:afterAutospacing="0"/>
              <w:jc w:val="center"/>
              <w:rPr>
                <w:sz w:val="16"/>
                <w:szCs w:val="16"/>
              </w:rPr>
            </w:pPr>
            <w:r>
              <w:rPr>
                <w:b/>
                <w:bCs/>
                <w:sz w:val="16"/>
                <w:szCs w:val="16"/>
              </w:rPr>
              <w:t>Grant Dat</w:t>
            </w:r>
            <w:r>
              <w:rPr>
                <w:b/>
                <w:bCs/>
                <w:sz w:val="16"/>
                <w:szCs w:val="16"/>
              </w:rPr>
              <w:t>e</w:t>
            </w:r>
          </w:p>
        </w:tc>
        <w:tc>
          <w:tcPr>
            <w:tcW w:w="0" w:type="auto"/>
            <w:hideMark/>
          </w:tcPr>
          <w:p w14:paraId="010E370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9618047" w14:textId="77777777" w:rsidR="00000000" w:rsidRDefault="00832D71">
            <w:pPr>
              <w:pStyle w:val="a3"/>
              <w:spacing w:before="0" w:beforeAutospacing="0" w:after="0" w:afterAutospacing="0"/>
              <w:jc w:val="center"/>
              <w:rPr>
                <w:sz w:val="16"/>
                <w:szCs w:val="16"/>
              </w:rPr>
            </w:pPr>
            <w:r>
              <w:rPr>
                <w:b/>
                <w:bCs/>
                <w:sz w:val="16"/>
                <w:szCs w:val="16"/>
              </w:rPr>
              <w:t>Quantit</w:t>
            </w:r>
            <w:r>
              <w:rPr>
                <w:b/>
                <w:bCs/>
                <w:sz w:val="16"/>
                <w:szCs w:val="16"/>
              </w:rPr>
              <w:t>y</w:t>
            </w:r>
          </w:p>
        </w:tc>
        <w:tc>
          <w:tcPr>
            <w:tcW w:w="0" w:type="auto"/>
            <w:vAlign w:val="bottom"/>
            <w:hideMark/>
          </w:tcPr>
          <w:p w14:paraId="4C82E5E1"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52DE774C" w14:textId="77777777">
        <w:trPr>
          <w:trHeight w:val="200"/>
          <w:tblCellSpacing w:w="15" w:type="dxa"/>
        </w:trPr>
        <w:tc>
          <w:tcPr>
            <w:tcW w:w="0" w:type="auto"/>
            <w:hideMark/>
          </w:tcPr>
          <w:p w14:paraId="785467E9" w14:textId="77777777" w:rsidR="00000000" w:rsidRDefault="00832D71">
            <w:pPr>
              <w:pStyle w:val="a3"/>
              <w:spacing w:before="0" w:beforeAutospacing="0" w:after="0" w:afterAutospacing="0"/>
              <w:rPr>
                <w:sz w:val="20"/>
                <w:szCs w:val="20"/>
              </w:rPr>
            </w:pPr>
            <w:r>
              <w:rPr>
                <w:sz w:val="20"/>
                <w:szCs w:val="20"/>
              </w:rPr>
              <w:t>Michael A. Stival</w:t>
            </w:r>
            <w:r>
              <w:rPr>
                <w:sz w:val="20"/>
                <w:szCs w:val="20"/>
              </w:rPr>
              <w:t>a</w:t>
            </w:r>
          </w:p>
        </w:tc>
        <w:tc>
          <w:tcPr>
            <w:tcW w:w="0" w:type="auto"/>
            <w:hideMark/>
          </w:tcPr>
          <w:p w14:paraId="59235DA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CCC2A21" w14:textId="77777777" w:rsidR="00000000" w:rsidRDefault="00832D71">
            <w:pPr>
              <w:pStyle w:val="a3"/>
              <w:spacing w:before="0" w:beforeAutospacing="0" w:after="0" w:afterAutospacing="0"/>
              <w:jc w:val="center"/>
              <w:rPr>
                <w:sz w:val="20"/>
                <w:szCs w:val="20"/>
              </w:rPr>
            </w:pPr>
            <w:r>
              <w:rPr>
                <w:sz w:val="20"/>
                <w:szCs w:val="20"/>
              </w:rPr>
              <w:t>November 15, 202</w:t>
            </w:r>
            <w:r>
              <w:rPr>
                <w:sz w:val="20"/>
                <w:szCs w:val="20"/>
              </w:rPr>
              <w:t>2</w:t>
            </w:r>
          </w:p>
        </w:tc>
        <w:tc>
          <w:tcPr>
            <w:tcW w:w="0" w:type="auto"/>
            <w:hideMark/>
          </w:tcPr>
          <w:p w14:paraId="7F790DC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2116FD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1FB8283" w14:textId="77777777" w:rsidR="00000000" w:rsidRDefault="00832D71">
            <w:pPr>
              <w:pStyle w:val="a3"/>
              <w:spacing w:before="0" w:beforeAutospacing="0" w:after="0" w:afterAutospacing="0"/>
              <w:jc w:val="right"/>
              <w:rPr>
                <w:sz w:val="20"/>
                <w:szCs w:val="20"/>
              </w:rPr>
            </w:pPr>
            <w:r>
              <w:rPr>
                <w:sz w:val="20"/>
                <w:szCs w:val="20"/>
              </w:rPr>
              <w:t>11,61</w:t>
            </w:r>
            <w:r>
              <w:rPr>
                <w:sz w:val="20"/>
                <w:szCs w:val="20"/>
              </w:rPr>
              <w:t>2</w:t>
            </w:r>
          </w:p>
        </w:tc>
        <w:tc>
          <w:tcPr>
            <w:tcW w:w="0" w:type="auto"/>
            <w:noWrap/>
            <w:vAlign w:val="bottom"/>
            <w:hideMark/>
          </w:tcPr>
          <w:p w14:paraId="38CAB069" w14:textId="77777777" w:rsidR="00000000" w:rsidRDefault="00832D71">
            <w:pPr>
              <w:pStyle w:val="a3"/>
              <w:spacing w:before="0" w:beforeAutospacing="0" w:after="0" w:afterAutospacing="0"/>
              <w:rPr>
                <w:sz w:val="20"/>
                <w:szCs w:val="20"/>
              </w:rPr>
            </w:pPr>
            <w:r>
              <w:rPr>
                <w:sz w:val="20"/>
                <w:szCs w:val="20"/>
              </w:rPr>
              <w:t> </w:t>
            </w:r>
          </w:p>
        </w:tc>
      </w:tr>
      <w:tr w:rsidR="00000000" w14:paraId="3E85B789" w14:textId="77777777">
        <w:trPr>
          <w:trHeight w:val="200"/>
          <w:tblCellSpacing w:w="15" w:type="dxa"/>
        </w:trPr>
        <w:tc>
          <w:tcPr>
            <w:tcW w:w="0" w:type="auto"/>
            <w:hideMark/>
          </w:tcPr>
          <w:p w14:paraId="3B937F91" w14:textId="77777777" w:rsidR="00000000" w:rsidRDefault="00832D71">
            <w:pPr>
              <w:pStyle w:val="a3"/>
              <w:spacing w:before="0" w:beforeAutospacing="0" w:after="0" w:afterAutospacing="0"/>
              <w:rPr>
                <w:sz w:val="20"/>
                <w:szCs w:val="20"/>
              </w:rPr>
            </w:pPr>
            <w:r>
              <w:rPr>
                <w:sz w:val="20"/>
                <w:szCs w:val="20"/>
              </w:rPr>
              <w:t>Michael A. Kugli</w:t>
            </w:r>
            <w:r>
              <w:rPr>
                <w:sz w:val="20"/>
                <w:szCs w:val="20"/>
              </w:rPr>
              <w:t>n</w:t>
            </w:r>
          </w:p>
        </w:tc>
        <w:tc>
          <w:tcPr>
            <w:tcW w:w="0" w:type="auto"/>
            <w:hideMark/>
          </w:tcPr>
          <w:p w14:paraId="2491B92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57951C9" w14:textId="77777777" w:rsidR="00000000" w:rsidRDefault="00832D71">
            <w:pPr>
              <w:pStyle w:val="a3"/>
              <w:spacing w:before="0" w:beforeAutospacing="0" w:after="0" w:afterAutospacing="0"/>
              <w:jc w:val="center"/>
              <w:rPr>
                <w:sz w:val="20"/>
                <w:szCs w:val="20"/>
              </w:rPr>
            </w:pPr>
            <w:r>
              <w:rPr>
                <w:sz w:val="20"/>
                <w:szCs w:val="20"/>
              </w:rPr>
              <w:t>November 15, 202</w:t>
            </w:r>
            <w:r>
              <w:rPr>
                <w:sz w:val="20"/>
                <w:szCs w:val="20"/>
              </w:rPr>
              <w:t>2</w:t>
            </w:r>
          </w:p>
        </w:tc>
        <w:tc>
          <w:tcPr>
            <w:tcW w:w="0" w:type="auto"/>
            <w:hideMark/>
          </w:tcPr>
          <w:p w14:paraId="1A43311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EBFD5A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073BF95" w14:textId="77777777" w:rsidR="00000000" w:rsidRDefault="00832D71">
            <w:pPr>
              <w:pStyle w:val="a3"/>
              <w:spacing w:before="0" w:beforeAutospacing="0" w:after="0" w:afterAutospacing="0"/>
              <w:jc w:val="right"/>
              <w:rPr>
                <w:sz w:val="20"/>
                <w:szCs w:val="20"/>
              </w:rPr>
            </w:pPr>
            <w:r>
              <w:rPr>
                <w:sz w:val="20"/>
                <w:szCs w:val="20"/>
              </w:rPr>
              <w:t>19,55</w:t>
            </w:r>
            <w:r>
              <w:rPr>
                <w:sz w:val="20"/>
                <w:szCs w:val="20"/>
              </w:rPr>
              <w:t>7</w:t>
            </w:r>
          </w:p>
        </w:tc>
        <w:tc>
          <w:tcPr>
            <w:tcW w:w="0" w:type="auto"/>
            <w:noWrap/>
            <w:vAlign w:val="bottom"/>
            <w:hideMark/>
          </w:tcPr>
          <w:p w14:paraId="33898A27" w14:textId="77777777" w:rsidR="00000000" w:rsidRDefault="00832D71">
            <w:pPr>
              <w:pStyle w:val="a3"/>
              <w:spacing w:before="0" w:beforeAutospacing="0" w:after="0" w:afterAutospacing="0"/>
              <w:rPr>
                <w:sz w:val="20"/>
                <w:szCs w:val="20"/>
              </w:rPr>
            </w:pPr>
            <w:r>
              <w:rPr>
                <w:sz w:val="20"/>
                <w:szCs w:val="20"/>
              </w:rPr>
              <w:t> </w:t>
            </w:r>
          </w:p>
        </w:tc>
      </w:tr>
      <w:tr w:rsidR="00000000" w14:paraId="73E3AE81" w14:textId="77777777">
        <w:trPr>
          <w:trHeight w:val="200"/>
          <w:tblCellSpacing w:w="15" w:type="dxa"/>
        </w:trPr>
        <w:tc>
          <w:tcPr>
            <w:tcW w:w="0" w:type="auto"/>
            <w:hideMark/>
          </w:tcPr>
          <w:p w14:paraId="2ADED38B" w14:textId="77777777" w:rsidR="00000000" w:rsidRDefault="00832D71">
            <w:pPr>
              <w:pStyle w:val="a3"/>
              <w:spacing w:before="0" w:beforeAutospacing="0" w:after="0" w:afterAutospacing="0"/>
              <w:rPr>
                <w:sz w:val="20"/>
                <w:szCs w:val="20"/>
              </w:rPr>
            </w:pPr>
            <w:r>
              <w:rPr>
                <w:sz w:val="20"/>
                <w:szCs w:val="20"/>
              </w:rPr>
              <w:t>Steven C. Boy</w:t>
            </w:r>
            <w:r>
              <w:rPr>
                <w:sz w:val="20"/>
                <w:szCs w:val="20"/>
              </w:rPr>
              <w:t>d</w:t>
            </w:r>
          </w:p>
        </w:tc>
        <w:tc>
          <w:tcPr>
            <w:tcW w:w="0" w:type="auto"/>
            <w:hideMark/>
          </w:tcPr>
          <w:p w14:paraId="41664DF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CCAE297" w14:textId="77777777" w:rsidR="00000000" w:rsidRDefault="00832D71">
            <w:pPr>
              <w:pStyle w:val="a3"/>
              <w:spacing w:before="0" w:beforeAutospacing="0" w:after="0" w:afterAutospacing="0"/>
              <w:jc w:val="center"/>
              <w:rPr>
                <w:sz w:val="20"/>
                <w:szCs w:val="20"/>
              </w:rPr>
            </w:pPr>
            <w:r>
              <w:rPr>
                <w:sz w:val="20"/>
                <w:szCs w:val="20"/>
              </w:rPr>
              <w:t>November 15, 202</w:t>
            </w:r>
            <w:r>
              <w:rPr>
                <w:sz w:val="20"/>
                <w:szCs w:val="20"/>
              </w:rPr>
              <w:t>2</w:t>
            </w:r>
          </w:p>
        </w:tc>
        <w:tc>
          <w:tcPr>
            <w:tcW w:w="0" w:type="auto"/>
            <w:hideMark/>
          </w:tcPr>
          <w:p w14:paraId="5E63821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A83626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D6321C0" w14:textId="77777777" w:rsidR="00000000" w:rsidRDefault="00832D71">
            <w:pPr>
              <w:pStyle w:val="a3"/>
              <w:spacing w:before="0" w:beforeAutospacing="0" w:after="0" w:afterAutospacing="0"/>
              <w:jc w:val="right"/>
              <w:rPr>
                <w:sz w:val="20"/>
                <w:szCs w:val="20"/>
              </w:rPr>
            </w:pPr>
            <w:r>
              <w:rPr>
                <w:sz w:val="20"/>
                <w:szCs w:val="20"/>
              </w:rPr>
              <w:t>19,55</w:t>
            </w:r>
            <w:r>
              <w:rPr>
                <w:sz w:val="20"/>
                <w:szCs w:val="20"/>
              </w:rPr>
              <w:t>7</w:t>
            </w:r>
          </w:p>
        </w:tc>
        <w:tc>
          <w:tcPr>
            <w:tcW w:w="0" w:type="auto"/>
            <w:noWrap/>
            <w:vAlign w:val="bottom"/>
            <w:hideMark/>
          </w:tcPr>
          <w:p w14:paraId="2F1280CB" w14:textId="77777777" w:rsidR="00000000" w:rsidRDefault="00832D71">
            <w:pPr>
              <w:pStyle w:val="a3"/>
              <w:spacing w:before="0" w:beforeAutospacing="0" w:after="0" w:afterAutospacing="0"/>
              <w:rPr>
                <w:sz w:val="20"/>
                <w:szCs w:val="20"/>
              </w:rPr>
            </w:pPr>
            <w:r>
              <w:rPr>
                <w:sz w:val="20"/>
                <w:szCs w:val="20"/>
              </w:rPr>
              <w:t> </w:t>
            </w:r>
          </w:p>
        </w:tc>
      </w:tr>
      <w:tr w:rsidR="00000000" w14:paraId="3EEF39C9" w14:textId="77777777">
        <w:trPr>
          <w:trHeight w:val="200"/>
          <w:tblCellSpacing w:w="15" w:type="dxa"/>
        </w:trPr>
        <w:tc>
          <w:tcPr>
            <w:tcW w:w="0" w:type="auto"/>
            <w:hideMark/>
          </w:tcPr>
          <w:p w14:paraId="00AA8500" w14:textId="77777777" w:rsidR="00000000" w:rsidRDefault="00832D71">
            <w:pPr>
              <w:pStyle w:val="a3"/>
              <w:spacing w:before="0" w:beforeAutospacing="0" w:after="0" w:afterAutospacing="0"/>
              <w:rPr>
                <w:sz w:val="20"/>
                <w:szCs w:val="20"/>
              </w:rPr>
            </w:pPr>
            <w:r>
              <w:rPr>
                <w:sz w:val="20"/>
                <w:szCs w:val="20"/>
              </w:rPr>
              <w:t>Douglas T. Brinkwort</w:t>
            </w:r>
            <w:r>
              <w:rPr>
                <w:sz w:val="20"/>
                <w:szCs w:val="20"/>
              </w:rPr>
              <w:t>h</w:t>
            </w:r>
          </w:p>
        </w:tc>
        <w:tc>
          <w:tcPr>
            <w:tcW w:w="0" w:type="auto"/>
            <w:hideMark/>
          </w:tcPr>
          <w:p w14:paraId="28BD077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6D488D1" w14:textId="77777777" w:rsidR="00000000" w:rsidRDefault="00832D71">
            <w:pPr>
              <w:pStyle w:val="a3"/>
              <w:spacing w:before="0" w:beforeAutospacing="0" w:after="0" w:afterAutospacing="0"/>
              <w:jc w:val="center"/>
              <w:rPr>
                <w:sz w:val="20"/>
                <w:szCs w:val="20"/>
              </w:rPr>
            </w:pPr>
            <w:r>
              <w:rPr>
                <w:sz w:val="20"/>
                <w:szCs w:val="20"/>
              </w:rPr>
              <w:t>November 15, 202</w:t>
            </w:r>
            <w:r>
              <w:rPr>
                <w:sz w:val="20"/>
                <w:szCs w:val="20"/>
              </w:rPr>
              <w:t>2</w:t>
            </w:r>
          </w:p>
        </w:tc>
        <w:tc>
          <w:tcPr>
            <w:tcW w:w="0" w:type="auto"/>
            <w:hideMark/>
          </w:tcPr>
          <w:p w14:paraId="5291B9C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B91665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4108115" w14:textId="77777777" w:rsidR="00000000" w:rsidRDefault="00832D71">
            <w:pPr>
              <w:pStyle w:val="a3"/>
              <w:spacing w:before="0" w:beforeAutospacing="0" w:after="0" w:afterAutospacing="0"/>
              <w:jc w:val="right"/>
              <w:rPr>
                <w:sz w:val="20"/>
                <w:szCs w:val="20"/>
              </w:rPr>
            </w:pPr>
            <w:r>
              <w:rPr>
                <w:sz w:val="20"/>
                <w:szCs w:val="20"/>
              </w:rPr>
              <w:t>19,55</w:t>
            </w:r>
            <w:r>
              <w:rPr>
                <w:sz w:val="20"/>
                <w:szCs w:val="20"/>
              </w:rPr>
              <w:t>7</w:t>
            </w:r>
          </w:p>
        </w:tc>
        <w:tc>
          <w:tcPr>
            <w:tcW w:w="0" w:type="auto"/>
            <w:noWrap/>
            <w:vAlign w:val="bottom"/>
            <w:hideMark/>
          </w:tcPr>
          <w:p w14:paraId="1834DC2C" w14:textId="77777777" w:rsidR="00000000" w:rsidRDefault="00832D71">
            <w:pPr>
              <w:pStyle w:val="a3"/>
              <w:spacing w:before="0" w:beforeAutospacing="0" w:after="0" w:afterAutospacing="0"/>
              <w:rPr>
                <w:sz w:val="20"/>
                <w:szCs w:val="20"/>
              </w:rPr>
            </w:pPr>
            <w:r>
              <w:rPr>
                <w:sz w:val="20"/>
                <w:szCs w:val="20"/>
              </w:rPr>
              <w:t> </w:t>
            </w:r>
          </w:p>
        </w:tc>
      </w:tr>
      <w:tr w:rsidR="00000000" w14:paraId="5E8E0971" w14:textId="77777777">
        <w:trPr>
          <w:trHeight w:val="200"/>
          <w:tblCellSpacing w:w="15" w:type="dxa"/>
        </w:trPr>
        <w:tc>
          <w:tcPr>
            <w:tcW w:w="0" w:type="auto"/>
            <w:hideMark/>
          </w:tcPr>
          <w:p w14:paraId="7A889787" w14:textId="77777777" w:rsidR="00000000" w:rsidRDefault="00832D71">
            <w:pPr>
              <w:pStyle w:val="a3"/>
              <w:spacing w:before="0" w:beforeAutospacing="0" w:after="0" w:afterAutospacing="0"/>
              <w:rPr>
                <w:sz w:val="20"/>
                <w:szCs w:val="20"/>
              </w:rPr>
            </w:pPr>
            <w:r>
              <w:rPr>
                <w:sz w:val="20"/>
                <w:szCs w:val="20"/>
              </w:rPr>
              <w:t>Neil E. Scanlo</w:t>
            </w:r>
            <w:r>
              <w:rPr>
                <w:sz w:val="20"/>
                <w:szCs w:val="20"/>
              </w:rPr>
              <w:t>n</w:t>
            </w:r>
          </w:p>
        </w:tc>
        <w:tc>
          <w:tcPr>
            <w:tcW w:w="0" w:type="auto"/>
            <w:hideMark/>
          </w:tcPr>
          <w:p w14:paraId="652A092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8AD3731" w14:textId="77777777" w:rsidR="00000000" w:rsidRDefault="00832D71">
            <w:pPr>
              <w:pStyle w:val="a3"/>
              <w:spacing w:before="0" w:beforeAutospacing="0" w:after="0" w:afterAutospacing="0"/>
              <w:jc w:val="center"/>
              <w:rPr>
                <w:sz w:val="20"/>
                <w:szCs w:val="20"/>
              </w:rPr>
            </w:pPr>
            <w:r>
              <w:rPr>
                <w:sz w:val="20"/>
                <w:szCs w:val="20"/>
              </w:rPr>
              <w:t>November 15, 202</w:t>
            </w:r>
            <w:r>
              <w:rPr>
                <w:sz w:val="20"/>
                <w:szCs w:val="20"/>
              </w:rPr>
              <w:t>2</w:t>
            </w:r>
          </w:p>
        </w:tc>
        <w:tc>
          <w:tcPr>
            <w:tcW w:w="0" w:type="auto"/>
            <w:hideMark/>
          </w:tcPr>
          <w:p w14:paraId="482B247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A230F5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E10978E" w14:textId="77777777" w:rsidR="00000000" w:rsidRDefault="00832D71">
            <w:pPr>
              <w:pStyle w:val="a3"/>
              <w:spacing w:before="0" w:beforeAutospacing="0" w:after="0" w:afterAutospacing="0"/>
              <w:jc w:val="right"/>
              <w:rPr>
                <w:sz w:val="20"/>
                <w:szCs w:val="20"/>
              </w:rPr>
            </w:pPr>
            <w:r>
              <w:rPr>
                <w:sz w:val="20"/>
                <w:szCs w:val="20"/>
              </w:rPr>
              <w:t>17,11</w:t>
            </w:r>
            <w:r>
              <w:rPr>
                <w:sz w:val="20"/>
                <w:szCs w:val="20"/>
              </w:rPr>
              <w:t>3</w:t>
            </w:r>
          </w:p>
        </w:tc>
        <w:tc>
          <w:tcPr>
            <w:tcW w:w="0" w:type="auto"/>
            <w:noWrap/>
            <w:vAlign w:val="bottom"/>
            <w:hideMark/>
          </w:tcPr>
          <w:p w14:paraId="0D9314B5" w14:textId="77777777" w:rsidR="00000000" w:rsidRDefault="00832D71">
            <w:pPr>
              <w:pStyle w:val="a3"/>
              <w:spacing w:before="0" w:beforeAutospacing="0" w:after="0" w:afterAutospacing="0"/>
              <w:rPr>
                <w:sz w:val="20"/>
                <w:szCs w:val="20"/>
              </w:rPr>
            </w:pPr>
            <w:r>
              <w:rPr>
                <w:sz w:val="20"/>
                <w:szCs w:val="20"/>
              </w:rPr>
              <w:t> </w:t>
            </w:r>
          </w:p>
        </w:tc>
      </w:tr>
    </w:tbl>
    <w:p w14:paraId="0A0D1BE8" w14:textId="77777777" w:rsidR="00000000" w:rsidRDefault="00832D71">
      <w:pPr>
        <w:pStyle w:val="a3"/>
        <w:spacing w:before="240" w:beforeAutospacing="0" w:after="0" w:afterAutospacing="0"/>
        <w:rPr>
          <w:sz w:val="20"/>
          <w:szCs w:val="20"/>
        </w:rPr>
      </w:pPr>
      <w:r>
        <w:rPr>
          <w:i/>
          <w:iCs/>
          <w:sz w:val="20"/>
          <w:szCs w:val="20"/>
        </w:rPr>
        <w:t>Retirement Provision</w:t>
      </w:r>
      <w:r>
        <w:rPr>
          <w:i/>
          <w:iCs/>
          <w:sz w:val="20"/>
          <w:szCs w:val="20"/>
        </w:rPr>
        <w:t>s</w:t>
      </w:r>
    </w:p>
    <w:p w14:paraId="33F43D51" w14:textId="77777777" w:rsidR="00000000" w:rsidRDefault="00832D71">
      <w:pPr>
        <w:pStyle w:val="a3"/>
        <w:spacing w:before="240" w:beforeAutospacing="0" w:after="0" w:afterAutospacing="0"/>
        <w:ind w:firstLine="555"/>
        <w:jc w:val="both"/>
        <w:rPr>
          <w:sz w:val="20"/>
          <w:szCs w:val="20"/>
        </w:rPr>
      </w:pPr>
      <w:r>
        <w:rPr>
          <w:sz w:val="20"/>
          <w:szCs w:val="20"/>
        </w:rPr>
        <w:t>The PUP document contains retirement provisions that provide for the vesting of phantom units six months and one day after the retirement date of qualifying participants who meet all three of the following conditions on his or her retirement date</w:t>
      </w:r>
      <w:r>
        <w:rPr>
          <w:sz w:val="20"/>
          <w:szCs w:val="20"/>
        </w:rPr>
        <w:t>:</w:t>
      </w:r>
    </w:p>
    <w:p w14:paraId="3BE12272" w14:textId="77777777" w:rsidR="00000000" w:rsidRDefault="00832D71">
      <w:pPr>
        <w:jc w:val="both"/>
        <w:divId w:val="125054741"/>
        <w:rPr>
          <w:rFonts w:eastAsia="Times New Roman"/>
        </w:rPr>
      </w:pPr>
      <w:r>
        <w:rPr>
          <w:rFonts w:eastAsia="Times New Roman"/>
          <w:sz w:val="20"/>
          <w:szCs w:val="20"/>
        </w:rPr>
        <w:t>•</w:t>
      </w:r>
    </w:p>
    <w:p w14:paraId="46F336F8" w14:textId="77777777" w:rsidR="00000000" w:rsidRDefault="00832D71">
      <w:pPr>
        <w:jc w:val="both"/>
        <w:divId w:val="1307317453"/>
        <w:rPr>
          <w:rFonts w:eastAsia="Times New Roman"/>
        </w:rPr>
      </w:pPr>
      <w:r>
        <w:rPr>
          <w:rFonts w:eastAsia="Times New Roman"/>
          <w:sz w:val="20"/>
          <w:szCs w:val="20"/>
        </w:rPr>
        <w:t>The unvested award has been held by the grantee for at least one year</w:t>
      </w:r>
      <w:r>
        <w:rPr>
          <w:rFonts w:eastAsia="Times New Roman"/>
          <w:sz w:val="20"/>
          <w:szCs w:val="20"/>
        </w:rPr>
        <w:t>;</w:t>
      </w:r>
    </w:p>
    <w:p w14:paraId="7B90B3D6" w14:textId="77777777" w:rsidR="00000000" w:rsidRDefault="00832D71">
      <w:pPr>
        <w:jc w:val="both"/>
        <w:divId w:val="1117219160"/>
        <w:rPr>
          <w:rFonts w:eastAsia="Times New Roman"/>
        </w:rPr>
      </w:pPr>
      <w:r>
        <w:rPr>
          <w:rFonts w:eastAsia="Times New Roman"/>
          <w:sz w:val="20"/>
          <w:szCs w:val="20"/>
        </w:rPr>
        <w:t>•</w:t>
      </w:r>
    </w:p>
    <w:p w14:paraId="79502096" w14:textId="77777777" w:rsidR="00000000" w:rsidRDefault="00832D71">
      <w:pPr>
        <w:jc w:val="both"/>
        <w:divId w:val="1231965808"/>
        <w:rPr>
          <w:rFonts w:eastAsia="Times New Roman"/>
        </w:rPr>
      </w:pPr>
      <w:r>
        <w:rPr>
          <w:rFonts w:eastAsia="Times New Roman"/>
          <w:sz w:val="20"/>
          <w:szCs w:val="20"/>
        </w:rPr>
        <w:t>The grantee is age 55 or older; an</w:t>
      </w:r>
      <w:r>
        <w:rPr>
          <w:rFonts w:eastAsia="Times New Roman"/>
          <w:sz w:val="20"/>
          <w:szCs w:val="20"/>
        </w:rPr>
        <w:t>d</w:t>
      </w:r>
    </w:p>
    <w:p w14:paraId="11FF0079" w14:textId="77777777" w:rsidR="00000000" w:rsidRDefault="00832D71">
      <w:pPr>
        <w:jc w:val="both"/>
        <w:divId w:val="679311195"/>
        <w:rPr>
          <w:rFonts w:eastAsia="Times New Roman"/>
        </w:rPr>
      </w:pPr>
      <w:r>
        <w:rPr>
          <w:rFonts w:eastAsia="Times New Roman"/>
          <w:sz w:val="20"/>
          <w:szCs w:val="20"/>
        </w:rPr>
        <w:t>•</w:t>
      </w:r>
    </w:p>
    <w:p w14:paraId="7EC1DDAC" w14:textId="77777777" w:rsidR="00000000" w:rsidRDefault="00832D71">
      <w:pPr>
        <w:jc w:val="both"/>
        <w:divId w:val="258418058"/>
        <w:rPr>
          <w:rFonts w:eastAsia="Times New Roman"/>
        </w:rPr>
      </w:pPr>
      <w:r>
        <w:rPr>
          <w:rFonts w:eastAsia="Times New Roman"/>
          <w:sz w:val="20"/>
          <w:szCs w:val="20"/>
        </w:rPr>
        <w:t>The grantee has worked for us, or one of our predecessors, for at least 10 years</w:t>
      </w:r>
      <w:r>
        <w:rPr>
          <w:rFonts w:eastAsia="Times New Roman"/>
          <w:sz w:val="20"/>
          <w:szCs w:val="20"/>
        </w:rPr>
        <w:t>.</w:t>
      </w:r>
    </w:p>
    <w:p w14:paraId="6E6206C5" w14:textId="77777777" w:rsidR="00000000" w:rsidRDefault="00832D71">
      <w:pPr>
        <w:pStyle w:val="a3"/>
        <w:spacing w:before="240" w:beforeAutospacing="0" w:after="0" w:afterAutospacing="0"/>
        <w:ind w:firstLine="555"/>
        <w:jc w:val="both"/>
        <w:rPr>
          <w:sz w:val="20"/>
          <w:szCs w:val="20"/>
        </w:rPr>
      </w:pPr>
      <w:r>
        <w:rPr>
          <w:sz w:val="20"/>
          <w:szCs w:val="20"/>
        </w:rPr>
        <w:t>Mr. Boyd, Mr. Brinkworth and Mr. Scanlon are our only named exe</w:t>
      </w:r>
      <w:r>
        <w:rPr>
          <w:sz w:val="20"/>
          <w:szCs w:val="20"/>
        </w:rPr>
        <w:t>cutive officers to whom these retirement provisions applied at the end of fiscal 2022</w:t>
      </w:r>
      <w:r>
        <w:rPr>
          <w:sz w:val="20"/>
          <w:szCs w:val="20"/>
        </w:rPr>
        <w:t>.</w:t>
      </w:r>
    </w:p>
    <w:p w14:paraId="41AA9400" w14:textId="77777777" w:rsidR="00000000" w:rsidRDefault="00832D71">
      <w:pPr>
        <w:pStyle w:val="a3"/>
        <w:spacing w:before="240" w:beforeAutospacing="0" w:after="0" w:afterAutospacing="0"/>
        <w:ind w:firstLine="555"/>
        <w:jc w:val="both"/>
        <w:rPr>
          <w:sz w:val="20"/>
          <w:szCs w:val="20"/>
        </w:rPr>
      </w:pPr>
      <w:r>
        <w:rPr>
          <w:sz w:val="20"/>
          <w:szCs w:val="20"/>
        </w:rPr>
        <w:t>For those who meet the conditions set forth in the retirement provisions of the PUP, the cash payment shall be equal to the average of the highest and lowest trading pri</w:t>
      </w:r>
      <w:r>
        <w:rPr>
          <w:sz w:val="20"/>
          <w:szCs w:val="20"/>
        </w:rPr>
        <w:t>ces of our Common Units on the trading day immediately preceding the vesting date</w:t>
      </w:r>
      <w:r>
        <w:rPr>
          <w:sz w:val="20"/>
          <w:szCs w:val="20"/>
        </w:rPr>
        <w:t>.</w:t>
      </w:r>
    </w:p>
    <w:p w14:paraId="47FC9526" w14:textId="77777777" w:rsidR="00000000" w:rsidRDefault="00832D71">
      <w:pPr>
        <w:pStyle w:val="a3"/>
        <w:spacing w:before="240" w:beforeAutospacing="0" w:after="0" w:afterAutospacing="0"/>
        <w:rPr>
          <w:sz w:val="20"/>
          <w:szCs w:val="20"/>
        </w:rPr>
      </w:pPr>
      <w:r>
        <w:rPr>
          <w:i/>
          <w:iCs/>
          <w:sz w:val="20"/>
          <w:szCs w:val="20"/>
        </w:rPr>
        <w:t>Change of Control Provision</w:t>
      </w:r>
      <w:r>
        <w:rPr>
          <w:i/>
          <w:iCs/>
          <w:sz w:val="20"/>
          <w:szCs w:val="20"/>
        </w:rPr>
        <w:t>s</w:t>
      </w:r>
    </w:p>
    <w:p w14:paraId="3FF2A1C8" w14:textId="77777777" w:rsidR="00000000" w:rsidRDefault="00832D71">
      <w:pPr>
        <w:pStyle w:val="a3"/>
        <w:spacing w:before="240" w:beforeAutospacing="0" w:after="0" w:afterAutospacing="0"/>
        <w:ind w:firstLine="555"/>
        <w:jc w:val="both"/>
        <w:rPr>
          <w:sz w:val="20"/>
          <w:szCs w:val="20"/>
        </w:rPr>
      </w:pPr>
      <w:r>
        <w:rPr>
          <w:sz w:val="20"/>
          <w:szCs w:val="20"/>
        </w:rPr>
        <w:t>Under the PUP, upon a change of control, without regard to whether a participant’s employment is terminated, all unvested awards granted under t</w:t>
      </w:r>
      <w:r>
        <w:rPr>
          <w:sz w:val="20"/>
          <w:szCs w:val="20"/>
        </w:rPr>
        <w:t>he PUP will vest immediately and become distributable to the participants as a cash payment equal to the average of the highest and lowest trading prices of our Common Units on the trading day immediately preceding the date of the change of control</w:t>
      </w:r>
      <w:r>
        <w:rPr>
          <w:sz w:val="20"/>
          <w:szCs w:val="20"/>
        </w:rPr>
        <w:t>.</w:t>
      </w:r>
    </w:p>
    <w:p w14:paraId="5A353A5D" w14:textId="77777777" w:rsidR="00000000" w:rsidRDefault="00832D71">
      <w:pPr>
        <w:pStyle w:val="a3"/>
        <w:spacing w:before="240" w:beforeAutospacing="0" w:after="0" w:afterAutospacing="0"/>
        <w:ind w:firstLine="555"/>
        <w:jc w:val="both"/>
        <w:rPr>
          <w:sz w:val="20"/>
          <w:szCs w:val="20"/>
        </w:rPr>
      </w:pPr>
      <w:r>
        <w:rPr>
          <w:sz w:val="20"/>
          <w:szCs w:val="20"/>
        </w:rPr>
        <w:t>For th</w:t>
      </w:r>
      <w:r>
        <w:rPr>
          <w:sz w:val="20"/>
          <w:szCs w:val="20"/>
        </w:rPr>
        <w:t>e purposes of the PUP, the definition of change of control is the same as such definition in the 2018 RUP</w:t>
      </w:r>
      <w:r>
        <w:rPr>
          <w:sz w:val="20"/>
          <w:szCs w:val="20"/>
        </w:rPr>
        <w:t>.</w:t>
      </w:r>
    </w:p>
    <w:p w14:paraId="470CF147" w14:textId="77777777" w:rsidR="00000000" w:rsidRDefault="00832D71">
      <w:pPr>
        <w:pStyle w:val="a3"/>
        <w:spacing w:before="360" w:beforeAutospacing="0" w:after="0" w:afterAutospacing="0"/>
        <w:jc w:val="both"/>
        <w:rPr>
          <w:sz w:val="20"/>
          <w:szCs w:val="20"/>
        </w:rPr>
      </w:pPr>
      <w:r>
        <w:rPr>
          <w:b/>
          <w:bCs/>
          <w:sz w:val="20"/>
          <w:szCs w:val="20"/>
        </w:rPr>
        <w:t>Distribution Equivalent Rights Pla</w:t>
      </w:r>
      <w:r>
        <w:rPr>
          <w:b/>
          <w:bCs/>
          <w:sz w:val="20"/>
          <w:szCs w:val="20"/>
        </w:rPr>
        <w:t>n</w:t>
      </w:r>
    </w:p>
    <w:p w14:paraId="5691156C" w14:textId="77777777" w:rsidR="00000000" w:rsidRDefault="00832D71">
      <w:pPr>
        <w:pStyle w:val="a3"/>
        <w:spacing w:before="120" w:beforeAutospacing="0" w:after="0" w:afterAutospacing="0"/>
        <w:ind w:firstLine="555"/>
        <w:jc w:val="both"/>
        <w:rPr>
          <w:sz w:val="20"/>
          <w:szCs w:val="20"/>
        </w:rPr>
      </w:pPr>
      <w:r>
        <w:rPr>
          <w:sz w:val="20"/>
          <w:szCs w:val="20"/>
        </w:rPr>
        <w:t>In January 2017, the Committee adopted a Distribution Equivalent Rights Plan (the “DER Plan”) as a component of e</w:t>
      </w:r>
      <w:r>
        <w:rPr>
          <w:sz w:val="20"/>
          <w:szCs w:val="20"/>
        </w:rPr>
        <w:t>xecutive compensation based on data provided by WTW that indicated a DER Plan aligned with industry norms (77% of other publicly traded partnerships and 92% of a sample of broader energy/utility companies, at that time, provided such plans to their executi</w:t>
      </w:r>
      <w:r>
        <w:rPr>
          <w:sz w:val="20"/>
          <w:szCs w:val="20"/>
        </w:rPr>
        <w:t>ves in one form or another). The Committee adopted the DER Plan because the cash compensation resulting from the DER Plan would help, in certain instances, to lessen the gap between the total compensation paid to some of our named executive officers and th</w:t>
      </w:r>
      <w:r>
        <w:rPr>
          <w:sz w:val="20"/>
          <w:szCs w:val="20"/>
        </w:rPr>
        <w:t>e benchmark compensation data. Additionally, the Committee intends for the DER Plan to provide our named executive officers with a reasonable balance between performance-based and non-performance-based cash opportunities and to assist our named executive o</w:t>
      </w:r>
      <w:r>
        <w:rPr>
          <w:sz w:val="20"/>
          <w:szCs w:val="20"/>
        </w:rPr>
        <w:t>fficers to obtain funds to settle the taxes on equity-based compensation (i.e., taxes generated when restricted units vest). Most importantly, the Committee believes that this form of compensation further aligns the interests of our named executive officer</w:t>
      </w:r>
      <w:r>
        <w:rPr>
          <w:sz w:val="20"/>
          <w:szCs w:val="20"/>
        </w:rPr>
        <w:t>s with the interests of our Unitholders because it provides an incentive for the types of behaviors that lead to distribution sustainability and growth</w:t>
      </w:r>
      <w:r>
        <w:rPr>
          <w:sz w:val="20"/>
          <w:szCs w:val="20"/>
        </w:rPr>
        <w:t>.</w:t>
      </w:r>
    </w:p>
    <w:p w14:paraId="16EFA7E7" w14:textId="77777777" w:rsidR="00000000" w:rsidRDefault="00832D71">
      <w:pPr>
        <w:pStyle w:val="a3"/>
        <w:spacing w:before="0" w:beforeAutospacing="0" w:after="0" w:afterAutospacing="0"/>
        <w:jc w:val="center"/>
        <w:rPr>
          <w:sz w:val="20"/>
          <w:szCs w:val="20"/>
        </w:rPr>
      </w:pPr>
      <w:r>
        <w:rPr>
          <w:sz w:val="20"/>
          <w:szCs w:val="20"/>
        </w:rPr>
        <w:t> </w:t>
      </w:r>
    </w:p>
    <w:p w14:paraId="03091054" w14:textId="77777777" w:rsidR="00000000" w:rsidRDefault="00832D71">
      <w:pPr>
        <w:pStyle w:val="a3"/>
        <w:spacing w:before="0" w:beforeAutospacing="0" w:after="0" w:afterAutospacing="0"/>
        <w:jc w:val="center"/>
        <w:rPr>
          <w:sz w:val="20"/>
          <w:szCs w:val="20"/>
        </w:rPr>
      </w:pPr>
      <w:r>
        <w:rPr>
          <w:sz w:val="20"/>
          <w:szCs w:val="20"/>
        </w:rPr>
        <w:t>7</w:t>
      </w:r>
      <w:r>
        <w:rPr>
          <w:sz w:val="20"/>
          <w:szCs w:val="20"/>
        </w:rPr>
        <w:t>0</w:t>
      </w:r>
    </w:p>
    <w:p w14:paraId="0DC41DF7" w14:textId="77777777" w:rsidR="00000000" w:rsidRDefault="00832D71">
      <w:pPr>
        <w:rPr>
          <w:rFonts w:eastAsia="Times New Roman"/>
        </w:rPr>
      </w:pPr>
      <w:r>
        <w:rPr>
          <w:rFonts w:eastAsia="Times New Roman"/>
        </w:rPr>
        <w:pict w14:anchorId="0FF4BD25">
          <v:rect id="_x0000_i1097" style="width:0;height:1.5pt" o:hralign="center" o:hrstd="t" o:hr="t" fillcolor="#a0a0a0" stroked="f"/>
        </w:pict>
      </w:r>
    </w:p>
    <w:p w14:paraId="37BE5018"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1B137E84" w14:textId="77777777" w:rsidR="00000000" w:rsidRDefault="00832D71">
      <w:pPr>
        <w:pStyle w:val="a3"/>
        <w:spacing w:before="240" w:beforeAutospacing="0" w:after="0" w:afterAutospacing="0"/>
        <w:ind w:firstLine="555"/>
        <w:jc w:val="both"/>
        <w:rPr>
          <w:sz w:val="20"/>
          <w:szCs w:val="20"/>
        </w:rPr>
      </w:pPr>
      <w:r>
        <w:rPr>
          <w:sz w:val="20"/>
          <w:szCs w:val="20"/>
        </w:rPr>
        <w:t xml:space="preserve">The </w:t>
      </w:r>
      <w:r>
        <w:rPr>
          <w:sz w:val="20"/>
          <w:szCs w:val="20"/>
        </w:rPr>
        <w:t>executive officers of the Partnership (as defined in the DER Plan) are eligible for a distribution equivalent right (“DER”) award under the DER Plan at the discretion of the Committee. Once awarded, a DER entitles the grantee to a cash payment each time ou</w:t>
      </w:r>
      <w:r>
        <w:rPr>
          <w:sz w:val="20"/>
          <w:szCs w:val="20"/>
        </w:rPr>
        <w:t xml:space="preserve">r Board of Supervisors declares a cash distribution on our Common Units, but only after such distribution is paid to the Unitholders, which cash payment is equal to the amount calculated by multiplying (A) the number of unvested restricted units that have </w:t>
      </w:r>
      <w:r>
        <w:rPr>
          <w:sz w:val="20"/>
          <w:szCs w:val="20"/>
        </w:rPr>
        <w:t xml:space="preserve">been previously awarded to the grantee under the Restricted Unit Plans and which are held by the grantee on the record date of the distribution, by (B) the amount of the declared distribution per Common Unit. The form of award agreement under the DER Plan </w:t>
      </w:r>
      <w:r>
        <w:rPr>
          <w:sz w:val="20"/>
          <w:szCs w:val="20"/>
        </w:rPr>
        <w:t>expressly provides that the Committee retains the right to cancel, in whole or in part, any DER after its award, with or without cause. DERs also automatically terminate on the first to occur of: (a) the termination of the grantee’s employment with us or o</w:t>
      </w:r>
      <w:r>
        <w:rPr>
          <w:sz w:val="20"/>
          <w:szCs w:val="20"/>
        </w:rPr>
        <w:t>ur subsidiary (except for those situations when such termination does not result in the forfeiture of the unvested restricted units then held by the grantee), (b) the vesting, termination or forfeiture of all unvested restricted units then held by the gran</w:t>
      </w:r>
      <w:r>
        <w:rPr>
          <w:sz w:val="20"/>
          <w:szCs w:val="20"/>
        </w:rPr>
        <w:t>tee, or (c) the grantee becoming employed by us or our subsidiary in a role other than as an executive officer. Pursuant to the terms of the DER Plan, DERs, and cash payments thereunder, are considered to be “incentive compensation” for purposes of our inc</w:t>
      </w:r>
      <w:r>
        <w:rPr>
          <w:sz w:val="20"/>
          <w:szCs w:val="20"/>
        </w:rPr>
        <w:t xml:space="preserve">entive compensation recoupment policy described above. At their November 8, 2022 meeting, the Committee amended the DER Plan to make unvested phantom units awarded under the PUP eligible for payments under the DER Plan. This will become effective with the </w:t>
      </w:r>
      <w:r>
        <w:rPr>
          <w:sz w:val="20"/>
          <w:szCs w:val="20"/>
        </w:rPr>
        <w:t>first distribution that is declared by the Board of Supervisors during calendar year 2023</w:t>
      </w:r>
      <w:r>
        <w:rPr>
          <w:sz w:val="20"/>
          <w:szCs w:val="20"/>
        </w:rPr>
        <w:t>.</w:t>
      </w:r>
      <w:r>
        <w:rPr>
          <w:sz w:val="20"/>
          <w:szCs w:val="20"/>
        </w:rPr>
        <w:t xml:space="preserve"> </w:t>
      </w:r>
    </w:p>
    <w:p w14:paraId="55E9409B" w14:textId="77777777" w:rsidR="00000000" w:rsidRDefault="00832D71">
      <w:pPr>
        <w:pStyle w:val="a3"/>
        <w:spacing w:before="240" w:beforeAutospacing="0" w:after="0" w:afterAutospacing="0"/>
        <w:ind w:firstLine="555"/>
        <w:jc w:val="both"/>
        <w:rPr>
          <w:sz w:val="20"/>
          <w:szCs w:val="20"/>
        </w:rPr>
      </w:pPr>
      <w:r>
        <w:rPr>
          <w:sz w:val="20"/>
          <w:szCs w:val="20"/>
        </w:rPr>
        <w:t>At its January 17, 2017 meeting, the Committee granted DERs under the DER Plan to all of our named executive officers. The following table summarizes the DER paymen</w:t>
      </w:r>
      <w:r>
        <w:rPr>
          <w:sz w:val="20"/>
          <w:szCs w:val="20"/>
        </w:rPr>
        <w:t>ts made to our named executive officers during fiscal 2022</w:t>
      </w:r>
      <w:r>
        <w:rPr>
          <w:sz w:val="20"/>
          <w:szCs w:val="20"/>
        </w:rPr>
        <w:t>:</w:t>
      </w:r>
    </w:p>
    <w:p w14:paraId="70604C0D" w14:textId="77777777" w:rsidR="00000000" w:rsidRDefault="00832D71">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825"/>
        <w:gridCol w:w="166"/>
        <w:gridCol w:w="160"/>
        <w:gridCol w:w="1369"/>
        <w:gridCol w:w="125"/>
      </w:tblGrid>
      <w:tr w:rsidR="00000000" w14:paraId="09D8BE04" w14:textId="77777777">
        <w:trPr>
          <w:tblCellSpacing w:w="15" w:type="dxa"/>
        </w:trPr>
        <w:tc>
          <w:tcPr>
            <w:tcW w:w="3717" w:type="pct"/>
            <w:vAlign w:val="center"/>
            <w:hideMark/>
          </w:tcPr>
          <w:p w14:paraId="39529572" w14:textId="77777777" w:rsidR="00000000" w:rsidRDefault="00832D71">
            <w:pPr>
              <w:rPr>
                <w:sz w:val="20"/>
                <w:szCs w:val="20"/>
              </w:rPr>
            </w:pPr>
          </w:p>
        </w:tc>
        <w:tc>
          <w:tcPr>
            <w:tcW w:w="126" w:type="pct"/>
            <w:vAlign w:val="center"/>
            <w:hideMark/>
          </w:tcPr>
          <w:p w14:paraId="303C00AB" w14:textId="77777777" w:rsidR="00000000" w:rsidRDefault="00832D71">
            <w:pPr>
              <w:rPr>
                <w:rFonts w:eastAsia="Times New Roman"/>
                <w:sz w:val="20"/>
                <w:szCs w:val="20"/>
              </w:rPr>
            </w:pPr>
          </w:p>
        </w:tc>
        <w:tc>
          <w:tcPr>
            <w:tcW w:w="50" w:type="pct"/>
            <w:vAlign w:val="center"/>
            <w:hideMark/>
          </w:tcPr>
          <w:p w14:paraId="08F27A30" w14:textId="77777777" w:rsidR="00000000" w:rsidRDefault="00832D71">
            <w:pPr>
              <w:rPr>
                <w:rFonts w:eastAsia="Times New Roman"/>
                <w:sz w:val="20"/>
                <w:szCs w:val="20"/>
              </w:rPr>
            </w:pPr>
          </w:p>
        </w:tc>
        <w:tc>
          <w:tcPr>
            <w:tcW w:w="1056" w:type="pct"/>
            <w:vAlign w:val="center"/>
            <w:hideMark/>
          </w:tcPr>
          <w:p w14:paraId="594643A6" w14:textId="77777777" w:rsidR="00000000" w:rsidRDefault="00832D71">
            <w:pPr>
              <w:rPr>
                <w:rFonts w:eastAsia="Times New Roman"/>
                <w:sz w:val="20"/>
                <w:szCs w:val="20"/>
              </w:rPr>
            </w:pPr>
          </w:p>
        </w:tc>
        <w:tc>
          <w:tcPr>
            <w:tcW w:w="50" w:type="pct"/>
            <w:vAlign w:val="center"/>
            <w:hideMark/>
          </w:tcPr>
          <w:p w14:paraId="779E2AB1" w14:textId="77777777" w:rsidR="00000000" w:rsidRDefault="00832D71">
            <w:pPr>
              <w:rPr>
                <w:rFonts w:eastAsia="Times New Roman"/>
                <w:sz w:val="20"/>
                <w:szCs w:val="20"/>
              </w:rPr>
            </w:pPr>
          </w:p>
        </w:tc>
      </w:tr>
      <w:tr w:rsidR="00000000" w14:paraId="25B170C5" w14:textId="77777777">
        <w:trPr>
          <w:trHeight w:val="160"/>
          <w:tblCellSpacing w:w="15" w:type="dxa"/>
        </w:trPr>
        <w:tc>
          <w:tcPr>
            <w:tcW w:w="0" w:type="auto"/>
            <w:vAlign w:val="bottom"/>
            <w:hideMark/>
          </w:tcPr>
          <w:p w14:paraId="5AFE60B7"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6BD12E5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2EB7B9F" w14:textId="77777777" w:rsidR="00000000" w:rsidRDefault="00832D71">
            <w:pPr>
              <w:pStyle w:val="a3"/>
              <w:spacing w:before="0" w:beforeAutospacing="0" w:after="0" w:afterAutospacing="0"/>
              <w:jc w:val="center"/>
              <w:rPr>
                <w:sz w:val="16"/>
                <w:szCs w:val="16"/>
              </w:rPr>
            </w:pPr>
            <w:r>
              <w:rPr>
                <w:b/>
                <w:bCs/>
                <w:sz w:val="16"/>
                <w:szCs w:val="16"/>
              </w:rPr>
              <w:t>Payment Amoun</w:t>
            </w:r>
            <w:r>
              <w:rPr>
                <w:b/>
                <w:bCs/>
                <w:sz w:val="16"/>
                <w:szCs w:val="16"/>
              </w:rPr>
              <w:t>t</w:t>
            </w:r>
          </w:p>
        </w:tc>
        <w:tc>
          <w:tcPr>
            <w:tcW w:w="0" w:type="auto"/>
            <w:vAlign w:val="bottom"/>
            <w:hideMark/>
          </w:tcPr>
          <w:p w14:paraId="2EF26FA2"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6EF2DE81" w14:textId="77777777">
        <w:trPr>
          <w:trHeight w:val="200"/>
          <w:tblCellSpacing w:w="15" w:type="dxa"/>
        </w:trPr>
        <w:tc>
          <w:tcPr>
            <w:tcW w:w="0" w:type="auto"/>
            <w:hideMark/>
          </w:tcPr>
          <w:p w14:paraId="23400405" w14:textId="77777777" w:rsidR="00000000" w:rsidRDefault="00832D71">
            <w:pPr>
              <w:pStyle w:val="a3"/>
              <w:spacing w:before="0" w:beforeAutospacing="0" w:after="0" w:afterAutospacing="0"/>
              <w:rPr>
                <w:sz w:val="20"/>
                <w:szCs w:val="20"/>
              </w:rPr>
            </w:pPr>
            <w:r>
              <w:rPr>
                <w:sz w:val="20"/>
                <w:szCs w:val="20"/>
              </w:rPr>
              <w:t>Michael A. Stival</w:t>
            </w:r>
            <w:r>
              <w:rPr>
                <w:sz w:val="20"/>
                <w:szCs w:val="20"/>
              </w:rPr>
              <w:t>a</w:t>
            </w:r>
          </w:p>
        </w:tc>
        <w:tc>
          <w:tcPr>
            <w:tcW w:w="0" w:type="auto"/>
            <w:hideMark/>
          </w:tcPr>
          <w:p w14:paraId="69E6EE1C"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B498E26"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FDF29D0" w14:textId="77777777" w:rsidR="00000000" w:rsidRDefault="00832D71">
            <w:pPr>
              <w:pStyle w:val="a3"/>
              <w:spacing w:before="0" w:beforeAutospacing="0" w:after="0" w:afterAutospacing="0"/>
              <w:jc w:val="right"/>
              <w:rPr>
                <w:sz w:val="20"/>
                <w:szCs w:val="20"/>
              </w:rPr>
            </w:pPr>
            <w:r>
              <w:rPr>
                <w:sz w:val="20"/>
                <w:szCs w:val="20"/>
              </w:rPr>
              <w:t>159,09</w:t>
            </w:r>
            <w:r>
              <w:rPr>
                <w:sz w:val="20"/>
                <w:szCs w:val="20"/>
              </w:rPr>
              <w:t>1</w:t>
            </w:r>
          </w:p>
        </w:tc>
        <w:tc>
          <w:tcPr>
            <w:tcW w:w="0" w:type="auto"/>
            <w:noWrap/>
            <w:hideMark/>
          </w:tcPr>
          <w:p w14:paraId="1F53DA85" w14:textId="77777777" w:rsidR="00000000" w:rsidRDefault="00832D71">
            <w:pPr>
              <w:pStyle w:val="a3"/>
              <w:spacing w:before="0" w:beforeAutospacing="0" w:after="0" w:afterAutospacing="0"/>
              <w:rPr>
                <w:sz w:val="20"/>
                <w:szCs w:val="20"/>
              </w:rPr>
            </w:pPr>
            <w:r>
              <w:rPr>
                <w:sz w:val="20"/>
                <w:szCs w:val="20"/>
              </w:rPr>
              <w:t> </w:t>
            </w:r>
          </w:p>
        </w:tc>
      </w:tr>
      <w:tr w:rsidR="00000000" w14:paraId="649A24CD" w14:textId="77777777">
        <w:trPr>
          <w:trHeight w:val="200"/>
          <w:tblCellSpacing w:w="15" w:type="dxa"/>
        </w:trPr>
        <w:tc>
          <w:tcPr>
            <w:tcW w:w="0" w:type="auto"/>
            <w:hideMark/>
          </w:tcPr>
          <w:p w14:paraId="764EF1EC" w14:textId="77777777" w:rsidR="00000000" w:rsidRDefault="00832D71">
            <w:pPr>
              <w:pStyle w:val="a3"/>
              <w:spacing w:before="0" w:beforeAutospacing="0" w:after="0" w:afterAutospacing="0"/>
              <w:rPr>
                <w:sz w:val="20"/>
                <w:szCs w:val="20"/>
              </w:rPr>
            </w:pPr>
            <w:r>
              <w:rPr>
                <w:sz w:val="20"/>
                <w:szCs w:val="20"/>
              </w:rPr>
              <w:t>Michael A. Kugli</w:t>
            </w:r>
            <w:r>
              <w:rPr>
                <w:sz w:val="20"/>
                <w:szCs w:val="20"/>
              </w:rPr>
              <w:t>n</w:t>
            </w:r>
          </w:p>
        </w:tc>
        <w:tc>
          <w:tcPr>
            <w:tcW w:w="0" w:type="auto"/>
            <w:hideMark/>
          </w:tcPr>
          <w:p w14:paraId="4DA3DCB3"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2256A382"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70CB7BF4" w14:textId="77777777" w:rsidR="00000000" w:rsidRDefault="00832D71">
            <w:pPr>
              <w:pStyle w:val="a3"/>
              <w:spacing w:before="0" w:beforeAutospacing="0" w:after="0" w:afterAutospacing="0"/>
              <w:jc w:val="right"/>
              <w:rPr>
                <w:sz w:val="20"/>
                <w:szCs w:val="20"/>
              </w:rPr>
            </w:pPr>
            <w:r>
              <w:rPr>
                <w:sz w:val="20"/>
                <w:szCs w:val="20"/>
              </w:rPr>
              <w:t>114,97</w:t>
            </w:r>
            <w:r>
              <w:rPr>
                <w:sz w:val="20"/>
                <w:szCs w:val="20"/>
              </w:rPr>
              <w:t>5</w:t>
            </w:r>
          </w:p>
        </w:tc>
        <w:tc>
          <w:tcPr>
            <w:tcW w:w="0" w:type="auto"/>
            <w:noWrap/>
            <w:hideMark/>
          </w:tcPr>
          <w:p w14:paraId="495F35A7" w14:textId="77777777" w:rsidR="00000000" w:rsidRDefault="00832D71">
            <w:pPr>
              <w:pStyle w:val="a3"/>
              <w:spacing w:before="0" w:beforeAutospacing="0" w:after="0" w:afterAutospacing="0"/>
              <w:rPr>
                <w:sz w:val="20"/>
                <w:szCs w:val="20"/>
              </w:rPr>
            </w:pPr>
            <w:r>
              <w:rPr>
                <w:sz w:val="20"/>
                <w:szCs w:val="20"/>
              </w:rPr>
              <w:t> </w:t>
            </w:r>
          </w:p>
        </w:tc>
      </w:tr>
      <w:tr w:rsidR="00000000" w14:paraId="6237D49B" w14:textId="77777777">
        <w:trPr>
          <w:trHeight w:val="200"/>
          <w:tblCellSpacing w:w="15" w:type="dxa"/>
        </w:trPr>
        <w:tc>
          <w:tcPr>
            <w:tcW w:w="0" w:type="auto"/>
            <w:hideMark/>
          </w:tcPr>
          <w:p w14:paraId="0882C436" w14:textId="77777777" w:rsidR="00000000" w:rsidRDefault="00832D71">
            <w:pPr>
              <w:pStyle w:val="a3"/>
              <w:spacing w:before="0" w:beforeAutospacing="0" w:after="0" w:afterAutospacing="0"/>
              <w:rPr>
                <w:sz w:val="20"/>
                <w:szCs w:val="20"/>
              </w:rPr>
            </w:pPr>
            <w:r>
              <w:rPr>
                <w:sz w:val="20"/>
                <w:szCs w:val="20"/>
              </w:rPr>
              <w:t>Steven C. Boy</w:t>
            </w:r>
            <w:r>
              <w:rPr>
                <w:sz w:val="20"/>
                <w:szCs w:val="20"/>
              </w:rPr>
              <w:t>d</w:t>
            </w:r>
          </w:p>
        </w:tc>
        <w:tc>
          <w:tcPr>
            <w:tcW w:w="0" w:type="auto"/>
            <w:hideMark/>
          </w:tcPr>
          <w:p w14:paraId="1BAE0923"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EA13C0F"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0A89FC12" w14:textId="77777777" w:rsidR="00000000" w:rsidRDefault="00832D71">
            <w:pPr>
              <w:pStyle w:val="a3"/>
              <w:spacing w:before="0" w:beforeAutospacing="0" w:after="0" w:afterAutospacing="0"/>
              <w:jc w:val="right"/>
              <w:rPr>
                <w:sz w:val="20"/>
                <w:szCs w:val="20"/>
              </w:rPr>
            </w:pPr>
            <w:r>
              <w:rPr>
                <w:sz w:val="20"/>
                <w:szCs w:val="20"/>
              </w:rPr>
              <w:t>114,97</w:t>
            </w:r>
            <w:r>
              <w:rPr>
                <w:sz w:val="20"/>
                <w:szCs w:val="20"/>
              </w:rPr>
              <w:t>5</w:t>
            </w:r>
          </w:p>
        </w:tc>
        <w:tc>
          <w:tcPr>
            <w:tcW w:w="0" w:type="auto"/>
            <w:noWrap/>
            <w:hideMark/>
          </w:tcPr>
          <w:p w14:paraId="6A97F250" w14:textId="77777777" w:rsidR="00000000" w:rsidRDefault="00832D71">
            <w:pPr>
              <w:pStyle w:val="a3"/>
              <w:spacing w:before="0" w:beforeAutospacing="0" w:after="0" w:afterAutospacing="0"/>
              <w:rPr>
                <w:sz w:val="20"/>
                <w:szCs w:val="20"/>
              </w:rPr>
            </w:pPr>
            <w:r>
              <w:rPr>
                <w:sz w:val="20"/>
                <w:szCs w:val="20"/>
              </w:rPr>
              <w:t> </w:t>
            </w:r>
          </w:p>
        </w:tc>
      </w:tr>
      <w:tr w:rsidR="00000000" w14:paraId="4E54F76D" w14:textId="77777777">
        <w:trPr>
          <w:trHeight w:val="200"/>
          <w:tblCellSpacing w:w="15" w:type="dxa"/>
        </w:trPr>
        <w:tc>
          <w:tcPr>
            <w:tcW w:w="0" w:type="auto"/>
            <w:hideMark/>
          </w:tcPr>
          <w:p w14:paraId="12E42D95" w14:textId="77777777" w:rsidR="00000000" w:rsidRDefault="00832D71">
            <w:pPr>
              <w:pStyle w:val="a3"/>
              <w:spacing w:before="0" w:beforeAutospacing="0" w:after="0" w:afterAutospacing="0"/>
              <w:rPr>
                <w:sz w:val="20"/>
                <w:szCs w:val="20"/>
              </w:rPr>
            </w:pPr>
            <w:r>
              <w:rPr>
                <w:sz w:val="20"/>
                <w:szCs w:val="20"/>
              </w:rPr>
              <w:t>Douglas T. Brinkwort</w:t>
            </w:r>
            <w:r>
              <w:rPr>
                <w:sz w:val="20"/>
                <w:szCs w:val="20"/>
              </w:rPr>
              <w:t>h</w:t>
            </w:r>
          </w:p>
        </w:tc>
        <w:tc>
          <w:tcPr>
            <w:tcW w:w="0" w:type="auto"/>
            <w:hideMark/>
          </w:tcPr>
          <w:p w14:paraId="56B5567D"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05C3DD71"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612FE55" w14:textId="77777777" w:rsidR="00000000" w:rsidRDefault="00832D71">
            <w:pPr>
              <w:pStyle w:val="a3"/>
              <w:spacing w:before="0" w:beforeAutospacing="0" w:after="0" w:afterAutospacing="0"/>
              <w:jc w:val="right"/>
              <w:rPr>
                <w:sz w:val="20"/>
                <w:szCs w:val="20"/>
              </w:rPr>
            </w:pPr>
            <w:r>
              <w:rPr>
                <w:sz w:val="20"/>
                <w:szCs w:val="20"/>
              </w:rPr>
              <w:t>111,45</w:t>
            </w:r>
            <w:r>
              <w:rPr>
                <w:sz w:val="20"/>
                <w:szCs w:val="20"/>
              </w:rPr>
              <w:t>3</w:t>
            </w:r>
          </w:p>
        </w:tc>
        <w:tc>
          <w:tcPr>
            <w:tcW w:w="0" w:type="auto"/>
            <w:noWrap/>
            <w:hideMark/>
          </w:tcPr>
          <w:p w14:paraId="61B3EB41" w14:textId="77777777" w:rsidR="00000000" w:rsidRDefault="00832D71">
            <w:pPr>
              <w:pStyle w:val="a3"/>
              <w:spacing w:before="0" w:beforeAutospacing="0" w:after="0" w:afterAutospacing="0"/>
              <w:rPr>
                <w:sz w:val="20"/>
                <w:szCs w:val="20"/>
              </w:rPr>
            </w:pPr>
            <w:r>
              <w:rPr>
                <w:sz w:val="20"/>
                <w:szCs w:val="20"/>
              </w:rPr>
              <w:t> </w:t>
            </w:r>
          </w:p>
        </w:tc>
      </w:tr>
      <w:tr w:rsidR="00000000" w14:paraId="14AF1B96" w14:textId="77777777">
        <w:trPr>
          <w:trHeight w:val="200"/>
          <w:tblCellSpacing w:w="15" w:type="dxa"/>
        </w:trPr>
        <w:tc>
          <w:tcPr>
            <w:tcW w:w="0" w:type="auto"/>
            <w:hideMark/>
          </w:tcPr>
          <w:p w14:paraId="2CA4F022" w14:textId="77777777" w:rsidR="00000000" w:rsidRDefault="00832D71">
            <w:pPr>
              <w:pStyle w:val="a3"/>
              <w:spacing w:before="0" w:beforeAutospacing="0" w:after="0" w:afterAutospacing="0"/>
              <w:rPr>
                <w:sz w:val="20"/>
                <w:szCs w:val="20"/>
              </w:rPr>
            </w:pPr>
            <w:r>
              <w:rPr>
                <w:sz w:val="20"/>
                <w:szCs w:val="20"/>
              </w:rPr>
              <w:t>Neil E. Scanlo</w:t>
            </w:r>
            <w:r>
              <w:rPr>
                <w:sz w:val="20"/>
                <w:szCs w:val="20"/>
              </w:rPr>
              <w:t>n</w:t>
            </w:r>
          </w:p>
        </w:tc>
        <w:tc>
          <w:tcPr>
            <w:tcW w:w="0" w:type="auto"/>
            <w:hideMark/>
          </w:tcPr>
          <w:p w14:paraId="4E9D1288"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ADCBE80"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01851F34" w14:textId="77777777" w:rsidR="00000000" w:rsidRDefault="00832D71">
            <w:pPr>
              <w:pStyle w:val="a3"/>
              <w:spacing w:before="0" w:beforeAutospacing="0" w:after="0" w:afterAutospacing="0"/>
              <w:jc w:val="right"/>
              <w:rPr>
                <w:sz w:val="20"/>
                <w:szCs w:val="20"/>
              </w:rPr>
            </w:pPr>
            <w:r>
              <w:rPr>
                <w:sz w:val="20"/>
                <w:szCs w:val="20"/>
              </w:rPr>
              <w:t>106,85</w:t>
            </w:r>
            <w:r>
              <w:rPr>
                <w:sz w:val="20"/>
                <w:szCs w:val="20"/>
              </w:rPr>
              <w:t>5</w:t>
            </w:r>
          </w:p>
        </w:tc>
        <w:tc>
          <w:tcPr>
            <w:tcW w:w="0" w:type="auto"/>
            <w:noWrap/>
            <w:hideMark/>
          </w:tcPr>
          <w:p w14:paraId="6B0AB42D" w14:textId="77777777" w:rsidR="00000000" w:rsidRDefault="00832D71">
            <w:pPr>
              <w:pStyle w:val="a3"/>
              <w:spacing w:before="0" w:beforeAutospacing="0" w:after="0" w:afterAutospacing="0"/>
              <w:rPr>
                <w:sz w:val="20"/>
                <w:szCs w:val="20"/>
              </w:rPr>
            </w:pPr>
            <w:r>
              <w:rPr>
                <w:sz w:val="20"/>
                <w:szCs w:val="20"/>
              </w:rPr>
              <w:t> </w:t>
            </w:r>
          </w:p>
        </w:tc>
      </w:tr>
    </w:tbl>
    <w:p w14:paraId="1CC20477" w14:textId="77777777" w:rsidR="00000000" w:rsidRDefault="00832D71">
      <w:pPr>
        <w:pStyle w:val="a3"/>
        <w:spacing w:before="240" w:beforeAutospacing="0" w:after="0" w:afterAutospacing="0"/>
        <w:ind w:firstLine="555"/>
        <w:jc w:val="both"/>
        <w:rPr>
          <w:sz w:val="20"/>
          <w:szCs w:val="20"/>
        </w:rPr>
      </w:pPr>
      <w:r>
        <w:rPr>
          <w:sz w:val="20"/>
          <w:szCs w:val="20"/>
        </w:rPr>
        <w:t>The DER Plan payments made to our named executive officers during fiscal 2022, fiscal 2021, and fiscal 2020 are reported in the column titled “Non-Equity Incentive Plan Compensation” in the Summary Compensation Table below</w:t>
      </w:r>
      <w:r>
        <w:rPr>
          <w:sz w:val="20"/>
          <w:szCs w:val="20"/>
        </w:rPr>
        <w:t>.</w:t>
      </w:r>
      <w:r>
        <w:rPr>
          <w:sz w:val="20"/>
          <w:szCs w:val="20"/>
        </w:rPr>
        <w:t xml:space="preserve"> </w:t>
      </w:r>
    </w:p>
    <w:p w14:paraId="5A31FAD5" w14:textId="77777777" w:rsidR="00000000" w:rsidRDefault="00832D71">
      <w:pPr>
        <w:pStyle w:val="a3"/>
        <w:spacing w:before="360" w:beforeAutospacing="0" w:after="0" w:afterAutospacing="0"/>
        <w:jc w:val="both"/>
        <w:rPr>
          <w:sz w:val="20"/>
          <w:szCs w:val="20"/>
        </w:rPr>
      </w:pPr>
      <w:r>
        <w:rPr>
          <w:b/>
          <w:bCs/>
          <w:sz w:val="20"/>
          <w:szCs w:val="20"/>
        </w:rPr>
        <w:t>Benefits and Perquisite</w:t>
      </w:r>
      <w:r>
        <w:rPr>
          <w:b/>
          <w:bCs/>
          <w:sz w:val="20"/>
          <w:szCs w:val="20"/>
        </w:rPr>
        <w:t>s</w:t>
      </w:r>
      <w:r>
        <w:rPr>
          <w:b/>
          <w:bCs/>
          <w:sz w:val="20"/>
          <w:szCs w:val="20"/>
        </w:rPr>
        <w:t xml:space="preserve"> </w:t>
      </w:r>
    </w:p>
    <w:p w14:paraId="4A70A0A9" w14:textId="77777777" w:rsidR="00000000" w:rsidRDefault="00832D71">
      <w:pPr>
        <w:pStyle w:val="a3"/>
        <w:spacing w:before="120" w:beforeAutospacing="0" w:after="0" w:afterAutospacing="0"/>
        <w:rPr>
          <w:sz w:val="20"/>
          <w:szCs w:val="20"/>
        </w:rPr>
      </w:pPr>
      <w:r>
        <w:rPr>
          <w:i/>
          <w:iCs/>
          <w:sz w:val="20"/>
          <w:szCs w:val="20"/>
        </w:rPr>
        <w:t>Pensi</w:t>
      </w:r>
      <w:r>
        <w:rPr>
          <w:i/>
          <w:iCs/>
          <w:sz w:val="20"/>
          <w:szCs w:val="20"/>
        </w:rPr>
        <w:t>on Pla</w:t>
      </w:r>
      <w:r>
        <w:rPr>
          <w:i/>
          <w:iCs/>
          <w:sz w:val="20"/>
          <w:szCs w:val="20"/>
        </w:rPr>
        <w:t>n</w:t>
      </w:r>
    </w:p>
    <w:p w14:paraId="5DD040B8" w14:textId="77777777" w:rsidR="00000000" w:rsidRDefault="00832D71">
      <w:pPr>
        <w:pStyle w:val="a3"/>
        <w:spacing w:before="120" w:beforeAutospacing="0" w:after="0" w:afterAutospacing="0"/>
        <w:ind w:firstLine="555"/>
        <w:jc w:val="both"/>
        <w:rPr>
          <w:sz w:val="20"/>
          <w:szCs w:val="20"/>
        </w:rPr>
      </w:pPr>
      <w:r>
        <w:rPr>
          <w:sz w:val="20"/>
          <w:szCs w:val="20"/>
        </w:rPr>
        <w:t>We sponsor a noncontributory defined benefit pension plan that was originally designed to cover all of our eligible employees who met certain criteria relative to age and length of service. Effective January 1, 1998, we amended the plan in order to</w:t>
      </w:r>
      <w:r>
        <w:rPr>
          <w:sz w:val="20"/>
          <w:szCs w:val="20"/>
        </w:rPr>
        <w:t xml:space="preserve"> provide for a cash balance formula rather than the final average pay formula that was in effect prior to January 1, 1998 (the “Cash Balance Plan”). The cash balance formula was designed to evenly spread the growth of a participant’s earned retirement bene</w:t>
      </w:r>
      <w:r>
        <w:rPr>
          <w:sz w:val="20"/>
          <w:szCs w:val="20"/>
        </w:rPr>
        <w:t xml:space="preserve">fit throughout his or her career rather than the final average pay formula, under which a greater portion of a participant’s benefits were earned toward the latter stages of his or her career. Effective January 1, 2000, we amended the Cash Balance Plan to </w:t>
      </w:r>
      <w:r>
        <w:rPr>
          <w:sz w:val="20"/>
          <w:szCs w:val="20"/>
        </w:rPr>
        <w:t>limit participation in this plan to existing participants and no longer admit new participants to the plan. On January 1, 2003, we amended the Cash Balance Plan to cease future service and pay-based credits on behalf of the participants and, from that poin</w:t>
      </w:r>
      <w:r>
        <w:rPr>
          <w:sz w:val="20"/>
          <w:szCs w:val="20"/>
        </w:rPr>
        <w:t>t on, participants’ benefits have increased only because of interest credits. Of our named executive officers, only Mr. Boyd, Mr. Brinkworth and Mr. Scanlon participate in the Cash Balance Plan</w:t>
      </w:r>
      <w:r>
        <w:rPr>
          <w:sz w:val="20"/>
          <w:szCs w:val="20"/>
        </w:rPr>
        <w:t>.</w:t>
      </w:r>
      <w:r>
        <w:rPr>
          <w:sz w:val="20"/>
          <w:szCs w:val="20"/>
        </w:rPr>
        <w:t xml:space="preserve"> </w:t>
      </w:r>
    </w:p>
    <w:p w14:paraId="194FBE12" w14:textId="77777777" w:rsidR="00000000" w:rsidRDefault="00832D71">
      <w:pPr>
        <w:pStyle w:val="a3"/>
        <w:spacing w:before="240" w:beforeAutospacing="0" w:after="0" w:afterAutospacing="0"/>
        <w:ind w:firstLine="555"/>
        <w:jc w:val="both"/>
        <w:rPr>
          <w:sz w:val="20"/>
          <w:szCs w:val="20"/>
        </w:rPr>
      </w:pPr>
      <w:r>
        <w:rPr>
          <w:sz w:val="20"/>
          <w:szCs w:val="20"/>
        </w:rPr>
        <w:t xml:space="preserve">The changes in the actuarial value, if any, relative to Mr. </w:t>
      </w:r>
      <w:r>
        <w:rPr>
          <w:sz w:val="20"/>
          <w:szCs w:val="20"/>
        </w:rPr>
        <w:t>Boyd’s, Mr. Brinkworth’s and Mr. Scanlon’s participation in the Cash Balance Plan during fiscal 2022, fiscal 2021 and fiscal 2020 are reported in the column titled “Change in Pension Value and Nonqualified Deferred Compensation Earnings” in the Summary Com</w:t>
      </w:r>
      <w:r>
        <w:rPr>
          <w:sz w:val="20"/>
          <w:szCs w:val="20"/>
        </w:rPr>
        <w:t>pensation Table below</w:t>
      </w:r>
      <w:r>
        <w:rPr>
          <w:sz w:val="20"/>
          <w:szCs w:val="20"/>
        </w:rPr>
        <w:t>.</w:t>
      </w:r>
    </w:p>
    <w:p w14:paraId="233B693F" w14:textId="77777777" w:rsidR="00000000" w:rsidRDefault="00832D71">
      <w:pPr>
        <w:pStyle w:val="a3"/>
        <w:spacing w:before="360" w:beforeAutospacing="0" w:after="0" w:afterAutospacing="0"/>
        <w:rPr>
          <w:sz w:val="20"/>
          <w:szCs w:val="20"/>
        </w:rPr>
      </w:pPr>
      <w:r>
        <w:rPr>
          <w:i/>
          <w:iCs/>
          <w:sz w:val="20"/>
          <w:szCs w:val="20"/>
        </w:rPr>
        <w:t>Deferred Compensatio</w:t>
      </w:r>
      <w:r>
        <w:rPr>
          <w:i/>
          <w:iCs/>
          <w:sz w:val="20"/>
          <w:szCs w:val="20"/>
        </w:rPr>
        <w:t>n</w:t>
      </w:r>
    </w:p>
    <w:p w14:paraId="39414BE9" w14:textId="77777777" w:rsidR="00000000" w:rsidRDefault="00832D71">
      <w:pPr>
        <w:pStyle w:val="a3"/>
        <w:spacing w:before="120" w:beforeAutospacing="0" w:after="0" w:afterAutospacing="0"/>
        <w:ind w:firstLine="555"/>
        <w:jc w:val="both"/>
        <w:rPr>
          <w:sz w:val="20"/>
          <w:szCs w:val="20"/>
        </w:rPr>
      </w:pPr>
      <w:r>
        <w:rPr>
          <w:sz w:val="20"/>
          <w:szCs w:val="20"/>
        </w:rPr>
        <w:t xml:space="preserve">All employees, including our named executive officers, who satisfy certain service requirements, are eligible to participate in our IRC Section 401(k) Plan, which we refer to as the “401(k) Plan.” Under the 401(k) Plan, participants may defer a portion of </w:t>
      </w:r>
      <w:r>
        <w:rPr>
          <w:sz w:val="20"/>
          <w:szCs w:val="20"/>
        </w:rPr>
        <w:t>their eligible cash compensation up to the limits established by law. We offer the 401(k) Plan to attract and retain talented employees by providing them with a tax-advantaged opportunity to save for retirement</w:t>
      </w:r>
      <w:r>
        <w:rPr>
          <w:sz w:val="20"/>
          <w:szCs w:val="20"/>
        </w:rPr>
        <w:t>.</w:t>
      </w:r>
      <w:r>
        <w:rPr>
          <w:sz w:val="20"/>
          <w:szCs w:val="20"/>
        </w:rPr>
        <w:t xml:space="preserve"> </w:t>
      </w:r>
    </w:p>
    <w:p w14:paraId="190A0210" w14:textId="77777777" w:rsidR="00000000" w:rsidRDefault="00832D71">
      <w:pPr>
        <w:pStyle w:val="a3"/>
        <w:spacing w:before="40" w:beforeAutospacing="0" w:after="0" w:afterAutospacing="0"/>
        <w:ind w:firstLine="555"/>
        <w:jc w:val="both"/>
        <w:rPr>
          <w:sz w:val="20"/>
          <w:szCs w:val="20"/>
        </w:rPr>
      </w:pPr>
      <w:r>
        <w:rPr>
          <w:sz w:val="20"/>
          <w:szCs w:val="20"/>
        </w:rPr>
        <w:t> </w:t>
      </w:r>
    </w:p>
    <w:p w14:paraId="2FFDE02D" w14:textId="77777777" w:rsidR="00000000" w:rsidRDefault="00832D71">
      <w:pPr>
        <w:pStyle w:val="a3"/>
        <w:spacing w:before="0" w:beforeAutospacing="0" w:after="0" w:afterAutospacing="0"/>
        <w:ind w:firstLine="555"/>
        <w:jc w:val="both"/>
        <w:rPr>
          <w:sz w:val="20"/>
          <w:szCs w:val="20"/>
        </w:rPr>
      </w:pPr>
      <w:r>
        <w:rPr>
          <w:sz w:val="20"/>
          <w:szCs w:val="20"/>
        </w:rPr>
        <w:t>For fiscal 2022, fiscal 2021 and fiscal 2</w:t>
      </w:r>
      <w:r>
        <w:rPr>
          <w:sz w:val="20"/>
          <w:szCs w:val="20"/>
        </w:rPr>
        <w:t>020, all of our named executive officers participated in the 401(k) Plan. The benefits provided to our named executive officers under the 401(k) Plan are provided on the same basis as to other exempt employees of th</w:t>
      </w:r>
      <w:r>
        <w:rPr>
          <w:sz w:val="20"/>
          <w:szCs w:val="20"/>
        </w:rPr>
        <w:t>e</w:t>
      </w:r>
      <w:r>
        <w:rPr>
          <w:sz w:val="20"/>
          <w:szCs w:val="20"/>
        </w:rPr>
        <w:t xml:space="preserve"> </w:t>
      </w:r>
    </w:p>
    <w:p w14:paraId="398DF950" w14:textId="77777777" w:rsidR="00000000" w:rsidRDefault="00832D71">
      <w:pPr>
        <w:pStyle w:val="a3"/>
        <w:spacing w:before="0" w:beforeAutospacing="0" w:after="0" w:afterAutospacing="0"/>
        <w:jc w:val="center"/>
        <w:rPr>
          <w:sz w:val="20"/>
          <w:szCs w:val="20"/>
        </w:rPr>
      </w:pPr>
      <w:r>
        <w:rPr>
          <w:sz w:val="20"/>
          <w:szCs w:val="20"/>
        </w:rPr>
        <w:t> </w:t>
      </w:r>
    </w:p>
    <w:p w14:paraId="16A2392C" w14:textId="77777777" w:rsidR="00000000" w:rsidRDefault="00832D71">
      <w:pPr>
        <w:pStyle w:val="a3"/>
        <w:spacing w:before="0" w:beforeAutospacing="0" w:after="0" w:afterAutospacing="0"/>
        <w:jc w:val="center"/>
        <w:rPr>
          <w:sz w:val="20"/>
          <w:szCs w:val="20"/>
        </w:rPr>
      </w:pPr>
      <w:r>
        <w:rPr>
          <w:sz w:val="20"/>
          <w:szCs w:val="20"/>
        </w:rPr>
        <w:t>7</w:t>
      </w:r>
      <w:r>
        <w:rPr>
          <w:sz w:val="20"/>
          <w:szCs w:val="20"/>
        </w:rPr>
        <w:t>1</w:t>
      </w:r>
    </w:p>
    <w:p w14:paraId="68780EEB" w14:textId="77777777" w:rsidR="00000000" w:rsidRDefault="00832D71">
      <w:pPr>
        <w:rPr>
          <w:rFonts w:eastAsia="Times New Roman"/>
        </w:rPr>
      </w:pPr>
      <w:r>
        <w:rPr>
          <w:rFonts w:eastAsia="Times New Roman"/>
        </w:rPr>
        <w:pict w14:anchorId="3B08E020">
          <v:rect id="_x0000_i1098" style="width:0;height:1.5pt" o:hralign="center" o:hrstd="t" o:hr="t" fillcolor="#a0a0a0" stroked="f"/>
        </w:pict>
      </w:r>
    </w:p>
    <w:p w14:paraId="60E14794"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3D83DC6C" w14:textId="77777777" w:rsidR="00000000" w:rsidRDefault="00832D71">
      <w:pPr>
        <w:pStyle w:val="a3"/>
        <w:spacing w:before="0" w:beforeAutospacing="0" w:after="0" w:afterAutospacing="0"/>
        <w:jc w:val="both"/>
        <w:rPr>
          <w:sz w:val="20"/>
          <w:szCs w:val="20"/>
        </w:rPr>
      </w:pPr>
      <w:r>
        <w:rPr>
          <w:sz w:val="20"/>
          <w:szCs w:val="20"/>
        </w:rPr>
        <w:t>Partnership. Amounts deferred by our named executive officers under the 401(k) Plan during fiscal 2022, fiscal 2021 and fiscal 2020 are included in the column titled “Salary” in the Summary Comp</w:t>
      </w:r>
      <w:r>
        <w:rPr>
          <w:sz w:val="20"/>
          <w:szCs w:val="20"/>
        </w:rPr>
        <w:t>ensation Table below</w:t>
      </w:r>
      <w:r>
        <w:rPr>
          <w:sz w:val="20"/>
          <w:szCs w:val="20"/>
        </w:rPr>
        <w:t>.</w:t>
      </w:r>
    </w:p>
    <w:p w14:paraId="06ABE50B" w14:textId="77777777" w:rsidR="00000000" w:rsidRDefault="00832D71">
      <w:pPr>
        <w:pStyle w:val="a3"/>
        <w:spacing w:before="240" w:beforeAutospacing="0" w:after="0" w:afterAutospacing="0"/>
        <w:ind w:firstLine="555"/>
        <w:jc w:val="both"/>
        <w:rPr>
          <w:sz w:val="20"/>
          <w:szCs w:val="20"/>
        </w:rPr>
      </w:pPr>
      <w:r>
        <w:rPr>
          <w:sz w:val="20"/>
          <w:szCs w:val="20"/>
        </w:rPr>
        <w:t>Our 401(k) Plan provides a match of $0.50 for every dollar contributed up to 6% of each participant’s total base pay, up to a maximum compensation limit of $305,000 for calendar year 2022, $290,000 for calendar year 2021, and $285,000</w:t>
      </w:r>
      <w:r>
        <w:rPr>
          <w:sz w:val="20"/>
          <w:szCs w:val="20"/>
        </w:rPr>
        <w:t xml:space="preserve"> for calendar year 2020. If, however, Actual Adjusted EBITDA is 115% or more than Budgeted EBITDA, each participant will receive a match of $1 for every dollar contributed up to 6% of each participant’s total base pay, up to the applicable maximum compensa</w:t>
      </w:r>
      <w:r>
        <w:rPr>
          <w:sz w:val="20"/>
          <w:szCs w:val="20"/>
        </w:rPr>
        <w:t>tion limits. For fiscal 2022, fiscal 2021 and fiscal 2020, the performance conditions that provide for more than the $0.50 match were not met</w:t>
      </w:r>
      <w:r>
        <w:rPr>
          <w:sz w:val="20"/>
          <w:szCs w:val="20"/>
        </w:rPr>
        <w:t>.</w:t>
      </w:r>
    </w:p>
    <w:p w14:paraId="0B7E8741" w14:textId="77777777" w:rsidR="00000000" w:rsidRDefault="00832D71">
      <w:pPr>
        <w:pStyle w:val="a3"/>
        <w:spacing w:before="240" w:beforeAutospacing="0" w:after="0" w:afterAutospacing="0"/>
        <w:ind w:firstLine="555"/>
        <w:jc w:val="both"/>
        <w:rPr>
          <w:sz w:val="20"/>
          <w:szCs w:val="20"/>
        </w:rPr>
      </w:pPr>
      <w:r>
        <w:rPr>
          <w:sz w:val="20"/>
          <w:szCs w:val="20"/>
        </w:rPr>
        <w:t>The matching contributions made on behalf of our named executive officers for fiscal 2022, fiscal 2021 and fiscal</w:t>
      </w:r>
      <w:r>
        <w:rPr>
          <w:sz w:val="20"/>
          <w:szCs w:val="20"/>
        </w:rPr>
        <w:t xml:space="preserve"> 2020 are reported in the column titled “All Other Compensation” in the Summary Compensation Table below</w:t>
      </w:r>
      <w:r>
        <w:rPr>
          <w:sz w:val="20"/>
          <w:szCs w:val="20"/>
        </w:rPr>
        <w:t>.</w:t>
      </w:r>
    </w:p>
    <w:p w14:paraId="10177B31" w14:textId="77777777" w:rsidR="00000000" w:rsidRDefault="00832D71">
      <w:pPr>
        <w:pStyle w:val="a3"/>
        <w:spacing w:before="360" w:beforeAutospacing="0" w:after="0" w:afterAutospacing="0"/>
        <w:jc w:val="both"/>
        <w:rPr>
          <w:sz w:val="20"/>
          <w:szCs w:val="20"/>
        </w:rPr>
      </w:pPr>
      <w:r>
        <w:rPr>
          <w:i/>
          <w:iCs/>
          <w:sz w:val="20"/>
          <w:szCs w:val="20"/>
        </w:rPr>
        <w:t>Other Benefit</w:t>
      </w:r>
      <w:r>
        <w:rPr>
          <w:i/>
          <w:iCs/>
          <w:sz w:val="20"/>
          <w:szCs w:val="20"/>
        </w:rPr>
        <w:t>s</w:t>
      </w:r>
    </w:p>
    <w:p w14:paraId="6FDDD194" w14:textId="77777777" w:rsidR="00000000" w:rsidRDefault="00832D71">
      <w:pPr>
        <w:pStyle w:val="a3"/>
        <w:spacing w:before="120" w:beforeAutospacing="0" w:after="0" w:afterAutospacing="0"/>
        <w:ind w:firstLine="555"/>
        <w:jc w:val="both"/>
        <w:rPr>
          <w:sz w:val="20"/>
          <w:szCs w:val="20"/>
        </w:rPr>
      </w:pPr>
      <w:r>
        <w:rPr>
          <w:sz w:val="20"/>
          <w:szCs w:val="20"/>
        </w:rPr>
        <w:t xml:space="preserve">Each named executive officer is eligible to participate in all of our other employee benefit plans, such as the medical, dental, group </w:t>
      </w:r>
      <w:r>
        <w:rPr>
          <w:sz w:val="20"/>
          <w:szCs w:val="20"/>
        </w:rPr>
        <w:t>life insurance and disability plans, on the same basis as other exempt employees. These benefit plans are offered to attract and retain talented employees by providing them with competitive benefits</w:t>
      </w:r>
      <w:r>
        <w:rPr>
          <w:sz w:val="20"/>
          <w:szCs w:val="20"/>
        </w:rPr>
        <w:t>.</w:t>
      </w:r>
    </w:p>
    <w:p w14:paraId="2BBDFF3F" w14:textId="77777777" w:rsidR="00000000" w:rsidRDefault="00832D71">
      <w:pPr>
        <w:pStyle w:val="a3"/>
        <w:spacing w:before="240" w:beforeAutospacing="0" w:after="0" w:afterAutospacing="0"/>
        <w:ind w:firstLine="555"/>
        <w:jc w:val="both"/>
        <w:rPr>
          <w:sz w:val="20"/>
          <w:szCs w:val="20"/>
        </w:rPr>
      </w:pPr>
      <w:r>
        <w:rPr>
          <w:sz w:val="20"/>
          <w:szCs w:val="20"/>
        </w:rPr>
        <w:t>There are no post-termination or other special rights pr</w:t>
      </w:r>
      <w:r>
        <w:rPr>
          <w:sz w:val="20"/>
          <w:szCs w:val="20"/>
        </w:rPr>
        <w:t xml:space="preserve">ovided to any named executive officer to participate in these benefit programs other than the right to participate in such plans for a fixed period of time following termination of employment, on the same basis as is provided to other exempt employees, as </w:t>
      </w:r>
      <w:r>
        <w:rPr>
          <w:sz w:val="20"/>
          <w:szCs w:val="20"/>
        </w:rPr>
        <w:t>required by law. Because these plans are offered on the same basis as is provided to other employees, we have not reported the costs of these benefits incurred on behalf of our named executive officers in the Summary Compensation Table below</w:t>
      </w:r>
      <w:r>
        <w:rPr>
          <w:sz w:val="20"/>
          <w:szCs w:val="20"/>
        </w:rPr>
        <w:t>.</w:t>
      </w:r>
    </w:p>
    <w:p w14:paraId="32F5DDB1" w14:textId="77777777" w:rsidR="00000000" w:rsidRDefault="00832D71">
      <w:pPr>
        <w:pStyle w:val="a3"/>
        <w:spacing w:before="360" w:beforeAutospacing="0" w:after="0" w:afterAutospacing="0"/>
        <w:jc w:val="both"/>
        <w:rPr>
          <w:sz w:val="20"/>
          <w:szCs w:val="20"/>
        </w:rPr>
      </w:pPr>
      <w:r>
        <w:rPr>
          <w:i/>
          <w:iCs/>
          <w:sz w:val="20"/>
          <w:szCs w:val="20"/>
        </w:rPr>
        <w:t>Perquisite</w:t>
      </w:r>
      <w:r>
        <w:rPr>
          <w:i/>
          <w:iCs/>
          <w:sz w:val="20"/>
          <w:szCs w:val="20"/>
        </w:rPr>
        <w:t>s</w:t>
      </w:r>
    </w:p>
    <w:p w14:paraId="1D46A5EC" w14:textId="77777777" w:rsidR="00000000" w:rsidRDefault="00832D71">
      <w:pPr>
        <w:pStyle w:val="a3"/>
        <w:spacing w:before="120" w:beforeAutospacing="0" w:after="0" w:afterAutospacing="0"/>
        <w:ind w:firstLine="555"/>
        <w:jc w:val="both"/>
        <w:rPr>
          <w:sz w:val="20"/>
          <w:szCs w:val="20"/>
        </w:rPr>
      </w:pPr>
      <w:r>
        <w:rPr>
          <w:sz w:val="20"/>
          <w:szCs w:val="20"/>
        </w:rPr>
        <w:t>P</w:t>
      </w:r>
      <w:r>
        <w:rPr>
          <w:sz w:val="20"/>
          <w:szCs w:val="20"/>
        </w:rPr>
        <w:t>erquisites represent a minor component of our executive officers’ compensation. Each of our named executive officers is eligible for tax preparation services, a company-provided vehicle, and an annual physical</w:t>
      </w:r>
      <w:r>
        <w:rPr>
          <w:sz w:val="20"/>
          <w:szCs w:val="20"/>
        </w:rPr>
        <w:t>.</w:t>
      </w:r>
      <w:r>
        <w:rPr>
          <w:sz w:val="20"/>
          <w:szCs w:val="20"/>
        </w:rPr>
        <w:t xml:space="preserve"> </w:t>
      </w:r>
    </w:p>
    <w:p w14:paraId="3A580150" w14:textId="77777777" w:rsidR="00000000" w:rsidRDefault="00832D71">
      <w:pPr>
        <w:pStyle w:val="a3"/>
        <w:spacing w:before="240" w:beforeAutospacing="0" w:after="0" w:afterAutospacing="0"/>
        <w:ind w:firstLine="555"/>
        <w:jc w:val="both"/>
        <w:rPr>
          <w:sz w:val="20"/>
          <w:szCs w:val="20"/>
        </w:rPr>
      </w:pPr>
      <w:r>
        <w:rPr>
          <w:sz w:val="20"/>
          <w:szCs w:val="20"/>
        </w:rPr>
        <w:t>The following table summarizes both the value and the utilization of these perquisites by our named executive officers in fiscal 2022</w:t>
      </w:r>
      <w:r>
        <w:rPr>
          <w:sz w:val="20"/>
          <w:szCs w:val="20"/>
        </w:rPr>
        <w:t>.</w:t>
      </w:r>
    </w:p>
    <w:p w14:paraId="5D3724D7" w14:textId="77777777" w:rsidR="00000000" w:rsidRDefault="00832D71">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515"/>
        <w:gridCol w:w="110"/>
        <w:gridCol w:w="161"/>
        <w:gridCol w:w="1075"/>
        <w:gridCol w:w="110"/>
        <w:gridCol w:w="110"/>
        <w:gridCol w:w="160"/>
        <w:gridCol w:w="983"/>
        <w:gridCol w:w="110"/>
        <w:gridCol w:w="110"/>
        <w:gridCol w:w="160"/>
        <w:gridCol w:w="916"/>
        <w:gridCol w:w="125"/>
      </w:tblGrid>
      <w:tr w:rsidR="00000000" w14:paraId="0D0A9972" w14:textId="77777777">
        <w:trPr>
          <w:tblCellSpacing w:w="15" w:type="dxa"/>
        </w:trPr>
        <w:tc>
          <w:tcPr>
            <w:tcW w:w="2012" w:type="pct"/>
            <w:vAlign w:val="center"/>
            <w:hideMark/>
          </w:tcPr>
          <w:p w14:paraId="278D3096" w14:textId="77777777" w:rsidR="00000000" w:rsidRDefault="00832D71">
            <w:pPr>
              <w:rPr>
                <w:sz w:val="20"/>
                <w:szCs w:val="20"/>
              </w:rPr>
            </w:pPr>
          </w:p>
        </w:tc>
        <w:tc>
          <w:tcPr>
            <w:tcW w:w="67" w:type="pct"/>
            <w:vAlign w:val="center"/>
            <w:hideMark/>
          </w:tcPr>
          <w:p w14:paraId="6E8DB438" w14:textId="77777777" w:rsidR="00000000" w:rsidRDefault="00832D71">
            <w:pPr>
              <w:rPr>
                <w:rFonts w:eastAsia="Times New Roman"/>
                <w:sz w:val="20"/>
                <w:szCs w:val="20"/>
              </w:rPr>
            </w:pPr>
          </w:p>
        </w:tc>
        <w:tc>
          <w:tcPr>
            <w:tcW w:w="50" w:type="pct"/>
            <w:vAlign w:val="center"/>
            <w:hideMark/>
          </w:tcPr>
          <w:p w14:paraId="4D47BE5B" w14:textId="77777777" w:rsidR="00000000" w:rsidRDefault="00832D71">
            <w:pPr>
              <w:rPr>
                <w:rFonts w:eastAsia="Times New Roman"/>
                <w:sz w:val="20"/>
                <w:szCs w:val="20"/>
              </w:rPr>
            </w:pPr>
          </w:p>
        </w:tc>
        <w:tc>
          <w:tcPr>
            <w:tcW w:w="895" w:type="pct"/>
            <w:vAlign w:val="center"/>
            <w:hideMark/>
          </w:tcPr>
          <w:p w14:paraId="545E8632" w14:textId="77777777" w:rsidR="00000000" w:rsidRDefault="00832D71">
            <w:pPr>
              <w:rPr>
                <w:rFonts w:eastAsia="Times New Roman"/>
                <w:sz w:val="20"/>
                <w:szCs w:val="20"/>
              </w:rPr>
            </w:pPr>
          </w:p>
        </w:tc>
        <w:tc>
          <w:tcPr>
            <w:tcW w:w="50" w:type="pct"/>
            <w:vAlign w:val="center"/>
            <w:hideMark/>
          </w:tcPr>
          <w:p w14:paraId="494EFD89" w14:textId="77777777" w:rsidR="00000000" w:rsidRDefault="00832D71">
            <w:pPr>
              <w:rPr>
                <w:rFonts w:eastAsia="Times New Roman"/>
                <w:sz w:val="20"/>
                <w:szCs w:val="20"/>
              </w:rPr>
            </w:pPr>
          </w:p>
        </w:tc>
        <w:tc>
          <w:tcPr>
            <w:tcW w:w="68" w:type="pct"/>
            <w:vAlign w:val="center"/>
            <w:hideMark/>
          </w:tcPr>
          <w:p w14:paraId="766154A5" w14:textId="77777777" w:rsidR="00000000" w:rsidRDefault="00832D71">
            <w:pPr>
              <w:rPr>
                <w:rFonts w:eastAsia="Times New Roman"/>
                <w:sz w:val="20"/>
                <w:szCs w:val="20"/>
              </w:rPr>
            </w:pPr>
          </w:p>
        </w:tc>
        <w:tc>
          <w:tcPr>
            <w:tcW w:w="50" w:type="pct"/>
            <w:vAlign w:val="center"/>
            <w:hideMark/>
          </w:tcPr>
          <w:p w14:paraId="0EF94304" w14:textId="77777777" w:rsidR="00000000" w:rsidRDefault="00832D71">
            <w:pPr>
              <w:rPr>
                <w:rFonts w:eastAsia="Times New Roman"/>
                <w:sz w:val="20"/>
                <w:szCs w:val="20"/>
              </w:rPr>
            </w:pPr>
          </w:p>
        </w:tc>
        <w:tc>
          <w:tcPr>
            <w:tcW w:w="820" w:type="pct"/>
            <w:vAlign w:val="center"/>
            <w:hideMark/>
          </w:tcPr>
          <w:p w14:paraId="0B8CBAB6" w14:textId="77777777" w:rsidR="00000000" w:rsidRDefault="00832D71">
            <w:pPr>
              <w:rPr>
                <w:rFonts w:eastAsia="Times New Roman"/>
                <w:sz w:val="20"/>
                <w:szCs w:val="20"/>
              </w:rPr>
            </w:pPr>
          </w:p>
        </w:tc>
        <w:tc>
          <w:tcPr>
            <w:tcW w:w="50" w:type="pct"/>
            <w:vAlign w:val="center"/>
            <w:hideMark/>
          </w:tcPr>
          <w:p w14:paraId="30E38BD2" w14:textId="77777777" w:rsidR="00000000" w:rsidRDefault="00832D71">
            <w:pPr>
              <w:rPr>
                <w:rFonts w:eastAsia="Times New Roman"/>
                <w:sz w:val="20"/>
                <w:szCs w:val="20"/>
              </w:rPr>
            </w:pPr>
          </w:p>
        </w:tc>
        <w:tc>
          <w:tcPr>
            <w:tcW w:w="68" w:type="pct"/>
            <w:vAlign w:val="center"/>
            <w:hideMark/>
          </w:tcPr>
          <w:p w14:paraId="2477B781" w14:textId="77777777" w:rsidR="00000000" w:rsidRDefault="00832D71">
            <w:pPr>
              <w:rPr>
                <w:rFonts w:eastAsia="Times New Roman"/>
                <w:sz w:val="20"/>
                <w:szCs w:val="20"/>
              </w:rPr>
            </w:pPr>
          </w:p>
        </w:tc>
        <w:tc>
          <w:tcPr>
            <w:tcW w:w="50" w:type="pct"/>
            <w:vAlign w:val="center"/>
            <w:hideMark/>
          </w:tcPr>
          <w:p w14:paraId="1FC79CE4" w14:textId="77777777" w:rsidR="00000000" w:rsidRDefault="00832D71">
            <w:pPr>
              <w:rPr>
                <w:rFonts w:eastAsia="Times New Roman"/>
                <w:sz w:val="20"/>
                <w:szCs w:val="20"/>
              </w:rPr>
            </w:pPr>
          </w:p>
        </w:tc>
        <w:tc>
          <w:tcPr>
            <w:tcW w:w="766" w:type="pct"/>
            <w:vAlign w:val="center"/>
            <w:hideMark/>
          </w:tcPr>
          <w:p w14:paraId="47DAA62D" w14:textId="77777777" w:rsidR="00000000" w:rsidRDefault="00832D71">
            <w:pPr>
              <w:rPr>
                <w:rFonts w:eastAsia="Times New Roman"/>
                <w:sz w:val="20"/>
                <w:szCs w:val="20"/>
              </w:rPr>
            </w:pPr>
          </w:p>
        </w:tc>
        <w:tc>
          <w:tcPr>
            <w:tcW w:w="50" w:type="pct"/>
            <w:vAlign w:val="center"/>
            <w:hideMark/>
          </w:tcPr>
          <w:p w14:paraId="2A25F3E6" w14:textId="77777777" w:rsidR="00000000" w:rsidRDefault="00832D71">
            <w:pPr>
              <w:rPr>
                <w:rFonts w:eastAsia="Times New Roman"/>
                <w:sz w:val="20"/>
                <w:szCs w:val="20"/>
              </w:rPr>
            </w:pPr>
          </w:p>
        </w:tc>
      </w:tr>
      <w:tr w:rsidR="00000000" w14:paraId="50BC9BCC" w14:textId="77777777">
        <w:trPr>
          <w:trHeight w:val="160"/>
          <w:tblCellSpacing w:w="15" w:type="dxa"/>
        </w:trPr>
        <w:tc>
          <w:tcPr>
            <w:tcW w:w="0" w:type="auto"/>
            <w:vAlign w:val="bottom"/>
            <w:hideMark/>
          </w:tcPr>
          <w:p w14:paraId="6AAD6A8D"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19DD8FA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3DC8069" w14:textId="77777777" w:rsidR="00000000" w:rsidRDefault="00832D71">
            <w:pPr>
              <w:pStyle w:val="a3"/>
              <w:spacing w:before="0" w:beforeAutospacing="0" w:after="0" w:afterAutospacing="0"/>
              <w:jc w:val="center"/>
              <w:rPr>
                <w:sz w:val="16"/>
                <w:szCs w:val="16"/>
              </w:rPr>
            </w:pPr>
            <w:r>
              <w:rPr>
                <w:b/>
                <w:bCs/>
                <w:sz w:val="16"/>
                <w:szCs w:val="16"/>
              </w:rPr>
              <w:t>Tax</w:t>
            </w:r>
            <w:r>
              <w:rPr>
                <w:b/>
                <w:bCs/>
                <w:sz w:val="16"/>
                <w:szCs w:val="16"/>
              </w:rPr>
              <w:br/>
              <w:t>Preparation</w:t>
            </w:r>
            <w:r>
              <w:rPr>
                <w:b/>
                <w:bCs/>
                <w:sz w:val="16"/>
                <w:szCs w:val="16"/>
              </w:rPr>
              <w:br/>
              <w:t>Service</w:t>
            </w:r>
            <w:r>
              <w:rPr>
                <w:b/>
                <w:bCs/>
                <w:sz w:val="16"/>
                <w:szCs w:val="16"/>
              </w:rPr>
              <w:t>s</w:t>
            </w:r>
          </w:p>
        </w:tc>
        <w:tc>
          <w:tcPr>
            <w:tcW w:w="0" w:type="auto"/>
            <w:vAlign w:val="bottom"/>
            <w:hideMark/>
          </w:tcPr>
          <w:p w14:paraId="1D372353"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752DF3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1497C45" w14:textId="77777777" w:rsidR="00000000" w:rsidRDefault="00832D71">
            <w:pPr>
              <w:pStyle w:val="a3"/>
              <w:spacing w:before="0" w:beforeAutospacing="0" w:after="0" w:afterAutospacing="0"/>
              <w:jc w:val="center"/>
              <w:rPr>
                <w:sz w:val="16"/>
                <w:szCs w:val="16"/>
              </w:rPr>
            </w:pPr>
            <w:r>
              <w:rPr>
                <w:b/>
                <w:bCs/>
                <w:sz w:val="16"/>
                <w:szCs w:val="16"/>
              </w:rPr>
              <w:t>Employer</w:t>
            </w:r>
            <w:r>
              <w:rPr>
                <w:b/>
                <w:bCs/>
                <w:sz w:val="16"/>
                <w:szCs w:val="16"/>
              </w:rPr>
              <w:br/>
              <w:t>Provided</w:t>
            </w:r>
            <w:r>
              <w:rPr>
                <w:b/>
                <w:bCs/>
                <w:sz w:val="16"/>
                <w:szCs w:val="16"/>
              </w:rPr>
              <w:br/>
              <w:t>Vehicl</w:t>
            </w:r>
            <w:r>
              <w:rPr>
                <w:b/>
                <w:bCs/>
                <w:sz w:val="16"/>
                <w:szCs w:val="16"/>
              </w:rPr>
              <w:t>e</w:t>
            </w:r>
          </w:p>
        </w:tc>
        <w:tc>
          <w:tcPr>
            <w:tcW w:w="0" w:type="auto"/>
            <w:vAlign w:val="bottom"/>
            <w:hideMark/>
          </w:tcPr>
          <w:p w14:paraId="2B314D9E"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D7B654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1E8A464" w14:textId="77777777" w:rsidR="00000000" w:rsidRDefault="00832D71">
            <w:pPr>
              <w:pStyle w:val="a3"/>
              <w:spacing w:before="0" w:beforeAutospacing="0" w:after="0" w:afterAutospacing="0"/>
              <w:jc w:val="center"/>
              <w:rPr>
                <w:sz w:val="16"/>
                <w:szCs w:val="16"/>
              </w:rPr>
            </w:pPr>
            <w:r>
              <w:rPr>
                <w:b/>
                <w:bCs/>
                <w:sz w:val="16"/>
                <w:szCs w:val="16"/>
              </w:rPr>
              <w:t>Physica</w:t>
            </w:r>
            <w:r>
              <w:rPr>
                <w:b/>
                <w:bCs/>
                <w:sz w:val="16"/>
                <w:szCs w:val="16"/>
              </w:rPr>
              <w:t>l</w:t>
            </w:r>
          </w:p>
        </w:tc>
        <w:tc>
          <w:tcPr>
            <w:tcW w:w="0" w:type="auto"/>
            <w:vAlign w:val="bottom"/>
            <w:hideMark/>
          </w:tcPr>
          <w:p w14:paraId="74F75D20"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8CC0412" w14:textId="77777777">
        <w:trPr>
          <w:trHeight w:val="200"/>
          <w:tblCellSpacing w:w="15" w:type="dxa"/>
        </w:trPr>
        <w:tc>
          <w:tcPr>
            <w:tcW w:w="0" w:type="auto"/>
            <w:hideMark/>
          </w:tcPr>
          <w:p w14:paraId="6EB1AEA8" w14:textId="77777777" w:rsidR="00000000" w:rsidRDefault="00832D71">
            <w:pPr>
              <w:pStyle w:val="a3"/>
              <w:spacing w:before="0" w:beforeAutospacing="0" w:after="0" w:afterAutospacing="0"/>
              <w:rPr>
                <w:sz w:val="20"/>
                <w:szCs w:val="20"/>
              </w:rPr>
            </w:pPr>
            <w:r>
              <w:rPr>
                <w:sz w:val="20"/>
                <w:szCs w:val="20"/>
              </w:rPr>
              <w:t>Michael A. Stival</w:t>
            </w:r>
            <w:r>
              <w:rPr>
                <w:sz w:val="20"/>
                <w:szCs w:val="20"/>
              </w:rPr>
              <w:t>a</w:t>
            </w:r>
          </w:p>
        </w:tc>
        <w:tc>
          <w:tcPr>
            <w:tcW w:w="0" w:type="auto"/>
            <w:hideMark/>
          </w:tcPr>
          <w:p w14:paraId="3186632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B96E6C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71F18D6"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3F088F5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6703FB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B494F6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6773EC4" w14:textId="77777777" w:rsidR="00000000" w:rsidRDefault="00832D71">
            <w:pPr>
              <w:pStyle w:val="a3"/>
              <w:spacing w:before="0" w:beforeAutospacing="0" w:after="0" w:afterAutospacing="0"/>
              <w:jc w:val="right"/>
              <w:rPr>
                <w:sz w:val="20"/>
                <w:szCs w:val="20"/>
              </w:rPr>
            </w:pPr>
            <w:r>
              <w:rPr>
                <w:sz w:val="20"/>
                <w:szCs w:val="20"/>
              </w:rPr>
              <w:t>18,26</w:t>
            </w:r>
            <w:r>
              <w:rPr>
                <w:sz w:val="20"/>
                <w:szCs w:val="20"/>
              </w:rPr>
              <w:t>3</w:t>
            </w:r>
          </w:p>
        </w:tc>
        <w:tc>
          <w:tcPr>
            <w:tcW w:w="0" w:type="auto"/>
            <w:noWrap/>
            <w:vAlign w:val="bottom"/>
            <w:hideMark/>
          </w:tcPr>
          <w:p w14:paraId="47AFA8B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8E8413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11A681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D183264" w14:textId="77777777" w:rsidR="00000000" w:rsidRDefault="00832D71">
            <w:pPr>
              <w:pStyle w:val="a3"/>
              <w:spacing w:before="0" w:beforeAutospacing="0" w:after="0" w:afterAutospacing="0"/>
              <w:jc w:val="right"/>
              <w:rPr>
                <w:sz w:val="20"/>
                <w:szCs w:val="20"/>
              </w:rPr>
            </w:pPr>
            <w:r>
              <w:rPr>
                <w:sz w:val="20"/>
                <w:szCs w:val="20"/>
              </w:rPr>
              <w:t>3,15</w:t>
            </w:r>
            <w:r>
              <w:rPr>
                <w:sz w:val="20"/>
                <w:szCs w:val="20"/>
              </w:rPr>
              <w:t>0</w:t>
            </w:r>
          </w:p>
        </w:tc>
        <w:tc>
          <w:tcPr>
            <w:tcW w:w="0" w:type="auto"/>
            <w:noWrap/>
            <w:vAlign w:val="bottom"/>
            <w:hideMark/>
          </w:tcPr>
          <w:p w14:paraId="1451FFB8" w14:textId="77777777" w:rsidR="00000000" w:rsidRDefault="00832D71">
            <w:pPr>
              <w:pStyle w:val="a3"/>
              <w:spacing w:before="0" w:beforeAutospacing="0" w:after="0" w:afterAutospacing="0"/>
              <w:rPr>
                <w:sz w:val="20"/>
                <w:szCs w:val="20"/>
              </w:rPr>
            </w:pPr>
            <w:r>
              <w:rPr>
                <w:sz w:val="20"/>
                <w:szCs w:val="20"/>
              </w:rPr>
              <w:t> </w:t>
            </w:r>
          </w:p>
        </w:tc>
      </w:tr>
      <w:tr w:rsidR="00000000" w14:paraId="75A2A8B4" w14:textId="77777777">
        <w:trPr>
          <w:trHeight w:val="200"/>
          <w:tblCellSpacing w:w="15" w:type="dxa"/>
        </w:trPr>
        <w:tc>
          <w:tcPr>
            <w:tcW w:w="0" w:type="auto"/>
            <w:hideMark/>
          </w:tcPr>
          <w:p w14:paraId="35C4F24B" w14:textId="77777777" w:rsidR="00000000" w:rsidRDefault="00832D71">
            <w:pPr>
              <w:pStyle w:val="a3"/>
              <w:spacing w:before="0" w:beforeAutospacing="0" w:after="0" w:afterAutospacing="0"/>
              <w:rPr>
                <w:sz w:val="20"/>
                <w:szCs w:val="20"/>
              </w:rPr>
            </w:pPr>
            <w:r>
              <w:rPr>
                <w:sz w:val="20"/>
                <w:szCs w:val="20"/>
              </w:rPr>
              <w:t>Michael A. Kugli</w:t>
            </w:r>
            <w:r>
              <w:rPr>
                <w:sz w:val="20"/>
                <w:szCs w:val="20"/>
              </w:rPr>
              <w:t>n</w:t>
            </w:r>
          </w:p>
        </w:tc>
        <w:tc>
          <w:tcPr>
            <w:tcW w:w="0" w:type="auto"/>
            <w:hideMark/>
          </w:tcPr>
          <w:p w14:paraId="5F8FF33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072B29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B3A1F60"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3FD27B8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8D9686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786C4A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83426D2" w14:textId="77777777" w:rsidR="00000000" w:rsidRDefault="00832D71">
            <w:pPr>
              <w:pStyle w:val="a3"/>
              <w:spacing w:before="0" w:beforeAutospacing="0" w:after="0" w:afterAutospacing="0"/>
              <w:jc w:val="right"/>
              <w:rPr>
                <w:sz w:val="20"/>
                <w:szCs w:val="20"/>
              </w:rPr>
            </w:pPr>
            <w:r>
              <w:rPr>
                <w:sz w:val="20"/>
                <w:szCs w:val="20"/>
              </w:rPr>
              <w:t>20,93</w:t>
            </w:r>
            <w:r>
              <w:rPr>
                <w:sz w:val="20"/>
                <w:szCs w:val="20"/>
              </w:rPr>
              <w:t>2</w:t>
            </w:r>
          </w:p>
        </w:tc>
        <w:tc>
          <w:tcPr>
            <w:tcW w:w="0" w:type="auto"/>
            <w:noWrap/>
            <w:vAlign w:val="bottom"/>
            <w:hideMark/>
          </w:tcPr>
          <w:p w14:paraId="73C2176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809F2A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0AF289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AB60C8A" w14:textId="77777777" w:rsidR="00000000" w:rsidRDefault="00832D71">
            <w:pPr>
              <w:pStyle w:val="a3"/>
              <w:spacing w:before="0" w:beforeAutospacing="0" w:after="0" w:afterAutospacing="0"/>
              <w:jc w:val="right"/>
              <w:rPr>
                <w:sz w:val="20"/>
                <w:szCs w:val="20"/>
              </w:rPr>
            </w:pPr>
            <w:r>
              <w:rPr>
                <w:sz w:val="20"/>
                <w:szCs w:val="20"/>
              </w:rPr>
              <w:t>3,15</w:t>
            </w:r>
            <w:r>
              <w:rPr>
                <w:sz w:val="20"/>
                <w:szCs w:val="20"/>
              </w:rPr>
              <w:t>0</w:t>
            </w:r>
          </w:p>
        </w:tc>
        <w:tc>
          <w:tcPr>
            <w:tcW w:w="0" w:type="auto"/>
            <w:noWrap/>
            <w:vAlign w:val="bottom"/>
            <w:hideMark/>
          </w:tcPr>
          <w:p w14:paraId="450BED7D" w14:textId="77777777" w:rsidR="00000000" w:rsidRDefault="00832D71">
            <w:pPr>
              <w:pStyle w:val="a3"/>
              <w:spacing w:before="0" w:beforeAutospacing="0" w:after="0" w:afterAutospacing="0"/>
              <w:rPr>
                <w:sz w:val="20"/>
                <w:szCs w:val="20"/>
              </w:rPr>
            </w:pPr>
            <w:r>
              <w:rPr>
                <w:sz w:val="20"/>
                <w:szCs w:val="20"/>
              </w:rPr>
              <w:t> </w:t>
            </w:r>
          </w:p>
        </w:tc>
      </w:tr>
      <w:tr w:rsidR="00000000" w14:paraId="330C5BE5" w14:textId="77777777">
        <w:trPr>
          <w:trHeight w:val="200"/>
          <w:tblCellSpacing w:w="15" w:type="dxa"/>
        </w:trPr>
        <w:tc>
          <w:tcPr>
            <w:tcW w:w="0" w:type="auto"/>
            <w:hideMark/>
          </w:tcPr>
          <w:p w14:paraId="7C2EE87D" w14:textId="77777777" w:rsidR="00000000" w:rsidRDefault="00832D71">
            <w:pPr>
              <w:pStyle w:val="a3"/>
              <w:spacing w:before="0" w:beforeAutospacing="0" w:after="0" w:afterAutospacing="0"/>
              <w:rPr>
                <w:sz w:val="20"/>
                <w:szCs w:val="20"/>
              </w:rPr>
            </w:pPr>
            <w:r>
              <w:rPr>
                <w:sz w:val="20"/>
                <w:szCs w:val="20"/>
              </w:rPr>
              <w:t>Steven C. Boy</w:t>
            </w:r>
            <w:r>
              <w:rPr>
                <w:sz w:val="20"/>
                <w:szCs w:val="20"/>
              </w:rPr>
              <w:t>d</w:t>
            </w:r>
          </w:p>
        </w:tc>
        <w:tc>
          <w:tcPr>
            <w:tcW w:w="0" w:type="auto"/>
            <w:hideMark/>
          </w:tcPr>
          <w:p w14:paraId="2E9A013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52D73E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BC4EF84" w14:textId="77777777" w:rsidR="00000000" w:rsidRDefault="00832D71">
            <w:pPr>
              <w:pStyle w:val="a3"/>
              <w:spacing w:before="0" w:beforeAutospacing="0" w:after="0" w:afterAutospacing="0"/>
              <w:jc w:val="right"/>
              <w:rPr>
                <w:sz w:val="20"/>
                <w:szCs w:val="20"/>
              </w:rPr>
            </w:pPr>
            <w:r>
              <w:rPr>
                <w:sz w:val="20"/>
                <w:szCs w:val="20"/>
              </w:rPr>
              <w:t>4,00</w:t>
            </w:r>
            <w:r>
              <w:rPr>
                <w:sz w:val="20"/>
                <w:szCs w:val="20"/>
              </w:rPr>
              <w:t>0</w:t>
            </w:r>
          </w:p>
        </w:tc>
        <w:tc>
          <w:tcPr>
            <w:tcW w:w="0" w:type="auto"/>
            <w:noWrap/>
            <w:vAlign w:val="bottom"/>
            <w:hideMark/>
          </w:tcPr>
          <w:p w14:paraId="6D25591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CD6D14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82713B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E2C308B" w14:textId="77777777" w:rsidR="00000000" w:rsidRDefault="00832D71">
            <w:pPr>
              <w:pStyle w:val="a3"/>
              <w:spacing w:before="0" w:beforeAutospacing="0" w:after="0" w:afterAutospacing="0"/>
              <w:jc w:val="right"/>
              <w:rPr>
                <w:sz w:val="20"/>
                <w:szCs w:val="20"/>
              </w:rPr>
            </w:pPr>
            <w:r>
              <w:rPr>
                <w:sz w:val="20"/>
                <w:szCs w:val="20"/>
              </w:rPr>
              <w:t>9,05</w:t>
            </w:r>
            <w:r>
              <w:rPr>
                <w:sz w:val="20"/>
                <w:szCs w:val="20"/>
              </w:rPr>
              <w:t>7</w:t>
            </w:r>
          </w:p>
        </w:tc>
        <w:tc>
          <w:tcPr>
            <w:tcW w:w="0" w:type="auto"/>
            <w:noWrap/>
            <w:vAlign w:val="bottom"/>
            <w:hideMark/>
          </w:tcPr>
          <w:p w14:paraId="404F0EE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3FB758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0D9A6E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8E57982"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26735EE6" w14:textId="77777777" w:rsidR="00000000" w:rsidRDefault="00832D71">
            <w:pPr>
              <w:pStyle w:val="a3"/>
              <w:spacing w:before="0" w:beforeAutospacing="0" w:after="0" w:afterAutospacing="0"/>
              <w:rPr>
                <w:sz w:val="20"/>
                <w:szCs w:val="20"/>
              </w:rPr>
            </w:pPr>
            <w:r>
              <w:rPr>
                <w:sz w:val="20"/>
                <w:szCs w:val="20"/>
              </w:rPr>
              <w:t> </w:t>
            </w:r>
          </w:p>
        </w:tc>
      </w:tr>
      <w:tr w:rsidR="00000000" w14:paraId="43D25DC5" w14:textId="77777777">
        <w:trPr>
          <w:trHeight w:val="200"/>
          <w:tblCellSpacing w:w="15" w:type="dxa"/>
        </w:trPr>
        <w:tc>
          <w:tcPr>
            <w:tcW w:w="0" w:type="auto"/>
            <w:hideMark/>
          </w:tcPr>
          <w:p w14:paraId="7C2E3ED3" w14:textId="77777777" w:rsidR="00000000" w:rsidRDefault="00832D71">
            <w:pPr>
              <w:pStyle w:val="a3"/>
              <w:spacing w:before="0" w:beforeAutospacing="0" w:after="0" w:afterAutospacing="0"/>
              <w:rPr>
                <w:sz w:val="20"/>
                <w:szCs w:val="20"/>
              </w:rPr>
            </w:pPr>
            <w:r>
              <w:rPr>
                <w:sz w:val="20"/>
                <w:szCs w:val="20"/>
              </w:rPr>
              <w:t>Douglas T. Brinkwort</w:t>
            </w:r>
            <w:r>
              <w:rPr>
                <w:sz w:val="20"/>
                <w:szCs w:val="20"/>
              </w:rPr>
              <w:t>h</w:t>
            </w:r>
          </w:p>
        </w:tc>
        <w:tc>
          <w:tcPr>
            <w:tcW w:w="0" w:type="auto"/>
            <w:hideMark/>
          </w:tcPr>
          <w:p w14:paraId="152D0E4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C8A7E4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81C6A79" w14:textId="77777777" w:rsidR="00000000" w:rsidRDefault="00832D71">
            <w:pPr>
              <w:pStyle w:val="a3"/>
              <w:spacing w:before="0" w:beforeAutospacing="0" w:after="0" w:afterAutospacing="0"/>
              <w:jc w:val="right"/>
              <w:rPr>
                <w:sz w:val="20"/>
                <w:szCs w:val="20"/>
              </w:rPr>
            </w:pPr>
            <w:r>
              <w:rPr>
                <w:sz w:val="20"/>
                <w:szCs w:val="20"/>
              </w:rPr>
              <w:t>3,20</w:t>
            </w:r>
            <w:r>
              <w:rPr>
                <w:sz w:val="20"/>
                <w:szCs w:val="20"/>
              </w:rPr>
              <w:t>0</w:t>
            </w:r>
          </w:p>
        </w:tc>
        <w:tc>
          <w:tcPr>
            <w:tcW w:w="0" w:type="auto"/>
            <w:noWrap/>
            <w:vAlign w:val="bottom"/>
            <w:hideMark/>
          </w:tcPr>
          <w:p w14:paraId="252D92C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064A89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0A3BF6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4F3C95B" w14:textId="77777777" w:rsidR="00000000" w:rsidRDefault="00832D71">
            <w:pPr>
              <w:pStyle w:val="a3"/>
              <w:spacing w:before="0" w:beforeAutospacing="0" w:after="0" w:afterAutospacing="0"/>
              <w:jc w:val="right"/>
              <w:rPr>
                <w:sz w:val="20"/>
                <w:szCs w:val="20"/>
              </w:rPr>
            </w:pPr>
            <w:r>
              <w:rPr>
                <w:sz w:val="20"/>
                <w:szCs w:val="20"/>
              </w:rPr>
              <w:t>18,00</w:t>
            </w:r>
            <w:r>
              <w:rPr>
                <w:sz w:val="20"/>
                <w:szCs w:val="20"/>
              </w:rPr>
              <w:t>2</w:t>
            </w:r>
          </w:p>
        </w:tc>
        <w:tc>
          <w:tcPr>
            <w:tcW w:w="0" w:type="auto"/>
            <w:noWrap/>
            <w:vAlign w:val="bottom"/>
            <w:hideMark/>
          </w:tcPr>
          <w:p w14:paraId="4780A59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D5C68B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D2B1C4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9E8FF81" w14:textId="77777777" w:rsidR="00000000" w:rsidRDefault="00832D71">
            <w:pPr>
              <w:pStyle w:val="a3"/>
              <w:spacing w:before="0" w:beforeAutospacing="0" w:after="0" w:afterAutospacing="0"/>
              <w:jc w:val="right"/>
              <w:rPr>
                <w:sz w:val="20"/>
                <w:szCs w:val="20"/>
              </w:rPr>
            </w:pPr>
            <w:r>
              <w:rPr>
                <w:sz w:val="20"/>
                <w:szCs w:val="20"/>
              </w:rPr>
              <w:t>3,55</w:t>
            </w:r>
            <w:r>
              <w:rPr>
                <w:sz w:val="20"/>
                <w:szCs w:val="20"/>
              </w:rPr>
              <w:t>0</w:t>
            </w:r>
          </w:p>
        </w:tc>
        <w:tc>
          <w:tcPr>
            <w:tcW w:w="0" w:type="auto"/>
            <w:noWrap/>
            <w:vAlign w:val="bottom"/>
            <w:hideMark/>
          </w:tcPr>
          <w:p w14:paraId="4A9EA951" w14:textId="77777777" w:rsidR="00000000" w:rsidRDefault="00832D71">
            <w:pPr>
              <w:pStyle w:val="a3"/>
              <w:spacing w:before="0" w:beforeAutospacing="0" w:after="0" w:afterAutospacing="0"/>
              <w:rPr>
                <w:sz w:val="20"/>
                <w:szCs w:val="20"/>
              </w:rPr>
            </w:pPr>
            <w:r>
              <w:rPr>
                <w:sz w:val="20"/>
                <w:szCs w:val="20"/>
              </w:rPr>
              <w:t> </w:t>
            </w:r>
          </w:p>
        </w:tc>
      </w:tr>
      <w:tr w:rsidR="00000000" w14:paraId="23F7C3DB" w14:textId="77777777">
        <w:trPr>
          <w:trHeight w:val="200"/>
          <w:tblCellSpacing w:w="15" w:type="dxa"/>
        </w:trPr>
        <w:tc>
          <w:tcPr>
            <w:tcW w:w="0" w:type="auto"/>
            <w:hideMark/>
          </w:tcPr>
          <w:p w14:paraId="78642422" w14:textId="77777777" w:rsidR="00000000" w:rsidRDefault="00832D71">
            <w:pPr>
              <w:pStyle w:val="a3"/>
              <w:spacing w:before="0" w:beforeAutospacing="0" w:after="0" w:afterAutospacing="0"/>
              <w:rPr>
                <w:sz w:val="20"/>
                <w:szCs w:val="20"/>
              </w:rPr>
            </w:pPr>
            <w:r>
              <w:rPr>
                <w:sz w:val="20"/>
                <w:szCs w:val="20"/>
              </w:rPr>
              <w:t>Neil E. Scanlo</w:t>
            </w:r>
            <w:r>
              <w:rPr>
                <w:sz w:val="20"/>
                <w:szCs w:val="20"/>
              </w:rPr>
              <w:t>n</w:t>
            </w:r>
          </w:p>
        </w:tc>
        <w:tc>
          <w:tcPr>
            <w:tcW w:w="0" w:type="auto"/>
            <w:hideMark/>
          </w:tcPr>
          <w:p w14:paraId="34CB16D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E377AD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17049F1" w14:textId="77777777" w:rsidR="00000000" w:rsidRDefault="00832D71">
            <w:pPr>
              <w:pStyle w:val="a3"/>
              <w:spacing w:before="0" w:beforeAutospacing="0" w:after="0" w:afterAutospacing="0"/>
              <w:jc w:val="right"/>
              <w:rPr>
                <w:sz w:val="20"/>
                <w:szCs w:val="20"/>
              </w:rPr>
            </w:pPr>
            <w:r>
              <w:rPr>
                <w:sz w:val="20"/>
                <w:szCs w:val="20"/>
              </w:rPr>
              <w:t>4,00</w:t>
            </w:r>
            <w:r>
              <w:rPr>
                <w:sz w:val="20"/>
                <w:szCs w:val="20"/>
              </w:rPr>
              <w:t>0</w:t>
            </w:r>
          </w:p>
        </w:tc>
        <w:tc>
          <w:tcPr>
            <w:tcW w:w="0" w:type="auto"/>
            <w:noWrap/>
            <w:vAlign w:val="bottom"/>
            <w:hideMark/>
          </w:tcPr>
          <w:p w14:paraId="2BD1997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2F927D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B7988F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088583B" w14:textId="77777777" w:rsidR="00000000" w:rsidRDefault="00832D71">
            <w:pPr>
              <w:pStyle w:val="a3"/>
              <w:spacing w:before="0" w:beforeAutospacing="0" w:after="0" w:afterAutospacing="0"/>
              <w:jc w:val="right"/>
              <w:rPr>
                <w:sz w:val="20"/>
                <w:szCs w:val="20"/>
              </w:rPr>
            </w:pPr>
            <w:r>
              <w:rPr>
                <w:sz w:val="20"/>
                <w:szCs w:val="20"/>
              </w:rPr>
              <w:t>18,82</w:t>
            </w:r>
            <w:r>
              <w:rPr>
                <w:sz w:val="20"/>
                <w:szCs w:val="20"/>
              </w:rPr>
              <w:t>2</w:t>
            </w:r>
          </w:p>
        </w:tc>
        <w:tc>
          <w:tcPr>
            <w:tcW w:w="0" w:type="auto"/>
            <w:noWrap/>
            <w:vAlign w:val="bottom"/>
            <w:hideMark/>
          </w:tcPr>
          <w:p w14:paraId="59AD838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09AF54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3C0A9F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14453DA"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55188BF" w14:textId="77777777" w:rsidR="00000000" w:rsidRDefault="00832D71">
            <w:pPr>
              <w:pStyle w:val="a3"/>
              <w:spacing w:before="0" w:beforeAutospacing="0" w:after="0" w:afterAutospacing="0"/>
              <w:rPr>
                <w:sz w:val="20"/>
                <w:szCs w:val="20"/>
              </w:rPr>
            </w:pPr>
            <w:r>
              <w:rPr>
                <w:sz w:val="20"/>
                <w:szCs w:val="20"/>
              </w:rPr>
              <w:t> </w:t>
            </w:r>
          </w:p>
        </w:tc>
      </w:tr>
    </w:tbl>
    <w:p w14:paraId="7321726F" w14:textId="77777777" w:rsidR="00000000" w:rsidRDefault="00832D71">
      <w:pPr>
        <w:pStyle w:val="a3"/>
        <w:spacing w:before="240" w:beforeAutospacing="0" w:after="0" w:afterAutospacing="0"/>
        <w:ind w:firstLine="555"/>
        <w:jc w:val="both"/>
        <w:rPr>
          <w:sz w:val="20"/>
          <w:szCs w:val="20"/>
        </w:rPr>
      </w:pPr>
      <w:r>
        <w:rPr>
          <w:sz w:val="20"/>
          <w:szCs w:val="20"/>
        </w:rPr>
        <w:t>Perquisite-related costs for fiscal 2022, fiscal 2021 and fiscal 2020 are reported in the column titled “All Other Compensation” in the Summary Compensation Table below</w:t>
      </w:r>
      <w:r>
        <w:rPr>
          <w:sz w:val="20"/>
          <w:szCs w:val="20"/>
        </w:rPr>
        <w:t>.</w:t>
      </w:r>
    </w:p>
    <w:p w14:paraId="65301045" w14:textId="77777777" w:rsidR="00000000" w:rsidRDefault="00832D71">
      <w:pPr>
        <w:pStyle w:val="a3"/>
        <w:spacing w:before="360" w:beforeAutospacing="0" w:after="0" w:afterAutospacing="0"/>
        <w:rPr>
          <w:sz w:val="20"/>
          <w:szCs w:val="20"/>
        </w:rPr>
      </w:pPr>
      <w:r>
        <w:rPr>
          <w:i/>
          <w:iCs/>
          <w:sz w:val="20"/>
          <w:szCs w:val="20"/>
        </w:rPr>
        <w:t>Severance Benefit</w:t>
      </w:r>
      <w:r>
        <w:rPr>
          <w:i/>
          <w:iCs/>
          <w:sz w:val="20"/>
          <w:szCs w:val="20"/>
        </w:rPr>
        <w:t>s</w:t>
      </w:r>
    </w:p>
    <w:p w14:paraId="7FED2252" w14:textId="77777777" w:rsidR="00000000" w:rsidRDefault="00832D71">
      <w:pPr>
        <w:pStyle w:val="a3"/>
        <w:spacing w:before="120" w:beforeAutospacing="0" w:after="0" w:afterAutospacing="0"/>
        <w:ind w:firstLine="555"/>
        <w:jc w:val="both"/>
        <w:rPr>
          <w:sz w:val="20"/>
          <w:szCs w:val="20"/>
        </w:rPr>
      </w:pPr>
      <w:r>
        <w:rPr>
          <w:sz w:val="20"/>
          <w:szCs w:val="20"/>
        </w:rPr>
        <w:t>We believe that, in most cases, employees should be paid reasonable severance benefits. Therefore, it is the general policy of the Partnership to provide named executive officers who are terminated by us without cause or who choose to terminate their emplo</w:t>
      </w:r>
      <w:r>
        <w:rPr>
          <w:sz w:val="20"/>
          <w:szCs w:val="20"/>
        </w:rPr>
        <w:t>yment with us for good reason with a severance payment equal to, at a minimum, one year’s base salary, unless circumstances dictate otherwise. This policy was adopted because it may be difficult for former named executive officers to find comparable employ</w:t>
      </w:r>
      <w:r>
        <w:rPr>
          <w:sz w:val="20"/>
          <w:szCs w:val="20"/>
        </w:rPr>
        <w:t>ment within a short period of time. However, depending upon individual facts and circumstances, particularly the severed employee’s tenure with us and the employee’s level, the Partnership may make exceptions to this general policy</w:t>
      </w:r>
      <w:r>
        <w:rPr>
          <w:sz w:val="20"/>
          <w:szCs w:val="20"/>
        </w:rPr>
        <w:t>.</w:t>
      </w:r>
      <w:r>
        <w:rPr>
          <w:sz w:val="20"/>
          <w:szCs w:val="20"/>
        </w:rPr>
        <w:t xml:space="preserve"> </w:t>
      </w:r>
    </w:p>
    <w:p w14:paraId="474A9C46" w14:textId="77777777" w:rsidR="00000000" w:rsidRDefault="00832D71">
      <w:pPr>
        <w:pStyle w:val="a3"/>
        <w:spacing w:before="360" w:beforeAutospacing="0" w:after="0" w:afterAutospacing="0"/>
        <w:rPr>
          <w:sz w:val="20"/>
          <w:szCs w:val="20"/>
        </w:rPr>
      </w:pPr>
      <w:r>
        <w:rPr>
          <w:i/>
          <w:iCs/>
          <w:sz w:val="20"/>
          <w:szCs w:val="20"/>
        </w:rPr>
        <w:t>Change of Contro</w:t>
      </w:r>
      <w:r>
        <w:rPr>
          <w:i/>
          <w:iCs/>
          <w:sz w:val="20"/>
          <w:szCs w:val="20"/>
        </w:rPr>
        <w:t>l</w:t>
      </w:r>
      <w:r>
        <w:rPr>
          <w:i/>
          <w:iCs/>
          <w:sz w:val="20"/>
          <w:szCs w:val="20"/>
        </w:rPr>
        <w:t xml:space="preserve"> </w:t>
      </w:r>
    </w:p>
    <w:p w14:paraId="145A0645" w14:textId="77777777" w:rsidR="00000000" w:rsidRDefault="00832D71">
      <w:pPr>
        <w:pStyle w:val="a3"/>
        <w:spacing w:before="120" w:beforeAutospacing="0" w:after="0" w:afterAutospacing="0"/>
        <w:ind w:firstLine="555"/>
        <w:jc w:val="both"/>
        <w:rPr>
          <w:sz w:val="20"/>
          <w:szCs w:val="20"/>
        </w:rPr>
      </w:pPr>
      <w:r>
        <w:rPr>
          <w:sz w:val="20"/>
          <w:szCs w:val="20"/>
        </w:rPr>
        <w:t>Our</w:t>
      </w:r>
      <w:r>
        <w:rPr>
          <w:sz w:val="20"/>
          <w:szCs w:val="20"/>
        </w:rPr>
        <w:t xml:space="preserve"> executive officers and other key employees have built the Partnership into the successful enterprise that it is today; therefore, we believe that it is important to protect them in the event of a change of control. Further, it is our belief that the inter</w:t>
      </w:r>
      <w:r>
        <w:rPr>
          <w:sz w:val="20"/>
          <w:szCs w:val="20"/>
        </w:rPr>
        <w:t>ests of our Unitholders will be best served if the interests of our executive officers are aligned with them, and that providing change of control benefits should eliminate, or at least reduce, the reluctance of our executive officers to pursue potential c</w:t>
      </w:r>
      <w:r>
        <w:rPr>
          <w:sz w:val="20"/>
          <w:szCs w:val="20"/>
        </w:rPr>
        <w:t>hange of control transaction</w:t>
      </w:r>
      <w:r>
        <w:rPr>
          <w:sz w:val="20"/>
          <w:szCs w:val="20"/>
        </w:rPr>
        <w:t>s</w:t>
      </w:r>
      <w:r>
        <w:rPr>
          <w:sz w:val="20"/>
          <w:szCs w:val="20"/>
        </w:rPr>
        <w:t xml:space="preserve"> </w:t>
      </w:r>
    </w:p>
    <w:p w14:paraId="5CAF3A90" w14:textId="77777777" w:rsidR="00000000" w:rsidRDefault="00832D71">
      <w:pPr>
        <w:pStyle w:val="a3"/>
        <w:spacing w:before="0" w:beforeAutospacing="0" w:after="0" w:afterAutospacing="0"/>
        <w:jc w:val="center"/>
        <w:rPr>
          <w:sz w:val="20"/>
          <w:szCs w:val="20"/>
        </w:rPr>
      </w:pPr>
      <w:r>
        <w:rPr>
          <w:sz w:val="20"/>
          <w:szCs w:val="20"/>
        </w:rPr>
        <w:t> </w:t>
      </w:r>
    </w:p>
    <w:p w14:paraId="49669AAD" w14:textId="77777777" w:rsidR="00000000" w:rsidRDefault="00832D71">
      <w:pPr>
        <w:pStyle w:val="a3"/>
        <w:spacing w:before="0" w:beforeAutospacing="0" w:after="0" w:afterAutospacing="0"/>
        <w:jc w:val="center"/>
        <w:rPr>
          <w:sz w:val="20"/>
          <w:szCs w:val="20"/>
        </w:rPr>
      </w:pPr>
      <w:r>
        <w:rPr>
          <w:sz w:val="20"/>
          <w:szCs w:val="20"/>
        </w:rPr>
        <w:t>7</w:t>
      </w:r>
      <w:r>
        <w:rPr>
          <w:sz w:val="20"/>
          <w:szCs w:val="20"/>
        </w:rPr>
        <w:t>2</w:t>
      </w:r>
    </w:p>
    <w:p w14:paraId="0048BC10" w14:textId="77777777" w:rsidR="00000000" w:rsidRDefault="00832D71">
      <w:pPr>
        <w:rPr>
          <w:rFonts w:eastAsia="Times New Roman"/>
        </w:rPr>
      </w:pPr>
      <w:r>
        <w:rPr>
          <w:rFonts w:eastAsia="Times New Roman"/>
        </w:rPr>
        <w:pict w14:anchorId="5E8B017E">
          <v:rect id="_x0000_i1099" style="width:0;height:1.5pt" o:hralign="center" o:hrstd="t" o:hr="t" fillcolor="#a0a0a0" stroked="f"/>
        </w:pict>
      </w:r>
    </w:p>
    <w:p w14:paraId="016363CB"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5CF81C24" w14:textId="77777777" w:rsidR="00000000" w:rsidRDefault="00832D71">
      <w:pPr>
        <w:pStyle w:val="a3"/>
        <w:spacing w:before="120" w:beforeAutospacing="0" w:after="0" w:afterAutospacing="0"/>
        <w:jc w:val="both"/>
        <w:rPr>
          <w:sz w:val="20"/>
          <w:szCs w:val="20"/>
        </w:rPr>
      </w:pPr>
      <w:r>
        <w:rPr>
          <w:sz w:val="20"/>
          <w:szCs w:val="20"/>
        </w:rPr>
        <w:t>that may be in the best interests of our Unitholders. Additionally, we believe that the severance benefits provided to our exe</w:t>
      </w:r>
      <w:r>
        <w:rPr>
          <w:sz w:val="20"/>
          <w:szCs w:val="20"/>
        </w:rPr>
        <w:t>cutive officers and to our key employees are consistent with market practice and appropriate, both because these benefits are an inducement to accepting employment, and because the executive officers are subject to non-competition and non-solicitation cove</w:t>
      </w:r>
      <w:r>
        <w:rPr>
          <w:sz w:val="20"/>
          <w:szCs w:val="20"/>
        </w:rPr>
        <w:t>nants for a period following termination of employment. Therefore, our executive officers and other key employees are provided with severance protection following a change of control, which we refer to as the “Executive Special Severance Plan.” During fisc</w:t>
      </w:r>
      <w:r>
        <w:rPr>
          <w:sz w:val="20"/>
          <w:szCs w:val="20"/>
        </w:rPr>
        <w:t>al 2022 and fiscal 2021, our Executive Special Severance Plan covered all of our executive officers, including our named executive officers</w:t>
      </w:r>
      <w:r>
        <w:rPr>
          <w:sz w:val="20"/>
          <w:szCs w:val="20"/>
        </w:rPr>
        <w:t>.</w:t>
      </w:r>
    </w:p>
    <w:p w14:paraId="355C7E89" w14:textId="77777777" w:rsidR="00000000" w:rsidRDefault="00832D71">
      <w:pPr>
        <w:pStyle w:val="a3"/>
        <w:spacing w:before="240" w:beforeAutospacing="0" w:after="0" w:afterAutospacing="0"/>
        <w:ind w:firstLine="555"/>
        <w:jc w:val="both"/>
        <w:rPr>
          <w:sz w:val="20"/>
          <w:szCs w:val="20"/>
        </w:rPr>
      </w:pPr>
      <w:r>
        <w:rPr>
          <w:sz w:val="20"/>
          <w:szCs w:val="20"/>
        </w:rPr>
        <w:t>Based on the results of the benchmarking study performed by WTW, at its November 12, 2019 meeting, the Committee ap</w:t>
      </w:r>
      <w:r>
        <w:rPr>
          <w:sz w:val="20"/>
          <w:szCs w:val="20"/>
        </w:rPr>
        <w:t>proved the Executive Special Severance Plan, which became effective January 1, 2020. The Executive Special Severance Plan is intended to provide double-trigger severance benefits to our named executive officers and certain other senior employees of the Par</w:t>
      </w:r>
      <w:r>
        <w:rPr>
          <w:sz w:val="20"/>
          <w:szCs w:val="20"/>
        </w:rPr>
        <w:t>tnership in the event that their employment is terminated by us without “cause” or by the participant for “good reason” (as defined in the Executive Special Severance Plan) during the six-month period prior to, or upon or within the 24-month period followi</w:t>
      </w:r>
      <w:r>
        <w:rPr>
          <w:sz w:val="20"/>
          <w:szCs w:val="20"/>
        </w:rPr>
        <w:t>ng, a change of control (defined as described below). Under the Executive Special Severance Plan, a participant is entitled to receive a lump sum cash payment equal to one-fifty-second (1/5</w:t>
      </w:r>
      <w:r>
        <w:rPr>
          <w:sz w:val="20"/>
          <w:szCs w:val="20"/>
        </w:rPr>
        <w:t>2</w:t>
      </w:r>
      <w:r>
        <w:rPr>
          <w:sz w:val="13"/>
          <w:szCs w:val="13"/>
          <w:vertAlign w:val="superscript"/>
        </w:rPr>
        <w:t>n</w:t>
      </w:r>
      <w:r>
        <w:rPr>
          <w:sz w:val="13"/>
          <w:szCs w:val="13"/>
          <w:vertAlign w:val="superscript"/>
        </w:rPr>
        <w:t>d</w:t>
      </w:r>
      <w:r>
        <w:rPr>
          <w:sz w:val="20"/>
          <w:szCs w:val="20"/>
        </w:rPr>
        <w:t>) of the sum of the participant’</w:t>
      </w:r>
      <w:r>
        <w:rPr>
          <w:sz w:val="20"/>
          <w:szCs w:val="20"/>
        </w:rPr>
        <w:t>s base salary plus target bonus, multiplied by the number of severance weeks available to the participant. The number of severance weeks for each of our named executive officers is 156. In addition to cash severance, participants are also entitled to recei</w:t>
      </w:r>
      <w:r>
        <w:rPr>
          <w:sz w:val="20"/>
          <w:szCs w:val="20"/>
        </w:rPr>
        <w:t>ve continued health coverage, a pro-rata bonus for the year of termination and outplacement services. Participants must execute a release of claims, inclusive of an 18-month non-competition, non-solicitation and non-disparagement covenant as a condition of</w:t>
      </w:r>
      <w:r>
        <w:rPr>
          <w:sz w:val="20"/>
          <w:szCs w:val="20"/>
        </w:rPr>
        <w:t xml:space="preserve"> receiving severance payments under the plans</w:t>
      </w:r>
      <w:r>
        <w:rPr>
          <w:sz w:val="20"/>
          <w:szCs w:val="20"/>
        </w:rPr>
        <w:t>.</w:t>
      </w:r>
    </w:p>
    <w:p w14:paraId="386F2AAE" w14:textId="77777777" w:rsidR="00000000" w:rsidRDefault="00832D71">
      <w:pPr>
        <w:pStyle w:val="a3"/>
        <w:spacing w:before="240" w:beforeAutospacing="0" w:after="0" w:afterAutospacing="0"/>
        <w:ind w:firstLine="555"/>
        <w:jc w:val="both"/>
        <w:rPr>
          <w:sz w:val="20"/>
          <w:szCs w:val="20"/>
        </w:rPr>
      </w:pPr>
      <w:r>
        <w:rPr>
          <w:sz w:val="20"/>
          <w:szCs w:val="20"/>
        </w:rPr>
        <w:t>In addition, under the 2018 RUP, upon a change of control, without regard to whether a participant’</w:t>
      </w:r>
      <w:r>
        <w:rPr>
          <w:sz w:val="20"/>
          <w:szCs w:val="20"/>
        </w:rPr>
        <w:t>s employment is terminated, all unvested awards granted under the plan will vest immediately and become distributable to the participants. In addition, under our 2021 LTIP, upon a change of control and without regard to whether a participant’s employment i</w:t>
      </w:r>
      <w:r>
        <w:rPr>
          <w:sz w:val="20"/>
          <w:szCs w:val="20"/>
        </w:rPr>
        <w:t>s terminated, all outstanding, unvested phantom unit awards will vest immediately as if the three-year measurement period for each outstanding award concluded on the date the change of control occurred. Under the 2021 LTIP, an amount equal to the cash valu</w:t>
      </w:r>
      <w:r>
        <w:rPr>
          <w:sz w:val="20"/>
          <w:szCs w:val="20"/>
        </w:rPr>
        <w:t>e of 150% of a participant’s unvested phantom units under the respective LTIP, plus a sum equal to 150% of a participant’s unvested LTIP units multiplied by an amount equal to the cumulative, per-Common Unit distribution from the beginning of an unvested a</w:t>
      </w:r>
      <w:r>
        <w:rPr>
          <w:sz w:val="20"/>
          <w:szCs w:val="20"/>
        </w:rPr>
        <w:t>ward’s three-year measurement period through the date on which a change of control occurred, would become payable to the participants</w:t>
      </w:r>
      <w:r>
        <w:rPr>
          <w:sz w:val="20"/>
          <w:szCs w:val="20"/>
        </w:rPr>
        <w:t>.</w:t>
      </w:r>
      <w:r>
        <w:rPr>
          <w:sz w:val="20"/>
          <w:szCs w:val="20"/>
        </w:rPr>
        <w:t xml:space="preserve"> </w:t>
      </w:r>
    </w:p>
    <w:p w14:paraId="1BC5380B" w14:textId="77777777" w:rsidR="00000000" w:rsidRDefault="00832D71">
      <w:pPr>
        <w:pStyle w:val="a3"/>
        <w:spacing w:before="240" w:beforeAutospacing="0" w:after="0" w:afterAutospacing="0"/>
        <w:ind w:firstLine="555"/>
        <w:jc w:val="both"/>
        <w:rPr>
          <w:sz w:val="20"/>
          <w:szCs w:val="20"/>
        </w:rPr>
      </w:pPr>
      <w:r>
        <w:rPr>
          <w:sz w:val="20"/>
          <w:szCs w:val="20"/>
        </w:rPr>
        <w:t>For purposes of these benefits, a change of control is deemed to occur, in general, if</w:t>
      </w:r>
      <w:r>
        <w:rPr>
          <w:sz w:val="20"/>
          <w:szCs w:val="20"/>
        </w:rPr>
        <w:t>:</w:t>
      </w:r>
    </w:p>
    <w:p w14:paraId="7803C7DF" w14:textId="77777777" w:rsidR="00000000" w:rsidRDefault="00832D71">
      <w:pPr>
        <w:jc w:val="both"/>
        <w:divId w:val="988706829"/>
        <w:rPr>
          <w:rFonts w:eastAsia="Times New Roman"/>
        </w:rPr>
      </w:pPr>
      <w:r>
        <w:rPr>
          <w:rFonts w:eastAsia="Times New Roman"/>
          <w:sz w:val="20"/>
          <w:szCs w:val="20"/>
        </w:rPr>
        <w:t>•</w:t>
      </w:r>
    </w:p>
    <w:p w14:paraId="4417B9F6" w14:textId="77777777" w:rsidR="00000000" w:rsidRDefault="00832D71">
      <w:pPr>
        <w:jc w:val="both"/>
        <w:divId w:val="1902012204"/>
        <w:rPr>
          <w:rFonts w:eastAsia="Times New Roman"/>
        </w:rPr>
      </w:pPr>
      <w:r>
        <w:rPr>
          <w:rFonts w:eastAsia="Times New Roman"/>
          <w:sz w:val="20"/>
          <w:szCs w:val="20"/>
        </w:rPr>
        <w:t>An acquisition of our Common U</w:t>
      </w:r>
      <w:r>
        <w:rPr>
          <w:rFonts w:eastAsia="Times New Roman"/>
          <w:sz w:val="20"/>
          <w:szCs w:val="20"/>
        </w:rPr>
        <w:t xml:space="preserve">nits or voting equity interests by any person immediately after which such person beneficially owns more than 30% of the combined voting power of our then outstanding Common Units, unless such acquisition was made by (a) us or our Affiliates (as that term </w:t>
      </w:r>
      <w:r>
        <w:rPr>
          <w:rFonts w:eastAsia="Times New Roman"/>
          <w:sz w:val="20"/>
          <w:szCs w:val="20"/>
        </w:rPr>
        <w:t>is defined in the provisions of the various plans), or any employee benefit plan maintained by us, the Operating Partnership or any of our Affiliates, or (b) any person in a transaction where (A) the existing holders prior to the transaction own at least 5</w:t>
      </w:r>
      <w:r>
        <w:rPr>
          <w:rFonts w:eastAsia="Times New Roman"/>
          <w:sz w:val="20"/>
          <w:szCs w:val="20"/>
        </w:rPr>
        <w:t>0% of the voting power of the entity surviving the transaction and (B) none of the Unitholders other than the Partnership, our Affiliates, any employee benefit plan maintained by us, the Operating Partnership, or the surviving entity, or the existing benef</w:t>
      </w:r>
      <w:r>
        <w:rPr>
          <w:rFonts w:eastAsia="Times New Roman"/>
          <w:sz w:val="20"/>
          <w:szCs w:val="20"/>
        </w:rPr>
        <w:t>icial owner of more than 25% of the outstanding Common Units owns more than 25% of the combined voting power of the surviving entity, which transaction we refer to as a “Non-Control Transaction;” or</w:t>
      </w:r>
      <w:r>
        <w:rPr>
          <w:rFonts w:eastAsia="Times New Roman"/>
          <w:sz w:val="20"/>
          <w:szCs w:val="20"/>
        </w:rPr>
        <w:t xml:space="preserve"> </w:t>
      </w:r>
    </w:p>
    <w:p w14:paraId="5D45E742" w14:textId="77777777" w:rsidR="00000000" w:rsidRDefault="00832D71">
      <w:pPr>
        <w:jc w:val="both"/>
        <w:divId w:val="928581566"/>
        <w:rPr>
          <w:rFonts w:eastAsia="Times New Roman"/>
        </w:rPr>
      </w:pPr>
      <w:r>
        <w:rPr>
          <w:rFonts w:eastAsia="Times New Roman"/>
          <w:sz w:val="20"/>
          <w:szCs w:val="20"/>
        </w:rPr>
        <w:t>•</w:t>
      </w:r>
    </w:p>
    <w:p w14:paraId="5DC5C776" w14:textId="77777777" w:rsidR="00000000" w:rsidRDefault="00832D71">
      <w:pPr>
        <w:jc w:val="both"/>
        <w:divId w:val="608972785"/>
        <w:rPr>
          <w:rFonts w:eastAsia="Times New Roman"/>
        </w:rPr>
      </w:pPr>
      <w:r>
        <w:rPr>
          <w:rFonts w:eastAsia="Times New Roman"/>
          <w:sz w:val="20"/>
          <w:szCs w:val="20"/>
        </w:rPr>
        <w:t>The consummation of (a) a merger, consolidation or reo</w:t>
      </w:r>
      <w:r>
        <w:rPr>
          <w:rFonts w:eastAsia="Times New Roman"/>
          <w:sz w:val="20"/>
          <w:szCs w:val="20"/>
        </w:rPr>
        <w:t>rganization involving the Partnership other than a Non-Control Transaction; (b) a complete liquidation or dissolution of the Partnership; or (c) the sale or other disposition of 40% or more of the gross fair market value of all the assets of the Partnershi</w:t>
      </w:r>
      <w:r>
        <w:rPr>
          <w:rFonts w:eastAsia="Times New Roman"/>
          <w:sz w:val="20"/>
          <w:szCs w:val="20"/>
        </w:rPr>
        <w:t>p to any person (other than a transfer to a subsidiary)</w:t>
      </w:r>
      <w:r>
        <w:rPr>
          <w:rFonts w:eastAsia="Times New Roman"/>
          <w:sz w:val="20"/>
          <w:szCs w:val="20"/>
        </w:rPr>
        <w:t>.</w:t>
      </w:r>
    </w:p>
    <w:p w14:paraId="0781D6B5" w14:textId="77777777" w:rsidR="00000000" w:rsidRDefault="00832D71">
      <w:pPr>
        <w:pStyle w:val="a3"/>
        <w:spacing w:before="240" w:beforeAutospacing="0" w:after="0" w:afterAutospacing="0"/>
        <w:ind w:firstLine="555"/>
        <w:jc w:val="both"/>
        <w:rPr>
          <w:sz w:val="20"/>
          <w:szCs w:val="20"/>
        </w:rPr>
      </w:pPr>
      <w:r>
        <w:rPr>
          <w:sz w:val="20"/>
          <w:szCs w:val="20"/>
        </w:rPr>
        <w:t>For additional information pertaining to severance payable to our named executive officers following a change of control-related termination, see the tables titled “Potential Payments Upon Terminatio</w:t>
      </w:r>
      <w:r>
        <w:rPr>
          <w:sz w:val="20"/>
          <w:szCs w:val="20"/>
        </w:rPr>
        <w:t>n” below</w:t>
      </w:r>
      <w:r>
        <w:rPr>
          <w:sz w:val="20"/>
          <w:szCs w:val="20"/>
        </w:rPr>
        <w:t>.</w:t>
      </w:r>
    </w:p>
    <w:p w14:paraId="1B169341" w14:textId="77777777" w:rsidR="00000000" w:rsidRDefault="00832D71">
      <w:pPr>
        <w:pStyle w:val="a3"/>
        <w:spacing w:before="360" w:beforeAutospacing="0" w:after="0" w:afterAutospacing="0"/>
        <w:jc w:val="both"/>
        <w:rPr>
          <w:sz w:val="20"/>
          <w:szCs w:val="20"/>
        </w:rPr>
      </w:pPr>
      <w:r>
        <w:rPr>
          <w:b/>
          <w:bCs/>
          <w:sz w:val="20"/>
          <w:szCs w:val="20"/>
        </w:rPr>
        <w:t>Risk Mitigation Policie</w:t>
      </w:r>
      <w:r>
        <w:rPr>
          <w:b/>
          <w:bCs/>
          <w:sz w:val="20"/>
          <w:szCs w:val="20"/>
        </w:rPr>
        <w:t>s</w:t>
      </w:r>
    </w:p>
    <w:p w14:paraId="4C1BF29D" w14:textId="77777777" w:rsidR="00000000" w:rsidRDefault="00832D71">
      <w:pPr>
        <w:pStyle w:val="a3"/>
        <w:spacing w:before="120" w:beforeAutospacing="0" w:after="0" w:afterAutospacing="0"/>
        <w:jc w:val="both"/>
        <w:rPr>
          <w:sz w:val="20"/>
          <w:szCs w:val="20"/>
        </w:rPr>
      </w:pPr>
      <w:r>
        <w:rPr>
          <w:i/>
          <w:iCs/>
          <w:sz w:val="20"/>
          <w:szCs w:val="20"/>
        </w:rPr>
        <w:t>Equity Holding Polic</w:t>
      </w:r>
      <w:r>
        <w:rPr>
          <w:i/>
          <w:iCs/>
          <w:sz w:val="20"/>
          <w:szCs w:val="20"/>
        </w:rPr>
        <w:t>y</w:t>
      </w:r>
    </w:p>
    <w:p w14:paraId="67374E3E" w14:textId="77777777" w:rsidR="00000000" w:rsidRDefault="00832D71">
      <w:pPr>
        <w:pStyle w:val="a3"/>
        <w:spacing w:before="120" w:beforeAutospacing="0" w:after="0" w:afterAutospacing="0"/>
        <w:ind w:firstLine="555"/>
        <w:jc w:val="both"/>
        <w:rPr>
          <w:sz w:val="20"/>
          <w:szCs w:val="20"/>
        </w:rPr>
      </w:pPr>
      <w:r>
        <w:rPr>
          <w:sz w:val="20"/>
          <w:szCs w:val="20"/>
        </w:rPr>
        <w:t>Effective April 22, 2010, the Committee adopted an Equity Holding Policy, as amended on November 11, 2015 and November 13, 2018, which established guidelines for the level of Partnership equity holdi</w:t>
      </w:r>
      <w:r>
        <w:rPr>
          <w:sz w:val="20"/>
          <w:szCs w:val="20"/>
        </w:rPr>
        <w:t>ngs that members of the Board and our executive officers are expected to maintain</w:t>
      </w:r>
      <w:r>
        <w:rPr>
          <w:sz w:val="20"/>
          <w:szCs w:val="20"/>
        </w:rPr>
        <w:t>.</w:t>
      </w:r>
      <w:r>
        <w:rPr>
          <w:sz w:val="20"/>
          <w:szCs w:val="20"/>
        </w:rPr>
        <w:t xml:space="preserve"> </w:t>
      </w:r>
    </w:p>
    <w:p w14:paraId="4FC19F3A" w14:textId="77777777" w:rsidR="00000000" w:rsidRDefault="00832D71">
      <w:pPr>
        <w:pStyle w:val="a3"/>
        <w:spacing w:before="0" w:beforeAutospacing="0" w:after="0" w:afterAutospacing="0"/>
        <w:jc w:val="center"/>
        <w:rPr>
          <w:sz w:val="20"/>
          <w:szCs w:val="20"/>
        </w:rPr>
      </w:pPr>
      <w:r>
        <w:rPr>
          <w:sz w:val="20"/>
          <w:szCs w:val="20"/>
        </w:rPr>
        <w:t> </w:t>
      </w:r>
    </w:p>
    <w:p w14:paraId="520653D4" w14:textId="77777777" w:rsidR="00000000" w:rsidRDefault="00832D71">
      <w:pPr>
        <w:pStyle w:val="a3"/>
        <w:spacing w:before="0" w:beforeAutospacing="0" w:after="0" w:afterAutospacing="0"/>
        <w:jc w:val="center"/>
        <w:rPr>
          <w:sz w:val="20"/>
          <w:szCs w:val="20"/>
        </w:rPr>
      </w:pPr>
      <w:r>
        <w:rPr>
          <w:sz w:val="20"/>
          <w:szCs w:val="20"/>
        </w:rPr>
        <w:t>7</w:t>
      </w:r>
      <w:r>
        <w:rPr>
          <w:sz w:val="20"/>
          <w:szCs w:val="20"/>
        </w:rPr>
        <w:t>3</w:t>
      </w:r>
    </w:p>
    <w:p w14:paraId="57CACB19" w14:textId="77777777" w:rsidR="00000000" w:rsidRDefault="00832D71">
      <w:pPr>
        <w:rPr>
          <w:rFonts w:eastAsia="Times New Roman"/>
        </w:rPr>
      </w:pPr>
      <w:r>
        <w:rPr>
          <w:rFonts w:eastAsia="Times New Roman"/>
        </w:rPr>
        <w:pict w14:anchorId="15C51EC2">
          <v:rect id="_x0000_i1100" style="width:0;height:1.5pt" o:hralign="center" o:hrstd="t" o:hr="t" fillcolor="#a0a0a0" stroked="f"/>
        </w:pict>
      </w:r>
    </w:p>
    <w:p w14:paraId="19DE6B2E"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04C2892C" w14:textId="77777777" w:rsidR="00000000" w:rsidRDefault="00832D71">
      <w:pPr>
        <w:pStyle w:val="a3"/>
        <w:spacing w:before="240" w:beforeAutospacing="0" w:after="0" w:afterAutospacing="0"/>
        <w:ind w:firstLine="555"/>
        <w:jc w:val="both"/>
        <w:rPr>
          <w:sz w:val="20"/>
          <w:szCs w:val="20"/>
        </w:rPr>
      </w:pPr>
      <w:r>
        <w:rPr>
          <w:sz w:val="20"/>
          <w:szCs w:val="20"/>
        </w:rPr>
        <w:t>The Partnership’s equity holding requirements for the specified position</w:t>
      </w:r>
      <w:r>
        <w:rPr>
          <w:sz w:val="20"/>
          <w:szCs w:val="20"/>
        </w:rPr>
        <w:t>s were as follows during fiscal 2022</w:t>
      </w:r>
      <w:r>
        <w:rPr>
          <w:sz w:val="20"/>
          <w:szCs w:val="20"/>
        </w:rPr>
        <w:t>:</w:t>
      </w:r>
    </w:p>
    <w:p w14:paraId="36151F12" w14:textId="77777777" w:rsidR="00000000" w:rsidRDefault="00832D71">
      <w:pPr>
        <w:pStyle w:val="a3"/>
        <w:spacing w:before="0" w:beforeAutospacing="0" w:after="0" w:afterAutospacing="0"/>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904"/>
        <w:gridCol w:w="193"/>
        <w:gridCol w:w="1548"/>
      </w:tblGrid>
      <w:tr w:rsidR="00000000" w14:paraId="276A4611" w14:textId="77777777">
        <w:trPr>
          <w:tblCellSpacing w:w="15" w:type="dxa"/>
        </w:trPr>
        <w:tc>
          <w:tcPr>
            <w:tcW w:w="3722" w:type="pct"/>
            <w:vAlign w:val="center"/>
            <w:hideMark/>
          </w:tcPr>
          <w:p w14:paraId="6355D752" w14:textId="77777777" w:rsidR="00000000" w:rsidRDefault="00832D71">
            <w:pPr>
              <w:rPr>
                <w:sz w:val="20"/>
                <w:szCs w:val="20"/>
              </w:rPr>
            </w:pPr>
          </w:p>
        </w:tc>
        <w:tc>
          <w:tcPr>
            <w:tcW w:w="125" w:type="pct"/>
            <w:vAlign w:val="center"/>
            <w:hideMark/>
          </w:tcPr>
          <w:p w14:paraId="6F324033" w14:textId="77777777" w:rsidR="00000000" w:rsidRDefault="00832D71">
            <w:pPr>
              <w:rPr>
                <w:rFonts w:eastAsia="Times New Roman"/>
                <w:sz w:val="20"/>
                <w:szCs w:val="20"/>
              </w:rPr>
            </w:pPr>
          </w:p>
        </w:tc>
        <w:tc>
          <w:tcPr>
            <w:tcW w:w="1152" w:type="pct"/>
            <w:vAlign w:val="center"/>
            <w:hideMark/>
          </w:tcPr>
          <w:p w14:paraId="75D5D571" w14:textId="77777777" w:rsidR="00000000" w:rsidRDefault="00832D71">
            <w:pPr>
              <w:rPr>
                <w:rFonts w:eastAsia="Times New Roman"/>
                <w:sz w:val="20"/>
                <w:szCs w:val="20"/>
              </w:rPr>
            </w:pPr>
          </w:p>
        </w:tc>
      </w:tr>
      <w:tr w:rsidR="00000000" w14:paraId="52E3E0C8" w14:textId="77777777">
        <w:trPr>
          <w:trHeight w:val="160"/>
          <w:tblCellSpacing w:w="15" w:type="dxa"/>
        </w:trPr>
        <w:tc>
          <w:tcPr>
            <w:tcW w:w="0" w:type="auto"/>
            <w:vAlign w:val="bottom"/>
            <w:hideMark/>
          </w:tcPr>
          <w:p w14:paraId="330EB0F3" w14:textId="77777777" w:rsidR="00000000" w:rsidRDefault="00832D71">
            <w:pPr>
              <w:pStyle w:val="a3"/>
              <w:spacing w:before="0" w:beforeAutospacing="0" w:after="0" w:afterAutospacing="0"/>
              <w:jc w:val="center"/>
              <w:rPr>
                <w:sz w:val="16"/>
                <w:szCs w:val="16"/>
              </w:rPr>
            </w:pPr>
            <w:r>
              <w:rPr>
                <w:b/>
                <w:bCs/>
                <w:sz w:val="16"/>
                <w:szCs w:val="16"/>
              </w:rPr>
              <w:t>Positio</w:t>
            </w:r>
            <w:r>
              <w:rPr>
                <w:b/>
                <w:bCs/>
                <w:sz w:val="16"/>
                <w:szCs w:val="16"/>
              </w:rPr>
              <w:t>n</w:t>
            </w:r>
          </w:p>
        </w:tc>
        <w:tc>
          <w:tcPr>
            <w:tcW w:w="0" w:type="auto"/>
            <w:hideMark/>
          </w:tcPr>
          <w:p w14:paraId="55A72BA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9426330" w14:textId="77777777" w:rsidR="00000000" w:rsidRDefault="00832D71">
            <w:pPr>
              <w:pStyle w:val="a3"/>
              <w:spacing w:before="0" w:beforeAutospacing="0" w:after="0" w:afterAutospacing="0"/>
              <w:jc w:val="center"/>
              <w:rPr>
                <w:sz w:val="16"/>
                <w:szCs w:val="16"/>
              </w:rPr>
            </w:pPr>
            <w:r>
              <w:rPr>
                <w:b/>
                <w:bCs/>
                <w:sz w:val="16"/>
                <w:szCs w:val="16"/>
              </w:rPr>
              <w:t>Amoun</w:t>
            </w:r>
            <w:r>
              <w:rPr>
                <w:b/>
                <w:bCs/>
                <w:sz w:val="16"/>
                <w:szCs w:val="16"/>
              </w:rPr>
              <w:t>t</w:t>
            </w:r>
          </w:p>
        </w:tc>
      </w:tr>
      <w:tr w:rsidR="00000000" w14:paraId="0AECADBA" w14:textId="77777777">
        <w:trPr>
          <w:trHeight w:val="200"/>
          <w:tblCellSpacing w:w="15" w:type="dxa"/>
        </w:trPr>
        <w:tc>
          <w:tcPr>
            <w:tcW w:w="0" w:type="auto"/>
            <w:hideMark/>
          </w:tcPr>
          <w:p w14:paraId="0B334947" w14:textId="77777777" w:rsidR="00000000" w:rsidRDefault="00832D71">
            <w:pPr>
              <w:pStyle w:val="a3"/>
              <w:spacing w:before="0" w:beforeAutospacing="0" w:after="0" w:afterAutospacing="0"/>
              <w:rPr>
                <w:sz w:val="20"/>
                <w:szCs w:val="20"/>
              </w:rPr>
            </w:pPr>
            <w:r>
              <w:rPr>
                <w:sz w:val="20"/>
                <w:szCs w:val="20"/>
              </w:rPr>
              <w:t>Member of the Board of Supervisor</w:t>
            </w:r>
            <w:r>
              <w:rPr>
                <w:sz w:val="20"/>
                <w:szCs w:val="20"/>
              </w:rPr>
              <w:t>s</w:t>
            </w:r>
          </w:p>
        </w:tc>
        <w:tc>
          <w:tcPr>
            <w:tcW w:w="0" w:type="auto"/>
            <w:hideMark/>
          </w:tcPr>
          <w:p w14:paraId="498EDC7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8ADB45B" w14:textId="77777777" w:rsidR="00000000" w:rsidRDefault="00832D71">
            <w:pPr>
              <w:pStyle w:val="a3"/>
              <w:spacing w:before="0" w:beforeAutospacing="0" w:after="0" w:afterAutospacing="0"/>
              <w:jc w:val="center"/>
              <w:rPr>
                <w:sz w:val="20"/>
                <w:szCs w:val="20"/>
              </w:rPr>
            </w:pPr>
            <w:r>
              <w:rPr>
                <w:sz w:val="20"/>
                <w:szCs w:val="20"/>
              </w:rPr>
              <w:t>4 x Annual Fe</w:t>
            </w:r>
            <w:r>
              <w:rPr>
                <w:sz w:val="20"/>
                <w:szCs w:val="20"/>
              </w:rPr>
              <w:t>e</w:t>
            </w:r>
          </w:p>
        </w:tc>
      </w:tr>
      <w:tr w:rsidR="00000000" w14:paraId="4AD5DB72" w14:textId="77777777">
        <w:trPr>
          <w:trHeight w:val="200"/>
          <w:tblCellSpacing w:w="15" w:type="dxa"/>
        </w:trPr>
        <w:tc>
          <w:tcPr>
            <w:tcW w:w="0" w:type="auto"/>
            <w:hideMark/>
          </w:tcPr>
          <w:p w14:paraId="34D1618F" w14:textId="77777777" w:rsidR="00000000" w:rsidRDefault="00832D71">
            <w:pPr>
              <w:pStyle w:val="a3"/>
              <w:spacing w:before="0" w:beforeAutospacing="0" w:after="0" w:afterAutospacing="0"/>
              <w:rPr>
                <w:sz w:val="20"/>
                <w:szCs w:val="20"/>
              </w:rPr>
            </w:pPr>
            <w:r>
              <w:rPr>
                <w:sz w:val="20"/>
                <w:szCs w:val="20"/>
              </w:rPr>
              <w:t>President and Chief Executive Office</w:t>
            </w:r>
            <w:r>
              <w:rPr>
                <w:sz w:val="20"/>
                <w:szCs w:val="20"/>
              </w:rPr>
              <w:t>r</w:t>
            </w:r>
          </w:p>
        </w:tc>
        <w:tc>
          <w:tcPr>
            <w:tcW w:w="0" w:type="auto"/>
            <w:hideMark/>
          </w:tcPr>
          <w:p w14:paraId="5F986C2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579559A" w14:textId="77777777" w:rsidR="00000000" w:rsidRDefault="00832D71">
            <w:pPr>
              <w:pStyle w:val="a3"/>
              <w:spacing w:before="0" w:beforeAutospacing="0" w:after="0" w:afterAutospacing="0"/>
              <w:jc w:val="center"/>
              <w:rPr>
                <w:sz w:val="20"/>
                <w:szCs w:val="20"/>
              </w:rPr>
            </w:pPr>
            <w:r>
              <w:rPr>
                <w:sz w:val="20"/>
                <w:szCs w:val="20"/>
              </w:rPr>
              <w:t>5 x Base Salar</w:t>
            </w:r>
            <w:r>
              <w:rPr>
                <w:sz w:val="20"/>
                <w:szCs w:val="20"/>
              </w:rPr>
              <w:t>y</w:t>
            </w:r>
          </w:p>
        </w:tc>
      </w:tr>
      <w:tr w:rsidR="00000000" w14:paraId="34E32D3B" w14:textId="77777777">
        <w:trPr>
          <w:trHeight w:val="200"/>
          <w:tblCellSpacing w:w="15" w:type="dxa"/>
        </w:trPr>
        <w:tc>
          <w:tcPr>
            <w:tcW w:w="0" w:type="auto"/>
            <w:vAlign w:val="bottom"/>
            <w:hideMark/>
          </w:tcPr>
          <w:p w14:paraId="095090D7" w14:textId="77777777" w:rsidR="00000000" w:rsidRDefault="00832D71">
            <w:pPr>
              <w:pStyle w:val="a3"/>
              <w:spacing w:before="0" w:beforeAutospacing="0" w:after="0" w:afterAutospacing="0"/>
              <w:rPr>
                <w:sz w:val="20"/>
                <w:szCs w:val="20"/>
              </w:rPr>
            </w:pPr>
            <w:r>
              <w:rPr>
                <w:sz w:val="20"/>
                <w:szCs w:val="20"/>
              </w:rPr>
              <w:t>Chief Financial Office</w:t>
            </w:r>
            <w:r>
              <w:rPr>
                <w:sz w:val="20"/>
                <w:szCs w:val="20"/>
              </w:rPr>
              <w:t>r</w:t>
            </w:r>
          </w:p>
        </w:tc>
        <w:tc>
          <w:tcPr>
            <w:tcW w:w="0" w:type="auto"/>
            <w:hideMark/>
          </w:tcPr>
          <w:p w14:paraId="72D1353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EF33FCB" w14:textId="77777777" w:rsidR="00000000" w:rsidRDefault="00832D71">
            <w:pPr>
              <w:pStyle w:val="a3"/>
              <w:spacing w:before="0" w:beforeAutospacing="0" w:after="0" w:afterAutospacing="0"/>
              <w:jc w:val="center"/>
              <w:rPr>
                <w:sz w:val="20"/>
                <w:szCs w:val="20"/>
              </w:rPr>
            </w:pPr>
            <w:r>
              <w:rPr>
                <w:sz w:val="20"/>
                <w:szCs w:val="20"/>
              </w:rPr>
              <w:t>3 x Base Salar</w:t>
            </w:r>
            <w:r>
              <w:rPr>
                <w:sz w:val="20"/>
                <w:szCs w:val="20"/>
              </w:rPr>
              <w:t>y</w:t>
            </w:r>
          </w:p>
        </w:tc>
      </w:tr>
      <w:tr w:rsidR="00000000" w14:paraId="3BD0F430" w14:textId="77777777">
        <w:trPr>
          <w:trHeight w:val="200"/>
          <w:tblCellSpacing w:w="15" w:type="dxa"/>
        </w:trPr>
        <w:tc>
          <w:tcPr>
            <w:tcW w:w="0" w:type="auto"/>
            <w:vAlign w:val="bottom"/>
            <w:hideMark/>
          </w:tcPr>
          <w:p w14:paraId="0A4B0C26" w14:textId="77777777" w:rsidR="00000000" w:rsidRDefault="00832D71">
            <w:pPr>
              <w:pStyle w:val="a3"/>
              <w:spacing w:before="0" w:beforeAutospacing="0" w:after="0" w:afterAutospacing="0"/>
              <w:rPr>
                <w:sz w:val="20"/>
                <w:szCs w:val="20"/>
              </w:rPr>
            </w:pPr>
            <w:r>
              <w:rPr>
                <w:sz w:val="20"/>
                <w:szCs w:val="20"/>
              </w:rPr>
              <w:t>Chief Operating Office</w:t>
            </w:r>
            <w:r>
              <w:rPr>
                <w:sz w:val="20"/>
                <w:szCs w:val="20"/>
              </w:rPr>
              <w:t>r</w:t>
            </w:r>
          </w:p>
        </w:tc>
        <w:tc>
          <w:tcPr>
            <w:tcW w:w="0" w:type="auto"/>
            <w:hideMark/>
          </w:tcPr>
          <w:p w14:paraId="7C1DCDD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E6FA31B" w14:textId="77777777" w:rsidR="00000000" w:rsidRDefault="00832D71">
            <w:pPr>
              <w:pStyle w:val="a3"/>
              <w:spacing w:before="0" w:beforeAutospacing="0" w:after="0" w:afterAutospacing="0"/>
              <w:jc w:val="center"/>
              <w:rPr>
                <w:sz w:val="20"/>
                <w:szCs w:val="20"/>
              </w:rPr>
            </w:pPr>
            <w:r>
              <w:rPr>
                <w:sz w:val="20"/>
                <w:szCs w:val="20"/>
              </w:rPr>
              <w:t>3 x Base Salar</w:t>
            </w:r>
            <w:r>
              <w:rPr>
                <w:sz w:val="20"/>
                <w:szCs w:val="20"/>
              </w:rPr>
              <w:t>y</w:t>
            </w:r>
          </w:p>
        </w:tc>
      </w:tr>
      <w:tr w:rsidR="00000000" w14:paraId="150D30F7" w14:textId="77777777">
        <w:trPr>
          <w:trHeight w:val="200"/>
          <w:tblCellSpacing w:w="15" w:type="dxa"/>
        </w:trPr>
        <w:tc>
          <w:tcPr>
            <w:tcW w:w="0" w:type="auto"/>
            <w:hideMark/>
          </w:tcPr>
          <w:p w14:paraId="5A34A3D0" w14:textId="77777777" w:rsidR="00000000" w:rsidRDefault="00832D71">
            <w:pPr>
              <w:pStyle w:val="a3"/>
              <w:spacing w:before="0" w:beforeAutospacing="0" w:after="0" w:afterAutospacing="0"/>
              <w:rPr>
                <w:sz w:val="20"/>
                <w:szCs w:val="20"/>
              </w:rPr>
            </w:pPr>
            <w:r>
              <w:rPr>
                <w:sz w:val="20"/>
                <w:szCs w:val="20"/>
              </w:rPr>
              <w:t>Senior Vice Presiden</w:t>
            </w:r>
            <w:r>
              <w:rPr>
                <w:sz w:val="20"/>
                <w:szCs w:val="20"/>
              </w:rPr>
              <w:t>t</w:t>
            </w:r>
          </w:p>
        </w:tc>
        <w:tc>
          <w:tcPr>
            <w:tcW w:w="0" w:type="auto"/>
            <w:hideMark/>
          </w:tcPr>
          <w:p w14:paraId="307D3C4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F7D4D59" w14:textId="77777777" w:rsidR="00000000" w:rsidRDefault="00832D71">
            <w:pPr>
              <w:pStyle w:val="a3"/>
              <w:spacing w:before="0" w:beforeAutospacing="0" w:after="0" w:afterAutospacing="0"/>
              <w:jc w:val="center"/>
              <w:rPr>
                <w:sz w:val="20"/>
                <w:szCs w:val="20"/>
              </w:rPr>
            </w:pPr>
            <w:r>
              <w:rPr>
                <w:sz w:val="20"/>
                <w:szCs w:val="20"/>
              </w:rPr>
              <w:t>2.5 x Base Salar</w:t>
            </w:r>
            <w:r>
              <w:rPr>
                <w:sz w:val="20"/>
                <w:szCs w:val="20"/>
              </w:rPr>
              <w:t>y</w:t>
            </w:r>
          </w:p>
        </w:tc>
      </w:tr>
      <w:tr w:rsidR="00000000" w14:paraId="287B1DFF" w14:textId="77777777">
        <w:trPr>
          <w:trHeight w:val="200"/>
          <w:tblCellSpacing w:w="15" w:type="dxa"/>
        </w:trPr>
        <w:tc>
          <w:tcPr>
            <w:tcW w:w="0" w:type="auto"/>
            <w:hideMark/>
          </w:tcPr>
          <w:p w14:paraId="361C4135" w14:textId="77777777" w:rsidR="00000000" w:rsidRDefault="00832D71">
            <w:pPr>
              <w:pStyle w:val="a3"/>
              <w:spacing w:before="0" w:beforeAutospacing="0" w:after="0" w:afterAutospacing="0"/>
              <w:rPr>
                <w:sz w:val="20"/>
                <w:szCs w:val="20"/>
              </w:rPr>
            </w:pPr>
            <w:r>
              <w:rPr>
                <w:sz w:val="20"/>
                <w:szCs w:val="20"/>
              </w:rPr>
              <w:t>Vice Presiden</w:t>
            </w:r>
            <w:r>
              <w:rPr>
                <w:sz w:val="20"/>
                <w:szCs w:val="20"/>
              </w:rPr>
              <w:t>t</w:t>
            </w:r>
          </w:p>
        </w:tc>
        <w:tc>
          <w:tcPr>
            <w:tcW w:w="0" w:type="auto"/>
            <w:hideMark/>
          </w:tcPr>
          <w:p w14:paraId="74FE610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DDDFE8C" w14:textId="77777777" w:rsidR="00000000" w:rsidRDefault="00832D71">
            <w:pPr>
              <w:pStyle w:val="a3"/>
              <w:spacing w:before="0" w:beforeAutospacing="0" w:after="0" w:afterAutospacing="0"/>
              <w:jc w:val="center"/>
              <w:rPr>
                <w:sz w:val="20"/>
                <w:szCs w:val="20"/>
              </w:rPr>
            </w:pPr>
            <w:r>
              <w:rPr>
                <w:sz w:val="20"/>
                <w:szCs w:val="20"/>
              </w:rPr>
              <w:t>1.5 x Base Salar</w:t>
            </w:r>
            <w:r>
              <w:rPr>
                <w:sz w:val="20"/>
                <w:szCs w:val="20"/>
              </w:rPr>
              <w:t>y</w:t>
            </w:r>
          </w:p>
        </w:tc>
      </w:tr>
      <w:tr w:rsidR="00000000" w14:paraId="50182412" w14:textId="77777777">
        <w:trPr>
          <w:trHeight w:val="200"/>
          <w:tblCellSpacing w:w="15" w:type="dxa"/>
        </w:trPr>
        <w:tc>
          <w:tcPr>
            <w:tcW w:w="0" w:type="auto"/>
            <w:hideMark/>
          </w:tcPr>
          <w:p w14:paraId="163A9103" w14:textId="77777777" w:rsidR="00000000" w:rsidRDefault="00832D71">
            <w:pPr>
              <w:pStyle w:val="a3"/>
              <w:spacing w:before="0" w:beforeAutospacing="0" w:after="0" w:afterAutospacing="0"/>
              <w:rPr>
                <w:sz w:val="20"/>
                <w:szCs w:val="20"/>
              </w:rPr>
            </w:pPr>
            <w:r>
              <w:rPr>
                <w:sz w:val="20"/>
                <w:szCs w:val="20"/>
              </w:rPr>
              <w:t>Assistant Vice Presiden</w:t>
            </w:r>
            <w:r>
              <w:rPr>
                <w:sz w:val="20"/>
                <w:szCs w:val="20"/>
              </w:rPr>
              <w:t>t</w:t>
            </w:r>
          </w:p>
        </w:tc>
        <w:tc>
          <w:tcPr>
            <w:tcW w:w="0" w:type="auto"/>
            <w:hideMark/>
          </w:tcPr>
          <w:p w14:paraId="5FD9DD9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4176205" w14:textId="77777777" w:rsidR="00000000" w:rsidRDefault="00832D71">
            <w:pPr>
              <w:pStyle w:val="a3"/>
              <w:spacing w:before="0" w:beforeAutospacing="0" w:after="0" w:afterAutospacing="0"/>
              <w:jc w:val="center"/>
              <w:rPr>
                <w:sz w:val="20"/>
                <w:szCs w:val="20"/>
              </w:rPr>
            </w:pPr>
            <w:r>
              <w:rPr>
                <w:sz w:val="20"/>
                <w:szCs w:val="20"/>
              </w:rPr>
              <w:t>1 x Base Salar</w:t>
            </w:r>
            <w:r>
              <w:rPr>
                <w:sz w:val="20"/>
                <w:szCs w:val="20"/>
              </w:rPr>
              <w:t>y</w:t>
            </w:r>
          </w:p>
        </w:tc>
      </w:tr>
      <w:tr w:rsidR="00000000" w14:paraId="6730161A" w14:textId="77777777">
        <w:trPr>
          <w:trHeight w:val="200"/>
          <w:tblCellSpacing w:w="15" w:type="dxa"/>
        </w:trPr>
        <w:tc>
          <w:tcPr>
            <w:tcW w:w="0" w:type="auto"/>
            <w:hideMark/>
          </w:tcPr>
          <w:p w14:paraId="492CA09A" w14:textId="77777777" w:rsidR="00000000" w:rsidRDefault="00832D71">
            <w:pPr>
              <w:pStyle w:val="a3"/>
              <w:spacing w:before="0" w:beforeAutospacing="0" w:after="0" w:afterAutospacing="0"/>
              <w:rPr>
                <w:sz w:val="20"/>
                <w:szCs w:val="20"/>
              </w:rPr>
            </w:pPr>
            <w:r>
              <w:rPr>
                <w:sz w:val="20"/>
                <w:szCs w:val="20"/>
              </w:rPr>
              <w:t>Managing Directo</w:t>
            </w:r>
            <w:r>
              <w:rPr>
                <w:sz w:val="20"/>
                <w:szCs w:val="20"/>
              </w:rPr>
              <w:t>r</w:t>
            </w:r>
          </w:p>
        </w:tc>
        <w:tc>
          <w:tcPr>
            <w:tcW w:w="0" w:type="auto"/>
            <w:hideMark/>
          </w:tcPr>
          <w:p w14:paraId="501A1A8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47853B5" w14:textId="77777777" w:rsidR="00000000" w:rsidRDefault="00832D71">
            <w:pPr>
              <w:pStyle w:val="a3"/>
              <w:spacing w:before="0" w:beforeAutospacing="0" w:after="0" w:afterAutospacing="0"/>
              <w:jc w:val="center"/>
              <w:rPr>
                <w:sz w:val="20"/>
                <w:szCs w:val="20"/>
              </w:rPr>
            </w:pPr>
            <w:r>
              <w:rPr>
                <w:sz w:val="20"/>
                <w:szCs w:val="20"/>
              </w:rPr>
              <w:t>1 x Base Salar</w:t>
            </w:r>
            <w:r>
              <w:rPr>
                <w:sz w:val="20"/>
                <w:szCs w:val="20"/>
              </w:rPr>
              <w:t>y</w:t>
            </w:r>
          </w:p>
        </w:tc>
      </w:tr>
    </w:tbl>
    <w:p w14:paraId="3ACCCAFF" w14:textId="77777777" w:rsidR="00000000" w:rsidRDefault="00832D71">
      <w:pPr>
        <w:pStyle w:val="a3"/>
        <w:spacing w:before="240" w:beforeAutospacing="0" w:after="0" w:afterAutospacing="0"/>
        <w:ind w:firstLine="555"/>
        <w:jc w:val="both"/>
        <w:rPr>
          <w:sz w:val="20"/>
          <w:szCs w:val="20"/>
        </w:rPr>
      </w:pPr>
      <w:r>
        <w:rPr>
          <w:sz w:val="20"/>
          <w:szCs w:val="20"/>
        </w:rPr>
        <w:t>As of the January 2, 2022 measurement date, all of ou</w:t>
      </w:r>
      <w:r>
        <w:rPr>
          <w:sz w:val="20"/>
          <w:szCs w:val="20"/>
        </w:rPr>
        <w:t>r executive officers, including our named executive officers, as well as the members of our Board of Supervisors, were in compliance with our Equity Holding Policy</w:t>
      </w:r>
      <w:r>
        <w:rPr>
          <w:sz w:val="20"/>
          <w:szCs w:val="20"/>
        </w:rPr>
        <w:t>.</w:t>
      </w:r>
      <w:r>
        <w:rPr>
          <w:sz w:val="20"/>
          <w:szCs w:val="20"/>
        </w:rPr>
        <w:t xml:space="preserve"> </w:t>
      </w:r>
    </w:p>
    <w:p w14:paraId="5D947386" w14:textId="77777777" w:rsidR="00000000" w:rsidRDefault="00832D71">
      <w:pPr>
        <w:pStyle w:val="a3"/>
        <w:spacing w:before="240" w:beforeAutospacing="0" w:after="0" w:afterAutospacing="0"/>
        <w:ind w:firstLine="555"/>
        <w:jc w:val="both"/>
        <w:rPr>
          <w:sz w:val="20"/>
          <w:szCs w:val="20"/>
        </w:rPr>
      </w:pPr>
      <w:r>
        <w:rPr>
          <w:sz w:val="20"/>
          <w:szCs w:val="20"/>
        </w:rPr>
        <w:t>The Equity Holding Policy can be accessed through a link on our website at</w:t>
      </w:r>
      <w:r>
        <w:rPr>
          <w:sz w:val="20"/>
          <w:szCs w:val="20"/>
        </w:rPr>
        <w:t xml:space="preserve"> </w:t>
      </w:r>
      <w:r>
        <w:rPr>
          <w:sz w:val="20"/>
          <w:szCs w:val="20"/>
          <w:u w:val="single"/>
        </w:rPr>
        <w:t>www.suburbanpropane.co</w:t>
      </w:r>
      <w:r>
        <w:rPr>
          <w:sz w:val="20"/>
          <w:szCs w:val="20"/>
          <w:u w:val="single"/>
        </w:rPr>
        <w:t>m</w:t>
      </w:r>
      <w:r>
        <w:rPr>
          <w:sz w:val="20"/>
          <w:szCs w:val="20"/>
        </w:rPr>
        <w:t xml:space="preserve"> under the “Investors” tab</w:t>
      </w:r>
      <w:r>
        <w:rPr>
          <w:sz w:val="20"/>
          <w:szCs w:val="20"/>
        </w:rPr>
        <w:t>.</w:t>
      </w:r>
    </w:p>
    <w:p w14:paraId="2320C22F" w14:textId="77777777" w:rsidR="00000000" w:rsidRDefault="00832D71">
      <w:pPr>
        <w:pStyle w:val="a3"/>
        <w:spacing w:before="240" w:beforeAutospacing="0" w:after="0" w:afterAutospacing="0"/>
        <w:ind w:firstLine="555"/>
        <w:jc w:val="both"/>
        <w:rPr>
          <w:sz w:val="20"/>
          <w:szCs w:val="20"/>
        </w:rPr>
      </w:pPr>
      <w:r>
        <w:rPr>
          <w:sz w:val="20"/>
          <w:szCs w:val="20"/>
        </w:rPr>
        <w:t>The Partnership also maintains a policy that prohibits our executive officers and our Board of Supervisors from engaging in inside</w:t>
      </w:r>
      <w:r>
        <w:rPr>
          <w:sz w:val="20"/>
          <w:szCs w:val="20"/>
        </w:rPr>
        <w:t>r trading or buying or selling hedging instruments or derivative securities, or from otherwise engaging in transactions, that are designed to hedge or offset any decrease in the market value of our equity securities</w:t>
      </w:r>
      <w:r>
        <w:rPr>
          <w:sz w:val="20"/>
          <w:szCs w:val="20"/>
        </w:rPr>
        <w:t>.</w:t>
      </w:r>
    </w:p>
    <w:p w14:paraId="3AC64B22" w14:textId="77777777" w:rsidR="00000000" w:rsidRDefault="00832D71">
      <w:pPr>
        <w:pStyle w:val="a3"/>
        <w:spacing w:before="360" w:beforeAutospacing="0" w:after="0" w:afterAutospacing="0"/>
        <w:jc w:val="both"/>
        <w:rPr>
          <w:sz w:val="20"/>
          <w:szCs w:val="20"/>
        </w:rPr>
      </w:pPr>
      <w:r>
        <w:rPr>
          <w:i/>
          <w:iCs/>
          <w:sz w:val="20"/>
          <w:szCs w:val="20"/>
        </w:rPr>
        <w:t>Incentive Compensation Recoupment Polic</w:t>
      </w:r>
      <w:r>
        <w:rPr>
          <w:i/>
          <w:iCs/>
          <w:sz w:val="20"/>
          <w:szCs w:val="20"/>
        </w:rPr>
        <w:t>y</w:t>
      </w:r>
    </w:p>
    <w:p w14:paraId="643D2AD2" w14:textId="77777777" w:rsidR="00000000" w:rsidRDefault="00832D71">
      <w:pPr>
        <w:pStyle w:val="a3"/>
        <w:spacing w:before="120" w:beforeAutospacing="0" w:after="0" w:afterAutospacing="0"/>
        <w:ind w:firstLine="555"/>
        <w:jc w:val="both"/>
        <w:rPr>
          <w:sz w:val="20"/>
          <w:szCs w:val="20"/>
        </w:rPr>
      </w:pPr>
      <w:r>
        <w:rPr>
          <w:sz w:val="20"/>
          <w:szCs w:val="20"/>
        </w:rPr>
        <w:t>We have a longstanding Incentive Compensation Recoupment Policy that permits the Committee to seek reimbursement from certain executives of the Partnership of incentive compensation (i.e., payments made pursuant to the annual cash bonus plan, the Long-Te</w:t>
      </w:r>
      <w:r>
        <w:rPr>
          <w:sz w:val="20"/>
          <w:szCs w:val="20"/>
        </w:rPr>
        <w:t>rm Incentive Plan, the Restricted Unit Plan, the Phantom Unit Plan and the Distribution Equivalent Rights Plan) paid to those executives in connection with any fiscal year for which there is a significant restatement of the published financial statements o</w:t>
      </w:r>
      <w:r>
        <w:rPr>
          <w:sz w:val="20"/>
          <w:szCs w:val="20"/>
        </w:rPr>
        <w:t>f the Partnership triggered by a material accounting error, which results in less favorable results than those originally reported. Such reimbursement can be sought from executives even if they were not personally responsible for the restatement. In additi</w:t>
      </w:r>
      <w:r>
        <w:rPr>
          <w:sz w:val="20"/>
          <w:szCs w:val="20"/>
        </w:rPr>
        <w:t>on to the foregoing, if the Committee determines that any fraud or intentional misconduct by an executive was a contributing factor to the Partnership having to make a significant restatement, then the Committee is authorized to take appropriate action aga</w:t>
      </w:r>
      <w:r>
        <w:rPr>
          <w:sz w:val="20"/>
          <w:szCs w:val="20"/>
        </w:rPr>
        <w:t>inst such executive, including disciplinary action, up to, and including, termination, and requiring reimbursement of all, or any part, of the compensation paid to that executive in excess of that executive’s base salary; including cancellation of any unve</w:t>
      </w:r>
      <w:r>
        <w:rPr>
          <w:sz w:val="20"/>
          <w:szCs w:val="20"/>
        </w:rPr>
        <w:t>sted restricted units</w:t>
      </w:r>
      <w:r>
        <w:rPr>
          <w:sz w:val="20"/>
          <w:szCs w:val="20"/>
        </w:rPr>
        <w:t>.</w:t>
      </w:r>
      <w:r>
        <w:rPr>
          <w:sz w:val="20"/>
          <w:szCs w:val="20"/>
        </w:rPr>
        <w:t xml:space="preserve"> </w:t>
      </w:r>
    </w:p>
    <w:p w14:paraId="19A0A178" w14:textId="77777777" w:rsidR="00000000" w:rsidRDefault="00832D71">
      <w:pPr>
        <w:pStyle w:val="a3"/>
        <w:spacing w:before="240" w:beforeAutospacing="0" w:after="0" w:afterAutospacing="0"/>
        <w:jc w:val="both"/>
        <w:rPr>
          <w:sz w:val="20"/>
          <w:szCs w:val="20"/>
        </w:rPr>
      </w:pPr>
      <w:r>
        <w:rPr>
          <w:sz w:val="20"/>
          <w:szCs w:val="20"/>
        </w:rPr>
        <w:t>The Incentive Compensation Recoupment Policy is available on our website at</w:t>
      </w:r>
      <w:r>
        <w:rPr>
          <w:sz w:val="20"/>
          <w:szCs w:val="20"/>
        </w:rPr>
        <w:t xml:space="preserve"> </w:t>
      </w:r>
      <w:r>
        <w:rPr>
          <w:sz w:val="20"/>
          <w:szCs w:val="20"/>
          <w:u w:val="single"/>
        </w:rPr>
        <w:t>www.suburbanpropane.co</w:t>
      </w:r>
      <w:r>
        <w:rPr>
          <w:sz w:val="20"/>
          <w:szCs w:val="20"/>
          <w:u w:val="single"/>
        </w:rPr>
        <w:t>m</w:t>
      </w:r>
      <w:r>
        <w:rPr>
          <w:sz w:val="20"/>
          <w:szCs w:val="20"/>
        </w:rPr>
        <w:t xml:space="preserve"> under the “Investors” tab</w:t>
      </w:r>
      <w:r>
        <w:rPr>
          <w:sz w:val="20"/>
          <w:szCs w:val="20"/>
        </w:rPr>
        <w:t>.</w:t>
      </w:r>
    </w:p>
    <w:p w14:paraId="425F30A4" w14:textId="77777777" w:rsidR="00000000" w:rsidRDefault="00832D71">
      <w:pPr>
        <w:pStyle w:val="a3"/>
        <w:spacing w:before="360" w:beforeAutospacing="0" w:after="0" w:afterAutospacing="0"/>
        <w:jc w:val="both"/>
        <w:rPr>
          <w:sz w:val="20"/>
          <w:szCs w:val="20"/>
        </w:rPr>
      </w:pPr>
      <w:r>
        <w:rPr>
          <w:b/>
          <w:bCs/>
          <w:sz w:val="20"/>
          <w:szCs w:val="20"/>
        </w:rPr>
        <w:t>Report of the Compensation Committe</w:t>
      </w:r>
      <w:r>
        <w:rPr>
          <w:b/>
          <w:bCs/>
          <w:sz w:val="20"/>
          <w:szCs w:val="20"/>
        </w:rPr>
        <w:t>e</w:t>
      </w:r>
    </w:p>
    <w:p w14:paraId="58D9D852" w14:textId="77777777" w:rsidR="00000000" w:rsidRDefault="00832D71">
      <w:pPr>
        <w:pStyle w:val="a3"/>
        <w:spacing w:before="120" w:beforeAutospacing="0" w:after="0" w:afterAutospacing="0"/>
        <w:ind w:firstLine="555"/>
        <w:jc w:val="both"/>
        <w:rPr>
          <w:sz w:val="20"/>
          <w:szCs w:val="20"/>
        </w:rPr>
      </w:pPr>
      <w:r>
        <w:rPr>
          <w:sz w:val="20"/>
          <w:szCs w:val="20"/>
        </w:rPr>
        <w:t>The Compensation Committee has reviewed and discussed with managemen</w:t>
      </w:r>
      <w:r>
        <w:rPr>
          <w:sz w:val="20"/>
          <w:szCs w:val="20"/>
        </w:rPr>
        <w:t>t this Compensation Discussion and Analysis. Based on its review and discussions with management, the Committee recommended to the Board of Supervisors that this Compensation Discussion and Analysis be included in this Annual Report on Form 10-K for fiscal</w:t>
      </w:r>
      <w:r>
        <w:rPr>
          <w:sz w:val="20"/>
          <w:szCs w:val="20"/>
        </w:rPr>
        <w:t xml:space="preserve"> 2022</w:t>
      </w:r>
      <w:r>
        <w:rPr>
          <w:sz w:val="20"/>
          <w:szCs w:val="20"/>
        </w:rPr>
        <w:t>.</w:t>
      </w:r>
    </w:p>
    <w:p w14:paraId="384CAC56" w14:textId="77777777" w:rsidR="00000000" w:rsidRDefault="00832D71">
      <w:pPr>
        <w:pStyle w:val="a3"/>
        <w:spacing w:before="0" w:beforeAutospacing="0" w:after="0" w:afterAutospacing="0"/>
        <w:jc w:val="both"/>
        <w:rPr>
          <w:sz w:val="20"/>
          <w:szCs w:val="20"/>
        </w:rPr>
      </w:pPr>
      <w:r>
        <w:rPr>
          <w:sz w:val="20"/>
          <w:szCs w:val="20"/>
        </w:rPr>
        <w:t> </w:t>
      </w:r>
    </w:p>
    <w:p w14:paraId="707C4451" w14:textId="77777777" w:rsidR="00000000" w:rsidRDefault="00832D71">
      <w:pPr>
        <w:pStyle w:val="a3"/>
        <w:spacing w:before="0" w:beforeAutospacing="0" w:after="0" w:afterAutospacing="0"/>
        <w:jc w:val="both"/>
        <w:rPr>
          <w:sz w:val="20"/>
          <w:szCs w:val="20"/>
        </w:rPr>
      </w:pPr>
      <w:r>
        <w:rPr>
          <w:sz w:val="20"/>
          <w:szCs w:val="20"/>
        </w:rPr>
        <w:t>The Compensation Committee</w:t>
      </w:r>
      <w:r>
        <w:rPr>
          <w:sz w:val="20"/>
          <w:szCs w:val="20"/>
        </w:rPr>
        <w:t>:</w:t>
      </w:r>
    </w:p>
    <w:p w14:paraId="6A55D8E6" w14:textId="77777777" w:rsidR="00000000" w:rsidRDefault="00832D71">
      <w:pPr>
        <w:pStyle w:val="a3"/>
        <w:spacing w:before="0" w:beforeAutospacing="0" w:after="0" w:afterAutospacing="0"/>
        <w:jc w:val="both"/>
        <w:rPr>
          <w:sz w:val="20"/>
          <w:szCs w:val="20"/>
        </w:rPr>
      </w:pPr>
      <w:r>
        <w:rPr>
          <w:sz w:val="20"/>
          <w:szCs w:val="20"/>
        </w:rPr>
        <w:t> </w:t>
      </w:r>
    </w:p>
    <w:p w14:paraId="7A6EEAF5" w14:textId="77777777" w:rsidR="00000000" w:rsidRDefault="00832D71">
      <w:pPr>
        <w:pStyle w:val="a3"/>
        <w:spacing w:before="0" w:beforeAutospacing="0" w:after="0" w:afterAutospacing="0"/>
        <w:jc w:val="both"/>
        <w:rPr>
          <w:sz w:val="20"/>
          <w:szCs w:val="20"/>
        </w:rPr>
      </w:pPr>
      <w:r>
        <w:rPr>
          <w:sz w:val="20"/>
          <w:szCs w:val="20"/>
        </w:rPr>
        <w:t>Jane Swift, Chai</w:t>
      </w:r>
      <w:r>
        <w:rPr>
          <w:sz w:val="20"/>
          <w:szCs w:val="20"/>
        </w:rPr>
        <w:t>r</w:t>
      </w:r>
    </w:p>
    <w:p w14:paraId="0C38BF6E" w14:textId="77777777" w:rsidR="00000000" w:rsidRDefault="00832D71">
      <w:pPr>
        <w:pStyle w:val="a3"/>
        <w:spacing w:before="0" w:beforeAutospacing="0" w:after="0" w:afterAutospacing="0"/>
        <w:jc w:val="both"/>
        <w:rPr>
          <w:sz w:val="20"/>
          <w:szCs w:val="20"/>
        </w:rPr>
      </w:pPr>
      <w:r>
        <w:rPr>
          <w:sz w:val="20"/>
          <w:szCs w:val="20"/>
        </w:rPr>
        <w:t>Matthew Chani</w:t>
      </w:r>
      <w:r>
        <w:rPr>
          <w:sz w:val="20"/>
          <w:szCs w:val="20"/>
        </w:rPr>
        <w:t>n</w:t>
      </w:r>
    </w:p>
    <w:p w14:paraId="78148D57" w14:textId="77777777" w:rsidR="00000000" w:rsidRDefault="00832D71">
      <w:pPr>
        <w:pStyle w:val="a3"/>
        <w:spacing w:before="0" w:beforeAutospacing="0" w:after="0" w:afterAutospacing="0"/>
        <w:jc w:val="both"/>
        <w:rPr>
          <w:sz w:val="20"/>
          <w:szCs w:val="20"/>
        </w:rPr>
      </w:pPr>
      <w:r>
        <w:rPr>
          <w:sz w:val="20"/>
          <w:szCs w:val="20"/>
        </w:rPr>
        <w:t>Harold R. Logan, Jr</w:t>
      </w:r>
      <w:r>
        <w:rPr>
          <w:sz w:val="20"/>
          <w:szCs w:val="20"/>
        </w:rPr>
        <w:t>.</w:t>
      </w:r>
    </w:p>
    <w:p w14:paraId="477F2D27" w14:textId="77777777" w:rsidR="00000000" w:rsidRDefault="00832D71">
      <w:pPr>
        <w:pStyle w:val="a3"/>
        <w:spacing w:before="0" w:beforeAutospacing="0" w:after="0" w:afterAutospacing="0"/>
        <w:jc w:val="both"/>
        <w:rPr>
          <w:sz w:val="20"/>
          <w:szCs w:val="20"/>
        </w:rPr>
      </w:pPr>
      <w:r>
        <w:rPr>
          <w:sz w:val="20"/>
          <w:szCs w:val="20"/>
        </w:rPr>
        <w:t> </w:t>
      </w:r>
    </w:p>
    <w:p w14:paraId="74F41665" w14:textId="77777777" w:rsidR="00000000" w:rsidRDefault="00832D71">
      <w:pPr>
        <w:pStyle w:val="a3"/>
        <w:spacing w:before="0" w:beforeAutospacing="0" w:after="0" w:afterAutospacing="0"/>
        <w:jc w:val="center"/>
        <w:rPr>
          <w:sz w:val="20"/>
          <w:szCs w:val="20"/>
        </w:rPr>
      </w:pPr>
      <w:r>
        <w:rPr>
          <w:sz w:val="20"/>
          <w:szCs w:val="20"/>
        </w:rPr>
        <w:t> </w:t>
      </w:r>
    </w:p>
    <w:p w14:paraId="530C09BD" w14:textId="77777777" w:rsidR="00000000" w:rsidRDefault="00832D71">
      <w:pPr>
        <w:pStyle w:val="a3"/>
        <w:spacing w:before="0" w:beforeAutospacing="0" w:after="0" w:afterAutospacing="0"/>
        <w:jc w:val="center"/>
        <w:rPr>
          <w:sz w:val="20"/>
          <w:szCs w:val="20"/>
        </w:rPr>
      </w:pPr>
      <w:r>
        <w:rPr>
          <w:sz w:val="20"/>
          <w:szCs w:val="20"/>
        </w:rPr>
        <w:t>7</w:t>
      </w:r>
      <w:r>
        <w:rPr>
          <w:sz w:val="20"/>
          <w:szCs w:val="20"/>
        </w:rPr>
        <w:t>4</w:t>
      </w:r>
    </w:p>
    <w:p w14:paraId="0FDE8AFA" w14:textId="77777777" w:rsidR="00000000" w:rsidRDefault="00832D71">
      <w:pPr>
        <w:rPr>
          <w:rFonts w:eastAsia="Times New Roman"/>
        </w:rPr>
      </w:pPr>
      <w:r>
        <w:rPr>
          <w:rFonts w:eastAsia="Times New Roman"/>
        </w:rPr>
        <w:pict w14:anchorId="4639C61A">
          <v:rect id="_x0000_i1101" style="width:0;height:1.5pt" o:hralign="center" o:hrstd="t" o:hr="t" fillcolor="#a0a0a0" stroked="f"/>
        </w:pict>
      </w:r>
    </w:p>
    <w:p w14:paraId="67866133"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294BCD33" w14:textId="77777777" w:rsidR="00000000" w:rsidRDefault="00832D71">
      <w:pPr>
        <w:pStyle w:val="a3"/>
        <w:spacing w:before="360" w:beforeAutospacing="0" w:after="0" w:afterAutospacing="0"/>
        <w:jc w:val="center"/>
        <w:rPr>
          <w:sz w:val="20"/>
          <w:szCs w:val="20"/>
        </w:rPr>
      </w:pPr>
      <w:r>
        <w:rPr>
          <w:b/>
          <w:bCs/>
          <w:i/>
          <w:iCs/>
          <w:sz w:val="20"/>
          <w:szCs w:val="20"/>
        </w:rPr>
        <w:t>ADDITIONAL INFORMATION REGARDING EXECUTIVE COMPENSATIO</w:t>
      </w:r>
      <w:r>
        <w:rPr>
          <w:b/>
          <w:bCs/>
          <w:i/>
          <w:iCs/>
          <w:sz w:val="20"/>
          <w:szCs w:val="20"/>
        </w:rPr>
        <w:t>N</w:t>
      </w:r>
    </w:p>
    <w:p w14:paraId="5C0BF80A" w14:textId="77777777" w:rsidR="00000000" w:rsidRDefault="00832D71">
      <w:pPr>
        <w:pStyle w:val="a3"/>
        <w:spacing w:before="0" w:beforeAutospacing="0" w:after="0" w:afterAutospacing="0"/>
        <w:jc w:val="both"/>
        <w:rPr>
          <w:sz w:val="20"/>
          <w:szCs w:val="20"/>
        </w:rPr>
      </w:pPr>
      <w:r>
        <w:rPr>
          <w:sz w:val="20"/>
          <w:szCs w:val="20"/>
        </w:rPr>
        <w:t> </w:t>
      </w:r>
    </w:p>
    <w:p w14:paraId="523781A8" w14:textId="77777777" w:rsidR="00000000" w:rsidRDefault="00832D71">
      <w:pPr>
        <w:pStyle w:val="a3"/>
        <w:spacing w:before="0" w:beforeAutospacing="0" w:after="0" w:afterAutospacing="0"/>
        <w:jc w:val="both"/>
        <w:rPr>
          <w:sz w:val="20"/>
          <w:szCs w:val="20"/>
        </w:rPr>
      </w:pPr>
      <w:r>
        <w:rPr>
          <w:b/>
          <w:bCs/>
          <w:sz w:val="20"/>
          <w:szCs w:val="20"/>
        </w:rPr>
        <w:t>Summary Compensation Tabl</w:t>
      </w:r>
      <w:r>
        <w:rPr>
          <w:b/>
          <w:bCs/>
          <w:sz w:val="20"/>
          <w:szCs w:val="20"/>
        </w:rPr>
        <w:t>e</w:t>
      </w:r>
      <w:r>
        <w:rPr>
          <w:b/>
          <w:bCs/>
          <w:sz w:val="20"/>
          <w:szCs w:val="20"/>
        </w:rPr>
        <w:t xml:space="preserve"> </w:t>
      </w:r>
    </w:p>
    <w:p w14:paraId="3675E4B2" w14:textId="77777777" w:rsidR="00000000" w:rsidRDefault="00832D71">
      <w:pPr>
        <w:pStyle w:val="a3"/>
        <w:spacing w:before="0" w:beforeAutospacing="0" w:after="0" w:afterAutospacing="0"/>
        <w:jc w:val="both"/>
        <w:rPr>
          <w:sz w:val="20"/>
          <w:szCs w:val="20"/>
        </w:rPr>
      </w:pPr>
      <w:r>
        <w:rPr>
          <w:sz w:val="20"/>
          <w:szCs w:val="20"/>
        </w:rPr>
        <w:t> </w:t>
      </w:r>
    </w:p>
    <w:p w14:paraId="63D35242" w14:textId="77777777" w:rsidR="00000000" w:rsidRDefault="00832D71">
      <w:pPr>
        <w:pStyle w:val="a3"/>
        <w:spacing w:before="0" w:beforeAutospacing="0" w:after="0" w:afterAutospacing="0"/>
        <w:ind w:firstLine="555"/>
        <w:jc w:val="both"/>
        <w:rPr>
          <w:sz w:val="20"/>
          <w:szCs w:val="20"/>
        </w:rPr>
      </w:pPr>
      <w:r>
        <w:rPr>
          <w:sz w:val="20"/>
          <w:szCs w:val="20"/>
        </w:rPr>
        <w:t>The following table sets forth certain information concerning the compensation of each named executive officer during the fiscal years ended September 24, 2022, September 25, 2021 and September 26, 2020</w:t>
      </w:r>
      <w:r>
        <w:rPr>
          <w:sz w:val="20"/>
          <w:szCs w:val="20"/>
        </w:rPr>
        <w:t>:</w:t>
      </w:r>
    </w:p>
    <w:p w14:paraId="3D07A6C3" w14:textId="77777777" w:rsidR="00000000" w:rsidRDefault="00832D71">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19"/>
        <w:gridCol w:w="100"/>
        <w:gridCol w:w="380"/>
        <w:gridCol w:w="100"/>
        <w:gridCol w:w="140"/>
        <w:gridCol w:w="580"/>
        <w:gridCol w:w="100"/>
        <w:gridCol w:w="100"/>
        <w:gridCol w:w="141"/>
        <w:gridCol w:w="314"/>
        <w:gridCol w:w="100"/>
        <w:gridCol w:w="100"/>
        <w:gridCol w:w="140"/>
        <w:gridCol w:w="700"/>
        <w:gridCol w:w="100"/>
        <w:gridCol w:w="100"/>
        <w:gridCol w:w="140"/>
        <w:gridCol w:w="700"/>
        <w:gridCol w:w="100"/>
        <w:gridCol w:w="100"/>
        <w:gridCol w:w="141"/>
        <w:gridCol w:w="707"/>
        <w:gridCol w:w="100"/>
        <w:gridCol w:w="100"/>
        <w:gridCol w:w="141"/>
        <w:gridCol w:w="708"/>
        <w:gridCol w:w="100"/>
        <w:gridCol w:w="100"/>
        <w:gridCol w:w="140"/>
        <w:gridCol w:w="700"/>
        <w:gridCol w:w="115"/>
      </w:tblGrid>
      <w:tr w:rsidR="00000000" w14:paraId="124EC096" w14:textId="77777777">
        <w:trPr>
          <w:tblCellSpacing w:w="15" w:type="dxa"/>
        </w:trPr>
        <w:tc>
          <w:tcPr>
            <w:tcW w:w="1094" w:type="pct"/>
            <w:vAlign w:val="center"/>
            <w:hideMark/>
          </w:tcPr>
          <w:p w14:paraId="6995592F" w14:textId="77777777" w:rsidR="00000000" w:rsidRDefault="00832D71">
            <w:pPr>
              <w:rPr>
                <w:sz w:val="20"/>
                <w:szCs w:val="20"/>
              </w:rPr>
            </w:pPr>
          </w:p>
        </w:tc>
        <w:tc>
          <w:tcPr>
            <w:tcW w:w="28" w:type="pct"/>
            <w:vAlign w:val="center"/>
            <w:hideMark/>
          </w:tcPr>
          <w:p w14:paraId="218B51D1" w14:textId="77777777" w:rsidR="00000000" w:rsidRDefault="00832D71">
            <w:pPr>
              <w:rPr>
                <w:rFonts w:eastAsia="Times New Roman"/>
                <w:sz w:val="20"/>
                <w:szCs w:val="20"/>
              </w:rPr>
            </w:pPr>
          </w:p>
        </w:tc>
        <w:tc>
          <w:tcPr>
            <w:tcW w:w="241" w:type="pct"/>
            <w:vAlign w:val="center"/>
            <w:hideMark/>
          </w:tcPr>
          <w:p w14:paraId="78CE8E6C" w14:textId="77777777" w:rsidR="00000000" w:rsidRDefault="00832D71">
            <w:pPr>
              <w:rPr>
                <w:rFonts w:eastAsia="Times New Roman"/>
                <w:sz w:val="20"/>
                <w:szCs w:val="20"/>
              </w:rPr>
            </w:pPr>
          </w:p>
        </w:tc>
        <w:tc>
          <w:tcPr>
            <w:tcW w:w="28" w:type="pct"/>
            <w:vAlign w:val="center"/>
            <w:hideMark/>
          </w:tcPr>
          <w:p w14:paraId="273ABAB9" w14:textId="77777777" w:rsidR="00000000" w:rsidRDefault="00832D71">
            <w:pPr>
              <w:rPr>
                <w:rFonts w:eastAsia="Times New Roman"/>
                <w:sz w:val="20"/>
                <w:szCs w:val="20"/>
              </w:rPr>
            </w:pPr>
          </w:p>
        </w:tc>
        <w:tc>
          <w:tcPr>
            <w:tcW w:w="50" w:type="pct"/>
            <w:vAlign w:val="center"/>
            <w:hideMark/>
          </w:tcPr>
          <w:p w14:paraId="131A1DDB" w14:textId="77777777" w:rsidR="00000000" w:rsidRDefault="00832D71">
            <w:pPr>
              <w:rPr>
                <w:rFonts w:eastAsia="Times New Roman"/>
                <w:sz w:val="20"/>
                <w:szCs w:val="20"/>
              </w:rPr>
            </w:pPr>
          </w:p>
        </w:tc>
        <w:tc>
          <w:tcPr>
            <w:tcW w:w="207" w:type="pct"/>
            <w:vAlign w:val="center"/>
            <w:hideMark/>
          </w:tcPr>
          <w:p w14:paraId="6BF81B72" w14:textId="77777777" w:rsidR="00000000" w:rsidRDefault="00832D71">
            <w:pPr>
              <w:rPr>
                <w:rFonts w:eastAsia="Times New Roman"/>
                <w:sz w:val="20"/>
                <w:szCs w:val="20"/>
              </w:rPr>
            </w:pPr>
          </w:p>
        </w:tc>
        <w:tc>
          <w:tcPr>
            <w:tcW w:w="50" w:type="pct"/>
            <w:vAlign w:val="center"/>
            <w:hideMark/>
          </w:tcPr>
          <w:p w14:paraId="2841C9CB" w14:textId="77777777" w:rsidR="00000000" w:rsidRDefault="00832D71">
            <w:pPr>
              <w:rPr>
                <w:rFonts w:eastAsia="Times New Roman"/>
                <w:sz w:val="20"/>
                <w:szCs w:val="20"/>
              </w:rPr>
            </w:pPr>
          </w:p>
        </w:tc>
        <w:tc>
          <w:tcPr>
            <w:tcW w:w="28" w:type="pct"/>
            <w:vAlign w:val="center"/>
            <w:hideMark/>
          </w:tcPr>
          <w:p w14:paraId="7EE74171" w14:textId="77777777" w:rsidR="00000000" w:rsidRDefault="00832D71">
            <w:pPr>
              <w:rPr>
                <w:rFonts w:eastAsia="Times New Roman"/>
                <w:sz w:val="20"/>
                <w:szCs w:val="20"/>
              </w:rPr>
            </w:pPr>
          </w:p>
        </w:tc>
        <w:tc>
          <w:tcPr>
            <w:tcW w:w="50" w:type="pct"/>
            <w:vAlign w:val="center"/>
            <w:hideMark/>
          </w:tcPr>
          <w:p w14:paraId="08C67DF2" w14:textId="77777777" w:rsidR="00000000" w:rsidRDefault="00832D71">
            <w:pPr>
              <w:rPr>
                <w:rFonts w:eastAsia="Times New Roman"/>
                <w:sz w:val="20"/>
                <w:szCs w:val="20"/>
              </w:rPr>
            </w:pPr>
          </w:p>
        </w:tc>
        <w:tc>
          <w:tcPr>
            <w:tcW w:w="384" w:type="pct"/>
            <w:vAlign w:val="center"/>
            <w:hideMark/>
          </w:tcPr>
          <w:p w14:paraId="41DA63FD" w14:textId="77777777" w:rsidR="00000000" w:rsidRDefault="00832D71">
            <w:pPr>
              <w:rPr>
                <w:rFonts w:eastAsia="Times New Roman"/>
                <w:sz w:val="20"/>
                <w:szCs w:val="20"/>
              </w:rPr>
            </w:pPr>
          </w:p>
        </w:tc>
        <w:tc>
          <w:tcPr>
            <w:tcW w:w="50" w:type="pct"/>
            <w:vAlign w:val="center"/>
            <w:hideMark/>
          </w:tcPr>
          <w:p w14:paraId="723AA7CA" w14:textId="77777777" w:rsidR="00000000" w:rsidRDefault="00832D71">
            <w:pPr>
              <w:rPr>
                <w:rFonts w:eastAsia="Times New Roman"/>
                <w:sz w:val="20"/>
                <w:szCs w:val="20"/>
              </w:rPr>
            </w:pPr>
          </w:p>
        </w:tc>
        <w:tc>
          <w:tcPr>
            <w:tcW w:w="28" w:type="pct"/>
            <w:vAlign w:val="center"/>
            <w:hideMark/>
          </w:tcPr>
          <w:p w14:paraId="4F43EA24" w14:textId="77777777" w:rsidR="00000000" w:rsidRDefault="00832D71">
            <w:pPr>
              <w:rPr>
                <w:rFonts w:eastAsia="Times New Roman"/>
                <w:sz w:val="20"/>
                <w:szCs w:val="20"/>
              </w:rPr>
            </w:pPr>
          </w:p>
        </w:tc>
        <w:tc>
          <w:tcPr>
            <w:tcW w:w="50" w:type="pct"/>
            <w:vAlign w:val="center"/>
            <w:hideMark/>
          </w:tcPr>
          <w:p w14:paraId="7B7A475C" w14:textId="77777777" w:rsidR="00000000" w:rsidRDefault="00832D71">
            <w:pPr>
              <w:rPr>
                <w:rFonts w:eastAsia="Times New Roman"/>
                <w:sz w:val="20"/>
                <w:szCs w:val="20"/>
              </w:rPr>
            </w:pPr>
          </w:p>
        </w:tc>
        <w:tc>
          <w:tcPr>
            <w:tcW w:w="250" w:type="pct"/>
            <w:vAlign w:val="center"/>
            <w:hideMark/>
          </w:tcPr>
          <w:p w14:paraId="1D107DEC" w14:textId="77777777" w:rsidR="00000000" w:rsidRDefault="00832D71">
            <w:pPr>
              <w:rPr>
                <w:rFonts w:eastAsia="Times New Roman"/>
                <w:sz w:val="20"/>
                <w:szCs w:val="20"/>
              </w:rPr>
            </w:pPr>
          </w:p>
        </w:tc>
        <w:tc>
          <w:tcPr>
            <w:tcW w:w="50" w:type="pct"/>
            <w:vAlign w:val="center"/>
            <w:hideMark/>
          </w:tcPr>
          <w:p w14:paraId="1CBB96FC" w14:textId="77777777" w:rsidR="00000000" w:rsidRDefault="00832D71">
            <w:pPr>
              <w:rPr>
                <w:rFonts w:eastAsia="Times New Roman"/>
                <w:sz w:val="20"/>
                <w:szCs w:val="20"/>
              </w:rPr>
            </w:pPr>
          </w:p>
        </w:tc>
        <w:tc>
          <w:tcPr>
            <w:tcW w:w="29" w:type="pct"/>
            <w:vAlign w:val="center"/>
            <w:hideMark/>
          </w:tcPr>
          <w:p w14:paraId="639C09A0" w14:textId="77777777" w:rsidR="00000000" w:rsidRDefault="00832D71">
            <w:pPr>
              <w:rPr>
                <w:rFonts w:eastAsia="Times New Roman"/>
                <w:sz w:val="20"/>
                <w:szCs w:val="20"/>
              </w:rPr>
            </w:pPr>
          </w:p>
        </w:tc>
        <w:tc>
          <w:tcPr>
            <w:tcW w:w="50" w:type="pct"/>
            <w:vAlign w:val="center"/>
            <w:hideMark/>
          </w:tcPr>
          <w:p w14:paraId="742A3549" w14:textId="77777777" w:rsidR="00000000" w:rsidRDefault="00832D71">
            <w:pPr>
              <w:rPr>
                <w:rFonts w:eastAsia="Times New Roman"/>
                <w:sz w:val="20"/>
                <w:szCs w:val="20"/>
              </w:rPr>
            </w:pPr>
          </w:p>
        </w:tc>
        <w:tc>
          <w:tcPr>
            <w:tcW w:w="546" w:type="pct"/>
            <w:vAlign w:val="center"/>
            <w:hideMark/>
          </w:tcPr>
          <w:p w14:paraId="124B1C85" w14:textId="77777777" w:rsidR="00000000" w:rsidRDefault="00832D71">
            <w:pPr>
              <w:rPr>
                <w:rFonts w:eastAsia="Times New Roman"/>
                <w:sz w:val="20"/>
                <w:szCs w:val="20"/>
              </w:rPr>
            </w:pPr>
          </w:p>
        </w:tc>
        <w:tc>
          <w:tcPr>
            <w:tcW w:w="50" w:type="pct"/>
            <w:vAlign w:val="center"/>
            <w:hideMark/>
          </w:tcPr>
          <w:p w14:paraId="6691DC7A" w14:textId="77777777" w:rsidR="00000000" w:rsidRDefault="00832D71">
            <w:pPr>
              <w:rPr>
                <w:rFonts w:eastAsia="Times New Roman"/>
                <w:sz w:val="20"/>
                <w:szCs w:val="20"/>
              </w:rPr>
            </w:pPr>
          </w:p>
        </w:tc>
        <w:tc>
          <w:tcPr>
            <w:tcW w:w="29" w:type="pct"/>
            <w:vAlign w:val="center"/>
            <w:hideMark/>
          </w:tcPr>
          <w:p w14:paraId="04C41D13" w14:textId="77777777" w:rsidR="00000000" w:rsidRDefault="00832D71">
            <w:pPr>
              <w:rPr>
                <w:rFonts w:eastAsia="Times New Roman"/>
                <w:sz w:val="20"/>
                <w:szCs w:val="20"/>
              </w:rPr>
            </w:pPr>
          </w:p>
        </w:tc>
        <w:tc>
          <w:tcPr>
            <w:tcW w:w="50" w:type="pct"/>
            <w:vAlign w:val="center"/>
            <w:hideMark/>
          </w:tcPr>
          <w:p w14:paraId="729C12D4" w14:textId="77777777" w:rsidR="00000000" w:rsidRDefault="00832D71">
            <w:pPr>
              <w:rPr>
                <w:rFonts w:eastAsia="Times New Roman"/>
                <w:sz w:val="20"/>
                <w:szCs w:val="20"/>
              </w:rPr>
            </w:pPr>
          </w:p>
        </w:tc>
        <w:tc>
          <w:tcPr>
            <w:tcW w:w="533" w:type="pct"/>
            <w:vAlign w:val="center"/>
            <w:hideMark/>
          </w:tcPr>
          <w:p w14:paraId="688B404E" w14:textId="77777777" w:rsidR="00000000" w:rsidRDefault="00832D71">
            <w:pPr>
              <w:rPr>
                <w:rFonts w:eastAsia="Times New Roman"/>
                <w:sz w:val="20"/>
                <w:szCs w:val="20"/>
              </w:rPr>
            </w:pPr>
          </w:p>
        </w:tc>
        <w:tc>
          <w:tcPr>
            <w:tcW w:w="50" w:type="pct"/>
            <w:vAlign w:val="center"/>
            <w:hideMark/>
          </w:tcPr>
          <w:p w14:paraId="412EE2C0" w14:textId="77777777" w:rsidR="00000000" w:rsidRDefault="00832D71">
            <w:pPr>
              <w:rPr>
                <w:rFonts w:eastAsia="Times New Roman"/>
                <w:sz w:val="20"/>
                <w:szCs w:val="20"/>
              </w:rPr>
            </w:pPr>
          </w:p>
        </w:tc>
        <w:tc>
          <w:tcPr>
            <w:tcW w:w="29" w:type="pct"/>
            <w:vAlign w:val="center"/>
            <w:hideMark/>
          </w:tcPr>
          <w:p w14:paraId="3EBDC79A" w14:textId="77777777" w:rsidR="00000000" w:rsidRDefault="00832D71">
            <w:pPr>
              <w:rPr>
                <w:rFonts w:eastAsia="Times New Roman"/>
                <w:sz w:val="20"/>
                <w:szCs w:val="20"/>
              </w:rPr>
            </w:pPr>
          </w:p>
        </w:tc>
        <w:tc>
          <w:tcPr>
            <w:tcW w:w="50" w:type="pct"/>
            <w:vAlign w:val="center"/>
            <w:hideMark/>
          </w:tcPr>
          <w:p w14:paraId="119F2F59" w14:textId="77777777" w:rsidR="00000000" w:rsidRDefault="00832D71">
            <w:pPr>
              <w:rPr>
                <w:rFonts w:eastAsia="Times New Roman"/>
                <w:sz w:val="20"/>
                <w:szCs w:val="20"/>
              </w:rPr>
            </w:pPr>
          </w:p>
        </w:tc>
        <w:tc>
          <w:tcPr>
            <w:tcW w:w="546" w:type="pct"/>
            <w:vAlign w:val="center"/>
            <w:hideMark/>
          </w:tcPr>
          <w:p w14:paraId="22E818FD" w14:textId="77777777" w:rsidR="00000000" w:rsidRDefault="00832D71">
            <w:pPr>
              <w:rPr>
                <w:rFonts w:eastAsia="Times New Roman"/>
                <w:sz w:val="20"/>
                <w:szCs w:val="20"/>
              </w:rPr>
            </w:pPr>
          </w:p>
        </w:tc>
        <w:tc>
          <w:tcPr>
            <w:tcW w:w="50" w:type="pct"/>
            <w:vAlign w:val="center"/>
            <w:hideMark/>
          </w:tcPr>
          <w:p w14:paraId="3D136978" w14:textId="77777777" w:rsidR="00000000" w:rsidRDefault="00832D71">
            <w:pPr>
              <w:rPr>
                <w:rFonts w:eastAsia="Times New Roman"/>
                <w:sz w:val="20"/>
                <w:szCs w:val="20"/>
              </w:rPr>
            </w:pPr>
          </w:p>
        </w:tc>
        <w:tc>
          <w:tcPr>
            <w:tcW w:w="29" w:type="pct"/>
            <w:vAlign w:val="center"/>
            <w:hideMark/>
          </w:tcPr>
          <w:p w14:paraId="2CC1E5FB" w14:textId="77777777" w:rsidR="00000000" w:rsidRDefault="00832D71">
            <w:pPr>
              <w:rPr>
                <w:rFonts w:eastAsia="Times New Roman"/>
                <w:sz w:val="20"/>
                <w:szCs w:val="20"/>
              </w:rPr>
            </w:pPr>
          </w:p>
        </w:tc>
        <w:tc>
          <w:tcPr>
            <w:tcW w:w="50" w:type="pct"/>
            <w:vAlign w:val="center"/>
            <w:hideMark/>
          </w:tcPr>
          <w:p w14:paraId="25A0894E" w14:textId="77777777" w:rsidR="00000000" w:rsidRDefault="00832D71">
            <w:pPr>
              <w:rPr>
                <w:rFonts w:eastAsia="Times New Roman"/>
                <w:sz w:val="20"/>
                <w:szCs w:val="20"/>
              </w:rPr>
            </w:pPr>
          </w:p>
        </w:tc>
        <w:tc>
          <w:tcPr>
            <w:tcW w:w="262" w:type="pct"/>
            <w:vAlign w:val="center"/>
            <w:hideMark/>
          </w:tcPr>
          <w:p w14:paraId="1AC034E1" w14:textId="77777777" w:rsidR="00000000" w:rsidRDefault="00832D71">
            <w:pPr>
              <w:rPr>
                <w:rFonts w:eastAsia="Times New Roman"/>
                <w:sz w:val="20"/>
                <w:szCs w:val="20"/>
              </w:rPr>
            </w:pPr>
          </w:p>
        </w:tc>
        <w:tc>
          <w:tcPr>
            <w:tcW w:w="50" w:type="pct"/>
            <w:vAlign w:val="center"/>
            <w:hideMark/>
          </w:tcPr>
          <w:p w14:paraId="5AB95069" w14:textId="77777777" w:rsidR="00000000" w:rsidRDefault="00832D71">
            <w:pPr>
              <w:rPr>
                <w:rFonts w:eastAsia="Times New Roman"/>
                <w:sz w:val="20"/>
                <w:szCs w:val="20"/>
              </w:rPr>
            </w:pPr>
          </w:p>
        </w:tc>
      </w:tr>
      <w:tr w:rsidR="00000000" w14:paraId="57E0D02A" w14:textId="77777777">
        <w:trPr>
          <w:trHeight w:val="120"/>
          <w:tblCellSpacing w:w="15" w:type="dxa"/>
        </w:trPr>
        <w:tc>
          <w:tcPr>
            <w:tcW w:w="0" w:type="auto"/>
            <w:vAlign w:val="bottom"/>
            <w:hideMark/>
          </w:tcPr>
          <w:p w14:paraId="723EF84E" w14:textId="77777777" w:rsidR="00000000" w:rsidRDefault="00832D71">
            <w:pPr>
              <w:pStyle w:val="a3"/>
              <w:spacing w:before="0" w:beforeAutospacing="0" w:after="0" w:afterAutospacing="0"/>
              <w:jc w:val="center"/>
              <w:rPr>
                <w:sz w:val="12"/>
                <w:szCs w:val="12"/>
              </w:rPr>
            </w:pPr>
            <w:r>
              <w:rPr>
                <w:b/>
                <w:bCs/>
                <w:sz w:val="12"/>
                <w:szCs w:val="12"/>
              </w:rPr>
              <w:t>Nam</w:t>
            </w:r>
            <w:r>
              <w:rPr>
                <w:b/>
                <w:bCs/>
                <w:sz w:val="12"/>
                <w:szCs w:val="12"/>
              </w:rPr>
              <w:t>e</w:t>
            </w:r>
          </w:p>
        </w:tc>
        <w:tc>
          <w:tcPr>
            <w:tcW w:w="0" w:type="auto"/>
            <w:hideMark/>
          </w:tcPr>
          <w:p w14:paraId="74C8C2EA"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4EA9181" w14:textId="77777777" w:rsidR="00000000" w:rsidRDefault="00832D71">
            <w:pPr>
              <w:pStyle w:val="a3"/>
              <w:spacing w:before="0" w:beforeAutospacing="0" w:after="0" w:afterAutospacing="0"/>
              <w:jc w:val="center"/>
              <w:rPr>
                <w:sz w:val="12"/>
                <w:szCs w:val="12"/>
              </w:rPr>
            </w:pPr>
            <w:r>
              <w:rPr>
                <w:b/>
                <w:bCs/>
                <w:sz w:val="12"/>
                <w:szCs w:val="12"/>
              </w:rPr>
              <w:t>Yea</w:t>
            </w:r>
            <w:r>
              <w:rPr>
                <w:b/>
                <w:bCs/>
                <w:sz w:val="12"/>
                <w:szCs w:val="12"/>
              </w:rPr>
              <w:t>r</w:t>
            </w:r>
          </w:p>
        </w:tc>
        <w:tc>
          <w:tcPr>
            <w:tcW w:w="0" w:type="auto"/>
            <w:hideMark/>
          </w:tcPr>
          <w:p w14:paraId="45DCDD80" w14:textId="77777777" w:rsidR="00000000" w:rsidRDefault="00832D71">
            <w:pPr>
              <w:pStyle w:val="a3"/>
              <w:spacing w:before="0" w:beforeAutospacing="0" w:after="0" w:afterAutospacing="0"/>
              <w:rPr>
                <w:sz w:val="12"/>
                <w:szCs w:val="12"/>
              </w:rPr>
            </w:pPr>
            <w:r>
              <w:rPr>
                <w:sz w:val="12"/>
                <w:szCs w:val="12"/>
              </w:rPr>
              <w:t> </w:t>
            </w:r>
          </w:p>
        </w:tc>
        <w:tc>
          <w:tcPr>
            <w:tcW w:w="0" w:type="auto"/>
            <w:gridSpan w:val="2"/>
            <w:vAlign w:val="bottom"/>
            <w:hideMark/>
          </w:tcPr>
          <w:p w14:paraId="452A56F5" w14:textId="77777777" w:rsidR="00000000" w:rsidRDefault="00832D71">
            <w:pPr>
              <w:pStyle w:val="a3"/>
              <w:spacing w:before="0" w:beforeAutospacing="0" w:after="0" w:afterAutospacing="0"/>
              <w:jc w:val="center"/>
              <w:rPr>
                <w:sz w:val="12"/>
                <w:szCs w:val="12"/>
              </w:rPr>
            </w:pPr>
            <w:r>
              <w:rPr>
                <w:b/>
                <w:bCs/>
                <w:sz w:val="12"/>
                <w:szCs w:val="12"/>
              </w:rPr>
              <w:t>Salar</w:t>
            </w:r>
            <w:r>
              <w:rPr>
                <w:b/>
                <w:bCs/>
                <w:sz w:val="12"/>
                <w:szCs w:val="12"/>
              </w:rPr>
              <w:t>y</w:t>
            </w:r>
            <w:r>
              <w:rPr>
                <w:rFonts w:ascii="Calibri" w:hAnsi="Calibri" w:cs="Calibri"/>
                <w:b/>
                <w:bCs/>
                <w:sz w:val="12"/>
                <w:szCs w:val="12"/>
              </w:rPr>
              <w:t xml:space="preserve"> </w:t>
            </w:r>
            <w:r>
              <w:rPr>
                <w:b/>
                <w:bCs/>
                <w:sz w:val="12"/>
                <w:szCs w:val="12"/>
              </w:rPr>
              <w:t>(1</w:t>
            </w:r>
            <w:r>
              <w:rPr>
                <w:b/>
                <w:bCs/>
                <w:sz w:val="12"/>
                <w:szCs w:val="12"/>
              </w:rPr>
              <w:t>)</w:t>
            </w:r>
          </w:p>
        </w:tc>
        <w:tc>
          <w:tcPr>
            <w:tcW w:w="0" w:type="auto"/>
            <w:vAlign w:val="bottom"/>
            <w:hideMark/>
          </w:tcPr>
          <w:p w14:paraId="0456DE95" w14:textId="77777777" w:rsidR="00000000" w:rsidRDefault="00832D71">
            <w:pPr>
              <w:pStyle w:val="a3"/>
              <w:spacing w:before="0" w:beforeAutospacing="0" w:after="0" w:afterAutospacing="0"/>
              <w:jc w:val="center"/>
              <w:rPr>
                <w:sz w:val="12"/>
                <w:szCs w:val="12"/>
              </w:rPr>
            </w:pPr>
            <w:r>
              <w:rPr>
                <w:sz w:val="12"/>
                <w:szCs w:val="12"/>
              </w:rPr>
              <w:t> </w:t>
            </w:r>
          </w:p>
        </w:tc>
        <w:tc>
          <w:tcPr>
            <w:tcW w:w="0" w:type="auto"/>
            <w:hideMark/>
          </w:tcPr>
          <w:p w14:paraId="13A5AAFC" w14:textId="77777777" w:rsidR="00000000" w:rsidRDefault="00832D71">
            <w:pPr>
              <w:pStyle w:val="a3"/>
              <w:spacing w:before="0" w:beforeAutospacing="0" w:after="0" w:afterAutospacing="0"/>
              <w:rPr>
                <w:sz w:val="12"/>
                <w:szCs w:val="12"/>
              </w:rPr>
            </w:pPr>
            <w:r>
              <w:rPr>
                <w:sz w:val="12"/>
                <w:szCs w:val="12"/>
              </w:rPr>
              <w:t> </w:t>
            </w:r>
          </w:p>
        </w:tc>
        <w:tc>
          <w:tcPr>
            <w:tcW w:w="0" w:type="auto"/>
            <w:gridSpan w:val="2"/>
            <w:vAlign w:val="bottom"/>
            <w:hideMark/>
          </w:tcPr>
          <w:p w14:paraId="559D4981" w14:textId="77777777" w:rsidR="00000000" w:rsidRDefault="00832D71">
            <w:pPr>
              <w:pStyle w:val="a3"/>
              <w:spacing w:before="0" w:beforeAutospacing="0" w:after="0" w:afterAutospacing="0"/>
              <w:jc w:val="center"/>
              <w:rPr>
                <w:sz w:val="12"/>
                <w:szCs w:val="12"/>
              </w:rPr>
            </w:pPr>
            <w:r>
              <w:rPr>
                <w:b/>
                <w:bCs/>
                <w:sz w:val="12"/>
                <w:szCs w:val="12"/>
              </w:rPr>
              <w:t>Bonus (2</w:t>
            </w:r>
            <w:r>
              <w:rPr>
                <w:b/>
                <w:bCs/>
                <w:sz w:val="12"/>
                <w:szCs w:val="12"/>
              </w:rPr>
              <w:t>)</w:t>
            </w:r>
          </w:p>
        </w:tc>
        <w:tc>
          <w:tcPr>
            <w:tcW w:w="0" w:type="auto"/>
            <w:vAlign w:val="bottom"/>
            <w:hideMark/>
          </w:tcPr>
          <w:p w14:paraId="0E19D067" w14:textId="77777777" w:rsidR="00000000" w:rsidRDefault="00832D71">
            <w:pPr>
              <w:pStyle w:val="a3"/>
              <w:spacing w:before="0" w:beforeAutospacing="0" w:after="0" w:afterAutospacing="0"/>
              <w:jc w:val="center"/>
              <w:rPr>
                <w:sz w:val="12"/>
                <w:szCs w:val="12"/>
              </w:rPr>
            </w:pPr>
            <w:r>
              <w:rPr>
                <w:sz w:val="12"/>
                <w:szCs w:val="12"/>
              </w:rPr>
              <w:t> </w:t>
            </w:r>
          </w:p>
        </w:tc>
        <w:tc>
          <w:tcPr>
            <w:tcW w:w="0" w:type="auto"/>
            <w:hideMark/>
          </w:tcPr>
          <w:p w14:paraId="0F5CC089" w14:textId="77777777" w:rsidR="00000000" w:rsidRDefault="00832D71">
            <w:pPr>
              <w:pStyle w:val="a3"/>
              <w:spacing w:before="0" w:beforeAutospacing="0" w:after="0" w:afterAutospacing="0"/>
              <w:rPr>
                <w:sz w:val="12"/>
                <w:szCs w:val="12"/>
              </w:rPr>
            </w:pPr>
            <w:r>
              <w:rPr>
                <w:sz w:val="12"/>
                <w:szCs w:val="12"/>
              </w:rPr>
              <w:t> </w:t>
            </w:r>
          </w:p>
        </w:tc>
        <w:tc>
          <w:tcPr>
            <w:tcW w:w="0" w:type="auto"/>
            <w:gridSpan w:val="2"/>
            <w:vAlign w:val="bottom"/>
            <w:hideMark/>
          </w:tcPr>
          <w:p w14:paraId="7452F553" w14:textId="77777777" w:rsidR="00000000" w:rsidRDefault="00832D71">
            <w:pPr>
              <w:pStyle w:val="a3"/>
              <w:spacing w:before="0" w:beforeAutospacing="0" w:after="0" w:afterAutospacing="0"/>
              <w:jc w:val="center"/>
              <w:rPr>
                <w:sz w:val="12"/>
                <w:szCs w:val="12"/>
              </w:rPr>
            </w:pPr>
            <w:r>
              <w:rPr>
                <w:b/>
                <w:bCs/>
                <w:sz w:val="12"/>
                <w:szCs w:val="12"/>
              </w:rPr>
              <w:t>Unit Awards (3</w:t>
            </w:r>
            <w:r>
              <w:rPr>
                <w:b/>
                <w:bCs/>
                <w:sz w:val="12"/>
                <w:szCs w:val="12"/>
              </w:rPr>
              <w:t>)</w:t>
            </w:r>
          </w:p>
        </w:tc>
        <w:tc>
          <w:tcPr>
            <w:tcW w:w="0" w:type="auto"/>
            <w:vAlign w:val="bottom"/>
            <w:hideMark/>
          </w:tcPr>
          <w:p w14:paraId="2D9A5BC7" w14:textId="77777777" w:rsidR="00000000" w:rsidRDefault="00832D71">
            <w:pPr>
              <w:pStyle w:val="a3"/>
              <w:spacing w:before="0" w:beforeAutospacing="0" w:after="0" w:afterAutospacing="0"/>
              <w:jc w:val="center"/>
              <w:rPr>
                <w:sz w:val="12"/>
                <w:szCs w:val="12"/>
              </w:rPr>
            </w:pPr>
            <w:r>
              <w:rPr>
                <w:sz w:val="12"/>
                <w:szCs w:val="12"/>
              </w:rPr>
              <w:t> </w:t>
            </w:r>
          </w:p>
        </w:tc>
        <w:tc>
          <w:tcPr>
            <w:tcW w:w="0" w:type="auto"/>
            <w:hideMark/>
          </w:tcPr>
          <w:p w14:paraId="15BFA70E" w14:textId="77777777" w:rsidR="00000000" w:rsidRDefault="00832D71">
            <w:pPr>
              <w:pStyle w:val="a3"/>
              <w:spacing w:before="0" w:beforeAutospacing="0" w:after="0" w:afterAutospacing="0"/>
              <w:rPr>
                <w:sz w:val="12"/>
                <w:szCs w:val="12"/>
              </w:rPr>
            </w:pPr>
            <w:r>
              <w:rPr>
                <w:sz w:val="12"/>
                <w:szCs w:val="12"/>
              </w:rPr>
              <w:t> </w:t>
            </w:r>
          </w:p>
        </w:tc>
        <w:tc>
          <w:tcPr>
            <w:tcW w:w="0" w:type="auto"/>
            <w:gridSpan w:val="2"/>
            <w:vAlign w:val="bottom"/>
            <w:hideMark/>
          </w:tcPr>
          <w:p w14:paraId="74787BAE" w14:textId="77777777" w:rsidR="00000000" w:rsidRDefault="00832D71">
            <w:pPr>
              <w:pStyle w:val="a3"/>
              <w:spacing w:before="0" w:beforeAutospacing="0" w:after="0" w:afterAutospacing="0"/>
              <w:jc w:val="center"/>
              <w:rPr>
                <w:sz w:val="12"/>
                <w:szCs w:val="12"/>
              </w:rPr>
            </w:pPr>
            <w:r>
              <w:rPr>
                <w:b/>
                <w:bCs/>
                <w:sz w:val="12"/>
                <w:szCs w:val="12"/>
              </w:rPr>
              <w:t>Non-Equity</w:t>
            </w:r>
            <w:r>
              <w:rPr>
                <w:b/>
                <w:bCs/>
                <w:sz w:val="12"/>
                <w:szCs w:val="12"/>
              </w:rPr>
              <w:br/>
              <w:t xml:space="preserve">Incentive Plan Compensation </w:t>
            </w:r>
            <w:r>
              <w:rPr>
                <w:b/>
                <w:bCs/>
                <w:sz w:val="12"/>
                <w:szCs w:val="12"/>
              </w:rPr>
              <w:br/>
              <w:t>(4</w:t>
            </w:r>
            <w:r>
              <w:rPr>
                <w:b/>
                <w:bCs/>
                <w:sz w:val="12"/>
                <w:szCs w:val="12"/>
              </w:rPr>
              <w:t>)</w:t>
            </w:r>
          </w:p>
        </w:tc>
        <w:tc>
          <w:tcPr>
            <w:tcW w:w="0" w:type="auto"/>
            <w:vAlign w:val="bottom"/>
            <w:hideMark/>
          </w:tcPr>
          <w:p w14:paraId="4D2DB9DF" w14:textId="77777777" w:rsidR="00000000" w:rsidRDefault="00832D71">
            <w:pPr>
              <w:pStyle w:val="a3"/>
              <w:spacing w:before="0" w:beforeAutospacing="0" w:after="0" w:afterAutospacing="0"/>
              <w:jc w:val="center"/>
              <w:rPr>
                <w:sz w:val="12"/>
                <w:szCs w:val="12"/>
              </w:rPr>
            </w:pPr>
            <w:r>
              <w:rPr>
                <w:sz w:val="12"/>
                <w:szCs w:val="12"/>
              </w:rPr>
              <w:t> </w:t>
            </w:r>
          </w:p>
        </w:tc>
        <w:tc>
          <w:tcPr>
            <w:tcW w:w="0" w:type="auto"/>
            <w:hideMark/>
          </w:tcPr>
          <w:p w14:paraId="6E407CFF" w14:textId="77777777" w:rsidR="00000000" w:rsidRDefault="00832D71">
            <w:pPr>
              <w:pStyle w:val="a3"/>
              <w:spacing w:before="0" w:beforeAutospacing="0" w:after="0" w:afterAutospacing="0"/>
              <w:rPr>
                <w:sz w:val="12"/>
                <w:szCs w:val="12"/>
              </w:rPr>
            </w:pPr>
            <w:r>
              <w:rPr>
                <w:sz w:val="12"/>
                <w:szCs w:val="12"/>
              </w:rPr>
              <w:t> </w:t>
            </w:r>
          </w:p>
        </w:tc>
        <w:tc>
          <w:tcPr>
            <w:tcW w:w="0" w:type="auto"/>
            <w:gridSpan w:val="2"/>
            <w:vAlign w:val="bottom"/>
            <w:hideMark/>
          </w:tcPr>
          <w:p w14:paraId="3B082C70" w14:textId="77777777" w:rsidR="00000000" w:rsidRDefault="00832D71">
            <w:pPr>
              <w:pStyle w:val="a3"/>
              <w:spacing w:before="0" w:beforeAutospacing="0" w:after="0" w:afterAutospacing="0"/>
              <w:jc w:val="center"/>
              <w:rPr>
                <w:sz w:val="12"/>
                <w:szCs w:val="12"/>
              </w:rPr>
            </w:pPr>
            <w:r>
              <w:rPr>
                <w:b/>
                <w:bCs/>
                <w:sz w:val="12"/>
                <w:szCs w:val="12"/>
              </w:rPr>
              <w:t>Change in</w:t>
            </w:r>
            <w:r>
              <w:rPr>
                <w:b/>
                <w:bCs/>
                <w:sz w:val="12"/>
                <w:szCs w:val="12"/>
              </w:rPr>
              <w:br/>
              <w:t>Pension Value</w:t>
            </w:r>
            <w:r>
              <w:rPr>
                <w:b/>
                <w:bCs/>
                <w:sz w:val="12"/>
                <w:szCs w:val="12"/>
              </w:rPr>
              <w:br/>
              <w:t>and</w:t>
            </w:r>
            <w:r>
              <w:rPr>
                <w:b/>
                <w:bCs/>
                <w:sz w:val="12"/>
                <w:szCs w:val="12"/>
              </w:rPr>
              <w:br/>
              <w:t>Nonqualified Deferred Compensation Earnings (5</w:t>
            </w:r>
            <w:r>
              <w:rPr>
                <w:b/>
                <w:bCs/>
                <w:sz w:val="12"/>
                <w:szCs w:val="12"/>
              </w:rPr>
              <w:t>)</w:t>
            </w:r>
          </w:p>
        </w:tc>
        <w:tc>
          <w:tcPr>
            <w:tcW w:w="0" w:type="auto"/>
            <w:vAlign w:val="bottom"/>
            <w:hideMark/>
          </w:tcPr>
          <w:p w14:paraId="439D8A72" w14:textId="77777777" w:rsidR="00000000" w:rsidRDefault="00832D71">
            <w:pPr>
              <w:pStyle w:val="a3"/>
              <w:spacing w:before="0" w:beforeAutospacing="0" w:after="0" w:afterAutospacing="0"/>
              <w:jc w:val="center"/>
              <w:rPr>
                <w:sz w:val="12"/>
                <w:szCs w:val="12"/>
              </w:rPr>
            </w:pPr>
            <w:r>
              <w:rPr>
                <w:sz w:val="12"/>
                <w:szCs w:val="12"/>
              </w:rPr>
              <w:t> </w:t>
            </w:r>
          </w:p>
        </w:tc>
        <w:tc>
          <w:tcPr>
            <w:tcW w:w="0" w:type="auto"/>
            <w:hideMark/>
          </w:tcPr>
          <w:p w14:paraId="0DD51561" w14:textId="77777777" w:rsidR="00000000" w:rsidRDefault="00832D71">
            <w:pPr>
              <w:pStyle w:val="a3"/>
              <w:spacing w:before="0" w:beforeAutospacing="0" w:after="0" w:afterAutospacing="0"/>
              <w:rPr>
                <w:sz w:val="12"/>
                <w:szCs w:val="12"/>
              </w:rPr>
            </w:pPr>
            <w:r>
              <w:rPr>
                <w:sz w:val="12"/>
                <w:szCs w:val="12"/>
              </w:rPr>
              <w:t> </w:t>
            </w:r>
          </w:p>
        </w:tc>
        <w:tc>
          <w:tcPr>
            <w:tcW w:w="0" w:type="auto"/>
            <w:gridSpan w:val="2"/>
            <w:vAlign w:val="bottom"/>
            <w:hideMark/>
          </w:tcPr>
          <w:p w14:paraId="42A1D52C" w14:textId="77777777" w:rsidR="00000000" w:rsidRDefault="00832D71">
            <w:pPr>
              <w:pStyle w:val="a3"/>
              <w:spacing w:before="0" w:beforeAutospacing="0" w:after="0" w:afterAutospacing="0"/>
              <w:jc w:val="center"/>
              <w:rPr>
                <w:sz w:val="12"/>
                <w:szCs w:val="12"/>
              </w:rPr>
            </w:pPr>
            <w:r>
              <w:rPr>
                <w:b/>
                <w:bCs/>
                <w:sz w:val="12"/>
                <w:szCs w:val="12"/>
              </w:rPr>
              <w:t xml:space="preserve">All Other Compensation </w:t>
            </w:r>
            <w:r>
              <w:rPr>
                <w:b/>
                <w:bCs/>
                <w:sz w:val="12"/>
                <w:szCs w:val="12"/>
              </w:rPr>
              <w:br/>
              <w:t>(6</w:t>
            </w:r>
            <w:r>
              <w:rPr>
                <w:b/>
                <w:bCs/>
                <w:sz w:val="12"/>
                <w:szCs w:val="12"/>
              </w:rPr>
              <w:t>)</w:t>
            </w:r>
          </w:p>
        </w:tc>
        <w:tc>
          <w:tcPr>
            <w:tcW w:w="0" w:type="auto"/>
            <w:vAlign w:val="bottom"/>
            <w:hideMark/>
          </w:tcPr>
          <w:p w14:paraId="557BD5E5" w14:textId="77777777" w:rsidR="00000000" w:rsidRDefault="00832D71">
            <w:pPr>
              <w:pStyle w:val="a3"/>
              <w:spacing w:before="0" w:beforeAutospacing="0" w:after="0" w:afterAutospacing="0"/>
              <w:jc w:val="center"/>
              <w:rPr>
                <w:sz w:val="12"/>
                <w:szCs w:val="12"/>
              </w:rPr>
            </w:pPr>
            <w:r>
              <w:rPr>
                <w:sz w:val="12"/>
                <w:szCs w:val="12"/>
              </w:rPr>
              <w:t> </w:t>
            </w:r>
          </w:p>
        </w:tc>
        <w:tc>
          <w:tcPr>
            <w:tcW w:w="0" w:type="auto"/>
            <w:hideMark/>
          </w:tcPr>
          <w:p w14:paraId="0AC99507" w14:textId="77777777" w:rsidR="00000000" w:rsidRDefault="00832D71">
            <w:pPr>
              <w:pStyle w:val="a3"/>
              <w:spacing w:before="0" w:beforeAutospacing="0" w:after="0" w:afterAutospacing="0"/>
              <w:rPr>
                <w:sz w:val="12"/>
                <w:szCs w:val="12"/>
              </w:rPr>
            </w:pPr>
            <w:r>
              <w:rPr>
                <w:sz w:val="12"/>
                <w:szCs w:val="12"/>
              </w:rPr>
              <w:t> </w:t>
            </w:r>
          </w:p>
        </w:tc>
        <w:tc>
          <w:tcPr>
            <w:tcW w:w="0" w:type="auto"/>
            <w:gridSpan w:val="2"/>
            <w:vAlign w:val="bottom"/>
            <w:hideMark/>
          </w:tcPr>
          <w:p w14:paraId="7266D10E" w14:textId="77777777" w:rsidR="00000000" w:rsidRDefault="00832D71">
            <w:pPr>
              <w:pStyle w:val="a3"/>
              <w:spacing w:before="0" w:beforeAutospacing="0" w:after="0" w:afterAutospacing="0"/>
              <w:jc w:val="center"/>
              <w:rPr>
                <w:sz w:val="12"/>
                <w:szCs w:val="12"/>
              </w:rPr>
            </w:pPr>
            <w:r>
              <w:rPr>
                <w:b/>
                <w:bCs/>
                <w:sz w:val="12"/>
                <w:szCs w:val="12"/>
              </w:rPr>
              <w:t>Tota</w:t>
            </w:r>
            <w:r>
              <w:rPr>
                <w:b/>
                <w:bCs/>
                <w:sz w:val="12"/>
                <w:szCs w:val="12"/>
              </w:rPr>
              <w:t>l</w:t>
            </w:r>
          </w:p>
        </w:tc>
        <w:tc>
          <w:tcPr>
            <w:tcW w:w="0" w:type="auto"/>
            <w:vAlign w:val="bottom"/>
            <w:hideMark/>
          </w:tcPr>
          <w:p w14:paraId="6D6F0A08"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37454161" w14:textId="77777777">
        <w:trPr>
          <w:trHeight w:val="160"/>
          <w:tblCellSpacing w:w="15" w:type="dxa"/>
        </w:trPr>
        <w:tc>
          <w:tcPr>
            <w:tcW w:w="0" w:type="auto"/>
            <w:hideMark/>
          </w:tcPr>
          <w:p w14:paraId="669EAD74" w14:textId="77777777" w:rsidR="00000000" w:rsidRDefault="00832D71">
            <w:pPr>
              <w:pStyle w:val="a3"/>
              <w:spacing w:before="0" w:beforeAutospacing="0" w:after="0" w:afterAutospacing="0"/>
              <w:jc w:val="center"/>
              <w:rPr>
                <w:sz w:val="16"/>
                <w:szCs w:val="16"/>
              </w:rPr>
            </w:pPr>
            <w:r>
              <w:rPr>
                <w:sz w:val="16"/>
                <w:szCs w:val="16"/>
              </w:rPr>
              <w:t>(a</w:t>
            </w:r>
            <w:r>
              <w:rPr>
                <w:sz w:val="16"/>
                <w:szCs w:val="16"/>
              </w:rPr>
              <w:t>)</w:t>
            </w:r>
          </w:p>
        </w:tc>
        <w:tc>
          <w:tcPr>
            <w:tcW w:w="0" w:type="auto"/>
            <w:hideMark/>
          </w:tcPr>
          <w:p w14:paraId="70711EF1"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EBD01A8" w14:textId="77777777" w:rsidR="00000000" w:rsidRDefault="00832D71">
            <w:pPr>
              <w:pStyle w:val="a3"/>
              <w:spacing w:before="0" w:beforeAutospacing="0" w:after="0" w:afterAutospacing="0"/>
              <w:jc w:val="center"/>
              <w:rPr>
                <w:sz w:val="16"/>
                <w:szCs w:val="16"/>
              </w:rPr>
            </w:pPr>
            <w:r>
              <w:rPr>
                <w:sz w:val="16"/>
                <w:szCs w:val="16"/>
              </w:rPr>
              <w:t>(b</w:t>
            </w:r>
            <w:r>
              <w:rPr>
                <w:sz w:val="16"/>
                <w:szCs w:val="16"/>
              </w:rPr>
              <w:t>)</w:t>
            </w:r>
          </w:p>
        </w:tc>
        <w:tc>
          <w:tcPr>
            <w:tcW w:w="0" w:type="auto"/>
            <w:hideMark/>
          </w:tcPr>
          <w:p w14:paraId="73F5587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26504758" w14:textId="77777777" w:rsidR="00000000" w:rsidRDefault="00832D71">
            <w:pPr>
              <w:pStyle w:val="a3"/>
              <w:spacing w:before="0" w:beforeAutospacing="0" w:after="0" w:afterAutospacing="0"/>
              <w:jc w:val="center"/>
              <w:rPr>
                <w:sz w:val="16"/>
                <w:szCs w:val="16"/>
              </w:rPr>
            </w:pPr>
            <w:r>
              <w:rPr>
                <w:sz w:val="16"/>
                <w:szCs w:val="16"/>
              </w:rPr>
              <w:t>(c</w:t>
            </w:r>
            <w:r>
              <w:rPr>
                <w:sz w:val="16"/>
                <w:szCs w:val="16"/>
              </w:rPr>
              <w:t>)</w:t>
            </w:r>
          </w:p>
        </w:tc>
        <w:tc>
          <w:tcPr>
            <w:tcW w:w="0" w:type="auto"/>
            <w:hideMark/>
          </w:tcPr>
          <w:p w14:paraId="70CDBABB"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F8187E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4746849A" w14:textId="77777777" w:rsidR="00000000" w:rsidRDefault="00832D71">
            <w:pPr>
              <w:pStyle w:val="a3"/>
              <w:spacing w:before="0" w:beforeAutospacing="0" w:after="0" w:afterAutospacing="0"/>
              <w:jc w:val="center"/>
              <w:rPr>
                <w:sz w:val="16"/>
                <w:szCs w:val="16"/>
              </w:rPr>
            </w:pPr>
            <w:r>
              <w:rPr>
                <w:sz w:val="16"/>
                <w:szCs w:val="16"/>
              </w:rPr>
              <w:t>(d</w:t>
            </w:r>
            <w:r>
              <w:rPr>
                <w:sz w:val="16"/>
                <w:szCs w:val="16"/>
              </w:rPr>
              <w:t>)</w:t>
            </w:r>
          </w:p>
        </w:tc>
        <w:tc>
          <w:tcPr>
            <w:tcW w:w="0" w:type="auto"/>
            <w:hideMark/>
          </w:tcPr>
          <w:p w14:paraId="7759D4D2"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C46641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4379A9AE" w14:textId="77777777" w:rsidR="00000000" w:rsidRDefault="00832D71">
            <w:pPr>
              <w:pStyle w:val="a3"/>
              <w:spacing w:before="0" w:beforeAutospacing="0" w:after="0" w:afterAutospacing="0"/>
              <w:jc w:val="center"/>
              <w:rPr>
                <w:sz w:val="16"/>
                <w:szCs w:val="16"/>
              </w:rPr>
            </w:pPr>
            <w:r>
              <w:rPr>
                <w:sz w:val="16"/>
                <w:szCs w:val="16"/>
              </w:rPr>
              <w:t>(e</w:t>
            </w:r>
            <w:r>
              <w:rPr>
                <w:sz w:val="16"/>
                <w:szCs w:val="16"/>
              </w:rPr>
              <w:t>)</w:t>
            </w:r>
          </w:p>
        </w:tc>
        <w:tc>
          <w:tcPr>
            <w:tcW w:w="0" w:type="auto"/>
            <w:hideMark/>
          </w:tcPr>
          <w:p w14:paraId="2D6F5952"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3C261D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7330B179" w14:textId="77777777" w:rsidR="00000000" w:rsidRDefault="00832D71">
            <w:pPr>
              <w:pStyle w:val="a3"/>
              <w:spacing w:before="0" w:beforeAutospacing="0" w:after="0" w:afterAutospacing="0"/>
              <w:jc w:val="center"/>
              <w:rPr>
                <w:sz w:val="16"/>
                <w:szCs w:val="16"/>
              </w:rPr>
            </w:pPr>
            <w:r>
              <w:rPr>
                <w:sz w:val="16"/>
                <w:szCs w:val="16"/>
              </w:rPr>
              <w:t>(g</w:t>
            </w:r>
            <w:r>
              <w:rPr>
                <w:sz w:val="16"/>
                <w:szCs w:val="16"/>
              </w:rPr>
              <w:t>)</w:t>
            </w:r>
          </w:p>
        </w:tc>
        <w:tc>
          <w:tcPr>
            <w:tcW w:w="0" w:type="auto"/>
            <w:hideMark/>
          </w:tcPr>
          <w:p w14:paraId="2E156186"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54B212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2E44B0D6" w14:textId="77777777" w:rsidR="00000000" w:rsidRDefault="00832D71">
            <w:pPr>
              <w:pStyle w:val="a3"/>
              <w:spacing w:before="0" w:beforeAutospacing="0" w:after="0" w:afterAutospacing="0"/>
              <w:jc w:val="center"/>
              <w:rPr>
                <w:sz w:val="16"/>
                <w:szCs w:val="16"/>
              </w:rPr>
            </w:pPr>
            <w:r>
              <w:rPr>
                <w:sz w:val="16"/>
                <w:szCs w:val="16"/>
              </w:rPr>
              <w:t>(h</w:t>
            </w:r>
            <w:r>
              <w:rPr>
                <w:sz w:val="16"/>
                <w:szCs w:val="16"/>
              </w:rPr>
              <w:t>)</w:t>
            </w:r>
          </w:p>
        </w:tc>
        <w:tc>
          <w:tcPr>
            <w:tcW w:w="0" w:type="auto"/>
            <w:hideMark/>
          </w:tcPr>
          <w:p w14:paraId="1C40D464"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7E20C13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49A1405C" w14:textId="77777777" w:rsidR="00000000" w:rsidRDefault="00832D71">
            <w:pPr>
              <w:pStyle w:val="a3"/>
              <w:spacing w:before="0" w:beforeAutospacing="0" w:after="0" w:afterAutospacing="0"/>
              <w:jc w:val="center"/>
              <w:rPr>
                <w:sz w:val="16"/>
                <w:szCs w:val="16"/>
              </w:rPr>
            </w:pPr>
            <w:r>
              <w:rPr>
                <w:sz w:val="16"/>
                <w:szCs w:val="16"/>
              </w:rPr>
              <w:t>(i</w:t>
            </w:r>
            <w:r>
              <w:rPr>
                <w:sz w:val="16"/>
                <w:szCs w:val="16"/>
              </w:rPr>
              <w:t>)</w:t>
            </w:r>
          </w:p>
        </w:tc>
        <w:tc>
          <w:tcPr>
            <w:tcW w:w="0" w:type="auto"/>
            <w:hideMark/>
          </w:tcPr>
          <w:p w14:paraId="4A2EDA1F"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272A2C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02DBFCD3" w14:textId="77777777" w:rsidR="00000000" w:rsidRDefault="00832D71">
            <w:pPr>
              <w:pStyle w:val="a3"/>
              <w:spacing w:before="0" w:beforeAutospacing="0" w:after="0" w:afterAutospacing="0"/>
              <w:jc w:val="center"/>
              <w:rPr>
                <w:sz w:val="16"/>
                <w:szCs w:val="16"/>
              </w:rPr>
            </w:pPr>
            <w:r>
              <w:rPr>
                <w:sz w:val="16"/>
                <w:szCs w:val="16"/>
              </w:rPr>
              <w:t>(j</w:t>
            </w:r>
            <w:r>
              <w:rPr>
                <w:sz w:val="16"/>
                <w:szCs w:val="16"/>
              </w:rPr>
              <w:t>)</w:t>
            </w:r>
          </w:p>
        </w:tc>
        <w:tc>
          <w:tcPr>
            <w:tcW w:w="0" w:type="auto"/>
            <w:hideMark/>
          </w:tcPr>
          <w:p w14:paraId="4C7ECB2C"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18DD0E97" w14:textId="77777777">
        <w:trPr>
          <w:trHeight w:val="160"/>
          <w:tblCellSpacing w:w="15" w:type="dxa"/>
        </w:trPr>
        <w:tc>
          <w:tcPr>
            <w:tcW w:w="0" w:type="auto"/>
            <w:hideMark/>
          </w:tcPr>
          <w:p w14:paraId="76E9F5BC" w14:textId="77777777" w:rsidR="00000000" w:rsidRDefault="00832D71">
            <w:pPr>
              <w:pStyle w:val="a3"/>
              <w:spacing w:before="0" w:beforeAutospacing="0" w:after="0" w:afterAutospacing="0"/>
              <w:rPr>
                <w:sz w:val="16"/>
                <w:szCs w:val="16"/>
              </w:rPr>
            </w:pPr>
            <w:r>
              <w:rPr>
                <w:sz w:val="16"/>
                <w:szCs w:val="16"/>
              </w:rPr>
              <w:t>Michael A. Stival</w:t>
            </w:r>
            <w:r>
              <w:rPr>
                <w:sz w:val="16"/>
                <w:szCs w:val="16"/>
              </w:rPr>
              <w:t>a</w:t>
            </w:r>
          </w:p>
        </w:tc>
        <w:tc>
          <w:tcPr>
            <w:tcW w:w="0" w:type="auto"/>
            <w:hideMark/>
          </w:tcPr>
          <w:p w14:paraId="088522C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6944BAA" w14:textId="77777777" w:rsidR="00000000" w:rsidRDefault="00832D71">
            <w:pPr>
              <w:pStyle w:val="a3"/>
              <w:spacing w:before="0" w:beforeAutospacing="0" w:after="0" w:afterAutospacing="0"/>
              <w:jc w:val="center"/>
              <w:rPr>
                <w:sz w:val="16"/>
                <w:szCs w:val="16"/>
              </w:rPr>
            </w:pPr>
            <w:r>
              <w:rPr>
                <w:sz w:val="16"/>
                <w:szCs w:val="16"/>
              </w:rPr>
              <w:t>202</w:t>
            </w:r>
            <w:r>
              <w:rPr>
                <w:sz w:val="16"/>
                <w:szCs w:val="16"/>
              </w:rPr>
              <w:t>2</w:t>
            </w:r>
          </w:p>
        </w:tc>
        <w:tc>
          <w:tcPr>
            <w:tcW w:w="0" w:type="auto"/>
            <w:hideMark/>
          </w:tcPr>
          <w:p w14:paraId="3227A003"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35325241"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668A662C" w14:textId="77777777" w:rsidR="00000000" w:rsidRDefault="00832D71">
            <w:pPr>
              <w:pStyle w:val="a3"/>
              <w:spacing w:before="0" w:beforeAutospacing="0" w:after="0" w:afterAutospacing="0"/>
              <w:jc w:val="right"/>
              <w:rPr>
                <w:sz w:val="16"/>
                <w:szCs w:val="16"/>
              </w:rPr>
            </w:pPr>
            <w:r>
              <w:rPr>
                <w:sz w:val="16"/>
                <w:szCs w:val="16"/>
              </w:rPr>
              <w:t>820,00</w:t>
            </w:r>
            <w:r>
              <w:rPr>
                <w:sz w:val="16"/>
                <w:szCs w:val="16"/>
              </w:rPr>
              <w:t>0</w:t>
            </w:r>
          </w:p>
        </w:tc>
        <w:tc>
          <w:tcPr>
            <w:tcW w:w="0" w:type="auto"/>
            <w:noWrap/>
            <w:hideMark/>
          </w:tcPr>
          <w:p w14:paraId="667E88A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F4DC411"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05677FA5"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6E988AA5"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6D0BD480"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9E41660"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3E3B6606"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07C5C57B" w14:textId="77777777" w:rsidR="00000000" w:rsidRDefault="00832D71">
            <w:pPr>
              <w:pStyle w:val="a3"/>
              <w:spacing w:before="0" w:beforeAutospacing="0" w:after="0" w:afterAutospacing="0"/>
              <w:jc w:val="right"/>
              <w:rPr>
                <w:sz w:val="16"/>
                <w:szCs w:val="16"/>
              </w:rPr>
            </w:pPr>
            <w:r>
              <w:rPr>
                <w:sz w:val="16"/>
                <w:szCs w:val="16"/>
              </w:rPr>
              <w:t>1,671,14</w:t>
            </w:r>
            <w:r>
              <w:rPr>
                <w:sz w:val="16"/>
                <w:szCs w:val="16"/>
              </w:rPr>
              <w:t>7</w:t>
            </w:r>
          </w:p>
        </w:tc>
        <w:tc>
          <w:tcPr>
            <w:tcW w:w="0" w:type="auto"/>
            <w:noWrap/>
            <w:hideMark/>
          </w:tcPr>
          <w:p w14:paraId="4935B63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C9CD844"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8217296"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56359BB7" w14:textId="77777777" w:rsidR="00000000" w:rsidRDefault="00832D71">
            <w:pPr>
              <w:pStyle w:val="a3"/>
              <w:spacing w:before="0" w:beforeAutospacing="0" w:after="0" w:afterAutospacing="0"/>
              <w:jc w:val="right"/>
              <w:rPr>
                <w:sz w:val="16"/>
                <w:szCs w:val="16"/>
              </w:rPr>
            </w:pPr>
            <w:r>
              <w:rPr>
                <w:sz w:val="16"/>
                <w:szCs w:val="16"/>
              </w:rPr>
              <w:t>1,438,29</w:t>
            </w:r>
            <w:r>
              <w:rPr>
                <w:sz w:val="16"/>
                <w:szCs w:val="16"/>
              </w:rPr>
              <w:t>1</w:t>
            </w:r>
          </w:p>
        </w:tc>
        <w:tc>
          <w:tcPr>
            <w:tcW w:w="0" w:type="auto"/>
            <w:noWrap/>
            <w:hideMark/>
          </w:tcPr>
          <w:p w14:paraId="61A3904C"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AE3A52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6A429D94"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18A4389E"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6F1CD6EB"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406DE730"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534AF2FB" w14:textId="77777777" w:rsidR="00000000" w:rsidRDefault="00832D71">
            <w:pPr>
              <w:pStyle w:val="a3"/>
              <w:spacing w:before="0" w:beforeAutospacing="0" w:after="0" w:afterAutospacing="0"/>
              <w:jc w:val="right"/>
              <w:rPr>
                <w:sz w:val="16"/>
                <w:szCs w:val="16"/>
              </w:rPr>
            </w:pPr>
            <w:r>
              <w:rPr>
                <w:sz w:val="16"/>
                <w:szCs w:val="16"/>
              </w:rPr>
              <w:t>30,56</w:t>
            </w:r>
            <w:r>
              <w:rPr>
                <w:sz w:val="16"/>
                <w:szCs w:val="16"/>
              </w:rPr>
              <w:t>3</w:t>
            </w:r>
          </w:p>
        </w:tc>
        <w:tc>
          <w:tcPr>
            <w:tcW w:w="0" w:type="auto"/>
            <w:noWrap/>
            <w:hideMark/>
          </w:tcPr>
          <w:p w14:paraId="7D585927"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161226E"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4672BA24"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3A5BCB4C" w14:textId="77777777" w:rsidR="00000000" w:rsidRDefault="00832D71">
            <w:pPr>
              <w:pStyle w:val="a3"/>
              <w:spacing w:before="0" w:beforeAutospacing="0" w:after="0" w:afterAutospacing="0"/>
              <w:jc w:val="right"/>
              <w:rPr>
                <w:sz w:val="16"/>
                <w:szCs w:val="16"/>
              </w:rPr>
            </w:pPr>
            <w:r>
              <w:rPr>
                <w:sz w:val="16"/>
                <w:szCs w:val="16"/>
              </w:rPr>
              <w:t>3,960,00</w:t>
            </w:r>
            <w:r>
              <w:rPr>
                <w:sz w:val="16"/>
                <w:szCs w:val="16"/>
              </w:rPr>
              <w:t>1</w:t>
            </w:r>
          </w:p>
        </w:tc>
        <w:tc>
          <w:tcPr>
            <w:tcW w:w="0" w:type="auto"/>
            <w:noWrap/>
            <w:hideMark/>
          </w:tcPr>
          <w:p w14:paraId="6E9302BD" w14:textId="77777777" w:rsidR="00000000" w:rsidRDefault="00832D71">
            <w:pPr>
              <w:pStyle w:val="a3"/>
              <w:spacing w:before="0" w:beforeAutospacing="0" w:after="0" w:afterAutospacing="0"/>
              <w:rPr>
                <w:sz w:val="16"/>
                <w:szCs w:val="16"/>
              </w:rPr>
            </w:pPr>
            <w:r>
              <w:rPr>
                <w:sz w:val="16"/>
                <w:szCs w:val="16"/>
              </w:rPr>
              <w:t> </w:t>
            </w:r>
          </w:p>
        </w:tc>
      </w:tr>
      <w:tr w:rsidR="00000000" w14:paraId="1B26A65A" w14:textId="77777777">
        <w:trPr>
          <w:trHeight w:val="160"/>
          <w:tblCellSpacing w:w="15" w:type="dxa"/>
        </w:trPr>
        <w:tc>
          <w:tcPr>
            <w:tcW w:w="0" w:type="auto"/>
            <w:hideMark/>
          </w:tcPr>
          <w:p w14:paraId="73856921" w14:textId="77777777" w:rsidR="00000000" w:rsidRDefault="00832D71">
            <w:pPr>
              <w:pStyle w:val="a3"/>
              <w:spacing w:before="0" w:beforeAutospacing="0" w:after="0" w:afterAutospacing="0"/>
              <w:rPr>
                <w:sz w:val="16"/>
                <w:szCs w:val="16"/>
              </w:rPr>
            </w:pPr>
            <w:r>
              <w:rPr>
                <w:sz w:val="16"/>
                <w:szCs w:val="16"/>
              </w:rPr>
              <w:t>President and Chief Executive Office</w:t>
            </w:r>
            <w:r>
              <w:rPr>
                <w:sz w:val="16"/>
                <w:szCs w:val="16"/>
              </w:rPr>
              <w:t>r</w:t>
            </w:r>
          </w:p>
        </w:tc>
        <w:tc>
          <w:tcPr>
            <w:tcW w:w="0" w:type="auto"/>
            <w:hideMark/>
          </w:tcPr>
          <w:p w14:paraId="601F129E"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31A2C83" w14:textId="77777777" w:rsidR="00000000" w:rsidRDefault="00832D71">
            <w:pPr>
              <w:pStyle w:val="a3"/>
              <w:spacing w:before="0" w:beforeAutospacing="0" w:after="0" w:afterAutospacing="0"/>
              <w:jc w:val="center"/>
              <w:rPr>
                <w:sz w:val="16"/>
                <w:szCs w:val="16"/>
              </w:rPr>
            </w:pPr>
            <w:r>
              <w:rPr>
                <w:sz w:val="16"/>
                <w:szCs w:val="16"/>
              </w:rPr>
              <w:t>202</w:t>
            </w:r>
            <w:r>
              <w:rPr>
                <w:sz w:val="16"/>
                <w:szCs w:val="16"/>
              </w:rPr>
              <w:t>1</w:t>
            </w:r>
          </w:p>
        </w:tc>
        <w:tc>
          <w:tcPr>
            <w:tcW w:w="0" w:type="auto"/>
            <w:hideMark/>
          </w:tcPr>
          <w:p w14:paraId="3E2A73C2"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7DA7AEF7"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24F0439A" w14:textId="77777777" w:rsidR="00000000" w:rsidRDefault="00832D71">
            <w:pPr>
              <w:pStyle w:val="a3"/>
              <w:spacing w:before="0" w:beforeAutospacing="0" w:after="0" w:afterAutospacing="0"/>
              <w:jc w:val="right"/>
              <w:rPr>
                <w:sz w:val="16"/>
                <w:szCs w:val="16"/>
              </w:rPr>
            </w:pPr>
            <w:r>
              <w:rPr>
                <w:sz w:val="16"/>
                <w:szCs w:val="16"/>
              </w:rPr>
              <w:t>600,00</w:t>
            </w:r>
            <w:r>
              <w:rPr>
                <w:sz w:val="16"/>
                <w:szCs w:val="16"/>
              </w:rPr>
              <w:t>0</w:t>
            </w:r>
          </w:p>
        </w:tc>
        <w:tc>
          <w:tcPr>
            <w:tcW w:w="0" w:type="auto"/>
            <w:noWrap/>
            <w:hideMark/>
          </w:tcPr>
          <w:p w14:paraId="305E26D0"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703D86C"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59927F6C"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642F4A6B"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0546D233"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8FAB484"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4EBD218"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35E7A7A7" w14:textId="77777777" w:rsidR="00000000" w:rsidRDefault="00832D71">
            <w:pPr>
              <w:pStyle w:val="a3"/>
              <w:spacing w:before="0" w:beforeAutospacing="0" w:after="0" w:afterAutospacing="0"/>
              <w:jc w:val="right"/>
              <w:rPr>
                <w:sz w:val="16"/>
                <w:szCs w:val="16"/>
              </w:rPr>
            </w:pPr>
            <w:r>
              <w:rPr>
                <w:sz w:val="16"/>
                <w:szCs w:val="16"/>
              </w:rPr>
              <w:t>1,429,42</w:t>
            </w:r>
            <w:r>
              <w:rPr>
                <w:sz w:val="16"/>
                <w:szCs w:val="16"/>
              </w:rPr>
              <w:t>0</w:t>
            </w:r>
          </w:p>
        </w:tc>
        <w:tc>
          <w:tcPr>
            <w:tcW w:w="0" w:type="auto"/>
            <w:noWrap/>
            <w:hideMark/>
          </w:tcPr>
          <w:p w14:paraId="13178FB5"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9F0C4A9"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74B539D2"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6778107E" w14:textId="77777777" w:rsidR="00000000" w:rsidRDefault="00832D71">
            <w:pPr>
              <w:pStyle w:val="a3"/>
              <w:spacing w:before="0" w:beforeAutospacing="0" w:after="0" w:afterAutospacing="0"/>
              <w:jc w:val="right"/>
              <w:rPr>
                <w:sz w:val="16"/>
                <w:szCs w:val="16"/>
              </w:rPr>
            </w:pPr>
            <w:r>
              <w:rPr>
                <w:sz w:val="16"/>
                <w:szCs w:val="16"/>
              </w:rPr>
              <w:t>1,055,65</w:t>
            </w:r>
            <w:r>
              <w:rPr>
                <w:sz w:val="16"/>
                <w:szCs w:val="16"/>
              </w:rPr>
              <w:t>3</w:t>
            </w:r>
          </w:p>
        </w:tc>
        <w:tc>
          <w:tcPr>
            <w:tcW w:w="0" w:type="auto"/>
            <w:noWrap/>
            <w:hideMark/>
          </w:tcPr>
          <w:p w14:paraId="041D9E80"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F56371D"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298D5098"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2D5990D7"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601655B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3E3C7AA"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646FB1B4"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2C012447" w14:textId="77777777" w:rsidR="00000000" w:rsidRDefault="00832D71">
            <w:pPr>
              <w:pStyle w:val="a3"/>
              <w:spacing w:before="0" w:beforeAutospacing="0" w:after="0" w:afterAutospacing="0"/>
              <w:jc w:val="right"/>
              <w:rPr>
                <w:sz w:val="16"/>
                <w:szCs w:val="16"/>
              </w:rPr>
            </w:pPr>
            <w:r>
              <w:rPr>
                <w:sz w:val="16"/>
                <w:szCs w:val="16"/>
              </w:rPr>
              <w:t>30,17</w:t>
            </w:r>
            <w:r>
              <w:rPr>
                <w:sz w:val="16"/>
                <w:szCs w:val="16"/>
              </w:rPr>
              <w:t>4</w:t>
            </w:r>
          </w:p>
        </w:tc>
        <w:tc>
          <w:tcPr>
            <w:tcW w:w="0" w:type="auto"/>
            <w:noWrap/>
            <w:hideMark/>
          </w:tcPr>
          <w:p w14:paraId="42D9821F"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D61C04C"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A1ADFB4"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1404C9CB" w14:textId="77777777" w:rsidR="00000000" w:rsidRDefault="00832D71">
            <w:pPr>
              <w:pStyle w:val="a3"/>
              <w:spacing w:before="0" w:beforeAutospacing="0" w:after="0" w:afterAutospacing="0"/>
              <w:jc w:val="right"/>
              <w:rPr>
                <w:sz w:val="16"/>
                <w:szCs w:val="16"/>
              </w:rPr>
            </w:pPr>
            <w:r>
              <w:rPr>
                <w:sz w:val="16"/>
                <w:szCs w:val="16"/>
              </w:rPr>
              <w:t>3,115,24</w:t>
            </w:r>
            <w:r>
              <w:rPr>
                <w:sz w:val="16"/>
                <w:szCs w:val="16"/>
              </w:rPr>
              <w:t>7</w:t>
            </w:r>
          </w:p>
        </w:tc>
        <w:tc>
          <w:tcPr>
            <w:tcW w:w="0" w:type="auto"/>
            <w:noWrap/>
            <w:hideMark/>
          </w:tcPr>
          <w:p w14:paraId="16BE3C94" w14:textId="77777777" w:rsidR="00000000" w:rsidRDefault="00832D71">
            <w:pPr>
              <w:pStyle w:val="a3"/>
              <w:spacing w:before="0" w:beforeAutospacing="0" w:after="0" w:afterAutospacing="0"/>
              <w:rPr>
                <w:sz w:val="16"/>
                <w:szCs w:val="16"/>
              </w:rPr>
            </w:pPr>
            <w:r>
              <w:rPr>
                <w:sz w:val="16"/>
                <w:szCs w:val="16"/>
              </w:rPr>
              <w:t> </w:t>
            </w:r>
          </w:p>
        </w:tc>
      </w:tr>
      <w:tr w:rsidR="00000000" w14:paraId="7EADB46C" w14:textId="77777777">
        <w:trPr>
          <w:trHeight w:val="160"/>
          <w:tblCellSpacing w:w="15" w:type="dxa"/>
        </w:trPr>
        <w:tc>
          <w:tcPr>
            <w:tcW w:w="0" w:type="auto"/>
            <w:hideMark/>
          </w:tcPr>
          <w:p w14:paraId="34C88118"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B0D4A9E"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7F43B29" w14:textId="77777777" w:rsidR="00000000" w:rsidRDefault="00832D71">
            <w:pPr>
              <w:pStyle w:val="a3"/>
              <w:spacing w:before="0" w:beforeAutospacing="0" w:after="0" w:afterAutospacing="0"/>
              <w:jc w:val="center"/>
              <w:rPr>
                <w:sz w:val="16"/>
                <w:szCs w:val="16"/>
              </w:rPr>
            </w:pPr>
            <w:r>
              <w:rPr>
                <w:sz w:val="16"/>
                <w:szCs w:val="16"/>
              </w:rPr>
              <w:t>202</w:t>
            </w:r>
            <w:r>
              <w:rPr>
                <w:sz w:val="16"/>
                <w:szCs w:val="16"/>
              </w:rPr>
              <w:t>0</w:t>
            </w:r>
          </w:p>
        </w:tc>
        <w:tc>
          <w:tcPr>
            <w:tcW w:w="0" w:type="auto"/>
            <w:hideMark/>
          </w:tcPr>
          <w:p w14:paraId="0F8E4A5F"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60C7D402"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6D1D4516" w14:textId="77777777" w:rsidR="00000000" w:rsidRDefault="00832D71">
            <w:pPr>
              <w:pStyle w:val="a3"/>
              <w:spacing w:before="0" w:beforeAutospacing="0" w:after="0" w:afterAutospacing="0"/>
              <w:jc w:val="right"/>
              <w:rPr>
                <w:sz w:val="16"/>
                <w:szCs w:val="16"/>
              </w:rPr>
            </w:pPr>
            <w:r>
              <w:rPr>
                <w:sz w:val="16"/>
                <w:szCs w:val="16"/>
              </w:rPr>
              <w:t>600,00</w:t>
            </w:r>
            <w:r>
              <w:rPr>
                <w:sz w:val="16"/>
                <w:szCs w:val="16"/>
              </w:rPr>
              <w:t>0</w:t>
            </w:r>
          </w:p>
        </w:tc>
        <w:tc>
          <w:tcPr>
            <w:tcW w:w="0" w:type="auto"/>
            <w:noWrap/>
            <w:hideMark/>
          </w:tcPr>
          <w:p w14:paraId="16F06092"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EB57305"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320A4036"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4E4E36B3"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29955E20"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248B715"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AA48915"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352BA60C" w14:textId="77777777" w:rsidR="00000000" w:rsidRDefault="00832D71">
            <w:pPr>
              <w:pStyle w:val="a3"/>
              <w:spacing w:before="0" w:beforeAutospacing="0" w:after="0" w:afterAutospacing="0"/>
              <w:jc w:val="right"/>
              <w:rPr>
                <w:sz w:val="16"/>
                <w:szCs w:val="16"/>
              </w:rPr>
            </w:pPr>
            <w:r>
              <w:rPr>
                <w:sz w:val="16"/>
                <w:szCs w:val="16"/>
              </w:rPr>
              <w:t>1,308,03</w:t>
            </w:r>
            <w:r>
              <w:rPr>
                <w:sz w:val="16"/>
                <w:szCs w:val="16"/>
              </w:rPr>
              <w:t>8</w:t>
            </w:r>
          </w:p>
        </w:tc>
        <w:tc>
          <w:tcPr>
            <w:tcW w:w="0" w:type="auto"/>
            <w:noWrap/>
            <w:hideMark/>
          </w:tcPr>
          <w:p w14:paraId="668DF5C5"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F1A777B"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65669F9E"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2D066D01" w14:textId="77777777" w:rsidR="00000000" w:rsidRDefault="00832D71">
            <w:pPr>
              <w:pStyle w:val="a3"/>
              <w:spacing w:before="0" w:beforeAutospacing="0" w:after="0" w:afterAutospacing="0"/>
              <w:jc w:val="right"/>
              <w:rPr>
                <w:sz w:val="16"/>
                <w:szCs w:val="16"/>
              </w:rPr>
            </w:pPr>
            <w:r>
              <w:rPr>
                <w:sz w:val="16"/>
                <w:szCs w:val="16"/>
              </w:rPr>
              <w:t>655,35</w:t>
            </w:r>
            <w:r>
              <w:rPr>
                <w:sz w:val="16"/>
                <w:szCs w:val="16"/>
              </w:rPr>
              <w:t>7</w:t>
            </w:r>
          </w:p>
        </w:tc>
        <w:tc>
          <w:tcPr>
            <w:tcW w:w="0" w:type="auto"/>
            <w:noWrap/>
            <w:hideMark/>
          </w:tcPr>
          <w:p w14:paraId="6A909BD3"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8B6CD09"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27E4B4E1"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0BFBD0B7"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5682C011"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10F1FDE"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6C4683BA"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68386EFA" w14:textId="77777777" w:rsidR="00000000" w:rsidRDefault="00832D71">
            <w:pPr>
              <w:pStyle w:val="a3"/>
              <w:spacing w:before="0" w:beforeAutospacing="0" w:after="0" w:afterAutospacing="0"/>
              <w:jc w:val="right"/>
              <w:rPr>
                <w:sz w:val="16"/>
                <w:szCs w:val="16"/>
              </w:rPr>
            </w:pPr>
            <w:r>
              <w:rPr>
                <w:sz w:val="16"/>
                <w:szCs w:val="16"/>
              </w:rPr>
              <w:t>30,34</w:t>
            </w:r>
            <w:r>
              <w:rPr>
                <w:sz w:val="16"/>
                <w:szCs w:val="16"/>
              </w:rPr>
              <w:t>8</w:t>
            </w:r>
          </w:p>
        </w:tc>
        <w:tc>
          <w:tcPr>
            <w:tcW w:w="0" w:type="auto"/>
            <w:noWrap/>
            <w:hideMark/>
          </w:tcPr>
          <w:p w14:paraId="58066920"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8FBD795"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408A1245"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0BEBC22D" w14:textId="77777777" w:rsidR="00000000" w:rsidRDefault="00832D71">
            <w:pPr>
              <w:pStyle w:val="a3"/>
              <w:spacing w:before="0" w:beforeAutospacing="0" w:after="0" w:afterAutospacing="0"/>
              <w:jc w:val="right"/>
              <w:rPr>
                <w:sz w:val="16"/>
                <w:szCs w:val="16"/>
              </w:rPr>
            </w:pPr>
            <w:r>
              <w:rPr>
                <w:sz w:val="16"/>
                <w:szCs w:val="16"/>
              </w:rPr>
              <w:t>2,593,74</w:t>
            </w:r>
            <w:r>
              <w:rPr>
                <w:sz w:val="16"/>
                <w:szCs w:val="16"/>
              </w:rPr>
              <w:t>3</w:t>
            </w:r>
          </w:p>
        </w:tc>
        <w:tc>
          <w:tcPr>
            <w:tcW w:w="0" w:type="auto"/>
            <w:noWrap/>
            <w:hideMark/>
          </w:tcPr>
          <w:p w14:paraId="6E84FB68" w14:textId="77777777" w:rsidR="00000000" w:rsidRDefault="00832D71">
            <w:pPr>
              <w:pStyle w:val="a3"/>
              <w:spacing w:before="0" w:beforeAutospacing="0" w:after="0" w:afterAutospacing="0"/>
              <w:rPr>
                <w:sz w:val="16"/>
                <w:szCs w:val="16"/>
              </w:rPr>
            </w:pPr>
            <w:r>
              <w:rPr>
                <w:sz w:val="16"/>
                <w:szCs w:val="16"/>
              </w:rPr>
              <w:t> </w:t>
            </w:r>
          </w:p>
        </w:tc>
      </w:tr>
      <w:tr w:rsidR="00000000" w14:paraId="3DE41729" w14:textId="77777777">
        <w:trPr>
          <w:tblCellSpacing w:w="15" w:type="dxa"/>
        </w:trPr>
        <w:tc>
          <w:tcPr>
            <w:tcW w:w="0" w:type="auto"/>
            <w:hideMark/>
          </w:tcPr>
          <w:p w14:paraId="68EF85F3"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7F298B6"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0D96B5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FF8A22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30729EEC"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38477FE7"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2A02954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4025FF97"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0CCB172E"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6644F29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7E1B4B24"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781E9E6F"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9B0F9FD"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25734DE2"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537F8AF3"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5F0280C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7E13B087"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54682181"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39DA327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02CE1E6D"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3871FB5D"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07C4E85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281336DE"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042C9887" w14:textId="77777777" w:rsidR="00000000" w:rsidRDefault="00832D71">
            <w:pPr>
              <w:pStyle w:val="a3"/>
              <w:spacing w:before="0" w:beforeAutospacing="0" w:after="0" w:afterAutospacing="0"/>
              <w:jc w:val="right"/>
              <w:rPr>
                <w:sz w:val="16"/>
                <w:szCs w:val="16"/>
              </w:rPr>
            </w:pPr>
            <w:r>
              <w:rPr>
                <w:sz w:val="16"/>
                <w:szCs w:val="16"/>
              </w:rPr>
              <w:t> </w:t>
            </w:r>
          </w:p>
        </w:tc>
      </w:tr>
      <w:tr w:rsidR="00000000" w14:paraId="2E678DF1" w14:textId="77777777">
        <w:trPr>
          <w:trHeight w:val="160"/>
          <w:tblCellSpacing w:w="15" w:type="dxa"/>
        </w:trPr>
        <w:tc>
          <w:tcPr>
            <w:tcW w:w="0" w:type="auto"/>
            <w:hideMark/>
          </w:tcPr>
          <w:p w14:paraId="7259487F" w14:textId="77777777" w:rsidR="00000000" w:rsidRDefault="00832D71">
            <w:pPr>
              <w:pStyle w:val="a3"/>
              <w:spacing w:before="0" w:beforeAutospacing="0" w:after="0" w:afterAutospacing="0"/>
              <w:rPr>
                <w:sz w:val="16"/>
                <w:szCs w:val="16"/>
              </w:rPr>
            </w:pPr>
            <w:r>
              <w:rPr>
                <w:sz w:val="16"/>
                <w:szCs w:val="16"/>
              </w:rPr>
              <w:t>Michael A. Kugli</w:t>
            </w:r>
            <w:r>
              <w:rPr>
                <w:sz w:val="16"/>
                <w:szCs w:val="16"/>
              </w:rPr>
              <w:t>n</w:t>
            </w:r>
          </w:p>
        </w:tc>
        <w:tc>
          <w:tcPr>
            <w:tcW w:w="0" w:type="auto"/>
            <w:hideMark/>
          </w:tcPr>
          <w:p w14:paraId="663F30B6"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13CAAA2" w14:textId="77777777" w:rsidR="00000000" w:rsidRDefault="00832D71">
            <w:pPr>
              <w:pStyle w:val="a3"/>
              <w:spacing w:before="0" w:beforeAutospacing="0" w:after="0" w:afterAutospacing="0"/>
              <w:jc w:val="center"/>
              <w:rPr>
                <w:sz w:val="16"/>
                <w:szCs w:val="16"/>
              </w:rPr>
            </w:pPr>
            <w:r>
              <w:rPr>
                <w:sz w:val="16"/>
                <w:szCs w:val="16"/>
              </w:rPr>
              <w:t>202</w:t>
            </w:r>
            <w:r>
              <w:rPr>
                <w:sz w:val="16"/>
                <w:szCs w:val="16"/>
              </w:rPr>
              <w:t>2</w:t>
            </w:r>
          </w:p>
        </w:tc>
        <w:tc>
          <w:tcPr>
            <w:tcW w:w="0" w:type="auto"/>
            <w:hideMark/>
          </w:tcPr>
          <w:p w14:paraId="2F6ACDA3"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2F5FB651"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05E1FB93" w14:textId="77777777" w:rsidR="00000000" w:rsidRDefault="00832D71">
            <w:pPr>
              <w:pStyle w:val="a3"/>
              <w:spacing w:before="0" w:beforeAutospacing="0" w:after="0" w:afterAutospacing="0"/>
              <w:jc w:val="right"/>
              <w:rPr>
                <w:sz w:val="16"/>
                <w:szCs w:val="16"/>
              </w:rPr>
            </w:pPr>
            <w:r>
              <w:rPr>
                <w:sz w:val="16"/>
                <w:szCs w:val="16"/>
              </w:rPr>
              <w:t>450,00</w:t>
            </w:r>
            <w:r>
              <w:rPr>
                <w:sz w:val="16"/>
                <w:szCs w:val="16"/>
              </w:rPr>
              <w:t>0</w:t>
            </w:r>
          </w:p>
        </w:tc>
        <w:tc>
          <w:tcPr>
            <w:tcW w:w="0" w:type="auto"/>
            <w:noWrap/>
            <w:hideMark/>
          </w:tcPr>
          <w:p w14:paraId="497CE814"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7E03183"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4ED85E28"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5DA11020"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06F4958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019708C"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AFFAB84"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5D6395C8" w14:textId="77777777" w:rsidR="00000000" w:rsidRDefault="00832D71">
            <w:pPr>
              <w:pStyle w:val="a3"/>
              <w:spacing w:before="0" w:beforeAutospacing="0" w:after="0" w:afterAutospacing="0"/>
              <w:jc w:val="right"/>
              <w:rPr>
                <w:sz w:val="16"/>
                <w:szCs w:val="16"/>
              </w:rPr>
            </w:pPr>
            <w:r>
              <w:rPr>
                <w:sz w:val="16"/>
                <w:szCs w:val="16"/>
              </w:rPr>
              <w:t>959,31</w:t>
            </w:r>
            <w:r>
              <w:rPr>
                <w:sz w:val="16"/>
                <w:szCs w:val="16"/>
              </w:rPr>
              <w:t>4</w:t>
            </w:r>
          </w:p>
        </w:tc>
        <w:tc>
          <w:tcPr>
            <w:tcW w:w="0" w:type="auto"/>
            <w:noWrap/>
            <w:hideMark/>
          </w:tcPr>
          <w:p w14:paraId="507607A6"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B105E05"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DF3C32E"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2B937BA0" w14:textId="77777777" w:rsidR="00000000" w:rsidRDefault="00832D71">
            <w:pPr>
              <w:pStyle w:val="a3"/>
              <w:spacing w:before="0" w:beforeAutospacing="0" w:after="0" w:afterAutospacing="0"/>
              <w:jc w:val="right"/>
              <w:rPr>
                <w:sz w:val="16"/>
                <w:szCs w:val="16"/>
              </w:rPr>
            </w:pPr>
            <w:r>
              <w:rPr>
                <w:sz w:val="16"/>
                <w:szCs w:val="16"/>
              </w:rPr>
              <w:t>582,97</w:t>
            </w:r>
            <w:r>
              <w:rPr>
                <w:sz w:val="16"/>
                <w:szCs w:val="16"/>
              </w:rPr>
              <w:t>5</w:t>
            </w:r>
          </w:p>
        </w:tc>
        <w:tc>
          <w:tcPr>
            <w:tcW w:w="0" w:type="auto"/>
            <w:noWrap/>
            <w:hideMark/>
          </w:tcPr>
          <w:p w14:paraId="53FA80A4"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C25F36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66F7E932"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FBA0C23"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2F7086EA"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0AF47D94"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60823D94" w14:textId="77777777" w:rsidR="00000000" w:rsidRDefault="00832D71">
            <w:pPr>
              <w:pStyle w:val="a3"/>
              <w:spacing w:before="0" w:beforeAutospacing="0" w:after="0" w:afterAutospacing="0"/>
              <w:jc w:val="right"/>
              <w:rPr>
                <w:sz w:val="16"/>
                <w:szCs w:val="16"/>
              </w:rPr>
            </w:pPr>
            <w:r>
              <w:rPr>
                <w:sz w:val="16"/>
                <w:szCs w:val="16"/>
              </w:rPr>
              <w:t>33,23</w:t>
            </w:r>
            <w:r>
              <w:rPr>
                <w:sz w:val="16"/>
                <w:szCs w:val="16"/>
              </w:rPr>
              <w:t>2</w:t>
            </w:r>
          </w:p>
        </w:tc>
        <w:tc>
          <w:tcPr>
            <w:tcW w:w="0" w:type="auto"/>
            <w:noWrap/>
            <w:hideMark/>
          </w:tcPr>
          <w:p w14:paraId="7F81340C"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AB6B609"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6E722C8B"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2D23AFF5" w14:textId="77777777" w:rsidR="00000000" w:rsidRDefault="00832D71">
            <w:pPr>
              <w:pStyle w:val="a3"/>
              <w:spacing w:before="0" w:beforeAutospacing="0" w:after="0" w:afterAutospacing="0"/>
              <w:jc w:val="right"/>
              <w:rPr>
                <w:sz w:val="16"/>
                <w:szCs w:val="16"/>
              </w:rPr>
            </w:pPr>
            <w:r>
              <w:rPr>
                <w:sz w:val="16"/>
                <w:szCs w:val="16"/>
              </w:rPr>
              <w:t>2,025,52</w:t>
            </w:r>
            <w:r>
              <w:rPr>
                <w:sz w:val="16"/>
                <w:szCs w:val="16"/>
              </w:rPr>
              <w:t>1</w:t>
            </w:r>
          </w:p>
        </w:tc>
        <w:tc>
          <w:tcPr>
            <w:tcW w:w="0" w:type="auto"/>
            <w:noWrap/>
            <w:hideMark/>
          </w:tcPr>
          <w:p w14:paraId="4D220D5D" w14:textId="77777777" w:rsidR="00000000" w:rsidRDefault="00832D71">
            <w:pPr>
              <w:pStyle w:val="a3"/>
              <w:spacing w:before="0" w:beforeAutospacing="0" w:after="0" w:afterAutospacing="0"/>
              <w:rPr>
                <w:sz w:val="16"/>
                <w:szCs w:val="16"/>
              </w:rPr>
            </w:pPr>
            <w:r>
              <w:rPr>
                <w:sz w:val="16"/>
                <w:szCs w:val="16"/>
              </w:rPr>
              <w:t> </w:t>
            </w:r>
          </w:p>
        </w:tc>
      </w:tr>
      <w:tr w:rsidR="00000000" w14:paraId="3E589484" w14:textId="77777777">
        <w:trPr>
          <w:trHeight w:val="160"/>
          <w:tblCellSpacing w:w="15" w:type="dxa"/>
        </w:trPr>
        <w:tc>
          <w:tcPr>
            <w:tcW w:w="0" w:type="auto"/>
            <w:hideMark/>
          </w:tcPr>
          <w:p w14:paraId="55BD1245" w14:textId="77777777" w:rsidR="00000000" w:rsidRDefault="00832D71">
            <w:pPr>
              <w:pStyle w:val="a3"/>
              <w:spacing w:before="0" w:beforeAutospacing="0" w:after="0" w:afterAutospacing="0"/>
              <w:rPr>
                <w:sz w:val="16"/>
                <w:szCs w:val="16"/>
              </w:rPr>
            </w:pPr>
            <w:r>
              <w:rPr>
                <w:sz w:val="16"/>
                <w:szCs w:val="16"/>
              </w:rPr>
              <w:t>Chief Financial Officer an</w:t>
            </w:r>
            <w:r>
              <w:rPr>
                <w:sz w:val="16"/>
                <w:szCs w:val="16"/>
              </w:rPr>
              <w:t>d</w:t>
            </w:r>
          </w:p>
        </w:tc>
        <w:tc>
          <w:tcPr>
            <w:tcW w:w="0" w:type="auto"/>
            <w:hideMark/>
          </w:tcPr>
          <w:p w14:paraId="5172B1FD"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8231758" w14:textId="77777777" w:rsidR="00000000" w:rsidRDefault="00832D71">
            <w:pPr>
              <w:pStyle w:val="a3"/>
              <w:spacing w:before="0" w:beforeAutospacing="0" w:after="0" w:afterAutospacing="0"/>
              <w:jc w:val="center"/>
              <w:rPr>
                <w:sz w:val="16"/>
                <w:szCs w:val="16"/>
              </w:rPr>
            </w:pPr>
            <w:r>
              <w:rPr>
                <w:sz w:val="16"/>
                <w:szCs w:val="16"/>
              </w:rPr>
              <w:t>202</w:t>
            </w:r>
            <w:r>
              <w:rPr>
                <w:sz w:val="16"/>
                <w:szCs w:val="16"/>
              </w:rPr>
              <w:t>1</w:t>
            </w:r>
          </w:p>
        </w:tc>
        <w:tc>
          <w:tcPr>
            <w:tcW w:w="0" w:type="auto"/>
            <w:hideMark/>
          </w:tcPr>
          <w:p w14:paraId="35435C0B"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742EDA00"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446E2132" w14:textId="77777777" w:rsidR="00000000" w:rsidRDefault="00832D71">
            <w:pPr>
              <w:pStyle w:val="a3"/>
              <w:spacing w:before="0" w:beforeAutospacing="0" w:after="0" w:afterAutospacing="0"/>
              <w:jc w:val="right"/>
              <w:rPr>
                <w:sz w:val="16"/>
                <w:szCs w:val="16"/>
              </w:rPr>
            </w:pPr>
            <w:r>
              <w:rPr>
                <w:sz w:val="16"/>
                <w:szCs w:val="16"/>
              </w:rPr>
              <w:t>400,00</w:t>
            </w:r>
            <w:r>
              <w:rPr>
                <w:sz w:val="16"/>
                <w:szCs w:val="16"/>
              </w:rPr>
              <w:t>0</w:t>
            </w:r>
          </w:p>
        </w:tc>
        <w:tc>
          <w:tcPr>
            <w:tcW w:w="0" w:type="auto"/>
            <w:noWrap/>
            <w:hideMark/>
          </w:tcPr>
          <w:p w14:paraId="4FFC43E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BC67686"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27BDB897"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345F3E64"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44E94B62"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4FDCC43"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57920220"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17687306" w14:textId="77777777" w:rsidR="00000000" w:rsidRDefault="00832D71">
            <w:pPr>
              <w:pStyle w:val="a3"/>
              <w:spacing w:before="0" w:beforeAutospacing="0" w:after="0" w:afterAutospacing="0"/>
              <w:jc w:val="right"/>
              <w:rPr>
                <w:sz w:val="16"/>
                <w:szCs w:val="16"/>
              </w:rPr>
            </w:pPr>
            <w:r>
              <w:rPr>
                <w:sz w:val="16"/>
                <w:szCs w:val="16"/>
              </w:rPr>
              <w:t>858,62</w:t>
            </w:r>
            <w:r>
              <w:rPr>
                <w:sz w:val="16"/>
                <w:szCs w:val="16"/>
              </w:rPr>
              <w:t>6</w:t>
            </w:r>
          </w:p>
        </w:tc>
        <w:tc>
          <w:tcPr>
            <w:tcW w:w="0" w:type="auto"/>
            <w:noWrap/>
            <w:hideMark/>
          </w:tcPr>
          <w:p w14:paraId="1D116827"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FD551C5"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75AED5D8"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4F4EB328" w14:textId="77777777" w:rsidR="00000000" w:rsidRDefault="00832D71">
            <w:pPr>
              <w:pStyle w:val="a3"/>
              <w:spacing w:before="0" w:beforeAutospacing="0" w:after="0" w:afterAutospacing="0"/>
              <w:jc w:val="right"/>
              <w:rPr>
                <w:sz w:val="16"/>
                <w:szCs w:val="16"/>
              </w:rPr>
            </w:pPr>
            <w:r>
              <w:rPr>
                <w:sz w:val="16"/>
                <w:szCs w:val="16"/>
              </w:rPr>
              <w:t>494,05</w:t>
            </w:r>
            <w:r>
              <w:rPr>
                <w:sz w:val="16"/>
                <w:szCs w:val="16"/>
              </w:rPr>
              <w:t>0</w:t>
            </w:r>
          </w:p>
        </w:tc>
        <w:tc>
          <w:tcPr>
            <w:tcW w:w="0" w:type="auto"/>
            <w:noWrap/>
            <w:hideMark/>
          </w:tcPr>
          <w:p w14:paraId="193BF0C2"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B8FF32E"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4C710819"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27507F80"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563811DD"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0122640"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3522C5C"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527C875C" w14:textId="77777777" w:rsidR="00000000" w:rsidRDefault="00832D71">
            <w:pPr>
              <w:pStyle w:val="a3"/>
              <w:spacing w:before="0" w:beforeAutospacing="0" w:after="0" w:afterAutospacing="0"/>
              <w:jc w:val="right"/>
              <w:rPr>
                <w:sz w:val="16"/>
                <w:szCs w:val="16"/>
              </w:rPr>
            </w:pPr>
            <w:r>
              <w:rPr>
                <w:sz w:val="16"/>
                <w:szCs w:val="16"/>
              </w:rPr>
              <w:t>26,90</w:t>
            </w:r>
            <w:r>
              <w:rPr>
                <w:sz w:val="16"/>
                <w:szCs w:val="16"/>
              </w:rPr>
              <w:t>3</w:t>
            </w:r>
          </w:p>
        </w:tc>
        <w:tc>
          <w:tcPr>
            <w:tcW w:w="0" w:type="auto"/>
            <w:noWrap/>
            <w:hideMark/>
          </w:tcPr>
          <w:p w14:paraId="0E61A845"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3811C5B"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B29BF3B"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2B99EAB0" w14:textId="77777777" w:rsidR="00000000" w:rsidRDefault="00832D71">
            <w:pPr>
              <w:pStyle w:val="a3"/>
              <w:spacing w:before="0" w:beforeAutospacing="0" w:after="0" w:afterAutospacing="0"/>
              <w:jc w:val="right"/>
              <w:rPr>
                <w:sz w:val="16"/>
                <w:szCs w:val="16"/>
              </w:rPr>
            </w:pPr>
            <w:r>
              <w:rPr>
                <w:sz w:val="16"/>
                <w:szCs w:val="16"/>
              </w:rPr>
              <w:t>1,779,57</w:t>
            </w:r>
            <w:r>
              <w:rPr>
                <w:sz w:val="16"/>
                <w:szCs w:val="16"/>
              </w:rPr>
              <w:t>9</w:t>
            </w:r>
          </w:p>
        </w:tc>
        <w:tc>
          <w:tcPr>
            <w:tcW w:w="0" w:type="auto"/>
            <w:noWrap/>
            <w:hideMark/>
          </w:tcPr>
          <w:p w14:paraId="4ACD3AE1" w14:textId="77777777" w:rsidR="00000000" w:rsidRDefault="00832D71">
            <w:pPr>
              <w:pStyle w:val="a3"/>
              <w:spacing w:before="0" w:beforeAutospacing="0" w:after="0" w:afterAutospacing="0"/>
              <w:rPr>
                <w:sz w:val="16"/>
                <w:szCs w:val="16"/>
              </w:rPr>
            </w:pPr>
            <w:r>
              <w:rPr>
                <w:sz w:val="16"/>
                <w:szCs w:val="16"/>
              </w:rPr>
              <w:t> </w:t>
            </w:r>
          </w:p>
        </w:tc>
      </w:tr>
      <w:tr w:rsidR="00000000" w14:paraId="43B81EED" w14:textId="77777777">
        <w:trPr>
          <w:trHeight w:val="160"/>
          <w:tblCellSpacing w:w="15" w:type="dxa"/>
        </w:trPr>
        <w:tc>
          <w:tcPr>
            <w:tcW w:w="0" w:type="auto"/>
            <w:hideMark/>
          </w:tcPr>
          <w:p w14:paraId="6746706E" w14:textId="77777777" w:rsidR="00000000" w:rsidRDefault="00832D71">
            <w:pPr>
              <w:pStyle w:val="a3"/>
              <w:spacing w:before="0" w:beforeAutospacing="0" w:after="0" w:afterAutospacing="0"/>
              <w:rPr>
                <w:sz w:val="16"/>
                <w:szCs w:val="16"/>
              </w:rPr>
            </w:pPr>
            <w:r>
              <w:rPr>
                <w:sz w:val="16"/>
                <w:szCs w:val="16"/>
              </w:rPr>
              <w:t>Chief Accounting Office</w:t>
            </w:r>
            <w:r>
              <w:rPr>
                <w:sz w:val="16"/>
                <w:szCs w:val="16"/>
              </w:rPr>
              <w:t>r</w:t>
            </w:r>
          </w:p>
        </w:tc>
        <w:tc>
          <w:tcPr>
            <w:tcW w:w="0" w:type="auto"/>
            <w:hideMark/>
          </w:tcPr>
          <w:p w14:paraId="14541C0F"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9C514BB" w14:textId="77777777" w:rsidR="00000000" w:rsidRDefault="00832D71">
            <w:pPr>
              <w:pStyle w:val="a3"/>
              <w:spacing w:before="0" w:beforeAutospacing="0" w:after="0" w:afterAutospacing="0"/>
              <w:jc w:val="center"/>
              <w:rPr>
                <w:sz w:val="16"/>
                <w:szCs w:val="16"/>
              </w:rPr>
            </w:pPr>
            <w:r>
              <w:rPr>
                <w:sz w:val="16"/>
                <w:szCs w:val="16"/>
              </w:rPr>
              <w:t>202</w:t>
            </w:r>
            <w:r>
              <w:rPr>
                <w:sz w:val="16"/>
                <w:szCs w:val="16"/>
              </w:rPr>
              <w:t>0</w:t>
            </w:r>
          </w:p>
        </w:tc>
        <w:tc>
          <w:tcPr>
            <w:tcW w:w="0" w:type="auto"/>
            <w:hideMark/>
          </w:tcPr>
          <w:p w14:paraId="18B94D5C"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7D98CFA"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10022266" w14:textId="77777777" w:rsidR="00000000" w:rsidRDefault="00832D71">
            <w:pPr>
              <w:pStyle w:val="a3"/>
              <w:spacing w:before="0" w:beforeAutospacing="0" w:after="0" w:afterAutospacing="0"/>
              <w:jc w:val="right"/>
              <w:rPr>
                <w:sz w:val="16"/>
                <w:szCs w:val="16"/>
              </w:rPr>
            </w:pPr>
            <w:r>
              <w:rPr>
                <w:sz w:val="16"/>
                <w:szCs w:val="16"/>
              </w:rPr>
              <w:t>400,00</w:t>
            </w:r>
            <w:r>
              <w:rPr>
                <w:sz w:val="16"/>
                <w:szCs w:val="16"/>
              </w:rPr>
              <w:t>0</w:t>
            </w:r>
          </w:p>
        </w:tc>
        <w:tc>
          <w:tcPr>
            <w:tcW w:w="0" w:type="auto"/>
            <w:noWrap/>
            <w:hideMark/>
          </w:tcPr>
          <w:p w14:paraId="3CEE52C9"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DEAB78C"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5090371F"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479F821E"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4D4F9B47"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204DF98"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00273CF"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49217869" w14:textId="77777777" w:rsidR="00000000" w:rsidRDefault="00832D71">
            <w:pPr>
              <w:pStyle w:val="a3"/>
              <w:spacing w:before="0" w:beforeAutospacing="0" w:after="0" w:afterAutospacing="0"/>
              <w:jc w:val="right"/>
              <w:rPr>
                <w:sz w:val="16"/>
                <w:szCs w:val="16"/>
              </w:rPr>
            </w:pPr>
            <w:r>
              <w:rPr>
                <w:sz w:val="16"/>
                <w:szCs w:val="16"/>
              </w:rPr>
              <w:t>781,67</w:t>
            </w:r>
            <w:r>
              <w:rPr>
                <w:sz w:val="16"/>
                <w:szCs w:val="16"/>
              </w:rPr>
              <w:t>6</w:t>
            </w:r>
          </w:p>
        </w:tc>
        <w:tc>
          <w:tcPr>
            <w:tcW w:w="0" w:type="auto"/>
            <w:noWrap/>
            <w:hideMark/>
          </w:tcPr>
          <w:p w14:paraId="24152512"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A3BDD9B"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45B17ABF"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44BEB965" w14:textId="77777777" w:rsidR="00000000" w:rsidRDefault="00832D71">
            <w:pPr>
              <w:pStyle w:val="a3"/>
              <w:spacing w:before="0" w:beforeAutospacing="0" w:after="0" w:afterAutospacing="0"/>
              <w:jc w:val="right"/>
              <w:rPr>
                <w:sz w:val="16"/>
                <w:szCs w:val="16"/>
              </w:rPr>
            </w:pPr>
            <w:r>
              <w:rPr>
                <w:sz w:val="16"/>
                <w:szCs w:val="16"/>
              </w:rPr>
              <w:t>366,42</w:t>
            </w:r>
            <w:r>
              <w:rPr>
                <w:sz w:val="16"/>
                <w:szCs w:val="16"/>
              </w:rPr>
              <w:t>0</w:t>
            </w:r>
          </w:p>
        </w:tc>
        <w:tc>
          <w:tcPr>
            <w:tcW w:w="0" w:type="auto"/>
            <w:noWrap/>
            <w:hideMark/>
          </w:tcPr>
          <w:p w14:paraId="63DB2085"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87B7D6F"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6487F379"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4E94553A"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2B967DF8"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76B5C26"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7CBAFB76"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2C4DE005" w14:textId="77777777" w:rsidR="00000000" w:rsidRDefault="00832D71">
            <w:pPr>
              <w:pStyle w:val="a3"/>
              <w:spacing w:before="0" w:beforeAutospacing="0" w:after="0" w:afterAutospacing="0"/>
              <w:jc w:val="right"/>
              <w:rPr>
                <w:sz w:val="16"/>
                <w:szCs w:val="16"/>
              </w:rPr>
            </w:pPr>
            <w:r>
              <w:rPr>
                <w:sz w:val="16"/>
                <w:szCs w:val="16"/>
              </w:rPr>
              <w:t>29,29</w:t>
            </w:r>
            <w:r>
              <w:rPr>
                <w:sz w:val="16"/>
                <w:szCs w:val="16"/>
              </w:rPr>
              <w:t>4</w:t>
            </w:r>
          </w:p>
        </w:tc>
        <w:tc>
          <w:tcPr>
            <w:tcW w:w="0" w:type="auto"/>
            <w:noWrap/>
            <w:hideMark/>
          </w:tcPr>
          <w:p w14:paraId="4297E6EC"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882D409"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2E0D311E"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4B220930" w14:textId="77777777" w:rsidR="00000000" w:rsidRDefault="00832D71">
            <w:pPr>
              <w:pStyle w:val="a3"/>
              <w:spacing w:before="0" w:beforeAutospacing="0" w:after="0" w:afterAutospacing="0"/>
              <w:jc w:val="right"/>
              <w:rPr>
                <w:sz w:val="16"/>
                <w:szCs w:val="16"/>
              </w:rPr>
            </w:pPr>
            <w:r>
              <w:rPr>
                <w:sz w:val="16"/>
                <w:szCs w:val="16"/>
              </w:rPr>
              <w:t>1,577,39</w:t>
            </w:r>
            <w:r>
              <w:rPr>
                <w:sz w:val="16"/>
                <w:szCs w:val="16"/>
              </w:rPr>
              <w:t>0</w:t>
            </w:r>
          </w:p>
        </w:tc>
        <w:tc>
          <w:tcPr>
            <w:tcW w:w="0" w:type="auto"/>
            <w:noWrap/>
            <w:hideMark/>
          </w:tcPr>
          <w:p w14:paraId="73C7669A" w14:textId="77777777" w:rsidR="00000000" w:rsidRDefault="00832D71">
            <w:pPr>
              <w:pStyle w:val="a3"/>
              <w:spacing w:before="0" w:beforeAutospacing="0" w:after="0" w:afterAutospacing="0"/>
              <w:rPr>
                <w:sz w:val="16"/>
                <w:szCs w:val="16"/>
              </w:rPr>
            </w:pPr>
            <w:r>
              <w:rPr>
                <w:sz w:val="16"/>
                <w:szCs w:val="16"/>
              </w:rPr>
              <w:t> </w:t>
            </w:r>
          </w:p>
        </w:tc>
      </w:tr>
      <w:tr w:rsidR="00000000" w14:paraId="3F0E7662" w14:textId="77777777">
        <w:trPr>
          <w:tblCellSpacing w:w="15" w:type="dxa"/>
        </w:trPr>
        <w:tc>
          <w:tcPr>
            <w:tcW w:w="0" w:type="auto"/>
            <w:hideMark/>
          </w:tcPr>
          <w:p w14:paraId="0987430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523A16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2F41D9F"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A214CD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7A8E3D34"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3DCEF751"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7F2A8F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434974C2"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74110C91"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D1C0B9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47F47AF0"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091D2B0C"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3F09276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5D387AAB"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5AC6E86E"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1BCFBCE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0B8E7D7A"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74707474"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19307CC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742EC044"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092EDD5"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5FBAEB6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20E5C542"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29CD2B9A" w14:textId="77777777" w:rsidR="00000000" w:rsidRDefault="00832D71">
            <w:pPr>
              <w:pStyle w:val="a3"/>
              <w:spacing w:before="0" w:beforeAutospacing="0" w:after="0" w:afterAutospacing="0"/>
              <w:jc w:val="right"/>
              <w:rPr>
                <w:sz w:val="16"/>
                <w:szCs w:val="16"/>
              </w:rPr>
            </w:pPr>
            <w:r>
              <w:rPr>
                <w:sz w:val="16"/>
                <w:szCs w:val="16"/>
              </w:rPr>
              <w:t> </w:t>
            </w:r>
          </w:p>
        </w:tc>
      </w:tr>
      <w:tr w:rsidR="00000000" w14:paraId="5D6010E5" w14:textId="77777777">
        <w:trPr>
          <w:trHeight w:val="160"/>
          <w:tblCellSpacing w:w="15" w:type="dxa"/>
        </w:trPr>
        <w:tc>
          <w:tcPr>
            <w:tcW w:w="0" w:type="auto"/>
            <w:hideMark/>
          </w:tcPr>
          <w:p w14:paraId="28E0535D" w14:textId="77777777" w:rsidR="00000000" w:rsidRDefault="00832D71">
            <w:pPr>
              <w:pStyle w:val="a3"/>
              <w:spacing w:before="0" w:beforeAutospacing="0" w:after="0" w:afterAutospacing="0"/>
              <w:rPr>
                <w:sz w:val="16"/>
                <w:szCs w:val="16"/>
              </w:rPr>
            </w:pPr>
            <w:r>
              <w:rPr>
                <w:sz w:val="16"/>
                <w:szCs w:val="16"/>
              </w:rPr>
              <w:t>Steven C. Boy</w:t>
            </w:r>
            <w:r>
              <w:rPr>
                <w:sz w:val="16"/>
                <w:szCs w:val="16"/>
              </w:rPr>
              <w:t>d</w:t>
            </w:r>
          </w:p>
        </w:tc>
        <w:tc>
          <w:tcPr>
            <w:tcW w:w="0" w:type="auto"/>
            <w:hideMark/>
          </w:tcPr>
          <w:p w14:paraId="40EACE62"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AFC56E7" w14:textId="77777777" w:rsidR="00000000" w:rsidRDefault="00832D71">
            <w:pPr>
              <w:pStyle w:val="a3"/>
              <w:spacing w:before="0" w:beforeAutospacing="0" w:after="0" w:afterAutospacing="0"/>
              <w:jc w:val="center"/>
              <w:rPr>
                <w:sz w:val="16"/>
                <w:szCs w:val="16"/>
              </w:rPr>
            </w:pPr>
            <w:r>
              <w:rPr>
                <w:sz w:val="16"/>
                <w:szCs w:val="16"/>
              </w:rPr>
              <w:t>202</w:t>
            </w:r>
            <w:r>
              <w:rPr>
                <w:sz w:val="16"/>
                <w:szCs w:val="16"/>
              </w:rPr>
              <w:t>2</w:t>
            </w:r>
          </w:p>
        </w:tc>
        <w:tc>
          <w:tcPr>
            <w:tcW w:w="0" w:type="auto"/>
            <w:hideMark/>
          </w:tcPr>
          <w:p w14:paraId="0D9E9278"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765C210"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35D2A9B1" w14:textId="77777777" w:rsidR="00000000" w:rsidRDefault="00832D71">
            <w:pPr>
              <w:pStyle w:val="a3"/>
              <w:spacing w:before="0" w:beforeAutospacing="0" w:after="0" w:afterAutospacing="0"/>
              <w:jc w:val="right"/>
              <w:rPr>
                <w:sz w:val="16"/>
                <w:szCs w:val="16"/>
              </w:rPr>
            </w:pPr>
            <w:r>
              <w:rPr>
                <w:sz w:val="16"/>
                <w:szCs w:val="16"/>
              </w:rPr>
              <w:t>460,00</w:t>
            </w:r>
            <w:r>
              <w:rPr>
                <w:sz w:val="16"/>
                <w:szCs w:val="16"/>
              </w:rPr>
              <w:t>0</w:t>
            </w:r>
          </w:p>
        </w:tc>
        <w:tc>
          <w:tcPr>
            <w:tcW w:w="0" w:type="auto"/>
            <w:noWrap/>
            <w:hideMark/>
          </w:tcPr>
          <w:p w14:paraId="6DC4C8E2"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15B8149"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E7B98AD"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069CDF72"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4B34CD8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3BDF8A8"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69F9107B"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12FA3B84" w14:textId="77777777" w:rsidR="00000000" w:rsidRDefault="00832D71">
            <w:pPr>
              <w:pStyle w:val="a3"/>
              <w:spacing w:before="0" w:beforeAutospacing="0" w:after="0" w:afterAutospacing="0"/>
              <w:jc w:val="right"/>
              <w:rPr>
                <w:sz w:val="16"/>
                <w:szCs w:val="16"/>
              </w:rPr>
            </w:pPr>
            <w:r>
              <w:rPr>
                <w:sz w:val="16"/>
                <w:szCs w:val="16"/>
              </w:rPr>
              <w:t>966,84</w:t>
            </w:r>
            <w:r>
              <w:rPr>
                <w:sz w:val="16"/>
                <w:szCs w:val="16"/>
              </w:rPr>
              <w:t>7</w:t>
            </w:r>
          </w:p>
        </w:tc>
        <w:tc>
          <w:tcPr>
            <w:tcW w:w="0" w:type="auto"/>
            <w:noWrap/>
            <w:hideMark/>
          </w:tcPr>
          <w:p w14:paraId="24CA01F5"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4B9E706"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AE0B4E9"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39891F7E" w14:textId="77777777" w:rsidR="00000000" w:rsidRDefault="00832D71">
            <w:pPr>
              <w:pStyle w:val="a3"/>
              <w:spacing w:before="0" w:beforeAutospacing="0" w:after="0" w:afterAutospacing="0"/>
              <w:jc w:val="right"/>
              <w:rPr>
                <w:sz w:val="16"/>
                <w:szCs w:val="16"/>
              </w:rPr>
            </w:pPr>
            <w:r>
              <w:rPr>
                <w:sz w:val="16"/>
                <w:szCs w:val="16"/>
              </w:rPr>
              <w:t>593,37</w:t>
            </w:r>
            <w:r>
              <w:rPr>
                <w:sz w:val="16"/>
                <w:szCs w:val="16"/>
              </w:rPr>
              <w:t>5</w:t>
            </w:r>
          </w:p>
        </w:tc>
        <w:tc>
          <w:tcPr>
            <w:tcW w:w="0" w:type="auto"/>
            <w:noWrap/>
            <w:hideMark/>
          </w:tcPr>
          <w:p w14:paraId="5C89FE3D"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4EB3F5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3FEA4DB1"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1AB34BA8"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6B6A2307"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61CEA9D1"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5055B4E1" w14:textId="77777777" w:rsidR="00000000" w:rsidRDefault="00832D71">
            <w:pPr>
              <w:pStyle w:val="a3"/>
              <w:spacing w:before="0" w:beforeAutospacing="0" w:after="0" w:afterAutospacing="0"/>
              <w:jc w:val="right"/>
              <w:rPr>
                <w:sz w:val="16"/>
                <w:szCs w:val="16"/>
              </w:rPr>
            </w:pPr>
            <w:r>
              <w:rPr>
                <w:sz w:val="16"/>
                <w:szCs w:val="16"/>
              </w:rPr>
              <w:t>22,96</w:t>
            </w:r>
            <w:r>
              <w:rPr>
                <w:sz w:val="16"/>
                <w:szCs w:val="16"/>
              </w:rPr>
              <w:t>9</w:t>
            </w:r>
          </w:p>
        </w:tc>
        <w:tc>
          <w:tcPr>
            <w:tcW w:w="0" w:type="auto"/>
            <w:noWrap/>
            <w:hideMark/>
          </w:tcPr>
          <w:p w14:paraId="0309028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BB34A11"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782D3129"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78C3F18F" w14:textId="77777777" w:rsidR="00000000" w:rsidRDefault="00832D71">
            <w:pPr>
              <w:pStyle w:val="a3"/>
              <w:spacing w:before="0" w:beforeAutospacing="0" w:after="0" w:afterAutospacing="0"/>
              <w:jc w:val="right"/>
              <w:rPr>
                <w:sz w:val="16"/>
                <w:szCs w:val="16"/>
              </w:rPr>
            </w:pPr>
            <w:r>
              <w:rPr>
                <w:sz w:val="16"/>
                <w:szCs w:val="16"/>
              </w:rPr>
              <w:t>2,043,19</w:t>
            </w:r>
            <w:r>
              <w:rPr>
                <w:sz w:val="16"/>
                <w:szCs w:val="16"/>
              </w:rPr>
              <w:t>1</w:t>
            </w:r>
          </w:p>
        </w:tc>
        <w:tc>
          <w:tcPr>
            <w:tcW w:w="0" w:type="auto"/>
            <w:noWrap/>
            <w:hideMark/>
          </w:tcPr>
          <w:p w14:paraId="1016FFCD" w14:textId="77777777" w:rsidR="00000000" w:rsidRDefault="00832D71">
            <w:pPr>
              <w:pStyle w:val="a3"/>
              <w:spacing w:before="0" w:beforeAutospacing="0" w:after="0" w:afterAutospacing="0"/>
              <w:rPr>
                <w:sz w:val="16"/>
                <w:szCs w:val="16"/>
              </w:rPr>
            </w:pPr>
            <w:r>
              <w:rPr>
                <w:sz w:val="16"/>
                <w:szCs w:val="16"/>
              </w:rPr>
              <w:t> </w:t>
            </w:r>
          </w:p>
        </w:tc>
      </w:tr>
      <w:tr w:rsidR="00000000" w14:paraId="06B02EB6" w14:textId="77777777">
        <w:trPr>
          <w:trHeight w:val="160"/>
          <w:tblCellSpacing w:w="15" w:type="dxa"/>
        </w:trPr>
        <w:tc>
          <w:tcPr>
            <w:tcW w:w="0" w:type="auto"/>
            <w:hideMark/>
          </w:tcPr>
          <w:p w14:paraId="49750E96" w14:textId="77777777" w:rsidR="00000000" w:rsidRDefault="00832D71">
            <w:pPr>
              <w:pStyle w:val="a3"/>
              <w:spacing w:before="0" w:beforeAutospacing="0" w:after="0" w:afterAutospacing="0"/>
              <w:rPr>
                <w:sz w:val="16"/>
                <w:szCs w:val="16"/>
              </w:rPr>
            </w:pPr>
            <w:r>
              <w:rPr>
                <w:sz w:val="16"/>
                <w:szCs w:val="16"/>
              </w:rPr>
              <w:t>Chief Operating Office</w:t>
            </w:r>
            <w:r>
              <w:rPr>
                <w:sz w:val="16"/>
                <w:szCs w:val="16"/>
              </w:rPr>
              <w:t>r</w:t>
            </w:r>
          </w:p>
        </w:tc>
        <w:tc>
          <w:tcPr>
            <w:tcW w:w="0" w:type="auto"/>
            <w:hideMark/>
          </w:tcPr>
          <w:p w14:paraId="2ABD71D3"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0C4839E" w14:textId="77777777" w:rsidR="00000000" w:rsidRDefault="00832D71">
            <w:pPr>
              <w:pStyle w:val="a3"/>
              <w:spacing w:before="0" w:beforeAutospacing="0" w:after="0" w:afterAutospacing="0"/>
              <w:jc w:val="center"/>
              <w:rPr>
                <w:sz w:val="16"/>
                <w:szCs w:val="16"/>
              </w:rPr>
            </w:pPr>
            <w:r>
              <w:rPr>
                <w:sz w:val="16"/>
                <w:szCs w:val="16"/>
              </w:rPr>
              <w:t>202</w:t>
            </w:r>
            <w:r>
              <w:rPr>
                <w:sz w:val="16"/>
                <w:szCs w:val="16"/>
              </w:rPr>
              <w:t>1</w:t>
            </w:r>
          </w:p>
        </w:tc>
        <w:tc>
          <w:tcPr>
            <w:tcW w:w="0" w:type="auto"/>
            <w:hideMark/>
          </w:tcPr>
          <w:p w14:paraId="4DFA27AE"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0D10B8A"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3EB471FE" w14:textId="77777777" w:rsidR="00000000" w:rsidRDefault="00832D71">
            <w:pPr>
              <w:pStyle w:val="a3"/>
              <w:spacing w:before="0" w:beforeAutospacing="0" w:after="0" w:afterAutospacing="0"/>
              <w:jc w:val="right"/>
              <w:rPr>
                <w:sz w:val="16"/>
                <w:szCs w:val="16"/>
              </w:rPr>
            </w:pPr>
            <w:r>
              <w:rPr>
                <w:sz w:val="16"/>
                <w:szCs w:val="16"/>
              </w:rPr>
              <w:t>400,00</w:t>
            </w:r>
            <w:r>
              <w:rPr>
                <w:sz w:val="16"/>
                <w:szCs w:val="16"/>
              </w:rPr>
              <w:t>0</w:t>
            </w:r>
          </w:p>
        </w:tc>
        <w:tc>
          <w:tcPr>
            <w:tcW w:w="0" w:type="auto"/>
            <w:noWrap/>
            <w:hideMark/>
          </w:tcPr>
          <w:p w14:paraId="2B85F457"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CFB89FE"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68E9ADB0"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67B91FA9"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440097B9"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5C95B50"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78C0F45C"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1D6B67A2" w14:textId="77777777" w:rsidR="00000000" w:rsidRDefault="00832D71">
            <w:pPr>
              <w:pStyle w:val="a3"/>
              <w:spacing w:before="0" w:beforeAutospacing="0" w:after="0" w:afterAutospacing="0"/>
              <w:jc w:val="right"/>
              <w:rPr>
                <w:sz w:val="16"/>
                <w:szCs w:val="16"/>
              </w:rPr>
            </w:pPr>
            <w:r>
              <w:rPr>
                <w:sz w:val="16"/>
                <w:szCs w:val="16"/>
              </w:rPr>
              <w:t>858,62</w:t>
            </w:r>
            <w:r>
              <w:rPr>
                <w:sz w:val="16"/>
                <w:szCs w:val="16"/>
              </w:rPr>
              <w:t>6</w:t>
            </w:r>
          </w:p>
        </w:tc>
        <w:tc>
          <w:tcPr>
            <w:tcW w:w="0" w:type="auto"/>
            <w:noWrap/>
            <w:hideMark/>
          </w:tcPr>
          <w:p w14:paraId="3C736F38"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37E881E"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838B966"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532D3101" w14:textId="77777777" w:rsidR="00000000" w:rsidRDefault="00832D71">
            <w:pPr>
              <w:pStyle w:val="a3"/>
              <w:spacing w:before="0" w:beforeAutospacing="0" w:after="0" w:afterAutospacing="0"/>
              <w:jc w:val="right"/>
              <w:rPr>
                <w:sz w:val="16"/>
                <w:szCs w:val="16"/>
              </w:rPr>
            </w:pPr>
            <w:r>
              <w:rPr>
                <w:sz w:val="16"/>
                <w:szCs w:val="16"/>
              </w:rPr>
              <w:t>494,05</w:t>
            </w:r>
            <w:r>
              <w:rPr>
                <w:sz w:val="16"/>
                <w:szCs w:val="16"/>
              </w:rPr>
              <w:t>0</w:t>
            </w:r>
          </w:p>
        </w:tc>
        <w:tc>
          <w:tcPr>
            <w:tcW w:w="0" w:type="auto"/>
            <w:noWrap/>
            <w:hideMark/>
          </w:tcPr>
          <w:p w14:paraId="07BDE0FD"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A6CF36C"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60C341D6"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3DC19326"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4636DB91"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1921D72"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D807B1A"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64FF625E" w14:textId="77777777" w:rsidR="00000000" w:rsidRDefault="00832D71">
            <w:pPr>
              <w:pStyle w:val="a3"/>
              <w:spacing w:before="0" w:beforeAutospacing="0" w:after="0" w:afterAutospacing="0"/>
              <w:jc w:val="right"/>
              <w:rPr>
                <w:sz w:val="16"/>
                <w:szCs w:val="16"/>
              </w:rPr>
            </w:pPr>
            <w:r>
              <w:rPr>
                <w:sz w:val="16"/>
                <w:szCs w:val="16"/>
              </w:rPr>
              <w:t>22,19</w:t>
            </w:r>
            <w:r>
              <w:rPr>
                <w:sz w:val="16"/>
                <w:szCs w:val="16"/>
              </w:rPr>
              <w:t>4</w:t>
            </w:r>
          </w:p>
        </w:tc>
        <w:tc>
          <w:tcPr>
            <w:tcW w:w="0" w:type="auto"/>
            <w:noWrap/>
            <w:hideMark/>
          </w:tcPr>
          <w:p w14:paraId="346DACC1"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E894493"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23189ACA"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01F6F3B4" w14:textId="77777777" w:rsidR="00000000" w:rsidRDefault="00832D71">
            <w:pPr>
              <w:pStyle w:val="a3"/>
              <w:spacing w:before="0" w:beforeAutospacing="0" w:after="0" w:afterAutospacing="0"/>
              <w:jc w:val="right"/>
              <w:rPr>
                <w:sz w:val="16"/>
                <w:szCs w:val="16"/>
              </w:rPr>
            </w:pPr>
            <w:r>
              <w:rPr>
                <w:sz w:val="16"/>
                <w:szCs w:val="16"/>
              </w:rPr>
              <w:t>1,774,87</w:t>
            </w:r>
            <w:r>
              <w:rPr>
                <w:sz w:val="16"/>
                <w:szCs w:val="16"/>
              </w:rPr>
              <w:t>0</w:t>
            </w:r>
          </w:p>
        </w:tc>
        <w:tc>
          <w:tcPr>
            <w:tcW w:w="0" w:type="auto"/>
            <w:noWrap/>
            <w:hideMark/>
          </w:tcPr>
          <w:p w14:paraId="79EFFC54" w14:textId="77777777" w:rsidR="00000000" w:rsidRDefault="00832D71">
            <w:pPr>
              <w:pStyle w:val="a3"/>
              <w:spacing w:before="0" w:beforeAutospacing="0" w:after="0" w:afterAutospacing="0"/>
              <w:rPr>
                <w:sz w:val="16"/>
                <w:szCs w:val="16"/>
              </w:rPr>
            </w:pPr>
            <w:r>
              <w:rPr>
                <w:sz w:val="16"/>
                <w:szCs w:val="16"/>
              </w:rPr>
              <w:t> </w:t>
            </w:r>
          </w:p>
        </w:tc>
      </w:tr>
      <w:tr w:rsidR="00000000" w14:paraId="7D54CB6E" w14:textId="77777777">
        <w:trPr>
          <w:trHeight w:val="160"/>
          <w:tblCellSpacing w:w="15" w:type="dxa"/>
        </w:trPr>
        <w:tc>
          <w:tcPr>
            <w:tcW w:w="0" w:type="auto"/>
            <w:hideMark/>
          </w:tcPr>
          <w:p w14:paraId="2FFCC0D4"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E7E4E26"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E88C613" w14:textId="77777777" w:rsidR="00000000" w:rsidRDefault="00832D71">
            <w:pPr>
              <w:pStyle w:val="a3"/>
              <w:spacing w:before="0" w:beforeAutospacing="0" w:after="0" w:afterAutospacing="0"/>
              <w:jc w:val="center"/>
              <w:rPr>
                <w:sz w:val="16"/>
                <w:szCs w:val="16"/>
              </w:rPr>
            </w:pPr>
            <w:r>
              <w:rPr>
                <w:sz w:val="16"/>
                <w:szCs w:val="16"/>
              </w:rPr>
              <w:t>202</w:t>
            </w:r>
            <w:r>
              <w:rPr>
                <w:sz w:val="16"/>
                <w:szCs w:val="16"/>
              </w:rPr>
              <w:t>0</w:t>
            </w:r>
          </w:p>
        </w:tc>
        <w:tc>
          <w:tcPr>
            <w:tcW w:w="0" w:type="auto"/>
            <w:hideMark/>
          </w:tcPr>
          <w:p w14:paraId="00237836"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6BC750A9"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586E4134" w14:textId="77777777" w:rsidR="00000000" w:rsidRDefault="00832D71">
            <w:pPr>
              <w:pStyle w:val="a3"/>
              <w:spacing w:before="0" w:beforeAutospacing="0" w:after="0" w:afterAutospacing="0"/>
              <w:jc w:val="right"/>
              <w:rPr>
                <w:sz w:val="16"/>
                <w:szCs w:val="16"/>
              </w:rPr>
            </w:pPr>
            <w:r>
              <w:rPr>
                <w:sz w:val="16"/>
                <w:szCs w:val="16"/>
              </w:rPr>
              <w:t>400,00</w:t>
            </w:r>
            <w:r>
              <w:rPr>
                <w:sz w:val="16"/>
                <w:szCs w:val="16"/>
              </w:rPr>
              <w:t>0</w:t>
            </w:r>
          </w:p>
        </w:tc>
        <w:tc>
          <w:tcPr>
            <w:tcW w:w="0" w:type="auto"/>
            <w:noWrap/>
            <w:hideMark/>
          </w:tcPr>
          <w:p w14:paraId="18C86001"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A17C05B"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5C3B5386"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6B002E2B"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00F81672"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881B967"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33B281C8"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6229A108" w14:textId="77777777" w:rsidR="00000000" w:rsidRDefault="00832D71">
            <w:pPr>
              <w:pStyle w:val="a3"/>
              <w:spacing w:before="0" w:beforeAutospacing="0" w:after="0" w:afterAutospacing="0"/>
              <w:jc w:val="right"/>
              <w:rPr>
                <w:sz w:val="16"/>
                <w:szCs w:val="16"/>
              </w:rPr>
            </w:pPr>
            <w:r>
              <w:rPr>
                <w:sz w:val="16"/>
                <w:szCs w:val="16"/>
              </w:rPr>
              <w:t>781,67</w:t>
            </w:r>
            <w:r>
              <w:rPr>
                <w:sz w:val="16"/>
                <w:szCs w:val="16"/>
              </w:rPr>
              <w:t>6</w:t>
            </w:r>
          </w:p>
        </w:tc>
        <w:tc>
          <w:tcPr>
            <w:tcW w:w="0" w:type="auto"/>
            <w:noWrap/>
            <w:hideMark/>
          </w:tcPr>
          <w:p w14:paraId="7213A5C4"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6CB45B0"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6F3D69F2"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2216503E" w14:textId="77777777" w:rsidR="00000000" w:rsidRDefault="00832D71">
            <w:pPr>
              <w:pStyle w:val="a3"/>
              <w:spacing w:before="0" w:beforeAutospacing="0" w:after="0" w:afterAutospacing="0"/>
              <w:jc w:val="right"/>
              <w:rPr>
                <w:sz w:val="16"/>
                <w:szCs w:val="16"/>
              </w:rPr>
            </w:pPr>
            <w:r>
              <w:rPr>
                <w:sz w:val="16"/>
                <w:szCs w:val="16"/>
              </w:rPr>
              <w:t>365,59</w:t>
            </w:r>
            <w:r>
              <w:rPr>
                <w:sz w:val="16"/>
                <w:szCs w:val="16"/>
              </w:rPr>
              <w:t>1</w:t>
            </w:r>
          </w:p>
        </w:tc>
        <w:tc>
          <w:tcPr>
            <w:tcW w:w="0" w:type="auto"/>
            <w:noWrap/>
            <w:hideMark/>
          </w:tcPr>
          <w:p w14:paraId="4D112095"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51BC79A"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35C51FC2"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666033E2" w14:textId="77777777" w:rsidR="00000000" w:rsidRDefault="00832D71">
            <w:pPr>
              <w:pStyle w:val="a3"/>
              <w:spacing w:before="0" w:beforeAutospacing="0" w:after="0" w:afterAutospacing="0"/>
              <w:jc w:val="right"/>
              <w:rPr>
                <w:sz w:val="16"/>
                <w:szCs w:val="16"/>
              </w:rPr>
            </w:pPr>
            <w:r>
              <w:rPr>
                <w:sz w:val="16"/>
                <w:szCs w:val="16"/>
              </w:rPr>
              <w:t>50,39</w:t>
            </w:r>
            <w:r>
              <w:rPr>
                <w:sz w:val="16"/>
                <w:szCs w:val="16"/>
              </w:rPr>
              <w:t>1</w:t>
            </w:r>
          </w:p>
        </w:tc>
        <w:tc>
          <w:tcPr>
            <w:tcW w:w="0" w:type="auto"/>
            <w:noWrap/>
            <w:hideMark/>
          </w:tcPr>
          <w:p w14:paraId="13B36036"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37EBBCD"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0FF78C8E"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26D7D856" w14:textId="77777777" w:rsidR="00000000" w:rsidRDefault="00832D71">
            <w:pPr>
              <w:pStyle w:val="a3"/>
              <w:spacing w:before="0" w:beforeAutospacing="0" w:after="0" w:afterAutospacing="0"/>
              <w:jc w:val="right"/>
              <w:rPr>
                <w:sz w:val="16"/>
                <w:szCs w:val="16"/>
              </w:rPr>
            </w:pPr>
            <w:r>
              <w:rPr>
                <w:sz w:val="16"/>
                <w:szCs w:val="16"/>
              </w:rPr>
              <w:t>21,87</w:t>
            </w:r>
            <w:r>
              <w:rPr>
                <w:sz w:val="16"/>
                <w:szCs w:val="16"/>
              </w:rPr>
              <w:t>5</w:t>
            </w:r>
          </w:p>
        </w:tc>
        <w:tc>
          <w:tcPr>
            <w:tcW w:w="0" w:type="auto"/>
            <w:noWrap/>
            <w:hideMark/>
          </w:tcPr>
          <w:p w14:paraId="41933049"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6B04094"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72AA425B"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08C0A009" w14:textId="77777777" w:rsidR="00000000" w:rsidRDefault="00832D71">
            <w:pPr>
              <w:pStyle w:val="a3"/>
              <w:spacing w:before="0" w:beforeAutospacing="0" w:after="0" w:afterAutospacing="0"/>
              <w:jc w:val="right"/>
              <w:rPr>
                <w:sz w:val="16"/>
                <w:szCs w:val="16"/>
              </w:rPr>
            </w:pPr>
            <w:r>
              <w:rPr>
                <w:sz w:val="16"/>
                <w:szCs w:val="16"/>
              </w:rPr>
              <w:t>1,619,53</w:t>
            </w:r>
            <w:r>
              <w:rPr>
                <w:sz w:val="16"/>
                <w:szCs w:val="16"/>
              </w:rPr>
              <w:t>3</w:t>
            </w:r>
          </w:p>
        </w:tc>
        <w:tc>
          <w:tcPr>
            <w:tcW w:w="0" w:type="auto"/>
            <w:noWrap/>
            <w:hideMark/>
          </w:tcPr>
          <w:p w14:paraId="60C8403A" w14:textId="77777777" w:rsidR="00000000" w:rsidRDefault="00832D71">
            <w:pPr>
              <w:pStyle w:val="a3"/>
              <w:spacing w:before="0" w:beforeAutospacing="0" w:after="0" w:afterAutospacing="0"/>
              <w:rPr>
                <w:sz w:val="16"/>
                <w:szCs w:val="16"/>
              </w:rPr>
            </w:pPr>
            <w:r>
              <w:rPr>
                <w:sz w:val="16"/>
                <w:szCs w:val="16"/>
              </w:rPr>
              <w:t> </w:t>
            </w:r>
          </w:p>
        </w:tc>
      </w:tr>
      <w:tr w:rsidR="00000000" w14:paraId="7F588BCB" w14:textId="77777777">
        <w:trPr>
          <w:tblCellSpacing w:w="15" w:type="dxa"/>
        </w:trPr>
        <w:tc>
          <w:tcPr>
            <w:tcW w:w="0" w:type="auto"/>
            <w:hideMark/>
          </w:tcPr>
          <w:p w14:paraId="390D3D69"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BF9C820"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87F4B71"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67E036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3B550F43"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9374173"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67D6B6E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333301B3"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6D504B2"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7522043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3509A7B9"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E743EF2"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5C9FA27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732916FB"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0A639445"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293BE2ED"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797D58FD"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58CBD945"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1F5B138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04098F6B"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7DCFC021"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260A9E0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005D966A"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21601D80" w14:textId="77777777" w:rsidR="00000000" w:rsidRDefault="00832D71">
            <w:pPr>
              <w:pStyle w:val="a3"/>
              <w:spacing w:before="0" w:beforeAutospacing="0" w:after="0" w:afterAutospacing="0"/>
              <w:jc w:val="right"/>
              <w:rPr>
                <w:sz w:val="16"/>
                <w:szCs w:val="16"/>
              </w:rPr>
            </w:pPr>
            <w:r>
              <w:rPr>
                <w:sz w:val="16"/>
                <w:szCs w:val="16"/>
              </w:rPr>
              <w:t> </w:t>
            </w:r>
          </w:p>
        </w:tc>
      </w:tr>
      <w:tr w:rsidR="00000000" w14:paraId="3BA542E8" w14:textId="77777777">
        <w:trPr>
          <w:trHeight w:val="160"/>
          <w:tblCellSpacing w:w="15" w:type="dxa"/>
        </w:trPr>
        <w:tc>
          <w:tcPr>
            <w:tcW w:w="0" w:type="auto"/>
            <w:hideMark/>
          </w:tcPr>
          <w:p w14:paraId="02F7E03D" w14:textId="77777777" w:rsidR="00000000" w:rsidRDefault="00832D71">
            <w:pPr>
              <w:pStyle w:val="a3"/>
              <w:spacing w:before="0" w:beforeAutospacing="0" w:after="0" w:afterAutospacing="0"/>
              <w:rPr>
                <w:sz w:val="16"/>
                <w:szCs w:val="16"/>
              </w:rPr>
            </w:pPr>
            <w:r>
              <w:rPr>
                <w:sz w:val="16"/>
                <w:szCs w:val="16"/>
              </w:rPr>
              <w:t>Douglas Brinkwort</w:t>
            </w:r>
            <w:r>
              <w:rPr>
                <w:sz w:val="16"/>
                <w:szCs w:val="16"/>
              </w:rPr>
              <w:t>h</w:t>
            </w:r>
          </w:p>
        </w:tc>
        <w:tc>
          <w:tcPr>
            <w:tcW w:w="0" w:type="auto"/>
            <w:hideMark/>
          </w:tcPr>
          <w:p w14:paraId="7A623071"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3E9464E" w14:textId="77777777" w:rsidR="00000000" w:rsidRDefault="00832D71">
            <w:pPr>
              <w:pStyle w:val="a3"/>
              <w:spacing w:before="0" w:beforeAutospacing="0" w:after="0" w:afterAutospacing="0"/>
              <w:jc w:val="center"/>
              <w:rPr>
                <w:sz w:val="16"/>
                <w:szCs w:val="16"/>
              </w:rPr>
            </w:pPr>
            <w:r>
              <w:rPr>
                <w:sz w:val="16"/>
                <w:szCs w:val="16"/>
              </w:rPr>
              <w:t>202</w:t>
            </w:r>
            <w:r>
              <w:rPr>
                <w:sz w:val="16"/>
                <w:szCs w:val="16"/>
              </w:rPr>
              <w:t>2</w:t>
            </w:r>
          </w:p>
        </w:tc>
        <w:tc>
          <w:tcPr>
            <w:tcW w:w="0" w:type="auto"/>
            <w:hideMark/>
          </w:tcPr>
          <w:p w14:paraId="473AF46E"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3BBFEE7D"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4D2CF2AC" w14:textId="77777777" w:rsidR="00000000" w:rsidRDefault="00832D71">
            <w:pPr>
              <w:pStyle w:val="a3"/>
              <w:spacing w:before="0" w:beforeAutospacing="0" w:after="0" w:afterAutospacing="0"/>
              <w:jc w:val="right"/>
              <w:rPr>
                <w:sz w:val="16"/>
                <w:szCs w:val="16"/>
              </w:rPr>
            </w:pPr>
            <w:r>
              <w:rPr>
                <w:sz w:val="16"/>
                <w:szCs w:val="16"/>
              </w:rPr>
              <w:t>400,00</w:t>
            </w:r>
            <w:r>
              <w:rPr>
                <w:sz w:val="16"/>
                <w:szCs w:val="16"/>
              </w:rPr>
              <w:t>0</w:t>
            </w:r>
          </w:p>
        </w:tc>
        <w:tc>
          <w:tcPr>
            <w:tcW w:w="0" w:type="auto"/>
            <w:noWrap/>
            <w:hideMark/>
          </w:tcPr>
          <w:p w14:paraId="50669257"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A08F5FD"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4D1B159"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4B8D4CEB"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06CCA5F2"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406EED5"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49054AE1"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6B1669FC" w14:textId="77777777" w:rsidR="00000000" w:rsidRDefault="00832D71">
            <w:pPr>
              <w:pStyle w:val="a3"/>
              <w:spacing w:before="0" w:beforeAutospacing="0" w:after="0" w:afterAutospacing="0"/>
              <w:jc w:val="right"/>
              <w:rPr>
                <w:sz w:val="16"/>
                <w:szCs w:val="16"/>
              </w:rPr>
            </w:pPr>
            <w:r>
              <w:rPr>
                <w:sz w:val="16"/>
                <w:szCs w:val="16"/>
              </w:rPr>
              <w:t>921,63</w:t>
            </w:r>
            <w:r>
              <w:rPr>
                <w:sz w:val="16"/>
                <w:szCs w:val="16"/>
              </w:rPr>
              <w:t>5</w:t>
            </w:r>
          </w:p>
        </w:tc>
        <w:tc>
          <w:tcPr>
            <w:tcW w:w="0" w:type="auto"/>
            <w:noWrap/>
            <w:hideMark/>
          </w:tcPr>
          <w:p w14:paraId="55ECD6FD"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A009E38"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04C2C348"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3ECA5B3A" w14:textId="77777777" w:rsidR="00000000" w:rsidRDefault="00832D71">
            <w:pPr>
              <w:pStyle w:val="a3"/>
              <w:spacing w:before="0" w:beforeAutospacing="0" w:after="0" w:afterAutospacing="0"/>
              <w:jc w:val="right"/>
              <w:rPr>
                <w:sz w:val="16"/>
                <w:szCs w:val="16"/>
              </w:rPr>
            </w:pPr>
            <w:r>
              <w:rPr>
                <w:sz w:val="16"/>
                <w:szCs w:val="16"/>
              </w:rPr>
              <w:t>527,45</w:t>
            </w:r>
            <w:r>
              <w:rPr>
                <w:sz w:val="16"/>
                <w:szCs w:val="16"/>
              </w:rPr>
              <w:t>3</w:t>
            </w:r>
          </w:p>
        </w:tc>
        <w:tc>
          <w:tcPr>
            <w:tcW w:w="0" w:type="auto"/>
            <w:noWrap/>
            <w:hideMark/>
          </w:tcPr>
          <w:p w14:paraId="741A9124"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A3F007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1E0104AF"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281D7D4D"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0E5CB0A4"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4F149DD"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07AB654D" w14:textId="77777777" w:rsidR="00000000" w:rsidRDefault="00832D71">
            <w:pPr>
              <w:pStyle w:val="a3"/>
              <w:spacing w:before="0" w:beforeAutospacing="0" w:after="0" w:afterAutospacing="0"/>
              <w:jc w:val="right"/>
              <w:rPr>
                <w:sz w:val="16"/>
                <w:szCs w:val="16"/>
              </w:rPr>
            </w:pPr>
            <w:r>
              <w:rPr>
                <w:sz w:val="16"/>
                <w:szCs w:val="16"/>
              </w:rPr>
              <w:t>34,66</w:t>
            </w:r>
            <w:r>
              <w:rPr>
                <w:sz w:val="16"/>
                <w:szCs w:val="16"/>
              </w:rPr>
              <w:t>4</w:t>
            </w:r>
          </w:p>
        </w:tc>
        <w:tc>
          <w:tcPr>
            <w:tcW w:w="0" w:type="auto"/>
            <w:noWrap/>
            <w:hideMark/>
          </w:tcPr>
          <w:p w14:paraId="5559EF6C"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642E1C4"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7EDC0CBE"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5AE1CEA1" w14:textId="77777777" w:rsidR="00000000" w:rsidRDefault="00832D71">
            <w:pPr>
              <w:pStyle w:val="a3"/>
              <w:spacing w:before="0" w:beforeAutospacing="0" w:after="0" w:afterAutospacing="0"/>
              <w:jc w:val="right"/>
              <w:rPr>
                <w:sz w:val="16"/>
                <w:szCs w:val="16"/>
              </w:rPr>
            </w:pPr>
            <w:r>
              <w:rPr>
                <w:sz w:val="16"/>
                <w:szCs w:val="16"/>
              </w:rPr>
              <w:t>1,883,75</w:t>
            </w:r>
            <w:r>
              <w:rPr>
                <w:sz w:val="16"/>
                <w:szCs w:val="16"/>
              </w:rPr>
              <w:t>2</w:t>
            </w:r>
          </w:p>
        </w:tc>
        <w:tc>
          <w:tcPr>
            <w:tcW w:w="0" w:type="auto"/>
            <w:noWrap/>
            <w:hideMark/>
          </w:tcPr>
          <w:p w14:paraId="23C0EF33" w14:textId="77777777" w:rsidR="00000000" w:rsidRDefault="00832D71">
            <w:pPr>
              <w:pStyle w:val="a3"/>
              <w:spacing w:before="0" w:beforeAutospacing="0" w:after="0" w:afterAutospacing="0"/>
              <w:rPr>
                <w:sz w:val="16"/>
                <w:szCs w:val="16"/>
              </w:rPr>
            </w:pPr>
            <w:r>
              <w:rPr>
                <w:sz w:val="16"/>
                <w:szCs w:val="16"/>
              </w:rPr>
              <w:t> </w:t>
            </w:r>
          </w:p>
        </w:tc>
      </w:tr>
      <w:tr w:rsidR="00000000" w14:paraId="17D0736D" w14:textId="77777777">
        <w:trPr>
          <w:trHeight w:val="160"/>
          <w:tblCellSpacing w:w="15" w:type="dxa"/>
        </w:trPr>
        <w:tc>
          <w:tcPr>
            <w:tcW w:w="0" w:type="auto"/>
            <w:hideMark/>
          </w:tcPr>
          <w:p w14:paraId="4E048DC8" w14:textId="77777777" w:rsidR="00000000" w:rsidRDefault="00832D71">
            <w:pPr>
              <w:pStyle w:val="a3"/>
              <w:spacing w:before="0" w:beforeAutospacing="0" w:after="0" w:afterAutospacing="0"/>
              <w:rPr>
                <w:sz w:val="16"/>
                <w:szCs w:val="16"/>
              </w:rPr>
            </w:pPr>
            <w:r>
              <w:rPr>
                <w:sz w:val="16"/>
                <w:szCs w:val="16"/>
              </w:rPr>
              <w:t>Senior Vice President</w:t>
            </w:r>
            <w:r>
              <w:rPr>
                <w:sz w:val="16"/>
                <w:szCs w:val="16"/>
              </w:rPr>
              <w:t>:</w:t>
            </w:r>
          </w:p>
        </w:tc>
        <w:tc>
          <w:tcPr>
            <w:tcW w:w="0" w:type="auto"/>
            <w:hideMark/>
          </w:tcPr>
          <w:p w14:paraId="1FC000C8"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3EACB4E" w14:textId="77777777" w:rsidR="00000000" w:rsidRDefault="00832D71">
            <w:pPr>
              <w:pStyle w:val="a3"/>
              <w:spacing w:before="0" w:beforeAutospacing="0" w:after="0" w:afterAutospacing="0"/>
              <w:jc w:val="center"/>
              <w:rPr>
                <w:sz w:val="16"/>
                <w:szCs w:val="16"/>
              </w:rPr>
            </w:pPr>
            <w:r>
              <w:rPr>
                <w:sz w:val="16"/>
                <w:szCs w:val="16"/>
              </w:rPr>
              <w:t>202</w:t>
            </w:r>
            <w:r>
              <w:rPr>
                <w:sz w:val="16"/>
                <w:szCs w:val="16"/>
              </w:rPr>
              <w:t>1</w:t>
            </w:r>
          </w:p>
        </w:tc>
        <w:tc>
          <w:tcPr>
            <w:tcW w:w="0" w:type="auto"/>
            <w:hideMark/>
          </w:tcPr>
          <w:p w14:paraId="0186303A"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3F4E017"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34457C9E" w14:textId="77777777" w:rsidR="00000000" w:rsidRDefault="00832D71">
            <w:pPr>
              <w:pStyle w:val="a3"/>
              <w:spacing w:before="0" w:beforeAutospacing="0" w:after="0" w:afterAutospacing="0"/>
              <w:jc w:val="right"/>
              <w:rPr>
                <w:sz w:val="16"/>
                <w:szCs w:val="16"/>
              </w:rPr>
            </w:pPr>
            <w:r>
              <w:rPr>
                <w:sz w:val="16"/>
                <w:szCs w:val="16"/>
              </w:rPr>
              <w:t>360,00</w:t>
            </w:r>
            <w:r>
              <w:rPr>
                <w:sz w:val="16"/>
                <w:szCs w:val="16"/>
              </w:rPr>
              <w:t>0</w:t>
            </w:r>
          </w:p>
        </w:tc>
        <w:tc>
          <w:tcPr>
            <w:tcW w:w="0" w:type="auto"/>
            <w:noWrap/>
            <w:hideMark/>
          </w:tcPr>
          <w:p w14:paraId="68CA8975"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D083DB6"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00343601"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6E087165"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54F30FE6"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BB5DB7A"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5AB18088"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669CB77F" w14:textId="77777777" w:rsidR="00000000" w:rsidRDefault="00832D71">
            <w:pPr>
              <w:pStyle w:val="a3"/>
              <w:spacing w:before="0" w:beforeAutospacing="0" w:after="0" w:afterAutospacing="0"/>
              <w:jc w:val="right"/>
              <w:rPr>
                <w:sz w:val="16"/>
                <w:szCs w:val="16"/>
              </w:rPr>
            </w:pPr>
            <w:r>
              <w:rPr>
                <w:sz w:val="16"/>
                <w:szCs w:val="16"/>
              </w:rPr>
              <w:t>794,63</w:t>
            </w:r>
            <w:r>
              <w:rPr>
                <w:sz w:val="16"/>
                <w:szCs w:val="16"/>
              </w:rPr>
              <w:t>7</w:t>
            </w:r>
          </w:p>
        </w:tc>
        <w:tc>
          <w:tcPr>
            <w:tcW w:w="0" w:type="auto"/>
            <w:noWrap/>
            <w:hideMark/>
          </w:tcPr>
          <w:p w14:paraId="25387807"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26165CF"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6D8B71B1"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199575B0" w14:textId="77777777" w:rsidR="00000000" w:rsidRDefault="00832D71">
            <w:pPr>
              <w:pStyle w:val="a3"/>
              <w:spacing w:before="0" w:beforeAutospacing="0" w:after="0" w:afterAutospacing="0"/>
              <w:jc w:val="right"/>
              <w:rPr>
                <w:sz w:val="16"/>
                <w:szCs w:val="16"/>
              </w:rPr>
            </w:pPr>
            <w:r>
              <w:rPr>
                <w:sz w:val="16"/>
                <w:szCs w:val="16"/>
              </w:rPr>
              <w:t>448,04</w:t>
            </w:r>
            <w:r>
              <w:rPr>
                <w:sz w:val="16"/>
                <w:szCs w:val="16"/>
              </w:rPr>
              <w:t>9</w:t>
            </w:r>
          </w:p>
        </w:tc>
        <w:tc>
          <w:tcPr>
            <w:tcW w:w="0" w:type="auto"/>
            <w:noWrap/>
            <w:hideMark/>
          </w:tcPr>
          <w:p w14:paraId="15D09803"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E6471F8"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6E7530DA"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20DFFB7B"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4BBF60E5"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7F50869"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5E50681A"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4DB6A3FB" w14:textId="77777777" w:rsidR="00000000" w:rsidRDefault="00832D71">
            <w:pPr>
              <w:pStyle w:val="a3"/>
              <w:spacing w:before="0" w:beforeAutospacing="0" w:after="0" w:afterAutospacing="0"/>
              <w:jc w:val="right"/>
              <w:rPr>
                <w:sz w:val="16"/>
                <w:szCs w:val="16"/>
              </w:rPr>
            </w:pPr>
            <w:r>
              <w:rPr>
                <w:sz w:val="16"/>
                <w:szCs w:val="16"/>
              </w:rPr>
              <w:t>32,65</w:t>
            </w:r>
            <w:r>
              <w:rPr>
                <w:sz w:val="16"/>
                <w:szCs w:val="16"/>
              </w:rPr>
              <w:t>2</w:t>
            </w:r>
          </w:p>
        </w:tc>
        <w:tc>
          <w:tcPr>
            <w:tcW w:w="0" w:type="auto"/>
            <w:noWrap/>
            <w:hideMark/>
          </w:tcPr>
          <w:p w14:paraId="72BDBBA8"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3D51650"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50C5E5AF"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530956B2" w14:textId="77777777" w:rsidR="00000000" w:rsidRDefault="00832D71">
            <w:pPr>
              <w:pStyle w:val="a3"/>
              <w:spacing w:before="0" w:beforeAutospacing="0" w:after="0" w:afterAutospacing="0"/>
              <w:jc w:val="right"/>
              <w:rPr>
                <w:sz w:val="16"/>
                <w:szCs w:val="16"/>
              </w:rPr>
            </w:pPr>
            <w:r>
              <w:rPr>
                <w:sz w:val="16"/>
                <w:szCs w:val="16"/>
              </w:rPr>
              <w:t>1,635,33</w:t>
            </w:r>
            <w:r>
              <w:rPr>
                <w:sz w:val="16"/>
                <w:szCs w:val="16"/>
              </w:rPr>
              <w:t>8</w:t>
            </w:r>
          </w:p>
        </w:tc>
        <w:tc>
          <w:tcPr>
            <w:tcW w:w="0" w:type="auto"/>
            <w:noWrap/>
            <w:hideMark/>
          </w:tcPr>
          <w:p w14:paraId="284FC8A0" w14:textId="77777777" w:rsidR="00000000" w:rsidRDefault="00832D71">
            <w:pPr>
              <w:pStyle w:val="a3"/>
              <w:spacing w:before="0" w:beforeAutospacing="0" w:after="0" w:afterAutospacing="0"/>
              <w:rPr>
                <w:sz w:val="16"/>
                <w:szCs w:val="16"/>
              </w:rPr>
            </w:pPr>
            <w:r>
              <w:rPr>
                <w:sz w:val="16"/>
                <w:szCs w:val="16"/>
              </w:rPr>
              <w:t> </w:t>
            </w:r>
          </w:p>
        </w:tc>
      </w:tr>
      <w:tr w:rsidR="00000000" w14:paraId="598A7E11" w14:textId="77777777">
        <w:trPr>
          <w:trHeight w:val="160"/>
          <w:tblCellSpacing w:w="15" w:type="dxa"/>
        </w:trPr>
        <w:tc>
          <w:tcPr>
            <w:tcW w:w="0" w:type="auto"/>
            <w:hideMark/>
          </w:tcPr>
          <w:p w14:paraId="32E8D326" w14:textId="77777777" w:rsidR="00000000" w:rsidRDefault="00832D71">
            <w:pPr>
              <w:pStyle w:val="a3"/>
              <w:spacing w:before="0" w:beforeAutospacing="0" w:after="0" w:afterAutospacing="0"/>
              <w:rPr>
                <w:sz w:val="16"/>
                <w:szCs w:val="16"/>
              </w:rPr>
            </w:pPr>
            <w:r>
              <w:rPr>
                <w:sz w:val="16"/>
                <w:szCs w:val="16"/>
              </w:rPr>
              <w:t>Product Supply, Purchasing and Logistic</w:t>
            </w:r>
            <w:r>
              <w:rPr>
                <w:sz w:val="16"/>
                <w:szCs w:val="16"/>
              </w:rPr>
              <w:t>s</w:t>
            </w:r>
          </w:p>
        </w:tc>
        <w:tc>
          <w:tcPr>
            <w:tcW w:w="0" w:type="auto"/>
            <w:hideMark/>
          </w:tcPr>
          <w:p w14:paraId="28F91546"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6B1E84E" w14:textId="77777777" w:rsidR="00000000" w:rsidRDefault="00832D71">
            <w:pPr>
              <w:pStyle w:val="a3"/>
              <w:spacing w:before="0" w:beforeAutospacing="0" w:after="0" w:afterAutospacing="0"/>
              <w:jc w:val="center"/>
              <w:rPr>
                <w:sz w:val="16"/>
                <w:szCs w:val="16"/>
              </w:rPr>
            </w:pPr>
            <w:r>
              <w:rPr>
                <w:sz w:val="16"/>
                <w:szCs w:val="16"/>
              </w:rPr>
              <w:t>202</w:t>
            </w:r>
            <w:r>
              <w:rPr>
                <w:sz w:val="16"/>
                <w:szCs w:val="16"/>
              </w:rPr>
              <w:t>0</w:t>
            </w:r>
          </w:p>
        </w:tc>
        <w:tc>
          <w:tcPr>
            <w:tcW w:w="0" w:type="auto"/>
            <w:hideMark/>
          </w:tcPr>
          <w:p w14:paraId="2229FC49"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3FC0516A"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500021A1" w14:textId="77777777" w:rsidR="00000000" w:rsidRDefault="00832D71">
            <w:pPr>
              <w:pStyle w:val="a3"/>
              <w:spacing w:before="0" w:beforeAutospacing="0" w:after="0" w:afterAutospacing="0"/>
              <w:jc w:val="right"/>
              <w:rPr>
                <w:sz w:val="16"/>
                <w:szCs w:val="16"/>
              </w:rPr>
            </w:pPr>
            <w:r>
              <w:rPr>
                <w:sz w:val="16"/>
                <w:szCs w:val="16"/>
              </w:rPr>
              <w:t>360,00</w:t>
            </w:r>
            <w:r>
              <w:rPr>
                <w:sz w:val="16"/>
                <w:szCs w:val="16"/>
              </w:rPr>
              <w:t>0</w:t>
            </w:r>
          </w:p>
        </w:tc>
        <w:tc>
          <w:tcPr>
            <w:tcW w:w="0" w:type="auto"/>
            <w:noWrap/>
            <w:hideMark/>
          </w:tcPr>
          <w:p w14:paraId="3016FA53"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C8E1E03"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73224D73"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0602386E"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1E3B8CFC"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D9C5BC9"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227A2FB9"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44858FDE" w14:textId="77777777" w:rsidR="00000000" w:rsidRDefault="00832D71">
            <w:pPr>
              <w:pStyle w:val="a3"/>
              <w:spacing w:before="0" w:beforeAutospacing="0" w:after="0" w:afterAutospacing="0"/>
              <w:jc w:val="right"/>
              <w:rPr>
                <w:sz w:val="16"/>
                <w:szCs w:val="16"/>
              </w:rPr>
            </w:pPr>
            <w:r>
              <w:rPr>
                <w:sz w:val="16"/>
                <w:szCs w:val="16"/>
              </w:rPr>
              <w:t>722,60</w:t>
            </w:r>
            <w:r>
              <w:rPr>
                <w:sz w:val="16"/>
                <w:szCs w:val="16"/>
              </w:rPr>
              <w:t>8</w:t>
            </w:r>
          </w:p>
        </w:tc>
        <w:tc>
          <w:tcPr>
            <w:tcW w:w="0" w:type="auto"/>
            <w:noWrap/>
            <w:hideMark/>
          </w:tcPr>
          <w:p w14:paraId="52ED1250"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BE458A8"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322A1DD1"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14C6AD46" w14:textId="77777777" w:rsidR="00000000" w:rsidRDefault="00832D71">
            <w:pPr>
              <w:pStyle w:val="a3"/>
              <w:spacing w:before="0" w:beforeAutospacing="0" w:after="0" w:afterAutospacing="0"/>
              <w:jc w:val="right"/>
              <w:rPr>
                <w:sz w:val="16"/>
                <w:szCs w:val="16"/>
              </w:rPr>
            </w:pPr>
            <w:r>
              <w:rPr>
                <w:sz w:val="16"/>
                <w:szCs w:val="16"/>
              </w:rPr>
              <w:t>335,18</w:t>
            </w:r>
            <w:r>
              <w:rPr>
                <w:sz w:val="16"/>
                <w:szCs w:val="16"/>
              </w:rPr>
              <w:t>9</w:t>
            </w:r>
          </w:p>
        </w:tc>
        <w:tc>
          <w:tcPr>
            <w:tcW w:w="0" w:type="auto"/>
            <w:noWrap/>
            <w:hideMark/>
          </w:tcPr>
          <w:p w14:paraId="24F221CF"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807D1B2"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5F048F26"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4CF49DD0" w14:textId="77777777" w:rsidR="00000000" w:rsidRDefault="00832D71">
            <w:pPr>
              <w:pStyle w:val="a3"/>
              <w:spacing w:before="0" w:beforeAutospacing="0" w:after="0" w:afterAutospacing="0"/>
              <w:jc w:val="right"/>
              <w:rPr>
                <w:sz w:val="16"/>
                <w:szCs w:val="16"/>
              </w:rPr>
            </w:pPr>
            <w:r>
              <w:rPr>
                <w:sz w:val="16"/>
                <w:szCs w:val="16"/>
              </w:rPr>
              <w:t>27,96</w:t>
            </w:r>
            <w:r>
              <w:rPr>
                <w:sz w:val="16"/>
                <w:szCs w:val="16"/>
              </w:rPr>
              <w:t>9</w:t>
            </w:r>
          </w:p>
        </w:tc>
        <w:tc>
          <w:tcPr>
            <w:tcW w:w="0" w:type="auto"/>
            <w:noWrap/>
            <w:hideMark/>
          </w:tcPr>
          <w:p w14:paraId="5F571BD0"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BD2DFF1"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53E5F12C"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37620FE8" w14:textId="77777777" w:rsidR="00000000" w:rsidRDefault="00832D71">
            <w:pPr>
              <w:pStyle w:val="a3"/>
              <w:spacing w:before="0" w:beforeAutospacing="0" w:after="0" w:afterAutospacing="0"/>
              <w:jc w:val="right"/>
              <w:rPr>
                <w:sz w:val="16"/>
                <w:szCs w:val="16"/>
              </w:rPr>
            </w:pPr>
            <w:r>
              <w:rPr>
                <w:sz w:val="16"/>
                <w:szCs w:val="16"/>
              </w:rPr>
              <w:t>29,44</w:t>
            </w:r>
            <w:r>
              <w:rPr>
                <w:sz w:val="16"/>
                <w:szCs w:val="16"/>
              </w:rPr>
              <w:t>8</w:t>
            </w:r>
          </w:p>
        </w:tc>
        <w:tc>
          <w:tcPr>
            <w:tcW w:w="0" w:type="auto"/>
            <w:noWrap/>
            <w:hideMark/>
          </w:tcPr>
          <w:p w14:paraId="480918D6"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00AB69E"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560C7BF3"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37FC0E17" w14:textId="77777777" w:rsidR="00000000" w:rsidRDefault="00832D71">
            <w:pPr>
              <w:pStyle w:val="a3"/>
              <w:spacing w:before="0" w:beforeAutospacing="0" w:after="0" w:afterAutospacing="0"/>
              <w:jc w:val="right"/>
              <w:rPr>
                <w:sz w:val="16"/>
                <w:szCs w:val="16"/>
              </w:rPr>
            </w:pPr>
            <w:r>
              <w:rPr>
                <w:sz w:val="16"/>
                <w:szCs w:val="16"/>
              </w:rPr>
              <w:t>1,475,21</w:t>
            </w:r>
            <w:r>
              <w:rPr>
                <w:sz w:val="16"/>
                <w:szCs w:val="16"/>
              </w:rPr>
              <w:t>4</w:t>
            </w:r>
          </w:p>
        </w:tc>
        <w:tc>
          <w:tcPr>
            <w:tcW w:w="0" w:type="auto"/>
            <w:noWrap/>
            <w:hideMark/>
          </w:tcPr>
          <w:p w14:paraId="5BB56903" w14:textId="77777777" w:rsidR="00000000" w:rsidRDefault="00832D71">
            <w:pPr>
              <w:pStyle w:val="a3"/>
              <w:spacing w:before="0" w:beforeAutospacing="0" w:after="0" w:afterAutospacing="0"/>
              <w:rPr>
                <w:sz w:val="16"/>
                <w:szCs w:val="16"/>
              </w:rPr>
            </w:pPr>
            <w:r>
              <w:rPr>
                <w:sz w:val="16"/>
                <w:szCs w:val="16"/>
              </w:rPr>
              <w:t> </w:t>
            </w:r>
          </w:p>
        </w:tc>
      </w:tr>
      <w:tr w:rsidR="00000000" w14:paraId="3E2216A8" w14:textId="77777777">
        <w:trPr>
          <w:tblCellSpacing w:w="15" w:type="dxa"/>
        </w:trPr>
        <w:tc>
          <w:tcPr>
            <w:tcW w:w="0" w:type="auto"/>
            <w:hideMark/>
          </w:tcPr>
          <w:p w14:paraId="3113342F"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8C5B907"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4582618"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4BA5DC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1CAC8D30"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22B12183"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005F657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66C4A65A"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212EAAE8"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165F50D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61ACF150"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2B28685"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55DF6AD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7712A1BA"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20D364CB"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68CE7BE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54749460"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176D14F3"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EC95B3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1DBDE60A"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192ECDED"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339EAAB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69089329"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090273D3" w14:textId="77777777" w:rsidR="00000000" w:rsidRDefault="00832D71">
            <w:pPr>
              <w:pStyle w:val="a3"/>
              <w:spacing w:before="0" w:beforeAutospacing="0" w:after="0" w:afterAutospacing="0"/>
              <w:jc w:val="right"/>
              <w:rPr>
                <w:sz w:val="16"/>
                <w:szCs w:val="16"/>
              </w:rPr>
            </w:pPr>
            <w:r>
              <w:rPr>
                <w:sz w:val="16"/>
                <w:szCs w:val="16"/>
              </w:rPr>
              <w:t> </w:t>
            </w:r>
          </w:p>
        </w:tc>
      </w:tr>
      <w:tr w:rsidR="00000000" w14:paraId="124E42DF" w14:textId="77777777">
        <w:trPr>
          <w:trHeight w:val="160"/>
          <w:tblCellSpacing w:w="15" w:type="dxa"/>
        </w:trPr>
        <w:tc>
          <w:tcPr>
            <w:tcW w:w="0" w:type="auto"/>
            <w:hideMark/>
          </w:tcPr>
          <w:p w14:paraId="3CCBFCEE" w14:textId="77777777" w:rsidR="00000000" w:rsidRDefault="00832D71">
            <w:pPr>
              <w:pStyle w:val="a3"/>
              <w:spacing w:before="0" w:beforeAutospacing="0" w:after="0" w:afterAutospacing="0"/>
              <w:rPr>
                <w:sz w:val="16"/>
                <w:szCs w:val="16"/>
              </w:rPr>
            </w:pPr>
            <w:r>
              <w:rPr>
                <w:sz w:val="16"/>
                <w:szCs w:val="16"/>
              </w:rPr>
              <w:t>Neil E. Scanlo</w:t>
            </w:r>
            <w:r>
              <w:rPr>
                <w:sz w:val="16"/>
                <w:szCs w:val="16"/>
              </w:rPr>
              <w:t>n</w:t>
            </w:r>
          </w:p>
        </w:tc>
        <w:tc>
          <w:tcPr>
            <w:tcW w:w="0" w:type="auto"/>
            <w:hideMark/>
          </w:tcPr>
          <w:p w14:paraId="78B2FE64"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5D62A8F" w14:textId="77777777" w:rsidR="00000000" w:rsidRDefault="00832D71">
            <w:pPr>
              <w:pStyle w:val="a3"/>
              <w:spacing w:before="0" w:beforeAutospacing="0" w:after="0" w:afterAutospacing="0"/>
              <w:jc w:val="center"/>
              <w:rPr>
                <w:sz w:val="16"/>
                <w:szCs w:val="16"/>
              </w:rPr>
            </w:pPr>
            <w:r>
              <w:rPr>
                <w:sz w:val="16"/>
                <w:szCs w:val="16"/>
              </w:rPr>
              <w:t>202</w:t>
            </w:r>
            <w:r>
              <w:rPr>
                <w:sz w:val="16"/>
                <w:szCs w:val="16"/>
              </w:rPr>
              <w:t>2</w:t>
            </w:r>
          </w:p>
        </w:tc>
        <w:tc>
          <w:tcPr>
            <w:tcW w:w="0" w:type="auto"/>
            <w:hideMark/>
          </w:tcPr>
          <w:p w14:paraId="042B568B"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0DA3B484"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5C50F143" w14:textId="77777777" w:rsidR="00000000" w:rsidRDefault="00832D71">
            <w:pPr>
              <w:pStyle w:val="a3"/>
              <w:spacing w:before="0" w:beforeAutospacing="0" w:after="0" w:afterAutospacing="0"/>
              <w:jc w:val="right"/>
              <w:rPr>
                <w:sz w:val="16"/>
                <w:szCs w:val="16"/>
              </w:rPr>
            </w:pPr>
            <w:r>
              <w:rPr>
                <w:sz w:val="16"/>
                <w:szCs w:val="16"/>
              </w:rPr>
              <w:t>350,00</w:t>
            </w:r>
            <w:r>
              <w:rPr>
                <w:sz w:val="16"/>
                <w:szCs w:val="16"/>
              </w:rPr>
              <w:t>0</w:t>
            </w:r>
          </w:p>
        </w:tc>
        <w:tc>
          <w:tcPr>
            <w:tcW w:w="0" w:type="auto"/>
            <w:noWrap/>
            <w:hideMark/>
          </w:tcPr>
          <w:p w14:paraId="284471D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4D0A238"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32EC1902"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26883353"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5225C993"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EB2DEC0"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7F183720"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5F07BC7C" w14:textId="77777777" w:rsidR="00000000" w:rsidRDefault="00832D71">
            <w:pPr>
              <w:pStyle w:val="a3"/>
              <w:spacing w:before="0" w:beforeAutospacing="0" w:after="0" w:afterAutospacing="0"/>
              <w:jc w:val="right"/>
              <w:rPr>
                <w:sz w:val="16"/>
                <w:szCs w:val="16"/>
              </w:rPr>
            </w:pPr>
            <w:r>
              <w:rPr>
                <w:sz w:val="16"/>
                <w:szCs w:val="16"/>
              </w:rPr>
              <w:t>842,61</w:t>
            </w:r>
            <w:r>
              <w:rPr>
                <w:sz w:val="16"/>
                <w:szCs w:val="16"/>
              </w:rPr>
              <w:t>8</w:t>
            </w:r>
          </w:p>
        </w:tc>
        <w:tc>
          <w:tcPr>
            <w:tcW w:w="0" w:type="auto"/>
            <w:noWrap/>
            <w:hideMark/>
          </w:tcPr>
          <w:p w14:paraId="46D6D69C"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AF3F849"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3C88EBA6"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6BC5250E" w14:textId="77777777" w:rsidR="00000000" w:rsidRDefault="00832D71">
            <w:pPr>
              <w:pStyle w:val="a3"/>
              <w:spacing w:before="0" w:beforeAutospacing="0" w:after="0" w:afterAutospacing="0"/>
              <w:jc w:val="right"/>
              <w:rPr>
                <w:sz w:val="16"/>
                <w:szCs w:val="16"/>
              </w:rPr>
            </w:pPr>
            <w:r>
              <w:rPr>
                <w:sz w:val="16"/>
                <w:szCs w:val="16"/>
              </w:rPr>
              <w:t>470,85</w:t>
            </w:r>
            <w:r>
              <w:rPr>
                <w:sz w:val="16"/>
                <w:szCs w:val="16"/>
              </w:rPr>
              <w:t>5</w:t>
            </w:r>
          </w:p>
        </w:tc>
        <w:tc>
          <w:tcPr>
            <w:tcW w:w="0" w:type="auto"/>
            <w:noWrap/>
            <w:hideMark/>
          </w:tcPr>
          <w:p w14:paraId="052B7D8E"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07C609D"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6E93516E"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24A7E678"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584146A9"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5B409CA8"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58C6BC03" w14:textId="77777777" w:rsidR="00000000" w:rsidRDefault="00832D71">
            <w:pPr>
              <w:pStyle w:val="a3"/>
              <w:spacing w:before="0" w:beforeAutospacing="0" w:after="0" w:afterAutospacing="0"/>
              <w:jc w:val="right"/>
              <w:rPr>
                <w:sz w:val="16"/>
                <w:szCs w:val="16"/>
              </w:rPr>
            </w:pPr>
            <w:r>
              <w:rPr>
                <w:sz w:val="16"/>
                <w:szCs w:val="16"/>
              </w:rPr>
              <w:t>32,73</w:t>
            </w:r>
            <w:r>
              <w:rPr>
                <w:sz w:val="16"/>
                <w:szCs w:val="16"/>
              </w:rPr>
              <w:t>4</w:t>
            </w:r>
          </w:p>
        </w:tc>
        <w:tc>
          <w:tcPr>
            <w:tcW w:w="0" w:type="auto"/>
            <w:noWrap/>
            <w:hideMark/>
          </w:tcPr>
          <w:p w14:paraId="5B2796E8"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8D517A1"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41F82AB1"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688AB2C6" w14:textId="77777777" w:rsidR="00000000" w:rsidRDefault="00832D71">
            <w:pPr>
              <w:pStyle w:val="a3"/>
              <w:spacing w:before="0" w:beforeAutospacing="0" w:after="0" w:afterAutospacing="0"/>
              <w:jc w:val="right"/>
              <w:rPr>
                <w:sz w:val="16"/>
                <w:szCs w:val="16"/>
              </w:rPr>
            </w:pPr>
            <w:r>
              <w:rPr>
                <w:sz w:val="16"/>
                <w:szCs w:val="16"/>
              </w:rPr>
              <w:t>1,696,20</w:t>
            </w:r>
            <w:r>
              <w:rPr>
                <w:sz w:val="16"/>
                <w:szCs w:val="16"/>
              </w:rPr>
              <w:t>7</w:t>
            </w:r>
          </w:p>
        </w:tc>
        <w:tc>
          <w:tcPr>
            <w:tcW w:w="0" w:type="auto"/>
            <w:noWrap/>
            <w:hideMark/>
          </w:tcPr>
          <w:p w14:paraId="2BF9340B" w14:textId="77777777" w:rsidR="00000000" w:rsidRDefault="00832D71">
            <w:pPr>
              <w:pStyle w:val="a3"/>
              <w:spacing w:before="0" w:beforeAutospacing="0" w:after="0" w:afterAutospacing="0"/>
              <w:rPr>
                <w:sz w:val="16"/>
                <w:szCs w:val="16"/>
              </w:rPr>
            </w:pPr>
            <w:r>
              <w:rPr>
                <w:sz w:val="16"/>
                <w:szCs w:val="16"/>
              </w:rPr>
              <w:t> </w:t>
            </w:r>
          </w:p>
        </w:tc>
      </w:tr>
      <w:tr w:rsidR="00000000" w14:paraId="770E9D06" w14:textId="77777777">
        <w:trPr>
          <w:trHeight w:val="160"/>
          <w:tblCellSpacing w:w="15" w:type="dxa"/>
        </w:trPr>
        <w:tc>
          <w:tcPr>
            <w:tcW w:w="0" w:type="auto"/>
            <w:hideMark/>
          </w:tcPr>
          <w:p w14:paraId="5F681351" w14:textId="77777777" w:rsidR="00000000" w:rsidRDefault="00832D71">
            <w:pPr>
              <w:pStyle w:val="a3"/>
              <w:spacing w:before="0" w:beforeAutospacing="0" w:after="0" w:afterAutospacing="0"/>
              <w:rPr>
                <w:sz w:val="16"/>
                <w:szCs w:val="16"/>
              </w:rPr>
            </w:pPr>
            <w:r>
              <w:rPr>
                <w:sz w:val="16"/>
                <w:szCs w:val="16"/>
              </w:rPr>
              <w:t>Senior Vice President</w:t>
            </w:r>
            <w:r>
              <w:rPr>
                <w:sz w:val="16"/>
                <w:szCs w:val="16"/>
              </w:rPr>
              <w:t>,</w:t>
            </w:r>
          </w:p>
        </w:tc>
        <w:tc>
          <w:tcPr>
            <w:tcW w:w="0" w:type="auto"/>
            <w:hideMark/>
          </w:tcPr>
          <w:p w14:paraId="36B9EE02"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5EC8591" w14:textId="77777777" w:rsidR="00000000" w:rsidRDefault="00832D71">
            <w:pPr>
              <w:pStyle w:val="a3"/>
              <w:spacing w:before="0" w:beforeAutospacing="0" w:after="0" w:afterAutospacing="0"/>
              <w:jc w:val="center"/>
              <w:rPr>
                <w:sz w:val="16"/>
                <w:szCs w:val="16"/>
              </w:rPr>
            </w:pPr>
            <w:r>
              <w:rPr>
                <w:sz w:val="16"/>
                <w:szCs w:val="16"/>
              </w:rPr>
              <w:t>202</w:t>
            </w:r>
            <w:r>
              <w:rPr>
                <w:sz w:val="16"/>
                <w:szCs w:val="16"/>
              </w:rPr>
              <w:t>1</w:t>
            </w:r>
          </w:p>
        </w:tc>
        <w:tc>
          <w:tcPr>
            <w:tcW w:w="0" w:type="auto"/>
            <w:hideMark/>
          </w:tcPr>
          <w:p w14:paraId="2DCCC00D"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22F08B4A"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011C6430" w14:textId="77777777" w:rsidR="00000000" w:rsidRDefault="00832D71">
            <w:pPr>
              <w:pStyle w:val="a3"/>
              <w:spacing w:before="0" w:beforeAutospacing="0" w:after="0" w:afterAutospacing="0"/>
              <w:jc w:val="right"/>
              <w:rPr>
                <w:sz w:val="16"/>
                <w:szCs w:val="16"/>
              </w:rPr>
            </w:pPr>
            <w:r>
              <w:rPr>
                <w:sz w:val="16"/>
                <w:szCs w:val="16"/>
              </w:rPr>
              <w:t>320,00</w:t>
            </w:r>
            <w:r>
              <w:rPr>
                <w:sz w:val="16"/>
                <w:szCs w:val="16"/>
              </w:rPr>
              <w:t>0</w:t>
            </w:r>
          </w:p>
        </w:tc>
        <w:tc>
          <w:tcPr>
            <w:tcW w:w="0" w:type="auto"/>
            <w:noWrap/>
            <w:hideMark/>
          </w:tcPr>
          <w:p w14:paraId="393C31CC"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54F26F7"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5896BE73"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2A15311F"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0A0A48F5"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79D988C"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03F21FE2"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7ABDDF97" w14:textId="77777777" w:rsidR="00000000" w:rsidRDefault="00832D71">
            <w:pPr>
              <w:pStyle w:val="a3"/>
              <w:spacing w:before="0" w:beforeAutospacing="0" w:after="0" w:afterAutospacing="0"/>
              <w:jc w:val="right"/>
              <w:rPr>
                <w:sz w:val="16"/>
                <w:szCs w:val="16"/>
              </w:rPr>
            </w:pPr>
            <w:r>
              <w:rPr>
                <w:sz w:val="16"/>
                <w:szCs w:val="16"/>
              </w:rPr>
              <w:t>774,40</w:t>
            </w:r>
            <w:r>
              <w:rPr>
                <w:sz w:val="16"/>
                <w:szCs w:val="16"/>
              </w:rPr>
              <w:t>7</w:t>
            </w:r>
          </w:p>
        </w:tc>
        <w:tc>
          <w:tcPr>
            <w:tcW w:w="0" w:type="auto"/>
            <w:noWrap/>
            <w:hideMark/>
          </w:tcPr>
          <w:p w14:paraId="6137906D"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BAC8715"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4C6F02C"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2EF87CA9" w14:textId="77777777" w:rsidR="00000000" w:rsidRDefault="00832D71">
            <w:pPr>
              <w:pStyle w:val="a3"/>
              <w:spacing w:before="0" w:beforeAutospacing="0" w:after="0" w:afterAutospacing="0"/>
              <w:jc w:val="right"/>
              <w:rPr>
                <w:sz w:val="16"/>
                <w:szCs w:val="16"/>
              </w:rPr>
            </w:pPr>
            <w:r>
              <w:rPr>
                <w:sz w:val="16"/>
                <w:szCs w:val="16"/>
              </w:rPr>
              <w:t>405,69</w:t>
            </w:r>
            <w:r>
              <w:rPr>
                <w:sz w:val="16"/>
                <w:szCs w:val="16"/>
              </w:rPr>
              <w:t>9</w:t>
            </w:r>
          </w:p>
        </w:tc>
        <w:tc>
          <w:tcPr>
            <w:tcW w:w="0" w:type="auto"/>
            <w:noWrap/>
            <w:hideMark/>
          </w:tcPr>
          <w:p w14:paraId="0DD32D79"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98438C5"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6082D826"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16AB09F1"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3AA917C0"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400F93F"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346686DB"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5C505666" w14:textId="77777777" w:rsidR="00000000" w:rsidRDefault="00832D71">
            <w:pPr>
              <w:pStyle w:val="a3"/>
              <w:spacing w:before="0" w:beforeAutospacing="0" w:after="0" w:afterAutospacing="0"/>
              <w:jc w:val="right"/>
              <w:rPr>
                <w:sz w:val="16"/>
                <w:szCs w:val="16"/>
              </w:rPr>
            </w:pPr>
            <w:r>
              <w:rPr>
                <w:sz w:val="16"/>
                <w:szCs w:val="16"/>
              </w:rPr>
              <w:t>33,19</w:t>
            </w:r>
            <w:r>
              <w:rPr>
                <w:sz w:val="16"/>
                <w:szCs w:val="16"/>
              </w:rPr>
              <w:t>2</w:t>
            </w:r>
          </w:p>
        </w:tc>
        <w:tc>
          <w:tcPr>
            <w:tcW w:w="0" w:type="auto"/>
            <w:noWrap/>
            <w:hideMark/>
          </w:tcPr>
          <w:p w14:paraId="110F74E7"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9048056"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5CBC227B"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3883AE36" w14:textId="77777777" w:rsidR="00000000" w:rsidRDefault="00832D71">
            <w:pPr>
              <w:pStyle w:val="a3"/>
              <w:spacing w:before="0" w:beforeAutospacing="0" w:after="0" w:afterAutospacing="0"/>
              <w:jc w:val="right"/>
              <w:rPr>
                <w:sz w:val="16"/>
                <w:szCs w:val="16"/>
              </w:rPr>
            </w:pPr>
            <w:r>
              <w:rPr>
                <w:sz w:val="16"/>
                <w:szCs w:val="16"/>
              </w:rPr>
              <w:t>1,533,29</w:t>
            </w:r>
            <w:r>
              <w:rPr>
                <w:sz w:val="16"/>
                <w:szCs w:val="16"/>
              </w:rPr>
              <w:t>8</w:t>
            </w:r>
          </w:p>
        </w:tc>
        <w:tc>
          <w:tcPr>
            <w:tcW w:w="0" w:type="auto"/>
            <w:noWrap/>
            <w:hideMark/>
          </w:tcPr>
          <w:p w14:paraId="2EBF2C2E" w14:textId="77777777" w:rsidR="00000000" w:rsidRDefault="00832D71">
            <w:pPr>
              <w:pStyle w:val="a3"/>
              <w:spacing w:before="0" w:beforeAutospacing="0" w:after="0" w:afterAutospacing="0"/>
              <w:rPr>
                <w:sz w:val="16"/>
                <w:szCs w:val="16"/>
              </w:rPr>
            </w:pPr>
            <w:r>
              <w:rPr>
                <w:sz w:val="16"/>
                <w:szCs w:val="16"/>
              </w:rPr>
              <w:t> </w:t>
            </w:r>
          </w:p>
        </w:tc>
      </w:tr>
      <w:tr w:rsidR="00000000" w14:paraId="09BF7DA3" w14:textId="77777777">
        <w:trPr>
          <w:trHeight w:val="160"/>
          <w:tblCellSpacing w:w="15" w:type="dxa"/>
        </w:trPr>
        <w:tc>
          <w:tcPr>
            <w:tcW w:w="0" w:type="auto"/>
            <w:hideMark/>
          </w:tcPr>
          <w:p w14:paraId="06AAF7DA" w14:textId="77777777" w:rsidR="00000000" w:rsidRDefault="00832D71">
            <w:pPr>
              <w:pStyle w:val="a3"/>
              <w:spacing w:before="0" w:beforeAutospacing="0" w:after="0" w:afterAutospacing="0"/>
              <w:rPr>
                <w:sz w:val="16"/>
                <w:szCs w:val="16"/>
              </w:rPr>
            </w:pPr>
            <w:r>
              <w:rPr>
                <w:sz w:val="16"/>
                <w:szCs w:val="16"/>
              </w:rPr>
              <w:t>Information Service</w:t>
            </w:r>
            <w:r>
              <w:rPr>
                <w:sz w:val="16"/>
                <w:szCs w:val="16"/>
              </w:rPr>
              <w:t>s</w:t>
            </w:r>
          </w:p>
        </w:tc>
        <w:tc>
          <w:tcPr>
            <w:tcW w:w="0" w:type="auto"/>
            <w:hideMark/>
          </w:tcPr>
          <w:p w14:paraId="67F325A8"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5F89876" w14:textId="77777777" w:rsidR="00000000" w:rsidRDefault="00832D71">
            <w:pPr>
              <w:pStyle w:val="a3"/>
              <w:spacing w:before="0" w:beforeAutospacing="0" w:after="0" w:afterAutospacing="0"/>
              <w:jc w:val="center"/>
              <w:rPr>
                <w:sz w:val="16"/>
                <w:szCs w:val="16"/>
              </w:rPr>
            </w:pPr>
            <w:r>
              <w:rPr>
                <w:sz w:val="16"/>
                <w:szCs w:val="16"/>
              </w:rPr>
              <w:t>202</w:t>
            </w:r>
            <w:r>
              <w:rPr>
                <w:sz w:val="16"/>
                <w:szCs w:val="16"/>
              </w:rPr>
              <w:t>0</w:t>
            </w:r>
          </w:p>
        </w:tc>
        <w:tc>
          <w:tcPr>
            <w:tcW w:w="0" w:type="auto"/>
            <w:hideMark/>
          </w:tcPr>
          <w:p w14:paraId="5CFDDF6D"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12713C7B"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1D29F308" w14:textId="77777777" w:rsidR="00000000" w:rsidRDefault="00832D71">
            <w:pPr>
              <w:pStyle w:val="a3"/>
              <w:spacing w:before="0" w:beforeAutospacing="0" w:after="0" w:afterAutospacing="0"/>
              <w:jc w:val="right"/>
              <w:rPr>
                <w:sz w:val="16"/>
                <w:szCs w:val="16"/>
              </w:rPr>
            </w:pPr>
            <w:r>
              <w:rPr>
                <w:sz w:val="16"/>
                <w:szCs w:val="16"/>
              </w:rPr>
              <w:t>320,00</w:t>
            </w:r>
            <w:r>
              <w:rPr>
                <w:sz w:val="16"/>
                <w:szCs w:val="16"/>
              </w:rPr>
              <w:t>0</w:t>
            </w:r>
          </w:p>
        </w:tc>
        <w:tc>
          <w:tcPr>
            <w:tcW w:w="0" w:type="auto"/>
            <w:noWrap/>
            <w:hideMark/>
          </w:tcPr>
          <w:p w14:paraId="6D5D4428"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E0CB2F6"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383A47BB"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2EDEABE6"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hideMark/>
          </w:tcPr>
          <w:p w14:paraId="2F755DA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49704B2"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709BF482"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2A0002E2" w14:textId="77777777" w:rsidR="00000000" w:rsidRDefault="00832D71">
            <w:pPr>
              <w:pStyle w:val="a3"/>
              <w:spacing w:before="0" w:beforeAutospacing="0" w:after="0" w:afterAutospacing="0"/>
              <w:jc w:val="right"/>
              <w:rPr>
                <w:sz w:val="16"/>
                <w:szCs w:val="16"/>
              </w:rPr>
            </w:pPr>
            <w:r>
              <w:rPr>
                <w:sz w:val="16"/>
                <w:szCs w:val="16"/>
              </w:rPr>
              <w:t>682,65</w:t>
            </w:r>
            <w:r>
              <w:rPr>
                <w:sz w:val="16"/>
                <w:szCs w:val="16"/>
              </w:rPr>
              <w:t>2</w:t>
            </w:r>
          </w:p>
        </w:tc>
        <w:tc>
          <w:tcPr>
            <w:tcW w:w="0" w:type="auto"/>
            <w:noWrap/>
            <w:hideMark/>
          </w:tcPr>
          <w:p w14:paraId="5D7B620E"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16D97A3"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445F3F47"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150B5253" w14:textId="77777777" w:rsidR="00000000" w:rsidRDefault="00832D71">
            <w:pPr>
              <w:pStyle w:val="a3"/>
              <w:spacing w:before="0" w:beforeAutospacing="0" w:after="0" w:afterAutospacing="0"/>
              <w:jc w:val="right"/>
              <w:rPr>
                <w:sz w:val="16"/>
                <w:szCs w:val="16"/>
              </w:rPr>
            </w:pPr>
            <w:r>
              <w:rPr>
                <w:sz w:val="16"/>
                <w:szCs w:val="16"/>
              </w:rPr>
              <w:t>305,48</w:t>
            </w:r>
            <w:r>
              <w:rPr>
                <w:sz w:val="16"/>
                <w:szCs w:val="16"/>
              </w:rPr>
              <w:t>9</w:t>
            </w:r>
          </w:p>
        </w:tc>
        <w:tc>
          <w:tcPr>
            <w:tcW w:w="0" w:type="auto"/>
            <w:noWrap/>
            <w:hideMark/>
          </w:tcPr>
          <w:p w14:paraId="6E61F139"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E7004F4"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6A7AD82F"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05C47139" w14:textId="77777777" w:rsidR="00000000" w:rsidRDefault="00832D71">
            <w:pPr>
              <w:pStyle w:val="a3"/>
              <w:spacing w:before="0" w:beforeAutospacing="0" w:after="0" w:afterAutospacing="0"/>
              <w:jc w:val="right"/>
              <w:rPr>
                <w:sz w:val="16"/>
                <w:szCs w:val="16"/>
              </w:rPr>
            </w:pPr>
            <w:r>
              <w:rPr>
                <w:sz w:val="16"/>
                <w:szCs w:val="16"/>
              </w:rPr>
              <w:t>28,09</w:t>
            </w:r>
            <w:r>
              <w:rPr>
                <w:sz w:val="16"/>
                <w:szCs w:val="16"/>
              </w:rPr>
              <w:t>9</w:t>
            </w:r>
          </w:p>
        </w:tc>
        <w:tc>
          <w:tcPr>
            <w:tcW w:w="0" w:type="auto"/>
            <w:noWrap/>
            <w:hideMark/>
          </w:tcPr>
          <w:p w14:paraId="5C384BA2"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6BA5AF8"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6640C31E"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5D8A4CCF" w14:textId="77777777" w:rsidR="00000000" w:rsidRDefault="00832D71">
            <w:pPr>
              <w:pStyle w:val="a3"/>
              <w:spacing w:before="0" w:beforeAutospacing="0" w:after="0" w:afterAutospacing="0"/>
              <w:jc w:val="right"/>
              <w:rPr>
                <w:sz w:val="16"/>
                <w:szCs w:val="16"/>
              </w:rPr>
            </w:pPr>
            <w:r>
              <w:rPr>
                <w:sz w:val="16"/>
                <w:szCs w:val="16"/>
              </w:rPr>
              <w:t>32,79</w:t>
            </w:r>
            <w:r>
              <w:rPr>
                <w:sz w:val="16"/>
                <w:szCs w:val="16"/>
              </w:rPr>
              <w:t>3</w:t>
            </w:r>
          </w:p>
        </w:tc>
        <w:tc>
          <w:tcPr>
            <w:tcW w:w="0" w:type="auto"/>
            <w:noWrap/>
            <w:hideMark/>
          </w:tcPr>
          <w:p w14:paraId="1DB18528"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E4E0ED9" w14:textId="77777777" w:rsidR="00000000" w:rsidRDefault="00832D71">
            <w:pPr>
              <w:pStyle w:val="a3"/>
              <w:spacing w:before="0" w:beforeAutospacing="0" w:after="0" w:afterAutospacing="0"/>
              <w:rPr>
                <w:sz w:val="16"/>
                <w:szCs w:val="16"/>
              </w:rPr>
            </w:pPr>
            <w:r>
              <w:rPr>
                <w:sz w:val="16"/>
                <w:szCs w:val="16"/>
              </w:rPr>
              <w:t> </w:t>
            </w:r>
          </w:p>
        </w:tc>
        <w:tc>
          <w:tcPr>
            <w:tcW w:w="0" w:type="auto"/>
            <w:noWrap/>
            <w:hideMark/>
          </w:tcPr>
          <w:p w14:paraId="539C60F7" w14:textId="77777777" w:rsidR="00000000" w:rsidRDefault="00832D71">
            <w:pPr>
              <w:pStyle w:val="a3"/>
              <w:spacing w:before="0" w:beforeAutospacing="0" w:after="0" w:afterAutospacing="0"/>
              <w:rPr>
                <w:sz w:val="16"/>
                <w:szCs w:val="16"/>
              </w:rPr>
            </w:pPr>
            <w:r>
              <w:rPr>
                <w:sz w:val="16"/>
                <w:szCs w:val="16"/>
              </w:rPr>
              <w:t>$</w:t>
            </w:r>
          </w:p>
        </w:tc>
        <w:tc>
          <w:tcPr>
            <w:tcW w:w="0" w:type="auto"/>
            <w:hideMark/>
          </w:tcPr>
          <w:p w14:paraId="3140BE2C" w14:textId="77777777" w:rsidR="00000000" w:rsidRDefault="00832D71">
            <w:pPr>
              <w:pStyle w:val="a3"/>
              <w:spacing w:before="0" w:beforeAutospacing="0" w:after="0" w:afterAutospacing="0"/>
              <w:jc w:val="right"/>
              <w:rPr>
                <w:sz w:val="16"/>
                <w:szCs w:val="16"/>
              </w:rPr>
            </w:pPr>
            <w:r>
              <w:rPr>
                <w:sz w:val="16"/>
                <w:szCs w:val="16"/>
              </w:rPr>
              <w:t>1,369,03</w:t>
            </w:r>
            <w:r>
              <w:rPr>
                <w:sz w:val="16"/>
                <w:szCs w:val="16"/>
              </w:rPr>
              <w:t>3</w:t>
            </w:r>
          </w:p>
        </w:tc>
        <w:tc>
          <w:tcPr>
            <w:tcW w:w="0" w:type="auto"/>
            <w:noWrap/>
            <w:hideMark/>
          </w:tcPr>
          <w:p w14:paraId="1BCC5AAE" w14:textId="77777777" w:rsidR="00000000" w:rsidRDefault="00832D71">
            <w:pPr>
              <w:pStyle w:val="a3"/>
              <w:spacing w:before="0" w:beforeAutospacing="0" w:after="0" w:afterAutospacing="0"/>
              <w:rPr>
                <w:sz w:val="16"/>
                <w:szCs w:val="16"/>
              </w:rPr>
            </w:pPr>
            <w:r>
              <w:rPr>
                <w:sz w:val="16"/>
                <w:szCs w:val="16"/>
              </w:rPr>
              <w:t> </w:t>
            </w:r>
          </w:p>
        </w:tc>
      </w:tr>
    </w:tbl>
    <w:p w14:paraId="12438114" w14:textId="77777777" w:rsidR="00000000" w:rsidRDefault="00832D71">
      <w:pPr>
        <w:pStyle w:val="a3"/>
        <w:spacing w:before="0" w:beforeAutospacing="0" w:after="0" w:afterAutospacing="0"/>
        <w:jc w:val="both"/>
        <w:rPr>
          <w:sz w:val="20"/>
          <w:szCs w:val="20"/>
        </w:rPr>
      </w:pPr>
      <w:r>
        <w:rPr>
          <w:sz w:val="20"/>
          <w:szCs w:val="20"/>
        </w:rPr>
        <w:t> </w:t>
      </w:r>
    </w:p>
    <w:p w14:paraId="42BB8BD8" w14:textId="77777777" w:rsidR="00000000" w:rsidRDefault="00832D71">
      <w:pPr>
        <w:jc w:val="both"/>
        <w:rPr>
          <w:rFonts w:eastAsia="Times New Roman"/>
        </w:rPr>
      </w:pPr>
      <w:r>
        <w:rPr>
          <w:rFonts w:eastAsia="Times New Roman"/>
          <w:sz w:val="16"/>
          <w:szCs w:val="16"/>
        </w:rPr>
        <w:t>(1</w:t>
      </w:r>
      <w:r>
        <w:rPr>
          <w:rFonts w:eastAsia="Times New Roman"/>
          <w:sz w:val="16"/>
          <w:szCs w:val="16"/>
        </w:rPr>
        <w:t>)</w:t>
      </w:r>
    </w:p>
    <w:p w14:paraId="2FF0C46C" w14:textId="77777777" w:rsidR="00000000" w:rsidRDefault="00832D71">
      <w:pPr>
        <w:jc w:val="both"/>
        <w:divId w:val="1238634346"/>
        <w:rPr>
          <w:rFonts w:eastAsia="Times New Roman"/>
        </w:rPr>
      </w:pPr>
      <w:r>
        <w:rPr>
          <w:rFonts w:eastAsia="Times New Roman"/>
          <w:sz w:val="16"/>
          <w:szCs w:val="16"/>
        </w:rPr>
        <w:t>Includes amounts deferred by named executive officers as contributions to the 401(k) Plan. For more information on the relationship between salaries and other cash compensation (i.e., annual cash bonuses, LTIP awards, and DER Plan payments), refer to the s</w:t>
      </w:r>
      <w:r>
        <w:rPr>
          <w:rFonts w:eastAsia="Times New Roman"/>
          <w:sz w:val="16"/>
          <w:szCs w:val="16"/>
        </w:rPr>
        <w:t>ubheading titled “Components of Compensation” in the “Compensation Discussion and Analysis” above.</w:t>
      </w:r>
      <w:r>
        <w:rPr>
          <w:rFonts w:eastAsia="Times New Roman"/>
          <w:sz w:val="16"/>
          <w:szCs w:val="16"/>
        </w:rPr>
        <w:t xml:space="preserve"> </w:t>
      </w:r>
    </w:p>
    <w:p w14:paraId="42AC2CBD" w14:textId="77777777" w:rsidR="00000000" w:rsidRDefault="00832D71">
      <w:pPr>
        <w:pStyle w:val="a3"/>
        <w:spacing w:before="0" w:beforeAutospacing="0" w:after="0" w:afterAutospacing="0"/>
        <w:ind w:left="476"/>
        <w:jc w:val="both"/>
        <w:rPr>
          <w:sz w:val="20"/>
          <w:szCs w:val="20"/>
        </w:rPr>
      </w:pPr>
      <w:r>
        <w:rPr>
          <w:sz w:val="20"/>
          <w:szCs w:val="20"/>
        </w:rPr>
        <w:t> </w:t>
      </w:r>
    </w:p>
    <w:p w14:paraId="623D2FC4" w14:textId="77777777" w:rsidR="00000000" w:rsidRDefault="00832D71">
      <w:pPr>
        <w:jc w:val="both"/>
        <w:rPr>
          <w:rFonts w:eastAsia="Times New Roman"/>
        </w:rPr>
      </w:pPr>
      <w:r>
        <w:rPr>
          <w:rFonts w:eastAsia="Times New Roman"/>
          <w:sz w:val="16"/>
          <w:szCs w:val="16"/>
        </w:rPr>
        <w:t>(2</w:t>
      </w:r>
      <w:r>
        <w:rPr>
          <w:rFonts w:eastAsia="Times New Roman"/>
          <w:sz w:val="16"/>
          <w:szCs w:val="16"/>
        </w:rPr>
        <w:t>)</w:t>
      </w:r>
    </w:p>
    <w:p w14:paraId="605E5BA0" w14:textId="77777777" w:rsidR="00000000" w:rsidRDefault="00832D71">
      <w:pPr>
        <w:jc w:val="both"/>
        <w:divId w:val="1337609538"/>
        <w:rPr>
          <w:rFonts w:eastAsia="Times New Roman"/>
        </w:rPr>
      </w:pPr>
      <w:r>
        <w:rPr>
          <w:rFonts w:eastAsia="Times New Roman"/>
          <w:sz w:val="16"/>
          <w:szCs w:val="16"/>
        </w:rPr>
        <w:t>This column is reserved for discretionary cash bonuses that are not based on any performance criteria. During fiscal years 2022, 2021 and 2020, the Committee did not provide our named executive officers with non-performance related bonus payments. For more</w:t>
      </w:r>
      <w:r>
        <w:rPr>
          <w:rFonts w:eastAsia="Times New Roman"/>
          <w:sz w:val="16"/>
          <w:szCs w:val="16"/>
        </w:rPr>
        <w:t xml:space="preserve"> information, refer to the subheading titled “Annual Cash Bonus Plan” in the “Compensation Discussion and Analysis” above</w:t>
      </w:r>
      <w:r>
        <w:rPr>
          <w:rFonts w:eastAsia="Times New Roman"/>
          <w:sz w:val="16"/>
          <w:szCs w:val="16"/>
        </w:rPr>
        <w:t>.</w:t>
      </w:r>
    </w:p>
    <w:p w14:paraId="1EEDF8C5" w14:textId="77777777" w:rsidR="00000000" w:rsidRDefault="00832D71">
      <w:pPr>
        <w:pStyle w:val="a3"/>
        <w:spacing w:before="0" w:beforeAutospacing="0" w:after="0" w:afterAutospacing="0"/>
        <w:ind w:hanging="422"/>
        <w:jc w:val="both"/>
        <w:rPr>
          <w:sz w:val="20"/>
          <w:szCs w:val="20"/>
        </w:rPr>
      </w:pPr>
      <w:r>
        <w:rPr>
          <w:sz w:val="20"/>
          <w:szCs w:val="20"/>
        </w:rPr>
        <w:t> </w:t>
      </w:r>
    </w:p>
    <w:p w14:paraId="2A6D69C5" w14:textId="77777777" w:rsidR="00000000" w:rsidRDefault="00832D71">
      <w:pPr>
        <w:jc w:val="both"/>
        <w:rPr>
          <w:rFonts w:eastAsia="Times New Roman"/>
        </w:rPr>
      </w:pPr>
      <w:r>
        <w:rPr>
          <w:rFonts w:eastAsia="Times New Roman"/>
          <w:sz w:val="16"/>
          <w:szCs w:val="16"/>
        </w:rPr>
        <w:t>(3</w:t>
      </w:r>
      <w:r>
        <w:rPr>
          <w:rFonts w:eastAsia="Times New Roman"/>
          <w:sz w:val="16"/>
          <w:szCs w:val="16"/>
        </w:rPr>
        <w:t>)</w:t>
      </w:r>
    </w:p>
    <w:p w14:paraId="427F79FE" w14:textId="77777777" w:rsidR="00000000" w:rsidRDefault="00832D71">
      <w:pPr>
        <w:jc w:val="both"/>
        <w:divId w:val="2049141831"/>
        <w:rPr>
          <w:rFonts w:eastAsia="Times New Roman"/>
        </w:rPr>
      </w:pPr>
      <w:r>
        <w:rPr>
          <w:rFonts w:eastAsia="Times New Roman"/>
          <w:sz w:val="16"/>
          <w:szCs w:val="16"/>
        </w:rPr>
        <w:t>The amounts reported in this column represent the aggregate grant date fair value, computed in accordance with ASC Topic 718, o</w:t>
      </w:r>
      <w:r>
        <w:rPr>
          <w:rFonts w:eastAsia="Times New Roman"/>
          <w:sz w:val="16"/>
          <w:szCs w:val="16"/>
        </w:rPr>
        <w:t>f restricted unit awards made during fiscal years 2022, 2021 and 2020, as well as the aggregate grant date fair value of awards made in fiscal years 2022, 2021, and 2020 under the LTIP, based on the target outcome with respect to satisfaction of the perfor</w:t>
      </w:r>
      <w:r>
        <w:rPr>
          <w:rFonts w:eastAsia="Times New Roman"/>
          <w:sz w:val="16"/>
          <w:szCs w:val="16"/>
        </w:rPr>
        <w:t xml:space="preserve">mance conditions. These amounts were calculated in accordance with GAAP for financial reporting purposes based on the assumptions described in Part IV, Note 11 of this Annual Report, but disregarding estimates of forfeiture. For the LTIP awards granted in </w:t>
      </w:r>
      <w:r>
        <w:rPr>
          <w:rFonts w:eastAsia="Times New Roman"/>
          <w:sz w:val="16"/>
          <w:szCs w:val="16"/>
        </w:rPr>
        <w:t>fiscal 2022, assuming the highest level of performance conditions were achieved, the amounts for Messrs. Stivala, Kuglin, Boyd, Brinkworth and Scanlon would be $1,390,350, $508,668, $519,968, $452,150, and $395,611, respectively. Because the amounts of act</w:t>
      </w:r>
      <w:r>
        <w:rPr>
          <w:rFonts w:eastAsia="Times New Roman"/>
          <w:sz w:val="16"/>
          <w:szCs w:val="16"/>
        </w:rPr>
        <w:t>ual LTIP payments are predicated on the satisfaction of performance conditions, these amounts are not indicative of payments our named executive officers will ultimately receive under the LTIP at the end of the applicable measurement period. The actual pay</w:t>
      </w:r>
      <w:r>
        <w:rPr>
          <w:rFonts w:eastAsia="Times New Roman"/>
          <w:sz w:val="16"/>
          <w:szCs w:val="16"/>
        </w:rPr>
        <w:t xml:space="preserve">ments earned by our named executive officers for the 2020 LTIP awards (the measurement period of which concluded at the end of fiscal 2022 are reported in the “Equity Vested Table for 2022” below. The specific details regarding these plans are provided in </w:t>
      </w:r>
      <w:r>
        <w:rPr>
          <w:rFonts w:eastAsia="Times New Roman"/>
          <w:sz w:val="16"/>
          <w:szCs w:val="16"/>
        </w:rPr>
        <w:t>the preceding “Compensation Discussion and Analysis” under the subheadings “Restricted Unit Plan” and “Long-Term Incentive Plan.” The breakdown for each plan with respect to each named executive officer is as follows</w:t>
      </w:r>
      <w:r>
        <w:rPr>
          <w:rFonts w:eastAsia="Times New Roman"/>
          <w:sz w:val="16"/>
          <w:szCs w:val="16"/>
        </w:rPr>
        <w:t>:</w:t>
      </w:r>
    </w:p>
    <w:p w14:paraId="2F77CD6E" w14:textId="77777777" w:rsidR="00000000" w:rsidRDefault="00832D71">
      <w:pPr>
        <w:pStyle w:val="a3"/>
        <w:spacing w:before="0" w:beforeAutospacing="0" w:after="0" w:afterAutospacing="0"/>
        <w:ind w:left="476"/>
        <w:jc w:val="both"/>
        <w:rPr>
          <w:sz w:val="20"/>
          <w:szCs w:val="20"/>
        </w:rPr>
      </w:pPr>
      <w:r>
        <w:rPr>
          <w:sz w:val="20"/>
          <w:szCs w:val="20"/>
        </w:rPr>
        <w:t> </w:t>
      </w:r>
    </w:p>
    <w:p w14:paraId="2210CBBB" w14:textId="77777777" w:rsidR="00000000" w:rsidRDefault="00832D71">
      <w:pPr>
        <w:pStyle w:val="a3"/>
        <w:spacing w:before="0" w:beforeAutospacing="0" w:after="0" w:afterAutospacing="0"/>
        <w:ind w:hanging="422"/>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17"/>
        <w:gridCol w:w="125"/>
        <w:gridCol w:w="140"/>
        <w:gridCol w:w="945"/>
        <w:gridCol w:w="100"/>
        <w:gridCol w:w="120"/>
        <w:gridCol w:w="140"/>
        <w:gridCol w:w="947"/>
        <w:gridCol w:w="100"/>
        <w:gridCol w:w="122"/>
        <w:gridCol w:w="140"/>
        <w:gridCol w:w="948"/>
        <w:gridCol w:w="100"/>
        <w:gridCol w:w="123"/>
        <w:gridCol w:w="141"/>
        <w:gridCol w:w="1572"/>
        <w:gridCol w:w="100"/>
        <w:gridCol w:w="123"/>
        <w:gridCol w:w="140"/>
        <w:gridCol w:w="948"/>
        <w:gridCol w:w="115"/>
      </w:tblGrid>
      <w:tr w:rsidR="00000000" w14:paraId="2402D525" w14:textId="77777777">
        <w:trPr>
          <w:tblCellSpacing w:w="15" w:type="dxa"/>
        </w:trPr>
        <w:tc>
          <w:tcPr>
            <w:tcW w:w="708" w:type="pct"/>
            <w:vAlign w:val="center"/>
            <w:hideMark/>
          </w:tcPr>
          <w:p w14:paraId="79648572" w14:textId="77777777" w:rsidR="00000000" w:rsidRDefault="00832D71">
            <w:pPr>
              <w:rPr>
                <w:sz w:val="20"/>
                <w:szCs w:val="20"/>
              </w:rPr>
            </w:pPr>
          </w:p>
        </w:tc>
        <w:tc>
          <w:tcPr>
            <w:tcW w:w="70" w:type="pct"/>
            <w:vAlign w:val="center"/>
            <w:hideMark/>
          </w:tcPr>
          <w:p w14:paraId="20604F51" w14:textId="77777777" w:rsidR="00000000" w:rsidRDefault="00832D71">
            <w:pPr>
              <w:rPr>
                <w:rFonts w:eastAsia="Times New Roman"/>
                <w:sz w:val="20"/>
                <w:szCs w:val="20"/>
              </w:rPr>
            </w:pPr>
          </w:p>
        </w:tc>
        <w:tc>
          <w:tcPr>
            <w:tcW w:w="50" w:type="pct"/>
            <w:vAlign w:val="center"/>
            <w:hideMark/>
          </w:tcPr>
          <w:p w14:paraId="29CF954B" w14:textId="77777777" w:rsidR="00000000" w:rsidRDefault="00832D71">
            <w:pPr>
              <w:rPr>
                <w:rFonts w:eastAsia="Times New Roman"/>
                <w:sz w:val="20"/>
                <w:szCs w:val="20"/>
              </w:rPr>
            </w:pPr>
          </w:p>
        </w:tc>
        <w:tc>
          <w:tcPr>
            <w:tcW w:w="605" w:type="pct"/>
            <w:vAlign w:val="center"/>
            <w:hideMark/>
          </w:tcPr>
          <w:p w14:paraId="1B9F20EF" w14:textId="77777777" w:rsidR="00000000" w:rsidRDefault="00832D71">
            <w:pPr>
              <w:rPr>
                <w:rFonts w:eastAsia="Times New Roman"/>
                <w:sz w:val="20"/>
                <w:szCs w:val="20"/>
              </w:rPr>
            </w:pPr>
          </w:p>
        </w:tc>
        <w:tc>
          <w:tcPr>
            <w:tcW w:w="50" w:type="pct"/>
            <w:vAlign w:val="center"/>
            <w:hideMark/>
          </w:tcPr>
          <w:p w14:paraId="42BF3DA0" w14:textId="77777777" w:rsidR="00000000" w:rsidRDefault="00832D71">
            <w:pPr>
              <w:rPr>
                <w:rFonts w:eastAsia="Times New Roman"/>
                <w:sz w:val="20"/>
                <w:szCs w:val="20"/>
              </w:rPr>
            </w:pPr>
          </w:p>
        </w:tc>
        <w:tc>
          <w:tcPr>
            <w:tcW w:w="70" w:type="pct"/>
            <w:vAlign w:val="center"/>
            <w:hideMark/>
          </w:tcPr>
          <w:p w14:paraId="3DAC03EF" w14:textId="77777777" w:rsidR="00000000" w:rsidRDefault="00832D71">
            <w:pPr>
              <w:rPr>
                <w:rFonts w:eastAsia="Times New Roman"/>
                <w:sz w:val="20"/>
                <w:szCs w:val="20"/>
              </w:rPr>
            </w:pPr>
          </w:p>
        </w:tc>
        <w:tc>
          <w:tcPr>
            <w:tcW w:w="50" w:type="pct"/>
            <w:vAlign w:val="center"/>
            <w:hideMark/>
          </w:tcPr>
          <w:p w14:paraId="0B1FB561" w14:textId="77777777" w:rsidR="00000000" w:rsidRDefault="00832D71">
            <w:pPr>
              <w:rPr>
                <w:rFonts w:eastAsia="Times New Roman"/>
                <w:sz w:val="20"/>
                <w:szCs w:val="20"/>
              </w:rPr>
            </w:pPr>
          </w:p>
        </w:tc>
        <w:tc>
          <w:tcPr>
            <w:tcW w:w="606" w:type="pct"/>
            <w:vAlign w:val="center"/>
            <w:hideMark/>
          </w:tcPr>
          <w:p w14:paraId="5A7DFDA3" w14:textId="77777777" w:rsidR="00000000" w:rsidRDefault="00832D71">
            <w:pPr>
              <w:rPr>
                <w:rFonts w:eastAsia="Times New Roman"/>
                <w:sz w:val="20"/>
                <w:szCs w:val="20"/>
              </w:rPr>
            </w:pPr>
          </w:p>
        </w:tc>
        <w:tc>
          <w:tcPr>
            <w:tcW w:w="50" w:type="pct"/>
            <w:vAlign w:val="center"/>
            <w:hideMark/>
          </w:tcPr>
          <w:p w14:paraId="2E784748" w14:textId="77777777" w:rsidR="00000000" w:rsidRDefault="00832D71">
            <w:pPr>
              <w:rPr>
                <w:rFonts w:eastAsia="Times New Roman"/>
                <w:sz w:val="20"/>
                <w:szCs w:val="20"/>
              </w:rPr>
            </w:pPr>
          </w:p>
        </w:tc>
        <w:tc>
          <w:tcPr>
            <w:tcW w:w="70" w:type="pct"/>
            <w:vAlign w:val="center"/>
            <w:hideMark/>
          </w:tcPr>
          <w:p w14:paraId="575372AA" w14:textId="77777777" w:rsidR="00000000" w:rsidRDefault="00832D71">
            <w:pPr>
              <w:rPr>
                <w:rFonts w:eastAsia="Times New Roman"/>
                <w:sz w:val="20"/>
                <w:szCs w:val="20"/>
              </w:rPr>
            </w:pPr>
          </w:p>
        </w:tc>
        <w:tc>
          <w:tcPr>
            <w:tcW w:w="50" w:type="pct"/>
            <w:vAlign w:val="center"/>
            <w:hideMark/>
          </w:tcPr>
          <w:p w14:paraId="3762D7F9" w14:textId="77777777" w:rsidR="00000000" w:rsidRDefault="00832D71">
            <w:pPr>
              <w:rPr>
                <w:rFonts w:eastAsia="Times New Roman"/>
                <w:sz w:val="20"/>
                <w:szCs w:val="20"/>
              </w:rPr>
            </w:pPr>
          </w:p>
        </w:tc>
        <w:tc>
          <w:tcPr>
            <w:tcW w:w="606" w:type="pct"/>
            <w:vAlign w:val="center"/>
            <w:hideMark/>
          </w:tcPr>
          <w:p w14:paraId="66043ABB" w14:textId="77777777" w:rsidR="00000000" w:rsidRDefault="00832D71">
            <w:pPr>
              <w:rPr>
                <w:rFonts w:eastAsia="Times New Roman"/>
                <w:sz w:val="20"/>
                <w:szCs w:val="20"/>
              </w:rPr>
            </w:pPr>
          </w:p>
        </w:tc>
        <w:tc>
          <w:tcPr>
            <w:tcW w:w="50" w:type="pct"/>
            <w:vAlign w:val="center"/>
            <w:hideMark/>
          </w:tcPr>
          <w:p w14:paraId="4B4DF884" w14:textId="77777777" w:rsidR="00000000" w:rsidRDefault="00832D71">
            <w:pPr>
              <w:rPr>
                <w:rFonts w:eastAsia="Times New Roman"/>
                <w:sz w:val="20"/>
                <w:szCs w:val="20"/>
              </w:rPr>
            </w:pPr>
          </w:p>
        </w:tc>
        <w:tc>
          <w:tcPr>
            <w:tcW w:w="70" w:type="pct"/>
            <w:vAlign w:val="center"/>
            <w:hideMark/>
          </w:tcPr>
          <w:p w14:paraId="0943BEF7" w14:textId="77777777" w:rsidR="00000000" w:rsidRDefault="00832D71">
            <w:pPr>
              <w:rPr>
                <w:rFonts w:eastAsia="Times New Roman"/>
                <w:sz w:val="20"/>
                <w:szCs w:val="20"/>
              </w:rPr>
            </w:pPr>
          </w:p>
        </w:tc>
        <w:tc>
          <w:tcPr>
            <w:tcW w:w="50" w:type="pct"/>
            <w:vAlign w:val="center"/>
            <w:hideMark/>
          </w:tcPr>
          <w:p w14:paraId="0701C980" w14:textId="77777777" w:rsidR="00000000" w:rsidRDefault="00832D71">
            <w:pPr>
              <w:rPr>
                <w:rFonts w:eastAsia="Times New Roman"/>
                <w:sz w:val="20"/>
                <w:szCs w:val="20"/>
              </w:rPr>
            </w:pPr>
          </w:p>
        </w:tc>
        <w:tc>
          <w:tcPr>
            <w:tcW w:w="1014" w:type="pct"/>
            <w:vAlign w:val="center"/>
            <w:hideMark/>
          </w:tcPr>
          <w:p w14:paraId="6A9BD6B7" w14:textId="77777777" w:rsidR="00000000" w:rsidRDefault="00832D71">
            <w:pPr>
              <w:rPr>
                <w:rFonts w:eastAsia="Times New Roman"/>
                <w:sz w:val="20"/>
                <w:szCs w:val="20"/>
              </w:rPr>
            </w:pPr>
          </w:p>
        </w:tc>
        <w:tc>
          <w:tcPr>
            <w:tcW w:w="50" w:type="pct"/>
            <w:vAlign w:val="center"/>
            <w:hideMark/>
          </w:tcPr>
          <w:p w14:paraId="7789128E" w14:textId="77777777" w:rsidR="00000000" w:rsidRDefault="00832D71">
            <w:pPr>
              <w:rPr>
                <w:rFonts w:eastAsia="Times New Roman"/>
                <w:sz w:val="20"/>
                <w:szCs w:val="20"/>
              </w:rPr>
            </w:pPr>
          </w:p>
        </w:tc>
        <w:tc>
          <w:tcPr>
            <w:tcW w:w="70" w:type="pct"/>
            <w:vAlign w:val="center"/>
            <w:hideMark/>
          </w:tcPr>
          <w:p w14:paraId="6099B6E3" w14:textId="77777777" w:rsidR="00000000" w:rsidRDefault="00832D71">
            <w:pPr>
              <w:rPr>
                <w:rFonts w:eastAsia="Times New Roman"/>
                <w:sz w:val="20"/>
                <w:szCs w:val="20"/>
              </w:rPr>
            </w:pPr>
          </w:p>
        </w:tc>
        <w:tc>
          <w:tcPr>
            <w:tcW w:w="50" w:type="pct"/>
            <w:vAlign w:val="center"/>
            <w:hideMark/>
          </w:tcPr>
          <w:p w14:paraId="040A127D" w14:textId="77777777" w:rsidR="00000000" w:rsidRDefault="00832D71">
            <w:pPr>
              <w:rPr>
                <w:rFonts w:eastAsia="Times New Roman"/>
                <w:sz w:val="20"/>
                <w:szCs w:val="20"/>
              </w:rPr>
            </w:pPr>
          </w:p>
        </w:tc>
        <w:tc>
          <w:tcPr>
            <w:tcW w:w="606" w:type="pct"/>
            <w:vAlign w:val="center"/>
            <w:hideMark/>
          </w:tcPr>
          <w:p w14:paraId="1173E7BB" w14:textId="77777777" w:rsidR="00000000" w:rsidRDefault="00832D71">
            <w:pPr>
              <w:rPr>
                <w:rFonts w:eastAsia="Times New Roman"/>
                <w:sz w:val="20"/>
                <w:szCs w:val="20"/>
              </w:rPr>
            </w:pPr>
          </w:p>
        </w:tc>
        <w:tc>
          <w:tcPr>
            <w:tcW w:w="50" w:type="pct"/>
            <w:vAlign w:val="center"/>
            <w:hideMark/>
          </w:tcPr>
          <w:p w14:paraId="268DABC1" w14:textId="77777777" w:rsidR="00000000" w:rsidRDefault="00832D71">
            <w:pPr>
              <w:rPr>
                <w:rFonts w:eastAsia="Times New Roman"/>
                <w:sz w:val="20"/>
                <w:szCs w:val="20"/>
              </w:rPr>
            </w:pPr>
          </w:p>
        </w:tc>
      </w:tr>
      <w:tr w:rsidR="00000000" w14:paraId="2D987E02" w14:textId="77777777">
        <w:trPr>
          <w:trHeight w:val="160"/>
          <w:tblCellSpacing w:w="15" w:type="dxa"/>
        </w:trPr>
        <w:tc>
          <w:tcPr>
            <w:tcW w:w="0" w:type="auto"/>
            <w:vAlign w:val="bottom"/>
            <w:hideMark/>
          </w:tcPr>
          <w:p w14:paraId="1BB7B19A" w14:textId="77777777" w:rsidR="00000000" w:rsidRDefault="00832D71">
            <w:pPr>
              <w:pStyle w:val="a3"/>
              <w:spacing w:before="0" w:beforeAutospacing="0" w:after="0" w:afterAutospacing="0"/>
              <w:jc w:val="center"/>
              <w:rPr>
                <w:sz w:val="16"/>
                <w:szCs w:val="16"/>
              </w:rPr>
            </w:pPr>
            <w:r>
              <w:rPr>
                <w:b/>
                <w:bCs/>
                <w:sz w:val="16"/>
                <w:szCs w:val="16"/>
              </w:rPr>
              <w:t>Plan Nam</w:t>
            </w:r>
            <w:r>
              <w:rPr>
                <w:b/>
                <w:bCs/>
                <w:sz w:val="16"/>
                <w:szCs w:val="16"/>
              </w:rPr>
              <w:t>e</w:t>
            </w:r>
          </w:p>
        </w:tc>
        <w:tc>
          <w:tcPr>
            <w:tcW w:w="0" w:type="auto"/>
            <w:hideMark/>
          </w:tcPr>
          <w:p w14:paraId="71252D8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A503995" w14:textId="77777777" w:rsidR="00000000" w:rsidRDefault="00832D71">
            <w:pPr>
              <w:pStyle w:val="a3"/>
              <w:spacing w:before="0" w:beforeAutospacing="0" w:after="0" w:afterAutospacing="0"/>
              <w:jc w:val="center"/>
              <w:rPr>
                <w:sz w:val="16"/>
                <w:szCs w:val="16"/>
              </w:rPr>
            </w:pPr>
            <w:r>
              <w:rPr>
                <w:b/>
                <w:bCs/>
                <w:sz w:val="16"/>
                <w:szCs w:val="16"/>
              </w:rPr>
              <w:t>Mr. Stival</w:t>
            </w:r>
            <w:r>
              <w:rPr>
                <w:b/>
                <w:bCs/>
                <w:sz w:val="16"/>
                <w:szCs w:val="16"/>
              </w:rPr>
              <w:t>a</w:t>
            </w:r>
          </w:p>
        </w:tc>
        <w:tc>
          <w:tcPr>
            <w:tcW w:w="0" w:type="auto"/>
            <w:vAlign w:val="bottom"/>
            <w:hideMark/>
          </w:tcPr>
          <w:p w14:paraId="32BDE31E"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9BED58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911AD5F" w14:textId="77777777" w:rsidR="00000000" w:rsidRDefault="00832D71">
            <w:pPr>
              <w:pStyle w:val="a3"/>
              <w:spacing w:before="0" w:beforeAutospacing="0" w:after="0" w:afterAutospacing="0"/>
              <w:jc w:val="center"/>
              <w:rPr>
                <w:sz w:val="16"/>
                <w:szCs w:val="16"/>
              </w:rPr>
            </w:pPr>
            <w:r>
              <w:rPr>
                <w:b/>
                <w:bCs/>
                <w:sz w:val="16"/>
                <w:szCs w:val="16"/>
              </w:rPr>
              <w:t>Mr. Kugli</w:t>
            </w:r>
            <w:r>
              <w:rPr>
                <w:b/>
                <w:bCs/>
                <w:sz w:val="16"/>
                <w:szCs w:val="16"/>
              </w:rPr>
              <w:t>n</w:t>
            </w:r>
          </w:p>
        </w:tc>
        <w:tc>
          <w:tcPr>
            <w:tcW w:w="0" w:type="auto"/>
            <w:vAlign w:val="bottom"/>
            <w:hideMark/>
          </w:tcPr>
          <w:p w14:paraId="66350AD9"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BEE11E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731BA6A" w14:textId="77777777" w:rsidR="00000000" w:rsidRDefault="00832D71">
            <w:pPr>
              <w:pStyle w:val="a3"/>
              <w:spacing w:before="0" w:beforeAutospacing="0" w:after="0" w:afterAutospacing="0"/>
              <w:jc w:val="center"/>
              <w:rPr>
                <w:sz w:val="16"/>
                <w:szCs w:val="16"/>
              </w:rPr>
            </w:pPr>
            <w:r>
              <w:rPr>
                <w:b/>
                <w:bCs/>
                <w:sz w:val="16"/>
                <w:szCs w:val="16"/>
              </w:rPr>
              <w:t>Mr. Boy</w:t>
            </w:r>
            <w:r>
              <w:rPr>
                <w:b/>
                <w:bCs/>
                <w:sz w:val="16"/>
                <w:szCs w:val="16"/>
              </w:rPr>
              <w:t>d</w:t>
            </w:r>
          </w:p>
        </w:tc>
        <w:tc>
          <w:tcPr>
            <w:tcW w:w="0" w:type="auto"/>
            <w:vAlign w:val="bottom"/>
            <w:hideMark/>
          </w:tcPr>
          <w:p w14:paraId="69C932C5"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6ADAD9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FE98DFD" w14:textId="77777777" w:rsidR="00000000" w:rsidRDefault="00832D71">
            <w:pPr>
              <w:pStyle w:val="a3"/>
              <w:spacing w:before="0" w:beforeAutospacing="0" w:after="0" w:afterAutospacing="0"/>
              <w:jc w:val="center"/>
              <w:rPr>
                <w:sz w:val="16"/>
                <w:szCs w:val="16"/>
              </w:rPr>
            </w:pPr>
            <w:r>
              <w:rPr>
                <w:b/>
                <w:bCs/>
                <w:sz w:val="16"/>
                <w:szCs w:val="16"/>
              </w:rPr>
              <w:t>Mr. Brinkwort</w:t>
            </w:r>
            <w:r>
              <w:rPr>
                <w:b/>
                <w:bCs/>
                <w:sz w:val="16"/>
                <w:szCs w:val="16"/>
              </w:rPr>
              <w:t>h</w:t>
            </w:r>
          </w:p>
        </w:tc>
        <w:tc>
          <w:tcPr>
            <w:tcW w:w="0" w:type="auto"/>
            <w:vAlign w:val="bottom"/>
            <w:hideMark/>
          </w:tcPr>
          <w:p w14:paraId="2DF900B9"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49D7C9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8C0ABD4" w14:textId="77777777" w:rsidR="00000000" w:rsidRDefault="00832D71">
            <w:pPr>
              <w:pStyle w:val="a3"/>
              <w:spacing w:before="0" w:beforeAutospacing="0" w:after="0" w:afterAutospacing="0"/>
              <w:jc w:val="center"/>
              <w:rPr>
                <w:sz w:val="16"/>
                <w:szCs w:val="16"/>
              </w:rPr>
            </w:pPr>
            <w:r>
              <w:rPr>
                <w:b/>
                <w:bCs/>
                <w:sz w:val="16"/>
                <w:szCs w:val="16"/>
              </w:rPr>
              <w:t>Mr. Scanlo</w:t>
            </w:r>
            <w:r>
              <w:rPr>
                <w:b/>
                <w:bCs/>
                <w:sz w:val="16"/>
                <w:szCs w:val="16"/>
              </w:rPr>
              <w:t>n</w:t>
            </w:r>
          </w:p>
        </w:tc>
        <w:tc>
          <w:tcPr>
            <w:tcW w:w="0" w:type="auto"/>
            <w:vAlign w:val="bottom"/>
            <w:hideMark/>
          </w:tcPr>
          <w:p w14:paraId="428CC619"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6DD353AE" w14:textId="77777777">
        <w:trPr>
          <w:trHeight w:val="160"/>
          <w:tblCellSpacing w:w="15" w:type="dxa"/>
        </w:trPr>
        <w:tc>
          <w:tcPr>
            <w:tcW w:w="0" w:type="auto"/>
            <w:hideMark/>
          </w:tcPr>
          <w:p w14:paraId="4E26CCCC"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hideMark/>
          </w:tcPr>
          <w:p w14:paraId="418B7F2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F9AF615"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6DF4C76"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0F8513A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F4EA2E9"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6CCB0EB"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75ABECF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FAF2935"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DCCAFCB"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1080DAE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A5AE028"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B562B42"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3C65CD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BE38F99"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408B9F8" w14:textId="77777777" w:rsidR="00000000" w:rsidRDefault="00832D71">
            <w:pPr>
              <w:pStyle w:val="a3"/>
              <w:spacing w:before="0" w:beforeAutospacing="0" w:after="0" w:afterAutospacing="0"/>
              <w:jc w:val="right"/>
              <w:rPr>
                <w:sz w:val="16"/>
                <w:szCs w:val="16"/>
              </w:rPr>
            </w:pPr>
            <w:r>
              <w:rPr>
                <w:sz w:val="16"/>
                <w:szCs w:val="16"/>
              </w:rPr>
              <w:t> </w:t>
            </w:r>
          </w:p>
        </w:tc>
      </w:tr>
      <w:tr w:rsidR="00000000" w14:paraId="6DFDF9EB" w14:textId="77777777">
        <w:trPr>
          <w:trHeight w:val="160"/>
          <w:tblCellSpacing w:w="15" w:type="dxa"/>
        </w:trPr>
        <w:tc>
          <w:tcPr>
            <w:tcW w:w="0" w:type="auto"/>
            <w:hideMark/>
          </w:tcPr>
          <w:p w14:paraId="5F3E2C53" w14:textId="77777777" w:rsidR="00000000" w:rsidRDefault="00832D71">
            <w:pPr>
              <w:pStyle w:val="a3"/>
              <w:spacing w:before="0" w:beforeAutospacing="0" w:after="0" w:afterAutospacing="0"/>
              <w:rPr>
                <w:sz w:val="16"/>
                <w:szCs w:val="16"/>
              </w:rPr>
            </w:pPr>
            <w:r>
              <w:rPr>
                <w:sz w:val="16"/>
                <w:szCs w:val="16"/>
              </w:rPr>
              <w:t>RU</w:t>
            </w:r>
            <w:r>
              <w:rPr>
                <w:sz w:val="16"/>
                <w:szCs w:val="16"/>
              </w:rPr>
              <w:t>P</w:t>
            </w:r>
          </w:p>
        </w:tc>
        <w:tc>
          <w:tcPr>
            <w:tcW w:w="0" w:type="auto"/>
            <w:hideMark/>
          </w:tcPr>
          <w:p w14:paraId="6F375E91"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A33C887"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FA0B397" w14:textId="77777777" w:rsidR="00000000" w:rsidRDefault="00832D71">
            <w:pPr>
              <w:pStyle w:val="a3"/>
              <w:spacing w:before="0" w:beforeAutospacing="0" w:after="0" w:afterAutospacing="0"/>
              <w:jc w:val="right"/>
              <w:rPr>
                <w:sz w:val="16"/>
                <w:szCs w:val="16"/>
              </w:rPr>
            </w:pPr>
            <w:r>
              <w:rPr>
                <w:sz w:val="16"/>
                <w:szCs w:val="16"/>
              </w:rPr>
              <w:t>744,24</w:t>
            </w:r>
            <w:r>
              <w:rPr>
                <w:sz w:val="16"/>
                <w:szCs w:val="16"/>
              </w:rPr>
              <w:t>7</w:t>
            </w:r>
          </w:p>
        </w:tc>
        <w:tc>
          <w:tcPr>
            <w:tcW w:w="0" w:type="auto"/>
            <w:noWrap/>
            <w:vAlign w:val="bottom"/>
            <w:hideMark/>
          </w:tcPr>
          <w:p w14:paraId="03168BD0"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2FE6A08"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536629D"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52720A3C" w14:textId="77777777" w:rsidR="00000000" w:rsidRDefault="00832D71">
            <w:pPr>
              <w:pStyle w:val="a3"/>
              <w:spacing w:before="0" w:beforeAutospacing="0" w:after="0" w:afterAutospacing="0"/>
              <w:jc w:val="right"/>
              <w:rPr>
                <w:sz w:val="16"/>
                <w:szCs w:val="16"/>
              </w:rPr>
            </w:pPr>
            <w:r>
              <w:rPr>
                <w:sz w:val="16"/>
                <w:szCs w:val="16"/>
              </w:rPr>
              <w:t>620,20</w:t>
            </w:r>
            <w:r>
              <w:rPr>
                <w:sz w:val="16"/>
                <w:szCs w:val="16"/>
              </w:rPr>
              <w:t>2</w:t>
            </w:r>
          </w:p>
        </w:tc>
        <w:tc>
          <w:tcPr>
            <w:tcW w:w="0" w:type="auto"/>
            <w:noWrap/>
            <w:vAlign w:val="bottom"/>
            <w:hideMark/>
          </w:tcPr>
          <w:p w14:paraId="7BFF7A88"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30CB256"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9225BB1"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62475F5" w14:textId="77777777" w:rsidR="00000000" w:rsidRDefault="00832D71">
            <w:pPr>
              <w:pStyle w:val="a3"/>
              <w:spacing w:before="0" w:beforeAutospacing="0" w:after="0" w:afterAutospacing="0"/>
              <w:jc w:val="right"/>
              <w:rPr>
                <w:sz w:val="16"/>
                <w:szCs w:val="16"/>
              </w:rPr>
            </w:pPr>
            <w:r>
              <w:rPr>
                <w:sz w:val="16"/>
                <w:szCs w:val="16"/>
              </w:rPr>
              <w:t>620,20</w:t>
            </w:r>
            <w:r>
              <w:rPr>
                <w:sz w:val="16"/>
                <w:szCs w:val="16"/>
              </w:rPr>
              <w:t>2</w:t>
            </w:r>
          </w:p>
        </w:tc>
        <w:tc>
          <w:tcPr>
            <w:tcW w:w="0" w:type="auto"/>
            <w:noWrap/>
            <w:vAlign w:val="bottom"/>
            <w:hideMark/>
          </w:tcPr>
          <w:p w14:paraId="1FCE1DFC"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1610831"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28409C1"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5E7715AA" w14:textId="77777777" w:rsidR="00000000" w:rsidRDefault="00832D71">
            <w:pPr>
              <w:pStyle w:val="a3"/>
              <w:spacing w:before="0" w:beforeAutospacing="0" w:after="0" w:afterAutospacing="0"/>
              <w:jc w:val="right"/>
              <w:rPr>
                <w:sz w:val="16"/>
                <w:szCs w:val="16"/>
              </w:rPr>
            </w:pPr>
            <w:r>
              <w:rPr>
                <w:sz w:val="16"/>
                <w:szCs w:val="16"/>
              </w:rPr>
              <w:t>620,20</w:t>
            </w:r>
            <w:r>
              <w:rPr>
                <w:sz w:val="16"/>
                <w:szCs w:val="16"/>
              </w:rPr>
              <w:t>2</w:t>
            </w:r>
          </w:p>
        </w:tc>
        <w:tc>
          <w:tcPr>
            <w:tcW w:w="0" w:type="auto"/>
            <w:noWrap/>
            <w:vAlign w:val="bottom"/>
            <w:hideMark/>
          </w:tcPr>
          <w:p w14:paraId="198711D2"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DC370D0"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DCBDF5C"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1144B9BF" w14:textId="77777777" w:rsidR="00000000" w:rsidRDefault="00832D71">
            <w:pPr>
              <w:pStyle w:val="a3"/>
              <w:spacing w:before="0" w:beforeAutospacing="0" w:after="0" w:afterAutospacing="0"/>
              <w:jc w:val="right"/>
              <w:rPr>
                <w:sz w:val="16"/>
                <w:szCs w:val="16"/>
              </w:rPr>
            </w:pPr>
            <w:r>
              <w:rPr>
                <w:sz w:val="16"/>
                <w:szCs w:val="16"/>
              </w:rPr>
              <w:t>578,86</w:t>
            </w:r>
            <w:r>
              <w:rPr>
                <w:sz w:val="16"/>
                <w:szCs w:val="16"/>
              </w:rPr>
              <w:t>4</w:t>
            </w:r>
          </w:p>
        </w:tc>
        <w:tc>
          <w:tcPr>
            <w:tcW w:w="0" w:type="auto"/>
            <w:noWrap/>
            <w:vAlign w:val="bottom"/>
            <w:hideMark/>
          </w:tcPr>
          <w:p w14:paraId="14968877" w14:textId="77777777" w:rsidR="00000000" w:rsidRDefault="00832D71">
            <w:pPr>
              <w:pStyle w:val="a3"/>
              <w:spacing w:before="0" w:beforeAutospacing="0" w:after="0" w:afterAutospacing="0"/>
              <w:rPr>
                <w:sz w:val="16"/>
                <w:szCs w:val="16"/>
              </w:rPr>
            </w:pPr>
            <w:r>
              <w:rPr>
                <w:sz w:val="16"/>
                <w:szCs w:val="16"/>
              </w:rPr>
              <w:t> </w:t>
            </w:r>
          </w:p>
        </w:tc>
      </w:tr>
      <w:tr w:rsidR="00000000" w14:paraId="474FB9D7" w14:textId="77777777">
        <w:trPr>
          <w:trHeight w:val="160"/>
          <w:tblCellSpacing w:w="15" w:type="dxa"/>
        </w:trPr>
        <w:tc>
          <w:tcPr>
            <w:tcW w:w="0" w:type="auto"/>
            <w:hideMark/>
          </w:tcPr>
          <w:p w14:paraId="4369B185" w14:textId="77777777" w:rsidR="00000000" w:rsidRDefault="00832D71">
            <w:pPr>
              <w:pStyle w:val="a3"/>
              <w:spacing w:before="0" w:beforeAutospacing="0" w:after="0" w:afterAutospacing="0"/>
              <w:rPr>
                <w:sz w:val="16"/>
                <w:szCs w:val="16"/>
              </w:rPr>
            </w:pPr>
            <w:r>
              <w:rPr>
                <w:sz w:val="16"/>
                <w:szCs w:val="16"/>
              </w:rPr>
              <w:t>LTI</w:t>
            </w:r>
            <w:r>
              <w:rPr>
                <w:sz w:val="16"/>
                <w:szCs w:val="16"/>
              </w:rPr>
              <w:t>P</w:t>
            </w:r>
          </w:p>
        </w:tc>
        <w:tc>
          <w:tcPr>
            <w:tcW w:w="0" w:type="auto"/>
            <w:hideMark/>
          </w:tcPr>
          <w:p w14:paraId="48CC0C9D"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570CBFF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F2C89BF" w14:textId="77777777" w:rsidR="00000000" w:rsidRDefault="00832D71">
            <w:pPr>
              <w:pStyle w:val="a3"/>
              <w:spacing w:before="0" w:beforeAutospacing="0" w:after="0" w:afterAutospacing="0"/>
              <w:jc w:val="right"/>
              <w:rPr>
                <w:sz w:val="16"/>
                <w:szCs w:val="16"/>
              </w:rPr>
            </w:pPr>
            <w:r>
              <w:rPr>
                <w:sz w:val="16"/>
                <w:szCs w:val="16"/>
              </w:rPr>
              <w:t>926,90</w:t>
            </w:r>
            <w:r>
              <w:rPr>
                <w:sz w:val="16"/>
                <w:szCs w:val="16"/>
              </w:rPr>
              <w:t>0</w:t>
            </w:r>
          </w:p>
        </w:tc>
        <w:tc>
          <w:tcPr>
            <w:tcW w:w="0" w:type="auto"/>
            <w:noWrap/>
            <w:vAlign w:val="bottom"/>
            <w:hideMark/>
          </w:tcPr>
          <w:p w14:paraId="0AAD2E45"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0D4C44A"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D7B1FB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77C078C" w14:textId="77777777" w:rsidR="00000000" w:rsidRDefault="00832D71">
            <w:pPr>
              <w:pStyle w:val="a3"/>
              <w:spacing w:before="0" w:beforeAutospacing="0" w:after="0" w:afterAutospacing="0"/>
              <w:jc w:val="right"/>
              <w:rPr>
                <w:sz w:val="16"/>
                <w:szCs w:val="16"/>
              </w:rPr>
            </w:pPr>
            <w:r>
              <w:rPr>
                <w:sz w:val="16"/>
                <w:szCs w:val="16"/>
              </w:rPr>
              <w:t>339,11</w:t>
            </w:r>
            <w:r>
              <w:rPr>
                <w:sz w:val="16"/>
                <w:szCs w:val="16"/>
              </w:rPr>
              <w:t>2</w:t>
            </w:r>
          </w:p>
        </w:tc>
        <w:tc>
          <w:tcPr>
            <w:tcW w:w="0" w:type="auto"/>
            <w:noWrap/>
            <w:vAlign w:val="bottom"/>
            <w:hideMark/>
          </w:tcPr>
          <w:p w14:paraId="5C3A4087"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1CA5D80"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B71C4E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69B9DBF" w14:textId="77777777" w:rsidR="00000000" w:rsidRDefault="00832D71">
            <w:pPr>
              <w:pStyle w:val="a3"/>
              <w:spacing w:before="0" w:beforeAutospacing="0" w:after="0" w:afterAutospacing="0"/>
              <w:jc w:val="right"/>
              <w:rPr>
                <w:sz w:val="16"/>
                <w:szCs w:val="16"/>
              </w:rPr>
            </w:pPr>
            <w:r>
              <w:rPr>
                <w:sz w:val="16"/>
                <w:szCs w:val="16"/>
              </w:rPr>
              <w:t>346,64</w:t>
            </w:r>
            <w:r>
              <w:rPr>
                <w:sz w:val="16"/>
                <w:szCs w:val="16"/>
              </w:rPr>
              <w:t>5</w:t>
            </w:r>
          </w:p>
        </w:tc>
        <w:tc>
          <w:tcPr>
            <w:tcW w:w="0" w:type="auto"/>
            <w:noWrap/>
            <w:vAlign w:val="bottom"/>
            <w:hideMark/>
          </w:tcPr>
          <w:p w14:paraId="3AFF7B55"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62B48A3"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58E907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9494426" w14:textId="77777777" w:rsidR="00000000" w:rsidRDefault="00832D71">
            <w:pPr>
              <w:pStyle w:val="a3"/>
              <w:spacing w:before="0" w:beforeAutospacing="0" w:after="0" w:afterAutospacing="0"/>
              <w:jc w:val="right"/>
              <w:rPr>
                <w:sz w:val="16"/>
                <w:szCs w:val="16"/>
              </w:rPr>
            </w:pPr>
            <w:r>
              <w:rPr>
                <w:sz w:val="16"/>
                <w:szCs w:val="16"/>
              </w:rPr>
              <w:t>301,43</w:t>
            </w:r>
            <w:r>
              <w:rPr>
                <w:sz w:val="16"/>
                <w:szCs w:val="16"/>
              </w:rPr>
              <w:t>3</w:t>
            </w:r>
          </w:p>
        </w:tc>
        <w:tc>
          <w:tcPr>
            <w:tcW w:w="0" w:type="auto"/>
            <w:noWrap/>
            <w:vAlign w:val="bottom"/>
            <w:hideMark/>
          </w:tcPr>
          <w:p w14:paraId="0AC8700D"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67F5B25"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ED86BAB"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FA72EB3" w14:textId="77777777" w:rsidR="00000000" w:rsidRDefault="00832D71">
            <w:pPr>
              <w:pStyle w:val="a3"/>
              <w:spacing w:before="0" w:beforeAutospacing="0" w:after="0" w:afterAutospacing="0"/>
              <w:jc w:val="right"/>
              <w:rPr>
                <w:sz w:val="16"/>
                <w:szCs w:val="16"/>
              </w:rPr>
            </w:pPr>
            <w:r>
              <w:rPr>
                <w:sz w:val="16"/>
                <w:szCs w:val="16"/>
              </w:rPr>
              <w:t>263,75</w:t>
            </w:r>
            <w:r>
              <w:rPr>
                <w:sz w:val="16"/>
                <w:szCs w:val="16"/>
              </w:rPr>
              <w:t>4</w:t>
            </w:r>
          </w:p>
        </w:tc>
        <w:tc>
          <w:tcPr>
            <w:tcW w:w="0" w:type="auto"/>
            <w:noWrap/>
            <w:vAlign w:val="bottom"/>
            <w:hideMark/>
          </w:tcPr>
          <w:p w14:paraId="7BB76FFA" w14:textId="77777777" w:rsidR="00000000" w:rsidRDefault="00832D71">
            <w:pPr>
              <w:pStyle w:val="a3"/>
              <w:spacing w:before="0" w:beforeAutospacing="0" w:after="0" w:afterAutospacing="0"/>
              <w:rPr>
                <w:sz w:val="16"/>
                <w:szCs w:val="16"/>
              </w:rPr>
            </w:pPr>
            <w:r>
              <w:rPr>
                <w:sz w:val="16"/>
                <w:szCs w:val="16"/>
              </w:rPr>
              <w:t> </w:t>
            </w:r>
          </w:p>
        </w:tc>
      </w:tr>
      <w:tr w:rsidR="00000000" w14:paraId="3BC7F7B1" w14:textId="77777777">
        <w:trPr>
          <w:trHeight w:val="160"/>
          <w:tblCellSpacing w:w="15" w:type="dxa"/>
        </w:trPr>
        <w:tc>
          <w:tcPr>
            <w:tcW w:w="0" w:type="auto"/>
            <w:hideMark/>
          </w:tcPr>
          <w:p w14:paraId="589935DC" w14:textId="77777777" w:rsidR="00000000" w:rsidRDefault="00832D71">
            <w:pPr>
              <w:pStyle w:val="a3"/>
              <w:spacing w:before="0" w:beforeAutospacing="0" w:after="0" w:afterAutospacing="0"/>
              <w:ind w:left="200"/>
              <w:rPr>
                <w:sz w:val="16"/>
                <w:szCs w:val="16"/>
              </w:rPr>
            </w:pPr>
            <w:r>
              <w:rPr>
                <w:sz w:val="16"/>
                <w:szCs w:val="16"/>
              </w:rPr>
              <w:t>Tota</w:t>
            </w:r>
            <w:r>
              <w:rPr>
                <w:sz w:val="16"/>
                <w:szCs w:val="16"/>
              </w:rPr>
              <w:t>l</w:t>
            </w:r>
          </w:p>
        </w:tc>
        <w:tc>
          <w:tcPr>
            <w:tcW w:w="0" w:type="auto"/>
            <w:hideMark/>
          </w:tcPr>
          <w:p w14:paraId="08B42113"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1659BD1"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32174019" w14:textId="77777777" w:rsidR="00000000" w:rsidRDefault="00832D71">
            <w:pPr>
              <w:pStyle w:val="a3"/>
              <w:spacing w:before="0" w:beforeAutospacing="0" w:after="0" w:afterAutospacing="0"/>
              <w:jc w:val="right"/>
              <w:rPr>
                <w:sz w:val="16"/>
                <w:szCs w:val="16"/>
              </w:rPr>
            </w:pPr>
            <w:r>
              <w:rPr>
                <w:sz w:val="16"/>
                <w:szCs w:val="16"/>
              </w:rPr>
              <w:t>1,671,14</w:t>
            </w:r>
            <w:r>
              <w:rPr>
                <w:sz w:val="16"/>
                <w:szCs w:val="16"/>
              </w:rPr>
              <w:t>7</w:t>
            </w:r>
          </w:p>
        </w:tc>
        <w:tc>
          <w:tcPr>
            <w:tcW w:w="0" w:type="auto"/>
            <w:noWrap/>
            <w:vAlign w:val="bottom"/>
            <w:hideMark/>
          </w:tcPr>
          <w:p w14:paraId="4102C823"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2C4CFE1"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367AEC5"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BA8B912" w14:textId="77777777" w:rsidR="00000000" w:rsidRDefault="00832D71">
            <w:pPr>
              <w:pStyle w:val="a3"/>
              <w:spacing w:before="0" w:beforeAutospacing="0" w:after="0" w:afterAutospacing="0"/>
              <w:jc w:val="right"/>
              <w:rPr>
                <w:sz w:val="16"/>
                <w:szCs w:val="16"/>
              </w:rPr>
            </w:pPr>
            <w:r>
              <w:rPr>
                <w:sz w:val="16"/>
                <w:szCs w:val="16"/>
              </w:rPr>
              <w:t>959,31</w:t>
            </w:r>
            <w:r>
              <w:rPr>
                <w:sz w:val="16"/>
                <w:szCs w:val="16"/>
              </w:rPr>
              <w:t>4</w:t>
            </w:r>
          </w:p>
        </w:tc>
        <w:tc>
          <w:tcPr>
            <w:tcW w:w="0" w:type="auto"/>
            <w:noWrap/>
            <w:vAlign w:val="bottom"/>
            <w:hideMark/>
          </w:tcPr>
          <w:p w14:paraId="42D0CAF8"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F07676E"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A17D0E9"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3EB64E57" w14:textId="77777777" w:rsidR="00000000" w:rsidRDefault="00832D71">
            <w:pPr>
              <w:pStyle w:val="a3"/>
              <w:spacing w:before="0" w:beforeAutospacing="0" w:after="0" w:afterAutospacing="0"/>
              <w:jc w:val="right"/>
              <w:rPr>
                <w:sz w:val="16"/>
                <w:szCs w:val="16"/>
              </w:rPr>
            </w:pPr>
            <w:r>
              <w:rPr>
                <w:sz w:val="16"/>
                <w:szCs w:val="16"/>
              </w:rPr>
              <w:t>966,84</w:t>
            </w:r>
            <w:r>
              <w:rPr>
                <w:sz w:val="16"/>
                <w:szCs w:val="16"/>
              </w:rPr>
              <w:t>7</w:t>
            </w:r>
          </w:p>
        </w:tc>
        <w:tc>
          <w:tcPr>
            <w:tcW w:w="0" w:type="auto"/>
            <w:noWrap/>
            <w:vAlign w:val="bottom"/>
            <w:hideMark/>
          </w:tcPr>
          <w:p w14:paraId="72E83552"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1528333"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5801178"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7D2B0F8B" w14:textId="77777777" w:rsidR="00000000" w:rsidRDefault="00832D71">
            <w:pPr>
              <w:pStyle w:val="a3"/>
              <w:spacing w:before="0" w:beforeAutospacing="0" w:after="0" w:afterAutospacing="0"/>
              <w:jc w:val="right"/>
              <w:rPr>
                <w:sz w:val="16"/>
                <w:szCs w:val="16"/>
              </w:rPr>
            </w:pPr>
            <w:r>
              <w:rPr>
                <w:sz w:val="16"/>
                <w:szCs w:val="16"/>
              </w:rPr>
              <w:t>921,63</w:t>
            </w:r>
            <w:r>
              <w:rPr>
                <w:sz w:val="16"/>
                <w:szCs w:val="16"/>
              </w:rPr>
              <w:t>5</w:t>
            </w:r>
          </w:p>
        </w:tc>
        <w:tc>
          <w:tcPr>
            <w:tcW w:w="0" w:type="auto"/>
            <w:noWrap/>
            <w:vAlign w:val="bottom"/>
            <w:hideMark/>
          </w:tcPr>
          <w:p w14:paraId="7800375C"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B58CBF8"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5895B332"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020877A9" w14:textId="77777777" w:rsidR="00000000" w:rsidRDefault="00832D71">
            <w:pPr>
              <w:pStyle w:val="a3"/>
              <w:spacing w:before="0" w:beforeAutospacing="0" w:after="0" w:afterAutospacing="0"/>
              <w:jc w:val="right"/>
              <w:rPr>
                <w:sz w:val="16"/>
                <w:szCs w:val="16"/>
              </w:rPr>
            </w:pPr>
            <w:r>
              <w:rPr>
                <w:sz w:val="16"/>
                <w:szCs w:val="16"/>
              </w:rPr>
              <w:t>842,61</w:t>
            </w:r>
            <w:r>
              <w:rPr>
                <w:sz w:val="16"/>
                <w:szCs w:val="16"/>
              </w:rPr>
              <w:t>8</w:t>
            </w:r>
          </w:p>
        </w:tc>
        <w:tc>
          <w:tcPr>
            <w:tcW w:w="0" w:type="auto"/>
            <w:noWrap/>
            <w:vAlign w:val="bottom"/>
            <w:hideMark/>
          </w:tcPr>
          <w:p w14:paraId="19E3307D" w14:textId="77777777" w:rsidR="00000000" w:rsidRDefault="00832D71">
            <w:pPr>
              <w:pStyle w:val="a3"/>
              <w:spacing w:before="0" w:beforeAutospacing="0" w:after="0" w:afterAutospacing="0"/>
              <w:rPr>
                <w:sz w:val="16"/>
                <w:szCs w:val="16"/>
              </w:rPr>
            </w:pPr>
            <w:r>
              <w:rPr>
                <w:sz w:val="16"/>
                <w:szCs w:val="16"/>
              </w:rPr>
              <w:t> </w:t>
            </w:r>
          </w:p>
        </w:tc>
      </w:tr>
      <w:tr w:rsidR="00000000" w14:paraId="49BDE58C" w14:textId="77777777">
        <w:trPr>
          <w:trHeight w:val="160"/>
          <w:tblCellSpacing w:w="15" w:type="dxa"/>
        </w:trPr>
        <w:tc>
          <w:tcPr>
            <w:tcW w:w="0" w:type="auto"/>
            <w:hideMark/>
          </w:tcPr>
          <w:p w14:paraId="01760856"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hideMark/>
          </w:tcPr>
          <w:p w14:paraId="282A863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26B9D97"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5894BE8"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2F32059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D0E8126"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207D6739"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05EDB61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B6EAB81"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2FB63AF9"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7D01246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FDE0A8A"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4470D7F"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64DDB84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8F32814"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3554828" w14:textId="77777777" w:rsidR="00000000" w:rsidRDefault="00832D71">
            <w:pPr>
              <w:pStyle w:val="a3"/>
              <w:spacing w:before="0" w:beforeAutospacing="0" w:after="0" w:afterAutospacing="0"/>
              <w:jc w:val="right"/>
              <w:rPr>
                <w:sz w:val="16"/>
                <w:szCs w:val="16"/>
              </w:rPr>
            </w:pPr>
            <w:r>
              <w:rPr>
                <w:sz w:val="16"/>
                <w:szCs w:val="16"/>
              </w:rPr>
              <w:t> </w:t>
            </w:r>
          </w:p>
        </w:tc>
      </w:tr>
      <w:tr w:rsidR="00000000" w14:paraId="081CADF4" w14:textId="77777777">
        <w:trPr>
          <w:trHeight w:val="160"/>
          <w:tblCellSpacing w:w="15" w:type="dxa"/>
        </w:trPr>
        <w:tc>
          <w:tcPr>
            <w:tcW w:w="0" w:type="auto"/>
            <w:hideMark/>
          </w:tcPr>
          <w:p w14:paraId="151BFC7C" w14:textId="77777777" w:rsidR="00000000" w:rsidRDefault="00832D71">
            <w:pPr>
              <w:pStyle w:val="a3"/>
              <w:spacing w:before="0" w:beforeAutospacing="0" w:after="0" w:afterAutospacing="0"/>
              <w:rPr>
                <w:sz w:val="16"/>
                <w:szCs w:val="16"/>
              </w:rPr>
            </w:pPr>
            <w:r>
              <w:rPr>
                <w:sz w:val="16"/>
                <w:szCs w:val="16"/>
              </w:rPr>
              <w:t>RU</w:t>
            </w:r>
            <w:r>
              <w:rPr>
                <w:sz w:val="16"/>
                <w:szCs w:val="16"/>
              </w:rPr>
              <w:t>P</w:t>
            </w:r>
          </w:p>
        </w:tc>
        <w:tc>
          <w:tcPr>
            <w:tcW w:w="0" w:type="auto"/>
            <w:hideMark/>
          </w:tcPr>
          <w:p w14:paraId="6DB1E59B"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5CC24CDD"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250BA74F" w14:textId="77777777" w:rsidR="00000000" w:rsidRDefault="00832D71">
            <w:pPr>
              <w:pStyle w:val="a3"/>
              <w:spacing w:before="0" w:beforeAutospacing="0" w:after="0" w:afterAutospacing="0"/>
              <w:jc w:val="right"/>
              <w:rPr>
                <w:sz w:val="16"/>
                <w:szCs w:val="16"/>
              </w:rPr>
            </w:pPr>
            <w:r>
              <w:rPr>
                <w:sz w:val="16"/>
                <w:szCs w:val="16"/>
              </w:rPr>
              <w:t>1,050,09</w:t>
            </w:r>
            <w:r>
              <w:rPr>
                <w:sz w:val="16"/>
                <w:szCs w:val="16"/>
              </w:rPr>
              <w:t>0</w:t>
            </w:r>
          </w:p>
        </w:tc>
        <w:tc>
          <w:tcPr>
            <w:tcW w:w="0" w:type="auto"/>
            <w:noWrap/>
            <w:vAlign w:val="bottom"/>
            <w:hideMark/>
          </w:tcPr>
          <w:p w14:paraId="4B1E4030"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2915E02"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DD05421"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3C387B49" w14:textId="77777777" w:rsidR="00000000" w:rsidRDefault="00832D71">
            <w:pPr>
              <w:pStyle w:val="a3"/>
              <w:spacing w:before="0" w:beforeAutospacing="0" w:after="0" w:afterAutospacing="0"/>
              <w:jc w:val="right"/>
              <w:rPr>
                <w:sz w:val="16"/>
                <w:szCs w:val="16"/>
              </w:rPr>
            </w:pPr>
            <w:r>
              <w:rPr>
                <w:sz w:val="16"/>
                <w:szCs w:val="16"/>
              </w:rPr>
              <w:t>656,31</w:t>
            </w:r>
            <w:r>
              <w:rPr>
                <w:sz w:val="16"/>
                <w:szCs w:val="16"/>
              </w:rPr>
              <w:t>5</w:t>
            </w:r>
          </w:p>
        </w:tc>
        <w:tc>
          <w:tcPr>
            <w:tcW w:w="0" w:type="auto"/>
            <w:noWrap/>
            <w:vAlign w:val="bottom"/>
            <w:hideMark/>
          </w:tcPr>
          <w:p w14:paraId="5DDE7EC0"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BB186C8"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48C8A3D"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3EA008FF" w14:textId="77777777" w:rsidR="00000000" w:rsidRDefault="00832D71">
            <w:pPr>
              <w:pStyle w:val="a3"/>
              <w:spacing w:before="0" w:beforeAutospacing="0" w:after="0" w:afterAutospacing="0"/>
              <w:jc w:val="right"/>
              <w:rPr>
                <w:sz w:val="16"/>
                <w:szCs w:val="16"/>
              </w:rPr>
            </w:pPr>
            <w:r>
              <w:rPr>
                <w:sz w:val="16"/>
                <w:szCs w:val="16"/>
              </w:rPr>
              <w:t>656,31</w:t>
            </w:r>
            <w:r>
              <w:rPr>
                <w:sz w:val="16"/>
                <w:szCs w:val="16"/>
              </w:rPr>
              <w:t>5</w:t>
            </w:r>
          </w:p>
        </w:tc>
        <w:tc>
          <w:tcPr>
            <w:tcW w:w="0" w:type="auto"/>
            <w:noWrap/>
            <w:vAlign w:val="bottom"/>
            <w:hideMark/>
          </w:tcPr>
          <w:p w14:paraId="1C85F961"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ABCB070"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3C9AD5B"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3B0C286B" w14:textId="77777777" w:rsidR="00000000" w:rsidRDefault="00832D71">
            <w:pPr>
              <w:pStyle w:val="a3"/>
              <w:spacing w:before="0" w:beforeAutospacing="0" w:after="0" w:afterAutospacing="0"/>
              <w:jc w:val="right"/>
              <w:rPr>
                <w:sz w:val="16"/>
                <w:szCs w:val="16"/>
              </w:rPr>
            </w:pPr>
            <w:r>
              <w:rPr>
                <w:sz w:val="16"/>
                <w:szCs w:val="16"/>
              </w:rPr>
              <w:t>612,56</w:t>
            </w:r>
            <w:r>
              <w:rPr>
                <w:sz w:val="16"/>
                <w:szCs w:val="16"/>
              </w:rPr>
              <w:t>0</w:t>
            </w:r>
          </w:p>
        </w:tc>
        <w:tc>
          <w:tcPr>
            <w:tcW w:w="0" w:type="auto"/>
            <w:noWrap/>
            <w:vAlign w:val="bottom"/>
            <w:hideMark/>
          </w:tcPr>
          <w:p w14:paraId="5C7758B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993B8D3"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3266E03"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5457507D" w14:textId="77777777" w:rsidR="00000000" w:rsidRDefault="00832D71">
            <w:pPr>
              <w:pStyle w:val="a3"/>
              <w:spacing w:before="0" w:beforeAutospacing="0" w:after="0" w:afterAutospacing="0"/>
              <w:jc w:val="right"/>
              <w:rPr>
                <w:sz w:val="16"/>
                <w:szCs w:val="16"/>
              </w:rPr>
            </w:pPr>
            <w:r>
              <w:rPr>
                <w:sz w:val="16"/>
                <w:szCs w:val="16"/>
              </w:rPr>
              <w:t>612,56</w:t>
            </w:r>
            <w:r>
              <w:rPr>
                <w:sz w:val="16"/>
                <w:szCs w:val="16"/>
              </w:rPr>
              <w:t>0</w:t>
            </w:r>
          </w:p>
        </w:tc>
        <w:tc>
          <w:tcPr>
            <w:tcW w:w="0" w:type="auto"/>
            <w:noWrap/>
            <w:vAlign w:val="bottom"/>
            <w:hideMark/>
          </w:tcPr>
          <w:p w14:paraId="34B7BEBA" w14:textId="77777777" w:rsidR="00000000" w:rsidRDefault="00832D71">
            <w:pPr>
              <w:pStyle w:val="a3"/>
              <w:spacing w:before="0" w:beforeAutospacing="0" w:after="0" w:afterAutospacing="0"/>
              <w:rPr>
                <w:sz w:val="16"/>
                <w:szCs w:val="16"/>
              </w:rPr>
            </w:pPr>
            <w:r>
              <w:rPr>
                <w:sz w:val="16"/>
                <w:szCs w:val="16"/>
              </w:rPr>
              <w:t> </w:t>
            </w:r>
          </w:p>
        </w:tc>
      </w:tr>
      <w:tr w:rsidR="00000000" w14:paraId="43BB5A04" w14:textId="77777777">
        <w:trPr>
          <w:trHeight w:val="160"/>
          <w:tblCellSpacing w:w="15" w:type="dxa"/>
        </w:trPr>
        <w:tc>
          <w:tcPr>
            <w:tcW w:w="0" w:type="auto"/>
            <w:hideMark/>
          </w:tcPr>
          <w:p w14:paraId="4F4A2EF3" w14:textId="77777777" w:rsidR="00000000" w:rsidRDefault="00832D71">
            <w:pPr>
              <w:pStyle w:val="a3"/>
              <w:spacing w:before="0" w:beforeAutospacing="0" w:after="0" w:afterAutospacing="0"/>
              <w:rPr>
                <w:sz w:val="16"/>
                <w:szCs w:val="16"/>
              </w:rPr>
            </w:pPr>
            <w:r>
              <w:rPr>
                <w:sz w:val="16"/>
                <w:szCs w:val="16"/>
              </w:rPr>
              <w:t>LTI</w:t>
            </w:r>
            <w:r>
              <w:rPr>
                <w:sz w:val="16"/>
                <w:szCs w:val="16"/>
              </w:rPr>
              <w:t>P</w:t>
            </w:r>
          </w:p>
        </w:tc>
        <w:tc>
          <w:tcPr>
            <w:tcW w:w="0" w:type="auto"/>
            <w:hideMark/>
          </w:tcPr>
          <w:p w14:paraId="6BF7FACA"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35D0169"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20BCD85" w14:textId="77777777" w:rsidR="00000000" w:rsidRDefault="00832D71">
            <w:pPr>
              <w:pStyle w:val="a3"/>
              <w:spacing w:before="0" w:beforeAutospacing="0" w:after="0" w:afterAutospacing="0"/>
              <w:jc w:val="right"/>
              <w:rPr>
                <w:sz w:val="16"/>
                <w:szCs w:val="16"/>
              </w:rPr>
            </w:pPr>
            <w:r>
              <w:rPr>
                <w:sz w:val="16"/>
                <w:szCs w:val="16"/>
              </w:rPr>
              <w:t>379,33</w:t>
            </w:r>
            <w:r>
              <w:rPr>
                <w:sz w:val="16"/>
                <w:szCs w:val="16"/>
              </w:rPr>
              <w:t>0</w:t>
            </w:r>
          </w:p>
        </w:tc>
        <w:tc>
          <w:tcPr>
            <w:tcW w:w="0" w:type="auto"/>
            <w:noWrap/>
            <w:vAlign w:val="bottom"/>
            <w:hideMark/>
          </w:tcPr>
          <w:p w14:paraId="59D83FE1"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8178F67"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AE53524"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6346DEF" w14:textId="77777777" w:rsidR="00000000" w:rsidRDefault="00832D71">
            <w:pPr>
              <w:pStyle w:val="a3"/>
              <w:spacing w:before="0" w:beforeAutospacing="0" w:after="0" w:afterAutospacing="0"/>
              <w:jc w:val="right"/>
              <w:rPr>
                <w:sz w:val="16"/>
                <w:szCs w:val="16"/>
              </w:rPr>
            </w:pPr>
            <w:r>
              <w:rPr>
                <w:sz w:val="16"/>
                <w:szCs w:val="16"/>
              </w:rPr>
              <w:t>202,31</w:t>
            </w:r>
            <w:r>
              <w:rPr>
                <w:sz w:val="16"/>
                <w:szCs w:val="16"/>
              </w:rPr>
              <w:t>1</w:t>
            </w:r>
          </w:p>
        </w:tc>
        <w:tc>
          <w:tcPr>
            <w:tcW w:w="0" w:type="auto"/>
            <w:noWrap/>
            <w:vAlign w:val="bottom"/>
            <w:hideMark/>
          </w:tcPr>
          <w:p w14:paraId="046A4B16"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CCF359F"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4492287"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4BE61FE" w14:textId="77777777" w:rsidR="00000000" w:rsidRDefault="00832D71">
            <w:pPr>
              <w:pStyle w:val="a3"/>
              <w:spacing w:before="0" w:beforeAutospacing="0" w:after="0" w:afterAutospacing="0"/>
              <w:jc w:val="right"/>
              <w:rPr>
                <w:sz w:val="16"/>
                <w:szCs w:val="16"/>
              </w:rPr>
            </w:pPr>
            <w:r>
              <w:rPr>
                <w:sz w:val="16"/>
                <w:szCs w:val="16"/>
              </w:rPr>
              <w:t>202,31</w:t>
            </w:r>
            <w:r>
              <w:rPr>
                <w:sz w:val="16"/>
                <w:szCs w:val="16"/>
              </w:rPr>
              <w:t>1</w:t>
            </w:r>
          </w:p>
        </w:tc>
        <w:tc>
          <w:tcPr>
            <w:tcW w:w="0" w:type="auto"/>
            <w:noWrap/>
            <w:vAlign w:val="bottom"/>
            <w:hideMark/>
          </w:tcPr>
          <w:p w14:paraId="46C23C04"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4855147"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98BD2E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425E384" w14:textId="77777777" w:rsidR="00000000" w:rsidRDefault="00832D71">
            <w:pPr>
              <w:pStyle w:val="a3"/>
              <w:spacing w:before="0" w:beforeAutospacing="0" w:after="0" w:afterAutospacing="0"/>
              <w:jc w:val="right"/>
              <w:rPr>
                <w:sz w:val="16"/>
                <w:szCs w:val="16"/>
              </w:rPr>
            </w:pPr>
            <w:r>
              <w:rPr>
                <w:sz w:val="16"/>
                <w:szCs w:val="16"/>
              </w:rPr>
              <w:t>182,07</w:t>
            </w:r>
            <w:r>
              <w:rPr>
                <w:sz w:val="16"/>
                <w:szCs w:val="16"/>
              </w:rPr>
              <w:t>7</w:t>
            </w:r>
          </w:p>
        </w:tc>
        <w:tc>
          <w:tcPr>
            <w:tcW w:w="0" w:type="auto"/>
            <w:noWrap/>
            <w:vAlign w:val="bottom"/>
            <w:hideMark/>
          </w:tcPr>
          <w:p w14:paraId="6C9640B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B3E107C"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70B5B0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9B12B84" w14:textId="77777777" w:rsidR="00000000" w:rsidRDefault="00832D71">
            <w:pPr>
              <w:pStyle w:val="a3"/>
              <w:spacing w:before="0" w:beforeAutospacing="0" w:after="0" w:afterAutospacing="0"/>
              <w:jc w:val="right"/>
              <w:rPr>
                <w:sz w:val="16"/>
                <w:szCs w:val="16"/>
              </w:rPr>
            </w:pPr>
            <w:r>
              <w:rPr>
                <w:sz w:val="16"/>
                <w:szCs w:val="16"/>
              </w:rPr>
              <w:t>161,84</w:t>
            </w:r>
            <w:r>
              <w:rPr>
                <w:sz w:val="16"/>
                <w:szCs w:val="16"/>
              </w:rPr>
              <w:t>7</w:t>
            </w:r>
          </w:p>
        </w:tc>
        <w:tc>
          <w:tcPr>
            <w:tcW w:w="0" w:type="auto"/>
            <w:noWrap/>
            <w:vAlign w:val="bottom"/>
            <w:hideMark/>
          </w:tcPr>
          <w:p w14:paraId="6CDF0B24" w14:textId="77777777" w:rsidR="00000000" w:rsidRDefault="00832D71">
            <w:pPr>
              <w:pStyle w:val="a3"/>
              <w:spacing w:before="0" w:beforeAutospacing="0" w:after="0" w:afterAutospacing="0"/>
              <w:rPr>
                <w:sz w:val="16"/>
                <w:szCs w:val="16"/>
              </w:rPr>
            </w:pPr>
            <w:r>
              <w:rPr>
                <w:sz w:val="16"/>
                <w:szCs w:val="16"/>
              </w:rPr>
              <w:t> </w:t>
            </w:r>
          </w:p>
        </w:tc>
      </w:tr>
      <w:tr w:rsidR="00000000" w14:paraId="4DC59760" w14:textId="77777777">
        <w:trPr>
          <w:trHeight w:val="160"/>
          <w:tblCellSpacing w:w="15" w:type="dxa"/>
        </w:trPr>
        <w:tc>
          <w:tcPr>
            <w:tcW w:w="0" w:type="auto"/>
            <w:hideMark/>
          </w:tcPr>
          <w:p w14:paraId="057921B3" w14:textId="77777777" w:rsidR="00000000" w:rsidRDefault="00832D71">
            <w:pPr>
              <w:pStyle w:val="a3"/>
              <w:spacing w:before="0" w:beforeAutospacing="0" w:after="0" w:afterAutospacing="0"/>
              <w:ind w:left="200"/>
              <w:rPr>
                <w:sz w:val="16"/>
                <w:szCs w:val="16"/>
              </w:rPr>
            </w:pPr>
            <w:r>
              <w:rPr>
                <w:sz w:val="16"/>
                <w:szCs w:val="16"/>
              </w:rPr>
              <w:t>Tota</w:t>
            </w:r>
            <w:r>
              <w:rPr>
                <w:sz w:val="16"/>
                <w:szCs w:val="16"/>
              </w:rPr>
              <w:t>l</w:t>
            </w:r>
          </w:p>
        </w:tc>
        <w:tc>
          <w:tcPr>
            <w:tcW w:w="0" w:type="auto"/>
            <w:hideMark/>
          </w:tcPr>
          <w:p w14:paraId="130E8621"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F3C5903"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392F8455" w14:textId="77777777" w:rsidR="00000000" w:rsidRDefault="00832D71">
            <w:pPr>
              <w:pStyle w:val="a3"/>
              <w:spacing w:before="0" w:beforeAutospacing="0" w:after="0" w:afterAutospacing="0"/>
              <w:jc w:val="right"/>
              <w:rPr>
                <w:sz w:val="16"/>
                <w:szCs w:val="16"/>
              </w:rPr>
            </w:pPr>
            <w:r>
              <w:rPr>
                <w:sz w:val="16"/>
                <w:szCs w:val="16"/>
              </w:rPr>
              <w:t>1,429,42</w:t>
            </w:r>
            <w:r>
              <w:rPr>
                <w:sz w:val="16"/>
                <w:szCs w:val="16"/>
              </w:rPr>
              <w:t>0</w:t>
            </w:r>
          </w:p>
        </w:tc>
        <w:tc>
          <w:tcPr>
            <w:tcW w:w="0" w:type="auto"/>
            <w:noWrap/>
            <w:vAlign w:val="bottom"/>
            <w:hideMark/>
          </w:tcPr>
          <w:p w14:paraId="6EF48C37"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6B403EE"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307954F"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44F7B4FE" w14:textId="77777777" w:rsidR="00000000" w:rsidRDefault="00832D71">
            <w:pPr>
              <w:pStyle w:val="a3"/>
              <w:spacing w:before="0" w:beforeAutospacing="0" w:after="0" w:afterAutospacing="0"/>
              <w:jc w:val="right"/>
              <w:rPr>
                <w:sz w:val="16"/>
                <w:szCs w:val="16"/>
              </w:rPr>
            </w:pPr>
            <w:r>
              <w:rPr>
                <w:sz w:val="16"/>
                <w:szCs w:val="16"/>
              </w:rPr>
              <w:t>858,62</w:t>
            </w:r>
            <w:r>
              <w:rPr>
                <w:sz w:val="16"/>
                <w:szCs w:val="16"/>
              </w:rPr>
              <w:t>6</w:t>
            </w:r>
          </w:p>
        </w:tc>
        <w:tc>
          <w:tcPr>
            <w:tcW w:w="0" w:type="auto"/>
            <w:noWrap/>
            <w:vAlign w:val="bottom"/>
            <w:hideMark/>
          </w:tcPr>
          <w:p w14:paraId="6DE73E13"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B455BE2"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EE2C60B"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2CD45EC7" w14:textId="77777777" w:rsidR="00000000" w:rsidRDefault="00832D71">
            <w:pPr>
              <w:pStyle w:val="a3"/>
              <w:spacing w:before="0" w:beforeAutospacing="0" w:after="0" w:afterAutospacing="0"/>
              <w:jc w:val="right"/>
              <w:rPr>
                <w:sz w:val="16"/>
                <w:szCs w:val="16"/>
              </w:rPr>
            </w:pPr>
            <w:r>
              <w:rPr>
                <w:sz w:val="16"/>
                <w:szCs w:val="16"/>
              </w:rPr>
              <w:t>858,62</w:t>
            </w:r>
            <w:r>
              <w:rPr>
                <w:sz w:val="16"/>
                <w:szCs w:val="16"/>
              </w:rPr>
              <w:t>6</w:t>
            </w:r>
          </w:p>
        </w:tc>
        <w:tc>
          <w:tcPr>
            <w:tcW w:w="0" w:type="auto"/>
            <w:noWrap/>
            <w:vAlign w:val="bottom"/>
            <w:hideMark/>
          </w:tcPr>
          <w:p w14:paraId="6A44B668"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916A3DF"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4999807"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3369FB3E" w14:textId="77777777" w:rsidR="00000000" w:rsidRDefault="00832D71">
            <w:pPr>
              <w:pStyle w:val="a3"/>
              <w:spacing w:before="0" w:beforeAutospacing="0" w:after="0" w:afterAutospacing="0"/>
              <w:jc w:val="right"/>
              <w:rPr>
                <w:sz w:val="16"/>
                <w:szCs w:val="16"/>
              </w:rPr>
            </w:pPr>
            <w:r>
              <w:rPr>
                <w:sz w:val="16"/>
                <w:szCs w:val="16"/>
              </w:rPr>
              <w:t>794,63</w:t>
            </w:r>
            <w:r>
              <w:rPr>
                <w:sz w:val="16"/>
                <w:szCs w:val="16"/>
              </w:rPr>
              <w:t>7</w:t>
            </w:r>
          </w:p>
        </w:tc>
        <w:tc>
          <w:tcPr>
            <w:tcW w:w="0" w:type="auto"/>
            <w:noWrap/>
            <w:vAlign w:val="bottom"/>
            <w:hideMark/>
          </w:tcPr>
          <w:p w14:paraId="03D843EE"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AB2C31A"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56F3746A"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54C5FAA5" w14:textId="77777777" w:rsidR="00000000" w:rsidRDefault="00832D71">
            <w:pPr>
              <w:pStyle w:val="a3"/>
              <w:spacing w:before="0" w:beforeAutospacing="0" w:after="0" w:afterAutospacing="0"/>
              <w:jc w:val="right"/>
              <w:rPr>
                <w:sz w:val="16"/>
                <w:szCs w:val="16"/>
              </w:rPr>
            </w:pPr>
            <w:r>
              <w:rPr>
                <w:sz w:val="16"/>
                <w:szCs w:val="16"/>
              </w:rPr>
              <w:t>774,40</w:t>
            </w:r>
            <w:r>
              <w:rPr>
                <w:sz w:val="16"/>
                <w:szCs w:val="16"/>
              </w:rPr>
              <w:t>7</w:t>
            </w:r>
          </w:p>
        </w:tc>
        <w:tc>
          <w:tcPr>
            <w:tcW w:w="0" w:type="auto"/>
            <w:noWrap/>
            <w:vAlign w:val="bottom"/>
            <w:hideMark/>
          </w:tcPr>
          <w:p w14:paraId="4A2D7A9C" w14:textId="77777777" w:rsidR="00000000" w:rsidRDefault="00832D71">
            <w:pPr>
              <w:pStyle w:val="a3"/>
              <w:spacing w:before="0" w:beforeAutospacing="0" w:after="0" w:afterAutospacing="0"/>
              <w:rPr>
                <w:sz w:val="16"/>
                <w:szCs w:val="16"/>
              </w:rPr>
            </w:pPr>
            <w:r>
              <w:rPr>
                <w:sz w:val="16"/>
                <w:szCs w:val="16"/>
              </w:rPr>
              <w:t> </w:t>
            </w:r>
          </w:p>
        </w:tc>
      </w:tr>
      <w:tr w:rsidR="00000000" w14:paraId="03F8E9B1" w14:textId="77777777">
        <w:trPr>
          <w:trHeight w:val="160"/>
          <w:tblCellSpacing w:w="15" w:type="dxa"/>
        </w:trPr>
        <w:tc>
          <w:tcPr>
            <w:tcW w:w="0" w:type="auto"/>
            <w:hideMark/>
          </w:tcPr>
          <w:p w14:paraId="304D1C83"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hideMark/>
          </w:tcPr>
          <w:p w14:paraId="194B90E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301BF90"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51EB726"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366523B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1181E70"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5548B4C"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770CFE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DE5B7E6"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0CCD59D"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4D2BA07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DB779BB"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22C5B5FB" w14:textId="77777777" w:rsidR="00000000" w:rsidRDefault="00832D71">
            <w:pPr>
              <w:pStyle w:val="a3"/>
              <w:spacing w:before="0" w:beforeAutospacing="0" w:after="0" w:afterAutospacing="0"/>
              <w:jc w:val="right"/>
              <w:rPr>
                <w:sz w:val="16"/>
                <w:szCs w:val="16"/>
              </w:rPr>
            </w:pPr>
            <w:r>
              <w:rPr>
                <w:sz w:val="16"/>
                <w:szCs w:val="16"/>
              </w:rPr>
              <w:t> </w:t>
            </w:r>
          </w:p>
        </w:tc>
        <w:tc>
          <w:tcPr>
            <w:tcW w:w="0" w:type="auto"/>
            <w:hideMark/>
          </w:tcPr>
          <w:p w14:paraId="15E316C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3ECC946"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6DF25021" w14:textId="77777777" w:rsidR="00000000" w:rsidRDefault="00832D71">
            <w:pPr>
              <w:pStyle w:val="a3"/>
              <w:spacing w:before="0" w:beforeAutospacing="0" w:after="0" w:afterAutospacing="0"/>
              <w:jc w:val="right"/>
              <w:rPr>
                <w:sz w:val="16"/>
                <w:szCs w:val="16"/>
              </w:rPr>
            </w:pPr>
            <w:r>
              <w:rPr>
                <w:sz w:val="16"/>
                <w:szCs w:val="16"/>
              </w:rPr>
              <w:t> </w:t>
            </w:r>
          </w:p>
        </w:tc>
      </w:tr>
      <w:tr w:rsidR="00000000" w14:paraId="270943E6" w14:textId="77777777">
        <w:trPr>
          <w:trHeight w:val="160"/>
          <w:tblCellSpacing w:w="15" w:type="dxa"/>
        </w:trPr>
        <w:tc>
          <w:tcPr>
            <w:tcW w:w="0" w:type="auto"/>
            <w:hideMark/>
          </w:tcPr>
          <w:p w14:paraId="7F29EDC2" w14:textId="77777777" w:rsidR="00000000" w:rsidRDefault="00832D71">
            <w:pPr>
              <w:pStyle w:val="a3"/>
              <w:spacing w:before="0" w:beforeAutospacing="0" w:after="0" w:afterAutospacing="0"/>
              <w:rPr>
                <w:sz w:val="16"/>
                <w:szCs w:val="16"/>
              </w:rPr>
            </w:pPr>
            <w:r>
              <w:rPr>
                <w:sz w:val="16"/>
                <w:szCs w:val="16"/>
              </w:rPr>
              <w:t>RU</w:t>
            </w:r>
            <w:r>
              <w:rPr>
                <w:sz w:val="16"/>
                <w:szCs w:val="16"/>
              </w:rPr>
              <w:t>P</w:t>
            </w:r>
          </w:p>
        </w:tc>
        <w:tc>
          <w:tcPr>
            <w:tcW w:w="0" w:type="auto"/>
            <w:hideMark/>
          </w:tcPr>
          <w:p w14:paraId="0693301A"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57A91C67"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0DB375C9" w14:textId="77777777" w:rsidR="00000000" w:rsidRDefault="00832D71">
            <w:pPr>
              <w:pStyle w:val="a3"/>
              <w:spacing w:before="0" w:beforeAutospacing="0" w:after="0" w:afterAutospacing="0"/>
              <w:jc w:val="right"/>
              <w:rPr>
                <w:sz w:val="16"/>
                <w:szCs w:val="16"/>
              </w:rPr>
            </w:pPr>
            <w:r>
              <w:rPr>
                <w:sz w:val="16"/>
                <w:szCs w:val="16"/>
              </w:rPr>
              <w:t>916,95</w:t>
            </w:r>
            <w:r>
              <w:rPr>
                <w:sz w:val="16"/>
                <w:szCs w:val="16"/>
              </w:rPr>
              <w:t>8</w:t>
            </w:r>
          </w:p>
        </w:tc>
        <w:tc>
          <w:tcPr>
            <w:tcW w:w="0" w:type="auto"/>
            <w:noWrap/>
            <w:vAlign w:val="bottom"/>
            <w:hideMark/>
          </w:tcPr>
          <w:p w14:paraId="38BA55BE"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F783CED"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2C64750"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2BAA7B2A" w14:textId="77777777" w:rsidR="00000000" w:rsidRDefault="00832D71">
            <w:pPr>
              <w:pStyle w:val="a3"/>
              <w:spacing w:before="0" w:beforeAutospacing="0" w:after="0" w:afterAutospacing="0"/>
              <w:jc w:val="right"/>
              <w:rPr>
                <w:sz w:val="16"/>
                <w:szCs w:val="16"/>
              </w:rPr>
            </w:pPr>
            <w:r>
              <w:rPr>
                <w:sz w:val="16"/>
                <w:szCs w:val="16"/>
              </w:rPr>
              <w:t>573,09</w:t>
            </w:r>
            <w:r>
              <w:rPr>
                <w:sz w:val="16"/>
                <w:szCs w:val="16"/>
              </w:rPr>
              <w:t>8</w:t>
            </w:r>
          </w:p>
        </w:tc>
        <w:tc>
          <w:tcPr>
            <w:tcW w:w="0" w:type="auto"/>
            <w:noWrap/>
            <w:vAlign w:val="bottom"/>
            <w:hideMark/>
          </w:tcPr>
          <w:p w14:paraId="4643CF74"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27A5CC6"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B45E449"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3537B84" w14:textId="77777777" w:rsidR="00000000" w:rsidRDefault="00832D71">
            <w:pPr>
              <w:pStyle w:val="a3"/>
              <w:spacing w:before="0" w:beforeAutospacing="0" w:after="0" w:afterAutospacing="0"/>
              <w:jc w:val="right"/>
              <w:rPr>
                <w:sz w:val="16"/>
                <w:szCs w:val="16"/>
              </w:rPr>
            </w:pPr>
            <w:r>
              <w:rPr>
                <w:sz w:val="16"/>
                <w:szCs w:val="16"/>
              </w:rPr>
              <w:t>573,09</w:t>
            </w:r>
            <w:r>
              <w:rPr>
                <w:sz w:val="16"/>
                <w:szCs w:val="16"/>
              </w:rPr>
              <w:t>8</w:t>
            </w:r>
          </w:p>
        </w:tc>
        <w:tc>
          <w:tcPr>
            <w:tcW w:w="0" w:type="auto"/>
            <w:noWrap/>
            <w:vAlign w:val="bottom"/>
            <w:hideMark/>
          </w:tcPr>
          <w:p w14:paraId="14B65D3C"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32377F3"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2BD851C"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BA86939" w14:textId="77777777" w:rsidR="00000000" w:rsidRDefault="00832D71">
            <w:pPr>
              <w:pStyle w:val="a3"/>
              <w:spacing w:before="0" w:beforeAutospacing="0" w:after="0" w:afterAutospacing="0"/>
              <w:jc w:val="right"/>
              <w:rPr>
                <w:sz w:val="16"/>
                <w:szCs w:val="16"/>
              </w:rPr>
            </w:pPr>
            <w:r>
              <w:rPr>
                <w:sz w:val="16"/>
                <w:szCs w:val="16"/>
              </w:rPr>
              <w:t>534,89</w:t>
            </w:r>
            <w:r>
              <w:rPr>
                <w:sz w:val="16"/>
                <w:szCs w:val="16"/>
              </w:rPr>
              <w:t>0</w:t>
            </w:r>
          </w:p>
        </w:tc>
        <w:tc>
          <w:tcPr>
            <w:tcW w:w="0" w:type="auto"/>
            <w:noWrap/>
            <w:vAlign w:val="bottom"/>
            <w:hideMark/>
          </w:tcPr>
          <w:p w14:paraId="36D998D5"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4C8F739"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CC1295D"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595C9E97" w14:textId="77777777" w:rsidR="00000000" w:rsidRDefault="00832D71">
            <w:pPr>
              <w:pStyle w:val="a3"/>
              <w:spacing w:before="0" w:beforeAutospacing="0" w:after="0" w:afterAutospacing="0"/>
              <w:jc w:val="right"/>
              <w:rPr>
                <w:sz w:val="16"/>
                <w:szCs w:val="16"/>
              </w:rPr>
            </w:pPr>
            <w:r>
              <w:rPr>
                <w:sz w:val="16"/>
                <w:szCs w:val="16"/>
              </w:rPr>
              <w:t>515,79</w:t>
            </w:r>
            <w:r>
              <w:rPr>
                <w:sz w:val="16"/>
                <w:szCs w:val="16"/>
              </w:rPr>
              <w:t>4</w:t>
            </w:r>
          </w:p>
        </w:tc>
        <w:tc>
          <w:tcPr>
            <w:tcW w:w="0" w:type="auto"/>
            <w:noWrap/>
            <w:vAlign w:val="bottom"/>
            <w:hideMark/>
          </w:tcPr>
          <w:p w14:paraId="513CDD79" w14:textId="77777777" w:rsidR="00000000" w:rsidRDefault="00832D71">
            <w:pPr>
              <w:pStyle w:val="a3"/>
              <w:spacing w:before="0" w:beforeAutospacing="0" w:after="0" w:afterAutospacing="0"/>
              <w:rPr>
                <w:sz w:val="16"/>
                <w:szCs w:val="16"/>
              </w:rPr>
            </w:pPr>
            <w:r>
              <w:rPr>
                <w:sz w:val="16"/>
                <w:szCs w:val="16"/>
              </w:rPr>
              <w:t> </w:t>
            </w:r>
          </w:p>
        </w:tc>
      </w:tr>
      <w:tr w:rsidR="00000000" w14:paraId="0B85011F" w14:textId="77777777">
        <w:trPr>
          <w:trHeight w:val="160"/>
          <w:tblCellSpacing w:w="15" w:type="dxa"/>
        </w:trPr>
        <w:tc>
          <w:tcPr>
            <w:tcW w:w="0" w:type="auto"/>
            <w:hideMark/>
          </w:tcPr>
          <w:p w14:paraId="297E9956" w14:textId="77777777" w:rsidR="00000000" w:rsidRDefault="00832D71">
            <w:pPr>
              <w:pStyle w:val="a3"/>
              <w:spacing w:before="0" w:beforeAutospacing="0" w:after="0" w:afterAutospacing="0"/>
              <w:rPr>
                <w:sz w:val="16"/>
                <w:szCs w:val="16"/>
              </w:rPr>
            </w:pPr>
            <w:r>
              <w:rPr>
                <w:sz w:val="16"/>
                <w:szCs w:val="16"/>
              </w:rPr>
              <w:t>LTI</w:t>
            </w:r>
            <w:r>
              <w:rPr>
                <w:sz w:val="16"/>
                <w:szCs w:val="16"/>
              </w:rPr>
              <w:t>P</w:t>
            </w:r>
          </w:p>
        </w:tc>
        <w:tc>
          <w:tcPr>
            <w:tcW w:w="0" w:type="auto"/>
            <w:hideMark/>
          </w:tcPr>
          <w:p w14:paraId="78CD365B"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3AB312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98974D2" w14:textId="77777777" w:rsidR="00000000" w:rsidRDefault="00832D71">
            <w:pPr>
              <w:pStyle w:val="a3"/>
              <w:spacing w:before="0" w:beforeAutospacing="0" w:after="0" w:afterAutospacing="0"/>
              <w:jc w:val="right"/>
              <w:rPr>
                <w:sz w:val="16"/>
                <w:szCs w:val="16"/>
              </w:rPr>
            </w:pPr>
            <w:r>
              <w:rPr>
                <w:sz w:val="16"/>
                <w:szCs w:val="16"/>
              </w:rPr>
              <w:t>391,08</w:t>
            </w:r>
            <w:r>
              <w:rPr>
                <w:sz w:val="16"/>
                <w:szCs w:val="16"/>
              </w:rPr>
              <w:t>0</w:t>
            </w:r>
          </w:p>
        </w:tc>
        <w:tc>
          <w:tcPr>
            <w:tcW w:w="0" w:type="auto"/>
            <w:noWrap/>
            <w:vAlign w:val="bottom"/>
            <w:hideMark/>
          </w:tcPr>
          <w:p w14:paraId="7953530F"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CA65E30"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578151A"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ACE7317" w14:textId="77777777" w:rsidR="00000000" w:rsidRDefault="00832D71">
            <w:pPr>
              <w:pStyle w:val="a3"/>
              <w:spacing w:before="0" w:beforeAutospacing="0" w:after="0" w:afterAutospacing="0"/>
              <w:jc w:val="right"/>
              <w:rPr>
                <w:sz w:val="16"/>
                <w:szCs w:val="16"/>
              </w:rPr>
            </w:pPr>
            <w:r>
              <w:rPr>
                <w:sz w:val="16"/>
                <w:szCs w:val="16"/>
              </w:rPr>
              <w:t>208,57</w:t>
            </w:r>
            <w:r>
              <w:rPr>
                <w:sz w:val="16"/>
                <w:szCs w:val="16"/>
              </w:rPr>
              <w:t>8</w:t>
            </w:r>
          </w:p>
        </w:tc>
        <w:tc>
          <w:tcPr>
            <w:tcW w:w="0" w:type="auto"/>
            <w:noWrap/>
            <w:vAlign w:val="bottom"/>
            <w:hideMark/>
          </w:tcPr>
          <w:p w14:paraId="6D2221B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174DDBF"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B6BC7EC"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0E172EA" w14:textId="77777777" w:rsidR="00000000" w:rsidRDefault="00832D71">
            <w:pPr>
              <w:pStyle w:val="a3"/>
              <w:spacing w:before="0" w:beforeAutospacing="0" w:after="0" w:afterAutospacing="0"/>
              <w:jc w:val="right"/>
              <w:rPr>
                <w:sz w:val="16"/>
                <w:szCs w:val="16"/>
              </w:rPr>
            </w:pPr>
            <w:r>
              <w:rPr>
                <w:sz w:val="16"/>
                <w:szCs w:val="16"/>
              </w:rPr>
              <w:t>208,57</w:t>
            </w:r>
            <w:r>
              <w:rPr>
                <w:sz w:val="16"/>
                <w:szCs w:val="16"/>
              </w:rPr>
              <w:t>8</w:t>
            </w:r>
          </w:p>
        </w:tc>
        <w:tc>
          <w:tcPr>
            <w:tcW w:w="0" w:type="auto"/>
            <w:noWrap/>
            <w:vAlign w:val="bottom"/>
            <w:hideMark/>
          </w:tcPr>
          <w:p w14:paraId="24024E1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77B2626"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A73261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E893997" w14:textId="77777777" w:rsidR="00000000" w:rsidRDefault="00832D71">
            <w:pPr>
              <w:pStyle w:val="a3"/>
              <w:spacing w:before="0" w:beforeAutospacing="0" w:after="0" w:afterAutospacing="0"/>
              <w:jc w:val="right"/>
              <w:rPr>
                <w:sz w:val="16"/>
                <w:szCs w:val="16"/>
              </w:rPr>
            </w:pPr>
            <w:r>
              <w:rPr>
                <w:sz w:val="16"/>
                <w:szCs w:val="16"/>
              </w:rPr>
              <w:t>187,71</w:t>
            </w:r>
            <w:r>
              <w:rPr>
                <w:sz w:val="16"/>
                <w:szCs w:val="16"/>
              </w:rPr>
              <w:t>8</w:t>
            </w:r>
          </w:p>
        </w:tc>
        <w:tc>
          <w:tcPr>
            <w:tcW w:w="0" w:type="auto"/>
            <w:noWrap/>
            <w:vAlign w:val="bottom"/>
            <w:hideMark/>
          </w:tcPr>
          <w:p w14:paraId="01732BA7"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A5E5852"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506F1389"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04D5A97" w14:textId="77777777" w:rsidR="00000000" w:rsidRDefault="00832D71">
            <w:pPr>
              <w:pStyle w:val="a3"/>
              <w:spacing w:before="0" w:beforeAutospacing="0" w:after="0" w:afterAutospacing="0"/>
              <w:jc w:val="right"/>
              <w:rPr>
                <w:sz w:val="16"/>
                <w:szCs w:val="16"/>
              </w:rPr>
            </w:pPr>
            <w:r>
              <w:rPr>
                <w:sz w:val="16"/>
                <w:szCs w:val="16"/>
              </w:rPr>
              <w:t>166,85</w:t>
            </w:r>
            <w:r>
              <w:rPr>
                <w:sz w:val="16"/>
                <w:szCs w:val="16"/>
              </w:rPr>
              <w:t>8</w:t>
            </w:r>
          </w:p>
        </w:tc>
        <w:tc>
          <w:tcPr>
            <w:tcW w:w="0" w:type="auto"/>
            <w:noWrap/>
            <w:vAlign w:val="bottom"/>
            <w:hideMark/>
          </w:tcPr>
          <w:p w14:paraId="42993B4E" w14:textId="77777777" w:rsidR="00000000" w:rsidRDefault="00832D71">
            <w:pPr>
              <w:pStyle w:val="a3"/>
              <w:spacing w:before="0" w:beforeAutospacing="0" w:after="0" w:afterAutospacing="0"/>
              <w:rPr>
                <w:sz w:val="16"/>
                <w:szCs w:val="16"/>
              </w:rPr>
            </w:pPr>
            <w:r>
              <w:rPr>
                <w:sz w:val="16"/>
                <w:szCs w:val="16"/>
              </w:rPr>
              <w:t> </w:t>
            </w:r>
          </w:p>
        </w:tc>
      </w:tr>
      <w:tr w:rsidR="00000000" w14:paraId="2069234E" w14:textId="77777777">
        <w:trPr>
          <w:trHeight w:val="160"/>
          <w:tblCellSpacing w:w="15" w:type="dxa"/>
        </w:trPr>
        <w:tc>
          <w:tcPr>
            <w:tcW w:w="0" w:type="auto"/>
            <w:hideMark/>
          </w:tcPr>
          <w:p w14:paraId="0888B751" w14:textId="77777777" w:rsidR="00000000" w:rsidRDefault="00832D71">
            <w:pPr>
              <w:pStyle w:val="a3"/>
              <w:spacing w:before="0" w:beforeAutospacing="0" w:after="0" w:afterAutospacing="0"/>
              <w:ind w:left="200"/>
              <w:rPr>
                <w:sz w:val="16"/>
                <w:szCs w:val="16"/>
              </w:rPr>
            </w:pPr>
            <w:r>
              <w:rPr>
                <w:sz w:val="16"/>
                <w:szCs w:val="16"/>
              </w:rPr>
              <w:t>Tota</w:t>
            </w:r>
            <w:r>
              <w:rPr>
                <w:sz w:val="16"/>
                <w:szCs w:val="16"/>
              </w:rPr>
              <w:t>l</w:t>
            </w:r>
          </w:p>
        </w:tc>
        <w:tc>
          <w:tcPr>
            <w:tcW w:w="0" w:type="auto"/>
            <w:hideMark/>
          </w:tcPr>
          <w:p w14:paraId="7FED429D"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C2176F9"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3ADE04B3" w14:textId="77777777" w:rsidR="00000000" w:rsidRDefault="00832D71">
            <w:pPr>
              <w:pStyle w:val="a3"/>
              <w:spacing w:before="0" w:beforeAutospacing="0" w:after="0" w:afterAutospacing="0"/>
              <w:jc w:val="right"/>
              <w:rPr>
                <w:sz w:val="16"/>
                <w:szCs w:val="16"/>
              </w:rPr>
            </w:pPr>
            <w:r>
              <w:rPr>
                <w:sz w:val="16"/>
                <w:szCs w:val="16"/>
              </w:rPr>
              <w:t>1,308,03</w:t>
            </w:r>
            <w:r>
              <w:rPr>
                <w:sz w:val="16"/>
                <w:szCs w:val="16"/>
              </w:rPr>
              <w:t>8</w:t>
            </w:r>
          </w:p>
        </w:tc>
        <w:tc>
          <w:tcPr>
            <w:tcW w:w="0" w:type="auto"/>
            <w:noWrap/>
            <w:vAlign w:val="bottom"/>
            <w:hideMark/>
          </w:tcPr>
          <w:p w14:paraId="7267237C"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9C951CA"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B53BB6D"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164A26FB" w14:textId="77777777" w:rsidR="00000000" w:rsidRDefault="00832D71">
            <w:pPr>
              <w:pStyle w:val="a3"/>
              <w:spacing w:before="0" w:beforeAutospacing="0" w:after="0" w:afterAutospacing="0"/>
              <w:jc w:val="right"/>
              <w:rPr>
                <w:sz w:val="16"/>
                <w:szCs w:val="16"/>
              </w:rPr>
            </w:pPr>
            <w:r>
              <w:rPr>
                <w:sz w:val="16"/>
                <w:szCs w:val="16"/>
              </w:rPr>
              <w:t>781,67</w:t>
            </w:r>
            <w:r>
              <w:rPr>
                <w:sz w:val="16"/>
                <w:szCs w:val="16"/>
              </w:rPr>
              <w:t>6</w:t>
            </w:r>
          </w:p>
        </w:tc>
        <w:tc>
          <w:tcPr>
            <w:tcW w:w="0" w:type="auto"/>
            <w:noWrap/>
            <w:vAlign w:val="bottom"/>
            <w:hideMark/>
          </w:tcPr>
          <w:p w14:paraId="35C6319E"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F6A4A5A"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BB30AE6"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1EB62034" w14:textId="77777777" w:rsidR="00000000" w:rsidRDefault="00832D71">
            <w:pPr>
              <w:pStyle w:val="a3"/>
              <w:spacing w:before="0" w:beforeAutospacing="0" w:after="0" w:afterAutospacing="0"/>
              <w:jc w:val="right"/>
              <w:rPr>
                <w:sz w:val="16"/>
                <w:szCs w:val="16"/>
              </w:rPr>
            </w:pPr>
            <w:r>
              <w:rPr>
                <w:sz w:val="16"/>
                <w:szCs w:val="16"/>
              </w:rPr>
              <w:t>781,67</w:t>
            </w:r>
            <w:r>
              <w:rPr>
                <w:sz w:val="16"/>
                <w:szCs w:val="16"/>
              </w:rPr>
              <w:t>6</w:t>
            </w:r>
          </w:p>
        </w:tc>
        <w:tc>
          <w:tcPr>
            <w:tcW w:w="0" w:type="auto"/>
            <w:noWrap/>
            <w:vAlign w:val="bottom"/>
            <w:hideMark/>
          </w:tcPr>
          <w:p w14:paraId="4BFE2E1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13B72A9"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0AAA7B9"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7DF10E17" w14:textId="77777777" w:rsidR="00000000" w:rsidRDefault="00832D71">
            <w:pPr>
              <w:pStyle w:val="a3"/>
              <w:spacing w:before="0" w:beforeAutospacing="0" w:after="0" w:afterAutospacing="0"/>
              <w:jc w:val="right"/>
              <w:rPr>
                <w:sz w:val="16"/>
                <w:szCs w:val="16"/>
              </w:rPr>
            </w:pPr>
            <w:r>
              <w:rPr>
                <w:sz w:val="16"/>
                <w:szCs w:val="16"/>
              </w:rPr>
              <w:t>722,60</w:t>
            </w:r>
            <w:r>
              <w:rPr>
                <w:sz w:val="16"/>
                <w:szCs w:val="16"/>
              </w:rPr>
              <w:t>8</w:t>
            </w:r>
          </w:p>
        </w:tc>
        <w:tc>
          <w:tcPr>
            <w:tcW w:w="0" w:type="auto"/>
            <w:noWrap/>
            <w:vAlign w:val="bottom"/>
            <w:hideMark/>
          </w:tcPr>
          <w:p w14:paraId="23B676CD"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9F8666C"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97E0FCE"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3431321F" w14:textId="77777777" w:rsidR="00000000" w:rsidRDefault="00832D71">
            <w:pPr>
              <w:pStyle w:val="a3"/>
              <w:spacing w:before="0" w:beforeAutospacing="0" w:after="0" w:afterAutospacing="0"/>
              <w:jc w:val="right"/>
              <w:rPr>
                <w:sz w:val="16"/>
                <w:szCs w:val="16"/>
              </w:rPr>
            </w:pPr>
            <w:r>
              <w:rPr>
                <w:sz w:val="16"/>
                <w:szCs w:val="16"/>
              </w:rPr>
              <w:t>682,65</w:t>
            </w:r>
            <w:r>
              <w:rPr>
                <w:sz w:val="16"/>
                <w:szCs w:val="16"/>
              </w:rPr>
              <w:t>2</w:t>
            </w:r>
          </w:p>
        </w:tc>
        <w:tc>
          <w:tcPr>
            <w:tcW w:w="0" w:type="auto"/>
            <w:noWrap/>
            <w:vAlign w:val="bottom"/>
            <w:hideMark/>
          </w:tcPr>
          <w:p w14:paraId="5E5C9265" w14:textId="77777777" w:rsidR="00000000" w:rsidRDefault="00832D71">
            <w:pPr>
              <w:pStyle w:val="a3"/>
              <w:spacing w:before="0" w:beforeAutospacing="0" w:after="0" w:afterAutospacing="0"/>
              <w:rPr>
                <w:sz w:val="16"/>
                <w:szCs w:val="16"/>
              </w:rPr>
            </w:pPr>
            <w:r>
              <w:rPr>
                <w:sz w:val="16"/>
                <w:szCs w:val="16"/>
              </w:rPr>
              <w:t> </w:t>
            </w:r>
          </w:p>
        </w:tc>
      </w:tr>
    </w:tbl>
    <w:p w14:paraId="7C7C2F6A" w14:textId="77777777" w:rsidR="00000000" w:rsidRDefault="00832D71">
      <w:pPr>
        <w:pStyle w:val="a3"/>
        <w:spacing w:before="0" w:beforeAutospacing="0" w:after="0" w:afterAutospacing="0"/>
        <w:ind w:hanging="422"/>
        <w:jc w:val="both"/>
        <w:rPr>
          <w:sz w:val="20"/>
          <w:szCs w:val="20"/>
        </w:rPr>
      </w:pPr>
      <w:r>
        <w:rPr>
          <w:sz w:val="20"/>
          <w:szCs w:val="20"/>
        </w:rPr>
        <w:t> </w:t>
      </w:r>
    </w:p>
    <w:p w14:paraId="4333EBAB" w14:textId="77777777" w:rsidR="00000000" w:rsidRDefault="00832D71">
      <w:pPr>
        <w:jc w:val="both"/>
        <w:rPr>
          <w:rFonts w:eastAsia="Times New Roman"/>
        </w:rPr>
      </w:pPr>
      <w:r>
        <w:rPr>
          <w:rFonts w:eastAsia="Times New Roman"/>
          <w:sz w:val="16"/>
          <w:szCs w:val="16"/>
        </w:rPr>
        <w:t>(4</w:t>
      </w:r>
      <w:r>
        <w:rPr>
          <w:rFonts w:eastAsia="Times New Roman"/>
          <w:sz w:val="16"/>
          <w:szCs w:val="16"/>
        </w:rPr>
        <w:t>)</w:t>
      </w:r>
    </w:p>
    <w:p w14:paraId="39E4EA32" w14:textId="77777777" w:rsidR="00000000" w:rsidRDefault="00832D71">
      <w:pPr>
        <w:jc w:val="both"/>
        <w:divId w:val="13850438"/>
        <w:rPr>
          <w:rFonts w:eastAsia="Times New Roman"/>
        </w:rPr>
      </w:pPr>
      <w:r>
        <w:rPr>
          <w:rFonts w:eastAsia="Times New Roman"/>
          <w:sz w:val="16"/>
          <w:szCs w:val="16"/>
        </w:rPr>
        <w:t>The fiscal 2022, fiscal 2021 and fiscal 2020 breakdowns of each named executive officer’s earnings under the annual cash bonus plan and the DER Plan are presented in the table that follows. For more information regarding the performance measures of the ann</w:t>
      </w:r>
      <w:r>
        <w:rPr>
          <w:rFonts w:eastAsia="Times New Roman"/>
          <w:sz w:val="16"/>
          <w:szCs w:val="16"/>
        </w:rPr>
        <w:t>ual cash bonus plan, please refer to the subheading titled “Annual Cash Bonus Plan” and “Distribution Equivalent Rights Plan” in the “Compensation Discussion and Analysis.”</w:t>
      </w:r>
      <w:r>
        <w:rPr>
          <w:rFonts w:eastAsia="Times New Roman"/>
          <w:sz w:val="16"/>
          <w:szCs w:val="16"/>
        </w:rPr>
        <w:t xml:space="preserve"> </w:t>
      </w:r>
    </w:p>
    <w:p w14:paraId="1DF9494C" w14:textId="77777777" w:rsidR="00000000" w:rsidRDefault="00832D71">
      <w:pPr>
        <w:pStyle w:val="a3"/>
        <w:spacing w:before="0" w:beforeAutospacing="0" w:after="0" w:afterAutospacing="0"/>
        <w:jc w:val="center"/>
        <w:rPr>
          <w:sz w:val="20"/>
          <w:szCs w:val="20"/>
        </w:rPr>
      </w:pPr>
      <w:r>
        <w:rPr>
          <w:sz w:val="20"/>
          <w:szCs w:val="20"/>
        </w:rPr>
        <w:t> </w:t>
      </w:r>
    </w:p>
    <w:p w14:paraId="7F7DA6DF" w14:textId="77777777" w:rsidR="00000000" w:rsidRDefault="00832D71">
      <w:pPr>
        <w:pStyle w:val="a3"/>
        <w:spacing w:before="0" w:beforeAutospacing="0" w:after="0" w:afterAutospacing="0"/>
        <w:jc w:val="center"/>
        <w:rPr>
          <w:sz w:val="20"/>
          <w:szCs w:val="20"/>
        </w:rPr>
      </w:pPr>
      <w:r>
        <w:rPr>
          <w:sz w:val="20"/>
          <w:szCs w:val="20"/>
        </w:rPr>
        <w:t>7</w:t>
      </w:r>
      <w:r>
        <w:rPr>
          <w:sz w:val="20"/>
          <w:szCs w:val="20"/>
        </w:rPr>
        <w:t>5</w:t>
      </w:r>
    </w:p>
    <w:p w14:paraId="1277B70B" w14:textId="77777777" w:rsidR="00000000" w:rsidRDefault="00832D71">
      <w:pPr>
        <w:rPr>
          <w:rFonts w:eastAsia="Times New Roman"/>
        </w:rPr>
      </w:pPr>
      <w:r>
        <w:rPr>
          <w:rFonts w:eastAsia="Times New Roman"/>
        </w:rPr>
        <w:pict w14:anchorId="3171B42E">
          <v:rect id="_x0000_i1102" style="width:0;height:1.5pt" o:hralign="center" o:hrstd="t" o:hr="t" fillcolor="#a0a0a0" stroked="f"/>
        </w:pict>
      </w:r>
    </w:p>
    <w:p w14:paraId="15B5E88E"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7EA754F7" w14:textId="77777777" w:rsidR="00000000" w:rsidRDefault="00832D71">
      <w:pPr>
        <w:pStyle w:val="a3"/>
        <w:spacing w:before="0" w:beforeAutospacing="0" w:after="0" w:afterAutospacing="0"/>
        <w:ind w:left="476"/>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19"/>
        <w:gridCol w:w="136"/>
        <w:gridCol w:w="140"/>
        <w:gridCol w:w="936"/>
        <w:gridCol w:w="100"/>
        <w:gridCol w:w="129"/>
        <w:gridCol w:w="140"/>
        <w:gridCol w:w="936"/>
        <w:gridCol w:w="100"/>
        <w:gridCol w:w="130"/>
        <w:gridCol w:w="140"/>
        <w:gridCol w:w="937"/>
        <w:gridCol w:w="100"/>
        <w:gridCol w:w="100"/>
        <w:gridCol w:w="141"/>
        <w:gridCol w:w="1600"/>
        <w:gridCol w:w="100"/>
        <w:gridCol w:w="130"/>
        <w:gridCol w:w="140"/>
        <w:gridCol w:w="937"/>
        <w:gridCol w:w="115"/>
      </w:tblGrid>
      <w:tr w:rsidR="00000000" w14:paraId="77497CD0" w14:textId="77777777">
        <w:trPr>
          <w:tblCellSpacing w:w="15" w:type="dxa"/>
        </w:trPr>
        <w:tc>
          <w:tcPr>
            <w:tcW w:w="710" w:type="pct"/>
            <w:vAlign w:val="center"/>
            <w:hideMark/>
          </w:tcPr>
          <w:p w14:paraId="74738F93" w14:textId="77777777" w:rsidR="00000000" w:rsidRDefault="00832D71">
            <w:pPr>
              <w:rPr>
                <w:sz w:val="20"/>
                <w:szCs w:val="20"/>
              </w:rPr>
            </w:pPr>
          </w:p>
        </w:tc>
        <w:tc>
          <w:tcPr>
            <w:tcW w:w="78" w:type="pct"/>
            <w:vAlign w:val="center"/>
            <w:hideMark/>
          </w:tcPr>
          <w:p w14:paraId="1057E062" w14:textId="77777777" w:rsidR="00000000" w:rsidRDefault="00832D71">
            <w:pPr>
              <w:rPr>
                <w:rFonts w:eastAsia="Times New Roman"/>
                <w:sz w:val="20"/>
                <w:szCs w:val="20"/>
              </w:rPr>
            </w:pPr>
          </w:p>
        </w:tc>
        <w:tc>
          <w:tcPr>
            <w:tcW w:w="50" w:type="pct"/>
            <w:vAlign w:val="center"/>
            <w:hideMark/>
          </w:tcPr>
          <w:p w14:paraId="1647CB53" w14:textId="77777777" w:rsidR="00000000" w:rsidRDefault="00832D71">
            <w:pPr>
              <w:rPr>
                <w:rFonts w:eastAsia="Times New Roman"/>
                <w:sz w:val="20"/>
                <w:szCs w:val="20"/>
              </w:rPr>
            </w:pPr>
          </w:p>
        </w:tc>
        <w:tc>
          <w:tcPr>
            <w:tcW w:w="600" w:type="pct"/>
            <w:vAlign w:val="center"/>
            <w:hideMark/>
          </w:tcPr>
          <w:p w14:paraId="5B4FD9B6" w14:textId="77777777" w:rsidR="00000000" w:rsidRDefault="00832D71">
            <w:pPr>
              <w:rPr>
                <w:rFonts w:eastAsia="Times New Roman"/>
                <w:sz w:val="20"/>
                <w:szCs w:val="20"/>
              </w:rPr>
            </w:pPr>
          </w:p>
        </w:tc>
        <w:tc>
          <w:tcPr>
            <w:tcW w:w="50" w:type="pct"/>
            <w:vAlign w:val="center"/>
            <w:hideMark/>
          </w:tcPr>
          <w:p w14:paraId="215FFB8D" w14:textId="77777777" w:rsidR="00000000" w:rsidRDefault="00832D71">
            <w:pPr>
              <w:rPr>
                <w:rFonts w:eastAsia="Times New Roman"/>
                <w:sz w:val="20"/>
                <w:szCs w:val="20"/>
              </w:rPr>
            </w:pPr>
          </w:p>
        </w:tc>
        <w:tc>
          <w:tcPr>
            <w:tcW w:w="77" w:type="pct"/>
            <w:vAlign w:val="center"/>
            <w:hideMark/>
          </w:tcPr>
          <w:p w14:paraId="7A42214B" w14:textId="77777777" w:rsidR="00000000" w:rsidRDefault="00832D71">
            <w:pPr>
              <w:rPr>
                <w:rFonts w:eastAsia="Times New Roman"/>
                <w:sz w:val="20"/>
                <w:szCs w:val="20"/>
              </w:rPr>
            </w:pPr>
          </w:p>
        </w:tc>
        <w:tc>
          <w:tcPr>
            <w:tcW w:w="50" w:type="pct"/>
            <w:vAlign w:val="center"/>
            <w:hideMark/>
          </w:tcPr>
          <w:p w14:paraId="5604289D" w14:textId="77777777" w:rsidR="00000000" w:rsidRDefault="00832D71">
            <w:pPr>
              <w:rPr>
                <w:rFonts w:eastAsia="Times New Roman"/>
                <w:sz w:val="20"/>
                <w:szCs w:val="20"/>
              </w:rPr>
            </w:pPr>
          </w:p>
        </w:tc>
        <w:tc>
          <w:tcPr>
            <w:tcW w:w="599" w:type="pct"/>
            <w:vAlign w:val="center"/>
            <w:hideMark/>
          </w:tcPr>
          <w:p w14:paraId="7896FE4D" w14:textId="77777777" w:rsidR="00000000" w:rsidRDefault="00832D71">
            <w:pPr>
              <w:rPr>
                <w:rFonts w:eastAsia="Times New Roman"/>
                <w:sz w:val="20"/>
                <w:szCs w:val="20"/>
              </w:rPr>
            </w:pPr>
          </w:p>
        </w:tc>
        <w:tc>
          <w:tcPr>
            <w:tcW w:w="50" w:type="pct"/>
            <w:vAlign w:val="center"/>
            <w:hideMark/>
          </w:tcPr>
          <w:p w14:paraId="53A6C60F" w14:textId="77777777" w:rsidR="00000000" w:rsidRDefault="00832D71">
            <w:pPr>
              <w:rPr>
                <w:rFonts w:eastAsia="Times New Roman"/>
                <w:sz w:val="20"/>
                <w:szCs w:val="20"/>
              </w:rPr>
            </w:pPr>
          </w:p>
        </w:tc>
        <w:tc>
          <w:tcPr>
            <w:tcW w:w="76" w:type="pct"/>
            <w:vAlign w:val="center"/>
            <w:hideMark/>
          </w:tcPr>
          <w:p w14:paraId="4009117B" w14:textId="77777777" w:rsidR="00000000" w:rsidRDefault="00832D71">
            <w:pPr>
              <w:rPr>
                <w:rFonts w:eastAsia="Times New Roman"/>
                <w:sz w:val="20"/>
                <w:szCs w:val="20"/>
              </w:rPr>
            </w:pPr>
          </w:p>
        </w:tc>
        <w:tc>
          <w:tcPr>
            <w:tcW w:w="50" w:type="pct"/>
            <w:vAlign w:val="center"/>
            <w:hideMark/>
          </w:tcPr>
          <w:p w14:paraId="36F061F8" w14:textId="77777777" w:rsidR="00000000" w:rsidRDefault="00832D71">
            <w:pPr>
              <w:rPr>
                <w:rFonts w:eastAsia="Times New Roman"/>
                <w:sz w:val="20"/>
                <w:szCs w:val="20"/>
              </w:rPr>
            </w:pPr>
          </w:p>
        </w:tc>
        <w:tc>
          <w:tcPr>
            <w:tcW w:w="599" w:type="pct"/>
            <w:vAlign w:val="center"/>
            <w:hideMark/>
          </w:tcPr>
          <w:p w14:paraId="3EEB291B" w14:textId="77777777" w:rsidR="00000000" w:rsidRDefault="00832D71">
            <w:pPr>
              <w:rPr>
                <w:rFonts w:eastAsia="Times New Roman"/>
                <w:sz w:val="20"/>
                <w:szCs w:val="20"/>
              </w:rPr>
            </w:pPr>
          </w:p>
        </w:tc>
        <w:tc>
          <w:tcPr>
            <w:tcW w:w="50" w:type="pct"/>
            <w:vAlign w:val="center"/>
            <w:hideMark/>
          </w:tcPr>
          <w:p w14:paraId="5E94CB9F" w14:textId="77777777" w:rsidR="00000000" w:rsidRDefault="00832D71">
            <w:pPr>
              <w:rPr>
                <w:rFonts w:eastAsia="Times New Roman"/>
                <w:sz w:val="20"/>
                <w:szCs w:val="20"/>
              </w:rPr>
            </w:pPr>
          </w:p>
        </w:tc>
        <w:tc>
          <w:tcPr>
            <w:tcW w:w="45" w:type="pct"/>
            <w:vAlign w:val="center"/>
            <w:hideMark/>
          </w:tcPr>
          <w:p w14:paraId="0D54724C" w14:textId="77777777" w:rsidR="00000000" w:rsidRDefault="00832D71">
            <w:pPr>
              <w:rPr>
                <w:rFonts w:eastAsia="Times New Roman"/>
                <w:sz w:val="20"/>
                <w:szCs w:val="20"/>
              </w:rPr>
            </w:pPr>
          </w:p>
        </w:tc>
        <w:tc>
          <w:tcPr>
            <w:tcW w:w="50" w:type="pct"/>
            <w:vAlign w:val="center"/>
            <w:hideMark/>
          </w:tcPr>
          <w:p w14:paraId="7BB197C9" w14:textId="77777777" w:rsidR="00000000" w:rsidRDefault="00832D71">
            <w:pPr>
              <w:rPr>
                <w:rFonts w:eastAsia="Times New Roman"/>
                <w:sz w:val="20"/>
                <w:szCs w:val="20"/>
              </w:rPr>
            </w:pPr>
          </w:p>
        </w:tc>
        <w:tc>
          <w:tcPr>
            <w:tcW w:w="1036" w:type="pct"/>
            <w:vAlign w:val="center"/>
            <w:hideMark/>
          </w:tcPr>
          <w:p w14:paraId="6718F37A" w14:textId="77777777" w:rsidR="00000000" w:rsidRDefault="00832D71">
            <w:pPr>
              <w:rPr>
                <w:rFonts w:eastAsia="Times New Roman"/>
                <w:sz w:val="20"/>
                <w:szCs w:val="20"/>
              </w:rPr>
            </w:pPr>
          </w:p>
        </w:tc>
        <w:tc>
          <w:tcPr>
            <w:tcW w:w="50" w:type="pct"/>
            <w:vAlign w:val="center"/>
            <w:hideMark/>
          </w:tcPr>
          <w:p w14:paraId="43417A18" w14:textId="77777777" w:rsidR="00000000" w:rsidRDefault="00832D71">
            <w:pPr>
              <w:rPr>
                <w:rFonts w:eastAsia="Times New Roman"/>
                <w:sz w:val="20"/>
                <w:szCs w:val="20"/>
              </w:rPr>
            </w:pPr>
          </w:p>
        </w:tc>
        <w:tc>
          <w:tcPr>
            <w:tcW w:w="76" w:type="pct"/>
            <w:vAlign w:val="center"/>
            <w:hideMark/>
          </w:tcPr>
          <w:p w14:paraId="41F5BE57" w14:textId="77777777" w:rsidR="00000000" w:rsidRDefault="00832D71">
            <w:pPr>
              <w:rPr>
                <w:rFonts w:eastAsia="Times New Roman"/>
                <w:sz w:val="20"/>
                <w:szCs w:val="20"/>
              </w:rPr>
            </w:pPr>
          </w:p>
        </w:tc>
        <w:tc>
          <w:tcPr>
            <w:tcW w:w="50" w:type="pct"/>
            <w:vAlign w:val="center"/>
            <w:hideMark/>
          </w:tcPr>
          <w:p w14:paraId="0B93DE5C" w14:textId="77777777" w:rsidR="00000000" w:rsidRDefault="00832D71">
            <w:pPr>
              <w:rPr>
                <w:rFonts w:eastAsia="Times New Roman"/>
                <w:sz w:val="20"/>
                <w:szCs w:val="20"/>
              </w:rPr>
            </w:pPr>
          </w:p>
        </w:tc>
        <w:tc>
          <w:tcPr>
            <w:tcW w:w="599" w:type="pct"/>
            <w:vAlign w:val="center"/>
            <w:hideMark/>
          </w:tcPr>
          <w:p w14:paraId="42C61F3A" w14:textId="77777777" w:rsidR="00000000" w:rsidRDefault="00832D71">
            <w:pPr>
              <w:rPr>
                <w:rFonts w:eastAsia="Times New Roman"/>
                <w:sz w:val="20"/>
                <w:szCs w:val="20"/>
              </w:rPr>
            </w:pPr>
          </w:p>
        </w:tc>
        <w:tc>
          <w:tcPr>
            <w:tcW w:w="50" w:type="pct"/>
            <w:vAlign w:val="center"/>
            <w:hideMark/>
          </w:tcPr>
          <w:p w14:paraId="45A8C990" w14:textId="77777777" w:rsidR="00000000" w:rsidRDefault="00832D71">
            <w:pPr>
              <w:rPr>
                <w:rFonts w:eastAsia="Times New Roman"/>
                <w:sz w:val="20"/>
                <w:szCs w:val="20"/>
              </w:rPr>
            </w:pPr>
          </w:p>
        </w:tc>
      </w:tr>
      <w:tr w:rsidR="00000000" w14:paraId="689C0550" w14:textId="77777777">
        <w:trPr>
          <w:trHeight w:val="160"/>
          <w:tblCellSpacing w:w="15" w:type="dxa"/>
        </w:trPr>
        <w:tc>
          <w:tcPr>
            <w:tcW w:w="0" w:type="auto"/>
            <w:vAlign w:val="bottom"/>
            <w:hideMark/>
          </w:tcPr>
          <w:p w14:paraId="59464028"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hideMark/>
          </w:tcPr>
          <w:p w14:paraId="77181D7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32F3D63" w14:textId="77777777" w:rsidR="00000000" w:rsidRDefault="00832D71">
            <w:pPr>
              <w:pStyle w:val="a3"/>
              <w:spacing w:before="0" w:beforeAutospacing="0" w:after="0" w:afterAutospacing="0"/>
              <w:jc w:val="center"/>
              <w:rPr>
                <w:sz w:val="16"/>
                <w:szCs w:val="16"/>
              </w:rPr>
            </w:pPr>
            <w:r>
              <w:rPr>
                <w:b/>
                <w:bCs/>
                <w:sz w:val="16"/>
                <w:szCs w:val="16"/>
              </w:rPr>
              <w:t>Mr. Stival</w:t>
            </w:r>
            <w:r>
              <w:rPr>
                <w:b/>
                <w:bCs/>
                <w:sz w:val="16"/>
                <w:szCs w:val="16"/>
              </w:rPr>
              <w:t>a</w:t>
            </w:r>
          </w:p>
        </w:tc>
        <w:tc>
          <w:tcPr>
            <w:tcW w:w="0" w:type="auto"/>
            <w:vAlign w:val="bottom"/>
            <w:hideMark/>
          </w:tcPr>
          <w:p w14:paraId="7652F32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747FB0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F775613" w14:textId="77777777" w:rsidR="00000000" w:rsidRDefault="00832D71">
            <w:pPr>
              <w:pStyle w:val="a3"/>
              <w:spacing w:before="0" w:beforeAutospacing="0" w:after="0" w:afterAutospacing="0"/>
              <w:jc w:val="center"/>
              <w:rPr>
                <w:sz w:val="16"/>
                <w:szCs w:val="16"/>
              </w:rPr>
            </w:pPr>
            <w:r>
              <w:rPr>
                <w:b/>
                <w:bCs/>
                <w:sz w:val="16"/>
                <w:szCs w:val="16"/>
              </w:rPr>
              <w:t>Mr. Kugli</w:t>
            </w:r>
            <w:r>
              <w:rPr>
                <w:b/>
                <w:bCs/>
                <w:sz w:val="16"/>
                <w:szCs w:val="16"/>
              </w:rPr>
              <w:t>n</w:t>
            </w:r>
          </w:p>
        </w:tc>
        <w:tc>
          <w:tcPr>
            <w:tcW w:w="0" w:type="auto"/>
            <w:vAlign w:val="bottom"/>
            <w:hideMark/>
          </w:tcPr>
          <w:p w14:paraId="302DF8C3"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EAD0CD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FD31A5A" w14:textId="77777777" w:rsidR="00000000" w:rsidRDefault="00832D71">
            <w:pPr>
              <w:pStyle w:val="a3"/>
              <w:spacing w:before="0" w:beforeAutospacing="0" w:after="0" w:afterAutospacing="0"/>
              <w:jc w:val="center"/>
              <w:rPr>
                <w:sz w:val="16"/>
                <w:szCs w:val="16"/>
              </w:rPr>
            </w:pPr>
            <w:r>
              <w:rPr>
                <w:b/>
                <w:bCs/>
                <w:sz w:val="16"/>
                <w:szCs w:val="16"/>
              </w:rPr>
              <w:t>Mr. Boy</w:t>
            </w:r>
            <w:r>
              <w:rPr>
                <w:b/>
                <w:bCs/>
                <w:sz w:val="16"/>
                <w:szCs w:val="16"/>
              </w:rPr>
              <w:t>d</w:t>
            </w:r>
          </w:p>
        </w:tc>
        <w:tc>
          <w:tcPr>
            <w:tcW w:w="0" w:type="auto"/>
            <w:vAlign w:val="bottom"/>
            <w:hideMark/>
          </w:tcPr>
          <w:p w14:paraId="60A6E501"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7DAC505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69433C3" w14:textId="77777777" w:rsidR="00000000" w:rsidRDefault="00832D71">
            <w:pPr>
              <w:pStyle w:val="a3"/>
              <w:spacing w:before="0" w:beforeAutospacing="0" w:after="0" w:afterAutospacing="0"/>
              <w:jc w:val="center"/>
              <w:rPr>
                <w:sz w:val="16"/>
                <w:szCs w:val="16"/>
              </w:rPr>
            </w:pPr>
            <w:r>
              <w:rPr>
                <w:b/>
                <w:bCs/>
                <w:sz w:val="16"/>
                <w:szCs w:val="16"/>
              </w:rPr>
              <w:t>Mr. Brinkwort</w:t>
            </w:r>
            <w:r>
              <w:rPr>
                <w:b/>
                <w:bCs/>
                <w:sz w:val="16"/>
                <w:szCs w:val="16"/>
              </w:rPr>
              <w:t>h</w:t>
            </w:r>
          </w:p>
        </w:tc>
        <w:tc>
          <w:tcPr>
            <w:tcW w:w="0" w:type="auto"/>
            <w:vAlign w:val="bottom"/>
            <w:hideMark/>
          </w:tcPr>
          <w:p w14:paraId="0E92A55F"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ADEE5B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41F336F" w14:textId="77777777" w:rsidR="00000000" w:rsidRDefault="00832D71">
            <w:pPr>
              <w:pStyle w:val="a3"/>
              <w:spacing w:before="0" w:beforeAutospacing="0" w:after="0" w:afterAutospacing="0"/>
              <w:jc w:val="center"/>
              <w:rPr>
                <w:sz w:val="16"/>
                <w:szCs w:val="16"/>
              </w:rPr>
            </w:pPr>
            <w:r>
              <w:rPr>
                <w:b/>
                <w:bCs/>
                <w:sz w:val="16"/>
                <w:szCs w:val="16"/>
              </w:rPr>
              <w:t>Mr. Scanlo</w:t>
            </w:r>
            <w:r>
              <w:rPr>
                <w:b/>
                <w:bCs/>
                <w:sz w:val="16"/>
                <w:szCs w:val="16"/>
              </w:rPr>
              <w:t>n</w:t>
            </w:r>
          </w:p>
        </w:tc>
        <w:tc>
          <w:tcPr>
            <w:tcW w:w="0" w:type="auto"/>
            <w:vAlign w:val="bottom"/>
            <w:hideMark/>
          </w:tcPr>
          <w:p w14:paraId="7C050BA0"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4F5274A" w14:textId="77777777">
        <w:trPr>
          <w:trHeight w:val="160"/>
          <w:tblCellSpacing w:w="15" w:type="dxa"/>
        </w:trPr>
        <w:tc>
          <w:tcPr>
            <w:tcW w:w="0" w:type="auto"/>
            <w:hideMark/>
          </w:tcPr>
          <w:p w14:paraId="4484C892" w14:textId="77777777" w:rsidR="00000000" w:rsidRDefault="00832D71">
            <w:pPr>
              <w:pStyle w:val="a3"/>
              <w:spacing w:before="0" w:beforeAutospacing="0" w:after="0" w:afterAutospacing="0"/>
              <w:rPr>
                <w:sz w:val="16"/>
                <w:szCs w:val="16"/>
              </w:rPr>
            </w:pPr>
            <w:r>
              <w:rPr>
                <w:sz w:val="16"/>
                <w:szCs w:val="16"/>
              </w:rPr>
              <w:t>Annual Cash Bonu</w:t>
            </w:r>
            <w:r>
              <w:rPr>
                <w:sz w:val="16"/>
                <w:szCs w:val="16"/>
              </w:rPr>
              <w:t>s</w:t>
            </w:r>
          </w:p>
        </w:tc>
        <w:tc>
          <w:tcPr>
            <w:tcW w:w="0" w:type="auto"/>
            <w:hideMark/>
          </w:tcPr>
          <w:p w14:paraId="350F6234"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A374493"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254E9385" w14:textId="77777777" w:rsidR="00000000" w:rsidRDefault="00832D71">
            <w:pPr>
              <w:pStyle w:val="a3"/>
              <w:spacing w:before="0" w:beforeAutospacing="0" w:after="0" w:afterAutospacing="0"/>
              <w:jc w:val="right"/>
              <w:rPr>
                <w:sz w:val="16"/>
                <w:szCs w:val="16"/>
              </w:rPr>
            </w:pPr>
            <w:r>
              <w:rPr>
                <w:sz w:val="16"/>
                <w:szCs w:val="16"/>
              </w:rPr>
              <w:t>1,279,20</w:t>
            </w:r>
            <w:r>
              <w:rPr>
                <w:sz w:val="16"/>
                <w:szCs w:val="16"/>
              </w:rPr>
              <w:t>0</w:t>
            </w:r>
          </w:p>
        </w:tc>
        <w:tc>
          <w:tcPr>
            <w:tcW w:w="0" w:type="auto"/>
            <w:noWrap/>
            <w:vAlign w:val="bottom"/>
            <w:hideMark/>
          </w:tcPr>
          <w:p w14:paraId="527E202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BA4FD11"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38D6127"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31D4BED4" w14:textId="77777777" w:rsidR="00000000" w:rsidRDefault="00832D71">
            <w:pPr>
              <w:pStyle w:val="a3"/>
              <w:spacing w:before="0" w:beforeAutospacing="0" w:after="0" w:afterAutospacing="0"/>
              <w:jc w:val="right"/>
              <w:rPr>
                <w:sz w:val="16"/>
                <w:szCs w:val="16"/>
              </w:rPr>
            </w:pPr>
            <w:r>
              <w:rPr>
                <w:sz w:val="16"/>
                <w:szCs w:val="16"/>
              </w:rPr>
              <w:t>468,00</w:t>
            </w:r>
            <w:r>
              <w:rPr>
                <w:sz w:val="16"/>
                <w:szCs w:val="16"/>
              </w:rPr>
              <w:t>0</w:t>
            </w:r>
          </w:p>
        </w:tc>
        <w:tc>
          <w:tcPr>
            <w:tcW w:w="0" w:type="auto"/>
            <w:noWrap/>
            <w:vAlign w:val="bottom"/>
            <w:hideMark/>
          </w:tcPr>
          <w:p w14:paraId="49A9A48E"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C1AB7C0"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8080442"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6984B10" w14:textId="77777777" w:rsidR="00000000" w:rsidRDefault="00832D71">
            <w:pPr>
              <w:pStyle w:val="a3"/>
              <w:spacing w:before="0" w:beforeAutospacing="0" w:after="0" w:afterAutospacing="0"/>
              <w:jc w:val="right"/>
              <w:rPr>
                <w:sz w:val="16"/>
                <w:szCs w:val="16"/>
              </w:rPr>
            </w:pPr>
            <w:r>
              <w:rPr>
                <w:sz w:val="16"/>
                <w:szCs w:val="16"/>
              </w:rPr>
              <w:t>478,40</w:t>
            </w:r>
            <w:r>
              <w:rPr>
                <w:sz w:val="16"/>
                <w:szCs w:val="16"/>
              </w:rPr>
              <w:t>0</w:t>
            </w:r>
          </w:p>
        </w:tc>
        <w:tc>
          <w:tcPr>
            <w:tcW w:w="0" w:type="auto"/>
            <w:noWrap/>
            <w:vAlign w:val="bottom"/>
            <w:hideMark/>
          </w:tcPr>
          <w:p w14:paraId="7B84A503"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ABB5C20"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0CA1129"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1301546C" w14:textId="77777777" w:rsidR="00000000" w:rsidRDefault="00832D71">
            <w:pPr>
              <w:pStyle w:val="a3"/>
              <w:spacing w:before="0" w:beforeAutospacing="0" w:after="0" w:afterAutospacing="0"/>
              <w:jc w:val="right"/>
              <w:rPr>
                <w:sz w:val="16"/>
                <w:szCs w:val="16"/>
              </w:rPr>
            </w:pPr>
            <w:r>
              <w:rPr>
                <w:sz w:val="16"/>
                <w:szCs w:val="16"/>
              </w:rPr>
              <w:t>416,00</w:t>
            </w:r>
            <w:r>
              <w:rPr>
                <w:sz w:val="16"/>
                <w:szCs w:val="16"/>
              </w:rPr>
              <w:t>0</w:t>
            </w:r>
          </w:p>
        </w:tc>
        <w:tc>
          <w:tcPr>
            <w:tcW w:w="0" w:type="auto"/>
            <w:noWrap/>
            <w:vAlign w:val="bottom"/>
            <w:hideMark/>
          </w:tcPr>
          <w:p w14:paraId="351076E5"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3AE09DB"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56BCE828"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282318F4" w14:textId="77777777" w:rsidR="00000000" w:rsidRDefault="00832D71">
            <w:pPr>
              <w:pStyle w:val="a3"/>
              <w:spacing w:before="0" w:beforeAutospacing="0" w:after="0" w:afterAutospacing="0"/>
              <w:jc w:val="right"/>
              <w:rPr>
                <w:sz w:val="16"/>
                <w:szCs w:val="16"/>
              </w:rPr>
            </w:pPr>
            <w:r>
              <w:rPr>
                <w:sz w:val="16"/>
                <w:szCs w:val="16"/>
              </w:rPr>
              <w:t>364,00</w:t>
            </w:r>
            <w:r>
              <w:rPr>
                <w:sz w:val="16"/>
                <w:szCs w:val="16"/>
              </w:rPr>
              <w:t>0</w:t>
            </w:r>
          </w:p>
        </w:tc>
        <w:tc>
          <w:tcPr>
            <w:tcW w:w="0" w:type="auto"/>
            <w:noWrap/>
            <w:vAlign w:val="bottom"/>
            <w:hideMark/>
          </w:tcPr>
          <w:p w14:paraId="65811AFC" w14:textId="77777777" w:rsidR="00000000" w:rsidRDefault="00832D71">
            <w:pPr>
              <w:pStyle w:val="a3"/>
              <w:spacing w:before="0" w:beforeAutospacing="0" w:after="0" w:afterAutospacing="0"/>
              <w:rPr>
                <w:sz w:val="16"/>
                <w:szCs w:val="16"/>
              </w:rPr>
            </w:pPr>
            <w:r>
              <w:rPr>
                <w:sz w:val="16"/>
                <w:szCs w:val="16"/>
              </w:rPr>
              <w:t> </w:t>
            </w:r>
          </w:p>
        </w:tc>
      </w:tr>
      <w:tr w:rsidR="00000000" w14:paraId="559B5241" w14:textId="77777777">
        <w:trPr>
          <w:trHeight w:val="160"/>
          <w:tblCellSpacing w:w="15" w:type="dxa"/>
        </w:trPr>
        <w:tc>
          <w:tcPr>
            <w:tcW w:w="0" w:type="auto"/>
            <w:hideMark/>
          </w:tcPr>
          <w:p w14:paraId="6BF11161" w14:textId="77777777" w:rsidR="00000000" w:rsidRDefault="00832D71">
            <w:pPr>
              <w:pStyle w:val="a3"/>
              <w:spacing w:before="0" w:beforeAutospacing="0" w:after="0" w:afterAutospacing="0"/>
              <w:rPr>
                <w:sz w:val="16"/>
                <w:szCs w:val="16"/>
              </w:rPr>
            </w:pPr>
            <w:r>
              <w:rPr>
                <w:sz w:val="16"/>
                <w:szCs w:val="16"/>
              </w:rPr>
              <w:t>DER Payment</w:t>
            </w:r>
            <w:r>
              <w:rPr>
                <w:sz w:val="16"/>
                <w:szCs w:val="16"/>
              </w:rPr>
              <w:t>s</w:t>
            </w:r>
          </w:p>
        </w:tc>
        <w:tc>
          <w:tcPr>
            <w:tcW w:w="0" w:type="auto"/>
            <w:hideMark/>
          </w:tcPr>
          <w:p w14:paraId="1A34ABBA"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1ACD137"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DE3123C" w14:textId="77777777" w:rsidR="00000000" w:rsidRDefault="00832D71">
            <w:pPr>
              <w:pStyle w:val="a3"/>
              <w:spacing w:before="0" w:beforeAutospacing="0" w:after="0" w:afterAutospacing="0"/>
              <w:jc w:val="right"/>
              <w:rPr>
                <w:sz w:val="16"/>
                <w:szCs w:val="16"/>
              </w:rPr>
            </w:pPr>
            <w:r>
              <w:rPr>
                <w:sz w:val="16"/>
                <w:szCs w:val="16"/>
              </w:rPr>
              <w:t>159,09</w:t>
            </w:r>
            <w:r>
              <w:rPr>
                <w:sz w:val="16"/>
                <w:szCs w:val="16"/>
              </w:rPr>
              <w:t>1</w:t>
            </w:r>
          </w:p>
        </w:tc>
        <w:tc>
          <w:tcPr>
            <w:tcW w:w="0" w:type="auto"/>
            <w:noWrap/>
            <w:vAlign w:val="bottom"/>
            <w:hideMark/>
          </w:tcPr>
          <w:p w14:paraId="5B3F46F6"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59229EE"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35F4BC7"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9EAF39A" w14:textId="77777777" w:rsidR="00000000" w:rsidRDefault="00832D71">
            <w:pPr>
              <w:pStyle w:val="a3"/>
              <w:spacing w:before="0" w:beforeAutospacing="0" w:after="0" w:afterAutospacing="0"/>
              <w:jc w:val="right"/>
              <w:rPr>
                <w:sz w:val="16"/>
                <w:szCs w:val="16"/>
              </w:rPr>
            </w:pPr>
            <w:r>
              <w:rPr>
                <w:sz w:val="16"/>
                <w:szCs w:val="16"/>
              </w:rPr>
              <w:t>114,97</w:t>
            </w:r>
            <w:r>
              <w:rPr>
                <w:sz w:val="16"/>
                <w:szCs w:val="16"/>
              </w:rPr>
              <w:t>5</w:t>
            </w:r>
          </w:p>
        </w:tc>
        <w:tc>
          <w:tcPr>
            <w:tcW w:w="0" w:type="auto"/>
            <w:noWrap/>
            <w:vAlign w:val="bottom"/>
            <w:hideMark/>
          </w:tcPr>
          <w:p w14:paraId="35901A69"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4520236"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92BCA2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FF80439" w14:textId="77777777" w:rsidR="00000000" w:rsidRDefault="00832D71">
            <w:pPr>
              <w:pStyle w:val="a3"/>
              <w:spacing w:before="0" w:beforeAutospacing="0" w:after="0" w:afterAutospacing="0"/>
              <w:jc w:val="right"/>
              <w:rPr>
                <w:sz w:val="16"/>
                <w:szCs w:val="16"/>
              </w:rPr>
            </w:pPr>
            <w:r>
              <w:rPr>
                <w:sz w:val="16"/>
                <w:szCs w:val="16"/>
              </w:rPr>
              <w:t>114,97</w:t>
            </w:r>
            <w:r>
              <w:rPr>
                <w:sz w:val="16"/>
                <w:szCs w:val="16"/>
              </w:rPr>
              <w:t>5</w:t>
            </w:r>
          </w:p>
        </w:tc>
        <w:tc>
          <w:tcPr>
            <w:tcW w:w="0" w:type="auto"/>
            <w:noWrap/>
            <w:vAlign w:val="bottom"/>
            <w:hideMark/>
          </w:tcPr>
          <w:p w14:paraId="18C703C8"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5E8D9E9"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0FC99B5"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5A19B55" w14:textId="77777777" w:rsidR="00000000" w:rsidRDefault="00832D71">
            <w:pPr>
              <w:pStyle w:val="a3"/>
              <w:spacing w:before="0" w:beforeAutospacing="0" w:after="0" w:afterAutospacing="0"/>
              <w:jc w:val="right"/>
              <w:rPr>
                <w:sz w:val="16"/>
                <w:szCs w:val="16"/>
              </w:rPr>
            </w:pPr>
            <w:r>
              <w:rPr>
                <w:sz w:val="16"/>
                <w:szCs w:val="16"/>
              </w:rPr>
              <w:t>111,45</w:t>
            </w:r>
            <w:r>
              <w:rPr>
                <w:sz w:val="16"/>
                <w:szCs w:val="16"/>
              </w:rPr>
              <w:t>3</w:t>
            </w:r>
          </w:p>
        </w:tc>
        <w:tc>
          <w:tcPr>
            <w:tcW w:w="0" w:type="auto"/>
            <w:noWrap/>
            <w:vAlign w:val="bottom"/>
            <w:hideMark/>
          </w:tcPr>
          <w:p w14:paraId="43D0D8F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E20EB80"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FF770EF"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2B435BA" w14:textId="77777777" w:rsidR="00000000" w:rsidRDefault="00832D71">
            <w:pPr>
              <w:pStyle w:val="a3"/>
              <w:spacing w:before="0" w:beforeAutospacing="0" w:after="0" w:afterAutospacing="0"/>
              <w:jc w:val="right"/>
              <w:rPr>
                <w:sz w:val="16"/>
                <w:szCs w:val="16"/>
              </w:rPr>
            </w:pPr>
            <w:r>
              <w:rPr>
                <w:sz w:val="16"/>
                <w:szCs w:val="16"/>
              </w:rPr>
              <w:t>106,85</w:t>
            </w:r>
            <w:r>
              <w:rPr>
                <w:sz w:val="16"/>
                <w:szCs w:val="16"/>
              </w:rPr>
              <w:t>5</w:t>
            </w:r>
          </w:p>
        </w:tc>
        <w:tc>
          <w:tcPr>
            <w:tcW w:w="0" w:type="auto"/>
            <w:noWrap/>
            <w:vAlign w:val="bottom"/>
            <w:hideMark/>
          </w:tcPr>
          <w:p w14:paraId="767DDD2F" w14:textId="77777777" w:rsidR="00000000" w:rsidRDefault="00832D71">
            <w:pPr>
              <w:pStyle w:val="a3"/>
              <w:spacing w:before="0" w:beforeAutospacing="0" w:after="0" w:afterAutospacing="0"/>
              <w:rPr>
                <w:sz w:val="16"/>
                <w:szCs w:val="16"/>
              </w:rPr>
            </w:pPr>
            <w:r>
              <w:rPr>
                <w:sz w:val="16"/>
                <w:szCs w:val="16"/>
              </w:rPr>
              <w:t> </w:t>
            </w:r>
          </w:p>
        </w:tc>
      </w:tr>
      <w:tr w:rsidR="00000000" w14:paraId="5AA866A6" w14:textId="77777777">
        <w:trPr>
          <w:trHeight w:val="160"/>
          <w:tblCellSpacing w:w="15" w:type="dxa"/>
        </w:trPr>
        <w:tc>
          <w:tcPr>
            <w:tcW w:w="0" w:type="auto"/>
            <w:hideMark/>
          </w:tcPr>
          <w:p w14:paraId="42AF5CF5" w14:textId="77777777" w:rsidR="00000000" w:rsidRDefault="00832D71">
            <w:pPr>
              <w:pStyle w:val="a3"/>
              <w:spacing w:before="0" w:beforeAutospacing="0" w:after="0" w:afterAutospacing="0"/>
              <w:ind w:left="200"/>
              <w:rPr>
                <w:sz w:val="16"/>
                <w:szCs w:val="16"/>
              </w:rPr>
            </w:pPr>
            <w:r>
              <w:rPr>
                <w:sz w:val="16"/>
                <w:szCs w:val="16"/>
              </w:rPr>
              <w:t>Tota</w:t>
            </w:r>
            <w:r>
              <w:rPr>
                <w:sz w:val="16"/>
                <w:szCs w:val="16"/>
              </w:rPr>
              <w:t>l</w:t>
            </w:r>
          </w:p>
        </w:tc>
        <w:tc>
          <w:tcPr>
            <w:tcW w:w="0" w:type="auto"/>
            <w:hideMark/>
          </w:tcPr>
          <w:p w14:paraId="5C8DF892"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D85E383"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2475F6B4" w14:textId="77777777" w:rsidR="00000000" w:rsidRDefault="00832D71">
            <w:pPr>
              <w:pStyle w:val="a3"/>
              <w:spacing w:before="0" w:beforeAutospacing="0" w:after="0" w:afterAutospacing="0"/>
              <w:jc w:val="right"/>
              <w:rPr>
                <w:sz w:val="16"/>
                <w:szCs w:val="16"/>
              </w:rPr>
            </w:pPr>
            <w:r>
              <w:rPr>
                <w:sz w:val="16"/>
                <w:szCs w:val="16"/>
              </w:rPr>
              <w:t>1,438,29</w:t>
            </w:r>
            <w:r>
              <w:rPr>
                <w:sz w:val="16"/>
                <w:szCs w:val="16"/>
              </w:rPr>
              <w:t>1</w:t>
            </w:r>
          </w:p>
        </w:tc>
        <w:tc>
          <w:tcPr>
            <w:tcW w:w="0" w:type="auto"/>
            <w:noWrap/>
            <w:vAlign w:val="bottom"/>
            <w:hideMark/>
          </w:tcPr>
          <w:p w14:paraId="5C861043"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E2AAF03"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688C34E"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27B97089" w14:textId="77777777" w:rsidR="00000000" w:rsidRDefault="00832D71">
            <w:pPr>
              <w:pStyle w:val="a3"/>
              <w:spacing w:before="0" w:beforeAutospacing="0" w:after="0" w:afterAutospacing="0"/>
              <w:jc w:val="right"/>
              <w:rPr>
                <w:sz w:val="16"/>
                <w:szCs w:val="16"/>
              </w:rPr>
            </w:pPr>
            <w:r>
              <w:rPr>
                <w:sz w:val="16"/>
                <w:szCs w:val="16"/>
              </w:rPr>
              <w:t>582,97</w:t>
            </w:r>
            <w:r>
              <w:rPr>
                <w:sz w:val="16"/>
                <w:szCs w:val="16"/>
              </w:rPr>
              <w:t>5</w:t>
            </w:r>
          </w:p>
        </w:tc>
        <w:tc>
          <w:tcPr>
            <w:tcW w:w="0" w:type="auto"/>
            <w:noWrap/>
            <w:vAlign w:val="bottom"/>
            <w:hideMark/>
          </w:tcPr>
          <w:p w14:paraId="101F1283"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315DDCB"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8EA830C"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7B23614" w14:textId="77777777" w:rsidR="00000000" w:rsidRDefault="00832D71">
            <w:pPr>
              <w:pStyle w:val="a3"/>
              <w:spacing w:before="0" w:beforeAutospacing="0" w:after="0" w:afterAutospacing="0"/>
              <w:jc w:val="right"/>
              <w:rPr>
                <w:sz w:val="16"/>
                <w:szCs w:val="16"/>
              </w:rPr>
            </w:pPr>
            <w:r>
              <w:rPr>
                <w:sz w:val="16"/>
                <w:szCs w:val="16"/>
              </w:rPr>
              <w:t>593,37</w:t>
            </w:r>
            <w:r>
              <w:rPr>
                <w:sz w:val="16"/>
                <w:szCs w:val="16"/>
              </w:rPr>
              <w:t>5</w:t>
            </w:r>
          </w:p>
        </w:tc>
        <w:tc>
          <w:tcPr>
            <w:tcW w:w="0" w:type="auto"/>
            <w:noWrap/>
            <w:vAlign w:val="bottom"/>
            <w:hideMark/>
          </w:tcPr>
          <w:p w14:paraId="3AD18B7C"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3E0F54F"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82F8256"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11A7DE48" w14:textId="77777777" w:rsidR="00000000" w:rsidRDefault="00832D71">
            <w:pPr>
              <w:pStyle w:val="a3"/>
              <w:spacing w:before="0" w:beforeAutospacing="0" w:after="0" w:afterAutospacing="0"/>
              <w:jc w:val="right"/>
              <w:rPr>
                <w:sz w:val="16"/>
                <w:szCs w:val="16"/>
              </w:rPr>
            </w:pPr>
            <w:r>
              <w:rPr>
                <w:sz w:val="16"/>
                <w:szCs w:val="16"/>
              </w:rPr>
              <w:t>527,45</w:t>
            </w:r>
            <w:r>
              <w:rPr>
                <w:sz w:val="16"/>
                <w:szCs w:val="16"/>
              </w:rPr>
              <w:t>3</w:t>
            </w:r>
          </w:p>
        </w:tc>
        <w:tc>
          <w:tcPr>
            <w:tcW w:w="0" w:type="auto"/>
            <w:noWrap/>
            <w:vAlign w:val="bottom"/>
            <w:hideMark/>
          </w:tcPr>
          <w:p w14:paraId="70073D1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0C0238D"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620C40B"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720DC272" w14:textId="77777777" w:rsidR="00000000" w:rsidRDefault="00832D71">
            <w:pPr>
              <w:pStyle w:val="a3"/>
              <w:spacing w:before="0" w:beforeAutospacing="0" w:after="0" w:afterAutospacing="0"/>
              <w:jc w:val="right"/>
              <w:rPr>
                <w:sz w:val="16"/>
                <w:szCs w:val="16"/>
              </w:rPr>
            </w:pPr>
            <w:r>
              <w:rPr>
                <w:sz w:val="16"/>
                <w:szCs w:val="16"/>
              </w:rPr>
              <w:t>470,85</w:t>
            </w:r>
            <w:r>
              <w:rPr>
                <w:sz w:val="16"/>
                <w:szCs w:val="16"/>
              </w:rPr>
              <w:t>5</w:t>
            </w:r>
          </w:p>
        </w:tc>
        <w:tc>
          <w:tcPr>
            <w:tcW w:w="0" w:type="auto"/>
            <w:noWrap/>
            <w:vAlign w:val="bottom"/>
            <w:hideMark/>
          </w:tcPr>
          <w:p w14:paraId="14E97133" w14:textId="77777777" w:rsidR="00000000" w:rsidRDefault="00832D71">
            <w:pPr>
              <w:pStyle w:val="a3"/>
              <w:spacing w:before="0" w:beforeAutospacing="0" w:after="0" w:afterAutospacing="0"/>
              <w:rPr>
                <w:sz w:val="16"/>
                <w:szCs w:val="16"/>
              </w:rPr>
            </w:pPr>
            <w:r>
              <w:rPr>
                <w:sz w:val="16"/>
                <w:szCs w:val="16"/>
              </w:rPr>
              <w:t> </w:t>
            </w:r>
          </w:p>
        </w:tc>
      </w:tr>
    </w:tbl>
    <w:p w14:paraId="0976E632" w14:textId="77777777" w:rsidR="00000000" w:rsidRDefault="00832D71">
      <w:pPr>
        <w:pStyle w:val="a3"/>
        <w:spacing w:before="0" w:beforeAutospacing="0" w:after="0" w:afterAutospacing="0"/>
        <w:ind w:hanging="422"/>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19"/>
        <w:gridCol w:w="136"/>
        <w:gridCol w:w="140"/>
        <w:gridCol w:w="936"/>
        <w:gridCol w:w="100"/>
        <w:gridCol w:w="129"/>
        <w:gridCol w:w="140"/>
        <w:gridCol w:w="936"/>
        <w:gridCol w:w="100"/>
        <w:gridCol w:w="130"/>
        <w:gridCol w:w="140"/>
        <w:gridCol w:w="937"/>
        <w:gridCol w:w="100"/>
        <w:gridCol w:w="100"/>
        <w:gridCol w:w="141"/>
        <w:gridCol w:w="1600"/>
        <w:gridCol w:w="100"/>
        <w:gridCol w:w="130"/>
        <w:gridCol w:w="140"/>
        <w:gridCol w:w="937"/>
        <w:gridCol w:w="115"/>
      </w:tblGrid>
      <w:tr w:rsidR="00000000" w14:paraId="39898A00" w14:textId="77777777">
        <w:trPr>
          <w:tblCellSpacing w:w="15" w:type="dxa"/>
        </w:trPr>
        <w:tc>
          <w:tcPr>
            <w:tcW w:w="710" w:type="pct"/>
            <w:vAlign w:val="center"/>
            <w:hideMark/>
          </w:tcPr>
          <w:p w14:paraId="3169B141" w14:textId="77777777" w:rsidR="00000000" w:rsidRDefault="00832D71">
            <w:pPr>
              <w:rPr>
                <w:sz w:val="20"/>
                <w:szCs w:val="20"/>
              </w:rPr>
            </w:pPr>
          </w:p>
        </w:tc>
        <w:tc>
          <w:tcPr>
            <w:tcW w:w="78" w:type="pct"/>
            <w:vAlign w:val="center"/>
            <w:hideMark/>
          </w:tcPr>
          <w:p w14:paraId="3EC1E115" w14:textId="77777777" w:rsidR="00000000" w:rsidRDefault="00832D71">
            <w:pPr>
              <w:rPr>
                <w:rFonts w:eastAsia="Times New Roman"/>
                <w:sz w:val="20"/>
                <w:szCs w:val="20"/>
              </w:rPr>
            </w:pPr>
          </w:p>
        </w:tc>
        <w:tc>
          <w:tcPr>
            <w:tcW w:w="50" w:type="pct"/>
            <w:vAlign w:val="center"/>
            <w:hideMark/>
          </w:tcPr>
          <w:p w14:paraId="2EE4ADA2" w14:textId="77777777" w:rsidR="00000000" w:rsidRDefault="00832D71">
            <w:pPr>
              <w:rPr>
                <w:rFonts w:eastAsia="Times New Roman"/>
                <w:sz w:val="20"/>
                <w:szCs w:val="20"/>
              </w:rPr>
            </w:pPr>
          </w:p>
        </w:tc>
        <w:tc>
          <w:tcPr>
            <w:tcW w:w="600" w:type="pct"/>
            <w:vAlign w:val="center"/>
            <w:hideMark/>
          </w:tcPr>
          <w:p w14:paraId="15E5F2E0" w14:textId="77777777" w:rsidR="00000000" w:rsidRDefault="00832D71">
            <w:pPr>
              <w:rPr>
                <w:rFonts w:eastAsia="Times New Roman"/>
                <w:sz w:val="20"/>
                <w:szCs w:val="20"/>
              </w:rPr>
            </w:pPr>
          </w:p>
        </w:tc>
        <w:tc>
          <w:tcPr>
            <w:tcW w:w="50" w:type="pct"/>
            <w:vAlign w:val="center"/>
            <w:hideMark/>
          </w:tcPr>
          <w:p w14:paraId="31A338BE" w14:textId="77777777" w:rsidR="00000000" w:rsidRDefault="00832D71">
            <w:pPr>
              <w:rPr>
                <w:rFonts w:eastAsia="Times New Roman"/>
                <w:sz w:val="20"/>
                <w:szCs w:val="20"/>
              </w:rPr>
            </w:pPr>
          </w:p>
        </w:tc>
        <w:tc>
          <w:tcPr>
            <w:tcW w:w="77" w:type="pct"/>
            <w:vAlign w:val="center"/>
            <w:hideMark/>
          </w:tcPr>
          <w:p w14:paraId="5DC4A1CB" w14:textId="77777777" w:rsidR="00000000" w:rsidRDefault="00832D71">
            <w:pPr>
              <w:rPr>
                <w:rFonts w:eastAsia="Times New Roman"/>
                <w:sz w:val="20"/>
                <w:szCs w:val="20"/>
              </w:rPr>
            </w:pPr>
          </w:p>
        </w:tc>
        <w:tc>
          <w:tcPr>
            <w:tcW w:w="50" w:type="pct"/>
            <w:vAlign w:val="center"/>
            <w:hideMark/>
          </w:tcPr>
          <w:p w14:paraId="5B7FE19B" w14:textId="77777777" w:rsidR="00000000" w:rsidRDefault="00832D71">
            <w:pPr>
              <w:rPr>
                <w:rFonts w:eastAsia="Times New Roman"/>
                <w:sz w:val="20"/>
                <w:szCs w:val="20"/>
              </w:rPr>
            </w:pPr>
          </w:p>
        </w:tc>
        <w:tc>
          <w:tcPr>
            <w:tcW w:w="599" w:type="pct"/>
            <w:vAlign w:val="center"/>
            <w:hideMark/>
          </w:tcPr>
          <w:p w14:paraId="53FED09F" w14:textId="77777777" w:rsidR="00000000" w:rsidRDefault="00832D71">
            <w:pPr>
              <w:rPr>
                <w:rFonts w:eastAsia="Times New Roman"/>
                <w:sz w:val="20"/>
                <w:szCs w:val="20"/>
              </w:rPr>
            </w:pPr>
          </w:p>
        </w:tc>
        <w:tc>
          <w:tcPr>
            <w:tcW w:w="50" w:type="pct"/>
            <w:vAlign w:val="center"/>
            <w:hideMark/>
          </w:tcPr>
          <w:p w14:paraId="71965161" w14:textId="77777777" w:rsidR="00000000" w:rsidRDefault="00832D71">
            <w:pPr>
              <w:rPr>
                <w:rFonts w:eastAsia="Times New Roman"/>
                <w:sz w:val="20"/>
                <w:szCs w:val="20"/>
              </w:rPr>
            </w:pPr>
          </w:p>
        </w:tc>
        <w:tc>
          <w:tcPr>
            <w:tcW w:w="76" w:type="pct"/>
            <w:vAlign w:val="center"/>
            <w:hideMark/>
          </w:tcPr>
          <w:p w14:paraId="2EBCEC7A" w14:textId="77777777" w:rsidR="00000000" w:rsidRDefault="00832D71">
            <w:pPr>
              <w:rPr>
                <w:rFonts w:eastAsia="Times New Roman"/>
                <w:sz w:val="20"/>
                <w:szCs w:val="20"/>
              </w:rPr>
            </w:pPr>
          </w:p>
        </w:tc>
        <w:tc>
          <w:tcPr>
            <w:tcW w:w="50" w:type="pct"/>
            <w:vAlign w:val="center"/>
            <w:hideMark/>
          </w:tcPr>
          <w:p w14:paraId="20C8D013" w14:textId="77777777" w:rsidR="00000000" w:rsidRDefault="00832D71">
            <w:pPr>
              <w:rPr>
                <w:rFonts w:eastAsia="Times New Roman"/>
                <w:sz w:val="20"/>
                <w:szCs w:val="20"/>
              </w:rPr>
            </w:pPr>
          </w:p>
        </w:tc>
        <w:tc>
          <w:tcPr>
            <w:tcW w:w="599" w:type="pct"/>
            <w:vAlign w:val="center"/>
            <w:hideMark/>
          </w:tcPr>
          <w:p w14:paraId="52E334E1" w14:textId="77777777" w:rsidR="00000000" w:rsidRDefault="00832D71">
            <w:pPr>
              <w:rPr>
                <w:rFonts w:eastAsia="Times New Roman"/>
                <w:sz w:val="20"/>
                <w:szCs w:val="20"/>
              </w:rPr>
            </w:pPr>
          </w:p>
        </w:tc>
        <w:tc>
          <w:tcPr>
            <w:tcW w:w="50" w:type="pct"/>
            <w:vAlign w:val="center"/>
            <w:hideMark/>
          </w:tcPr>
          <w:p w14:paraId="71707C9E" w14:textId="77777777" w:rsidR="00000000" w:rsidRDefault="00832D71">
            <w:pPr>
              <w:rPr>
                <w:rFonts w:eastAsia="Times New Roman"/>
                <w:sz w:val="20"/>
                <w:szCs w:val="20"/>
              </w:rPr>
            </w:pPr>
          </w:p>
        </w:tc>
        <w:tc>
          <w:tcPr>
            <w:tcW w:w="45" w:type="pct"/>
            <w:vAlign w:val="center"/>
            <w:hideMark/>
          </w:tcPr>
          <w:p w14:paraId="0369B449" w14:textId="77777777" w:rsidR="00000000" w:rsidRDefault="00832D71">
            <w:pPr>
              <w:rPr>
                <w:rFonts w:eastAsia="Times New Roman"/>
                <w:sz w:val="20"/>
                <w:szCs w:val="20"/>
              </w:rPr>
            </w:pPr>
          </w:p>
        </w:tc>
        <w:tc>
          <w:tcPr>
            <w:tcW w:w="50" w:type="pct"/>
            <w:vAlign w:val="center"/>
            <w:hideMark/>
          </w:tcPr>
          <w:p w14:paraId="093603CE" w14:textId="77777777" w:rsidR="00000000" w:rsidRDefault="00832D71">
            <w:pPr>
              <w:rPr>
                <w:rFonts w:eastAsia="Times New Roman"/>
                <w:sz w:val="20"/>
                <w:szCs w:val="20"/>
              </w:rPr>
            </w:pPr>
          </w:p>
        </w:tc>
        <w:tc>
          <w:tcPr>
            <w:tcW w:w="1036" w:type="pct"/>
            <w:vAlign w:val="center"/>
            <w:hideMark/>
          </w:tcPr>
          <w:p w14:paraId="783C9A8C" w14:textId="77777777" w:rsidR="00000000" w:rsidRDefault="00832D71">
            <w:pPr>
              <w:rPr>
                <w:rFonts w:eastAsia="Times New Roman"/>
                <w:sz w:val="20"/>
                <w:szCs w:val="20"/>
              </w:rPr>
            </w:pPr>
          </w:p>
        </w:tc>
        <w:tc>
          <w:tcPr>
            <w:tcW w:w="50" w:type="pct"/>
            <w:vAlign w:val="center"/>
            <w:hideMark/>
          </w:tcPr>
          <w:p w14:paraId="4801ED36" w14:textId="77777777" w:rsidR="00000000" w:rsidRDefault="00832D71">
            <w:pPr>
              <w:rPr>
                <w:rFonts w:eastAsia="Times New Roman"/>
                <w:sz w:val="20"/>
                <w:szCs w:val="20"/>
              </w:rPr>
            </w:pPr>
          </w:p>
        </w:tc>
        <w:tc>
          <w:tcPr>
            <w:tcW w:w="76" w:type="pct"/>
            <w:vAlign w:val="center"/>
            <w:hideMark/>
          </w:tcPr>
          <w:p w14:paraId="0CF6104E" w14:textId="77777777" w:rsidR="00000000" w:rsidRDefault="00832D71">
            <w:pPr>
              <w:rPr>
                <w:rFonts w:eastAsia="Times New Roman"/>
                <w:sz w:val="20"/>
                <w:szCs w:val="20"/>
              </w:rPr>
            </w:pPr>
          </w:p>
        </w:tc>
        <w:tc>
          <w:tcPr>
            <w:tcW w:w="50" w:type="pct"/>
            <w:vAlign w:val="center"/>
            <w:hideMark/>
          </w:tcPr>
          <w:p w14:paraId="56DC3216" w14:textId="77777777" w:rsidR="00000000" w:rsidRDefault="00832D71">
            <w:pPr>
              <w:rPr>
                <w:rFonts w:eastAsia="Times New Roman"/>
                <w:sz w:val="20"/>
                <w:szCs w:val="20"/>
              </w:rPr>
            </w:pPr>
          </w:p>
        </w:tc>
        <w:tc>
          <w:tcPr>
            <w:tcW w:w="599" w:type="pct"/>
            <w:vAlign w:val="center"/>
            <w:hideMark/>
          </w:tcPr>
          <w:p w14:paraId="587A6735" w14:textId="77777777" w:rsidR="00000000" w:rsidRDefault="00832D71">
            <w:pPr>
              <w:rPr>
                <w:rFonts w:eastAsia="Times New Roman"/>
                <w:sz w:val="20"/>
                <w:szCs w:val="20"/>
              </w:rPr>
            </w:pPr>
          </w:p>
        </w:tc>
        <w:tc>
          <w:tcPr>
            <w:tcW w:w="50" w:type="pct"/>
            <w:vAlign w:val="center"/>
            <w:hideMark/>
          </w:tcPr>
          <w:p w14:paraId="6AD647B3" w14:textId="77777777" w:rsidR="00000000" w:rsidRDefault="00832D71">
            <w:pPr>
              <w:rPr>
                <w:rFonts w:eastAsia="Times New Roman"/>
                <w:sz w:val="20"/>
                <w:szCs w:val="20"/>
              </w:rPr>
            </w:pPr>
          </w:p>
        </w:tc>
      </w:tr>
      <w:tr w:rsidR="00000000" w14:paraId="620B5E6C" w14:textId="77777777">
        <w:trPr>
          <w:trHeight w:val="160"/>
          <w:tblCellSpacing w:w="15" w:type="dxa"/>
        </w:trPr>
        <w:tc>
          <w:tcPr>
            <w:tcW w:w="0" w:type="auto"/>
            <w:vAlign w:val="bottom"/>
            <w:hideMark/>
          </w:tcPr>
          <w:p w14:paraId="6C7FF219"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hideMark/>
          </w:tcPr>
          <w:p w14:paraId="0377899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BE63DE6" w14:textId="77777777" w:rsidR="00000000" w:rsidRDefault="00832D71">
            <w:pPr>
              <w:pStyle w:val="a3"/>
              <w:spacing w:before="0" w:beforeAutospacing="0" w:after="0" w:afterAutospacing="0"/>
              <w:jc w:val="center"/>
              <w:rPr>
                <w:sz w:val="16"/>
                <w:szCs w:val="16"/>
              </w:rPr>
            </w:pPr>
            <w:r>
              <w:rPr>
                <w:b/>
                <w:bCs/>
                <w:sz w:val="16"/>
                <w:szCs w:val="16"/>
              </w:rPr>
              <w:t>Mr. Stival</w:t>
            </w:r>
            <w:r>
              <w:rPr>
                <w:b/>
                <w:bCs/>
                <w:sz w:val="16"/>
                <w:szCs w:val="16"/>
              </w:rPr>
              <w:t>a</w:t>
            </w:r>
          </w:p>
        </w:tc>
        <w:tc>
          <w:tcPr>
            <w:tcW w:w="0" w:type="auto"/>
            <w:vAlign w:val="bottom"/>
            <w:hideMark/>
          </w:tcPr>
          <w:p w14:paraId="6AE16470"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3D70C4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BFE0549" w14:textId="77777777" w:rsidR="00000000" w:rsidRDefault="00832D71">
            <w:pPr>
              <w:pStyle w:val="a3"/>
              <w:spacing w:before="0" w:beforeAutospacing="0" w:after="0" w:afterAutospacing="0"/>
              <w:jc w:val="center"/>
              <w:rPr>
                <w:sz w:val="16"/>
                <w:szCs w:val="16"/>
              </w:rPr>
            </w:pPr>
            <w:r>
              <w:rPr>
                <w:b/>
                <w:bCs/>
                <w:sz w:val="16"/>
                <w:szCs w:val="16"/>
              </w:rPr>
              <w:t>Mr. Kugli</w:t>
            </w:r>
            <w:r>
              <w:rPr>
                <w:b/>
                <w:bCs/>
                <w:sz w:val="16"/>
                <w:szCs w:val="16"/>
              </w:rPr>
              <w:t>n</w:t>
            </w:r>
          </w:p>
        </w:tc>
        <w:tc>
          <w:tcPr>
            <w:tcW w:w="0" w:type="auto"/>
            <w:vAlign w:val="bottom"/>
            <w:hideMark/>
          </w:tcPr>
          <w:p w14:paraId="6B1D9C08"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9F7C8ED"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1E42D33" w14:textId="77777777" w:rsidR="00000000" w:rsidRDefault="00832D71">
            <w:pPr>
              <w:pStyle w:val="a3"/>
              <w:spacing w:before="0" w:beforeAutospacing="0" w:after="0" w:afterAutospacing="0"/>
              <w:jc w:val="center"/>
              <w:rPr>
                <w:sz w:val="16"/>
                <w:szCs w:val="16"/>
              </w:rPr>
            </w:pPr>
            <w:r>
              <w:rPr>
                <w:b/>
                <w:bCs/>
                <w:sz w:val="16"/>
                <w:szCs w:val="16"/>
              </w:rPr>
              <w:t>Mr. Boy</w:t>
            </w:r>
            <w:r>
              <w:rPr>
                <w:b/>
                <w:bCs/>
                <w:sz w:val="16"/>
                <w:szCs w:val="16"/>
              </w:rPr>
              <w:t>d</w:t>
            </w:r>
          </w:p>
        </w:tc>
        <w:tc>
          <w:tcPr>
            <w:tcW w:w="0" w:type="auto"/>
            <w:vAlign w:val="bottom"/>
            <w:hideMark/>
          </w:tcPr>
          <w:p w14:paraId="09A6D619"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070250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9490389" w14:textId="77777777" w:rsidR="00000000" w:rsidRDefault="00832D71">
            <w:pPr>
              <w:pStyle w:val="a3"/>
              <w:spacing w:before="0" w:beforeAutospacing="0" w:after="0" w:afterAutospacing="0"/>
              <w:jc w:val="center"/>
              <w:rPr>
                <w:sz w:val="16"/>
                <w:szCs w:val="16"/>
              </w:rPr>
            </w:pPr>
            <w:r>
              <w:rPr>
                <w:b/>
                <w:bCs/>
                <w:sz w:val="16"/>
                <w:szCs w:val="16"/>
              </w:rPr>
              <w:t>Mr. Brinkwort</w:t>
            </w:r>
            <w:r>
              <w:rPr>
                <w:b/>
                <w:bCs/>
                <w:sz w:val="16"/>
                <w:szCs w:val="16"/>
              </w:rPr>
              <w:t>h</w:t>
            </w:r>
          </w:p>
        </w:tc>
        <w:tc>
          <w:tcPr>
            <w:tcW w:w="0" w:type="auto"/>
            <w:vAlign w:val="bottom"/>
            <w:hideMark/>
          </w:tcPr>
          <w:p w14:paraId="11198CFE"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C42A72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413ED9E" w14:textId="77777777" w:rsidR="00000000" w:rsidRDefault="00832D71">
            <w:pPr>
              <w:pStyle w:val="a3"/>
              <w:spacing w:before="0" w:beforeAutospacing="0" w:after="0" w:afterAutospacing="0"/>
              <w:jc w:val="center"/>
              <w:rPr>
                <w:sz w:val="16"/>
                <w:szCs w:val="16"/>
              </w:rPr>
            </w:pPr>
            <w:r>
              <w:rPr>
                <w:b/>
                <w:bCs/>
                <w:sz w:val="16"/>
                <w:szCs w:val="16"/>
              </w:rPr>
              <w:t>Mr. Scanlo</w:t>
            </w:r>
            <w:r>
              <w:rPr>
                <w:b/>
                <w:bCs/>
                <w:sz w:val="16"/>
                <w:szCs w:val="16"/>
              </w:rPr>
              <w:t>n</w:t>
            </w:r>
          </w:p>
        </w:tc>
        <w:tc>
          <w:tcPr>
            <w:tcW w:w="0" w:type="auto"/>
            <w:vAlign w:val="bottom"/>
            <w:hideMark/>
          </w:tcPr>
          <w:p w14:paraId="4B8FADCD"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51E22F5" w14:textId="77777777">
        <w:trPr>
          <w:trHeight w:val="160"/>
          <w:tblCellSpacing w:w="15" w:type="dxa"/>
        </w:trPr>
        <w:tc>
          <w:tcPr>
            <w:tcW w:w="0" w:type="auto"/>
            <w:hideMark/>
          </w:tcPr>
          <w:p w14:paraId="693243FA" w14:textId="77777777" w:rsidR="00000000" w:rsidRDefault="00832D71">
            <w:pPr>
              <w:pStyle w:val="a3"/>
              <w:spacing w:before="0" w:beforeAutospacing="0" w:after="0" w:afterAutospacing="0"/>
              <w:rPr>
                <w:sz w:val="16"/>
                <w:szCs w:val="16"/>
              </w:rPr>
            </w:pPr>
            <w:r>
              <w:rPr>
                <w:sz w:val="16"/>
                <w:szCs w:val="16"/>
              </w:rPr>
              <w:t>Annual Cash Bonu</w:t>
            </w:r>
            <w:r>
              <w:rPr>
                <w:sz w:val="16"/>
                <w:szCs w:val="16"/>
              </w:rPr>
              <w:t>s</w:t>
            </w:r>
          </w:p>
        </w:tc>
        <w:tc>
          <w:tcPr>
            <w:tcW w:w="0" w:type="auto"/>
            <w:hideMark/>
          </w:tcPr>
          <w:p w14:paraId="4866B97E"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7E6F14A"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1C3678B" w14:textId="77777777" w:rsidR="00000000" w:rsidRDefault="00832D71">
            <w:pPr>
              <w:pStyle w:val="a3"/>
              <w:spacing w:before="0" w:beforeAutospacing="0" w:after="0" w:afterAutospacing="0"/>
              <w:jc w:val="right"/>
              <w:rPr>
                <w:sz w:val="16"/>
                <w:szCs w:val="16"/>
              </w:rPr>
            </w:pPr>
            <w:r>
              <w:rPr>
                <w:sz w:val="16"/>
                <w:szCs w:val="16"/>
              </w:rPr>
              <w:t>914,40</w:t>
            </w:r>
            <w:r>
              <w:rPr>
                <w:sz w:val="16"/>
                <w:szCs w:val="16"/>
              </w:rPr>
              <w:t>0</w:t>
            </w:r>
          </w:p>
        </w:tc>
        <w:tc>
          <w:tcPr>
            <w:tcW w:w="0" w:type="auto"/>
            <w:noWrap/>
            <w:vAlign w:val="bottom"/>
            <w:hideMark/>
          </w:tcPr>
          <w:p w14:paraId="20681A29"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4C0687E"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4757C31"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5A2A5C82" w14:textId="77777777" w:rsidR="00000000" w:rsidRDefault="00832D71">
            <w:pPr>
              <w:pStyle w:val="a3"/>
              <w:spacing w:before="0" w:beforeAutospacing="0" w:after="0" w:afterAutospacing="0"/>
              <w:jc w:val="right"/>
              <w:rPr>
                <w:sz w:val="16"/>
                <w:szCs w:val="16"/>
              </w:rPr>
            </w:pPr>
            <w:r>
              <w:rPr>
                <w:sz w:val="16"/>
                <w:szCs w:val="16"/>
              </w:rPr>
              <w:t>406,40</w:t>
            </w:r>
            <w:r>
              <w:rPr>
                <w:sz w:val="16"/>
                <w:szCs w:val="16"/>
              </w:rPr>
              <w:t>0</w:t>
            </w:r>
          </w:p>
        </w:tc>
        <w:tc>
          <w:tcPr>
            <w:tcW w:w="0" w:type="auto"/>
            <w:noWrap/>
            <w:vAlign w:val="bottom"/>
            <w:hideMark/>
          </w:tcPr>
          <w:p w14:paraId="262BD90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B325176"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546C0D3C"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504489E4" w14:textId="77777777" w:rsidR="00000000" w:rsidRDefault="00832D71">
            <w:pPr>
              <w:pStyle w:val="a3"/>
              <w:spacing w:before="0" w:beforeAutospacing="0" w:after="0" w:afterAutospacing="0"/>
              <w:jc w:val="right"/>
              <w:rPr>
                <w:sz w:val="16"/>
                <w:szCs w:val="16"/>
              </w:rPr>
            </w:pPr>
            <w:r>
              <w:rPr>
                <w:sz w:val="16"/>
                <w:szCs w:val="16"/>
              </w:rPr>
              <w:t>406,40</w:t>
            </w:r>
            <w:r>
              <w:rPr>
                <w:sz w:val="16"/>
                <w:szCs w:val="16"/>
              </w:rPr>
              <w:t>0</w:t>
            </w:r>
          </w:p>
        </w:tc>
        <w:tc>
          <w:tcPr>
            <w:tcW w:w="0" w:type="auto"/>
            <w:noWrap/>
            <w:vAlign w:val="bottom"/>
            <w:hideMark/>
          </w:tcPr>
          <w:p w14:paraId="706ADA86"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E4E39B2"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A08349D"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17D72170" w14:textId="77777777" w:rsidR="00000000" w:rsidRDefault="00832D71">
            <w:pPr>
              <w:pStyle w:val="a3"/>
              <w:spacing w:before="0" w:beforeAutospacing="0" w:after="0" w:afterAutospacing="0"/>
              <w:jc w:val="right"/>
              <w:rPr>
                <w:sz w:val="16"/>
                <w:szCs w:val="16"/>
              </w:rPr>
            </w:pPr>
            <w:r>
              <w:rPr>
                <w:sz w:val="16"/>
                <w:szCs w:val="16"/>
              </w:rPr>
              <w:t>365,76</w:t>
            </w:r>
            <w:r>
              <w:rPr>
                <w:sz w:val="16"/>
                <w:szCs w:val="16"/>
              </w:rPr>
              <w:t>0</w:t>
            </w:r>
          </w:p>
        </w:tc>
        <w:tc>
          <w:tcPr>
            <w:tcW w:w="0" w:type="auto"/>
            <w:noWrap/>
            <w:vAlign w:val="bottom"/>
            <w:hideMark/>
          </w:tcPr>
          <w:p w14:paraId="332A7438"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EB95A76"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7D06412"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009BBC1E" w14:textId="77777777" w:rsidR="00000000" w:rsidRDefault="00832D71">
            <w:pPr>
              <w:pStyle w:val="a3"/>
              <w:spacing w:before="0" w:beforeAutospacing="0" w:after="0" w:afterAutospacing="0"/>
              <w:jc w:val="right"/>
              <w:rPr>
                <w:sz w:val="16"/>
                <w:szCs w:val="16"/>
              </w:rPr>
            </w:pPr>
            <w:r>
              <w:rPr>
                <w:sz w:val="16"/>
                <w:szCs w:val="16"/>
              </w:rPr>
              <w:t>325,12</w:t>
            </w:r>
            <w:r>
              <w:rPr>
                <w:sz w:val="16"/>
                <w:szCs w:val="16"/>
              </w:rPr>
              <w:t>0</w:t>
            </w:r>
          </w:p>
        </w:tc>
        <w:tc>
          <w:tcPr>
            <w:tcW w:w="0" w:type="auto"/>
            <w:noWrap/>
            <w:vAlign w:val="bottom"/>
            <w:hideMark/>
          </w:tcPr>
          <w:p w14:paraId="718C7980" w14:textId="77777777" w:rsidR="00000000" w:rsidRDefault="00832D71">
            <w:pPr>
              <w:pStyle w:val="a3"/>
              <w:spacing w:before="0" w:beforeAutospacing="0" w:after="0" w:afterAutospacing="0"/>
              <w:rPr>
                <w:sz w:val="16"/>
                <w:szCs w:val="16"/>
              </w:rPr>
            </w:pPr>
            <w:r>
              <w:rPr>
                <w:sz w:val="16"/>
                <w:szCs w:val="16"/>
              </w:rPr>
              <w:t> </w:t>
            </w:r>
          </w:p>
        </w:tc>
      </w:tr>
      <w:tr w:rsidR="00000000" w14:paraId="023915C1" w14:textId="77777777">
        <w:trPr>
          <w:trHeight w:val="160"/>
          <w:tblCellSpacing w:w="15" w:type="dxa"/>
        </w:trPr>
        <w:tc>
          <w:tcPr>
            <w:tcW w:w="0" w:type="auto"/>
            <w:hideMark/>
          </w:tcPr>
          <w:p w14:paraId="602FCEF8" w14:textId="77777777" w:rsidR="00000000" w:rsidRDefault="00832D71">
            <w:pPr>
              <w:pStyle w:val="a3"/>
              <w:spacing w:before="0" w:beforeAutospacing="0" w:after="0" w:afterAutospacing="0"/>
              <w:rPr>
                <w:sz w:val="16"/>
                <w:szCs w:val="16"/>
              </w:rPr>
            </w:pPr>
            <w:r>
              <w:rPr>
                <w:sz w:val="16"/>
                <w:szCs w:val="16"/>
              </w:rPr>
              <w:t>DER Payment</w:t>
            </w:r>
            <w:r>
              <w:rPr>
                <w:sz w:val="16"/>
                <w:szCs w:val="16"/>
              </w:rPr>
              <w:t>s</w:t>
            </w:r>
          </w:p>
        </w:tc>
        <w:tc>
          <w:tcPr>
            <w:tcW w:w="0" w:type="auto"/>
            <w:hideMark/>
          </w:tcPr>
          <w:p w14:paraId="2523E240"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CAB892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BB90665" w14:textId="77777777" w:rsidR="00000000" w:rsidRDefault="00832D71">
            <w:pPr>
              <w:pStyle w:val="a3"/>
              <w:spacing w:before="0" w:beforeAutospacing="0" w:after="0" w:afterAutospacing="0"/>
              <w:jc w:val="right"/>
              <w:rPr>
                <w:sz w:val="16"/>
                <w:szCs w:val="16"/>
              </w:rPr>
            </w:pPr>
            <w:r>
              <w:rPr>
                <w:sz w:val="16"/>
                <w:szCs w:val="16"/>
              </w:rPr>
              <w:t>141,25</w:t>
            </w:r>
            <w:r>
              <w:rPr>
                <w:sz w:val="16"/>
                <w:szCs w:val="16"/>
              </w:rPr>
              <w:t>3</w:t>
            </w:r>
          </w:p>
        </w:tc>
        <w:tc>
          <w:tcPr>
            <w:tcW w:w="0" w:type="auto"/>
            <w:noWrap/>
            <w:vAlign w:val="bottom"/>
            <w:hideMark/>
          </w:tcPr>
          <w:p w14:paraId="5436FBC6"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C65C5C7"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7613DE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88FD1BA" w14:textId="77777777" w:rsidR="00000000" w:rsidRDefault="00832D71">
            <w:pPr>
              <w:pStyle w:val="a3"/>
              <w:spacing w:before="0" w:beforeAutospacing="0" w:after="0" w:afterAutospacing="0"/>
              <w:jc w:val="right"/>
              <w:rPr>
                <w:sz w:val="16"/>
                <w:szCs w:val="16"/>
              </w:rPr>
            </w:pPr>
            <w:r>
              <w:rPr>
                <w:sz w:val="16"/>
                <w:szCs w:val="16"/>
              </w:rPr>
              <w:t>87,65</w:t>
            </w:r>
            <w:r>
              <w:rPr>
                <w:sz w:val="16"/>
                <w:szCs w:val="16"/>
              </w:rPr>
              <w:t>0</w:t>
            </w:r>
          </w:p>
        </w:tc>
        <w:tc>
          <w:tcPr>
            <w:tcW w:w="0" w:type="auto"/>
            <w:noWrap/>
            <w:vAlign w:val="bottom"/>
            <w:hideMark/>
          </w:tcPr>
          <w:p w14:paraId="406DC97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ED71F5E"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DDB2F05"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CA78C70" w14:textId="77777777" w:rsidR="00000000" w:rsidRDefault="00832D71">
            <w:pPr>
              <w:pStyle w:val="a3"/>
              <w:spacing w:before="0" w:beforeAutospacing="0" w:after="0" w:afterAutospacing="0"/>
              <w:jc w:val="right"/>
              <w:rPr>
                <w:sz w:val="16"/>
                <w:szCs w:val="16"/>
              </w:rPr>
            </w:pPr>
            <w:r>
              <w:rPr>
                <w:sz w:val="16"/>
                <w:szCs w:val="16"/>
              </w:rPr>
              <w:t>87,65</w:t>
            </w:r>
            <w:r>
              <w:rPr>
                <w:sz w:val="16"/>
                <w:szCs w:val="16"/>
              </w:rPr>
              <w:t>0</w:t>
            </w:r>
          </w:p>
        </w:tc>
        <w:tc>
          <w:tcPr>
            <w:tcW w:w="0" w:type="auto"/>
            <w:noWrap/>
            <w:vAlign w:val="bottom"/>
            <w:hideMark/>
          </w:tcPr>
          <w:p w14:paraId="52C37250"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F0547CC"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8A023B0"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2861B30" w14:textId="77777777" w:rsidR="00000000" w:rsidRDefault="00832D71">
            <w:pPr>
              <w:pStyle w:val="a3"/>
              <w:spacing w:before="0" w:beforeAutospacing="0" w:after="0" w:afterAutospacing="0"/>
              <w:jc w:val="right"/>
              <w:rPr>
                <w:sz w:val="16"/>
                <w:szCs w:val="16"/>
              </w:rPr>
            </w:pPr>
            <w:r>
              <w:rPr>
                <w:sz w:val="16"/>
                <w:szCs w:val="16"/>
              </w:rPr>
              <w:t>82,28</w:t>
            </w:r>
            <w:r>
              <w:rPr>
                <w:sz w:val="16"/>
                <w:szCs w:val="16"/>
              </w:rPr>
              <w:t>9</w:t>
            </w:r>
          </w:p>
        </w:tc>
        <w:tc>
          <w:tcPr>
            <w:tcW w:w="0" w:type="auto"/>
            <w:noWrap/>
            <w:vAlign w:val="bottom"/>
            <w:hideMark/>
          </w:tcPr>
          <w:p w14:paraId="5DCDCAD7"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AEB821B"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7EB2424"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2D66D38" w14:textId="77777777" w:rsidR="00000000" w:rsidRDefault="00832D71">
            <w:pPr>
              <w:pStyle w:val="a3"/>
              <w:spacing w:before="0" w:beforeAutospacing="0" w:after="0" w:afterAutospacing="0"/>
              <w:jc w:val="right"/>
              <w:rPr>
                <w:sz w:val="16"/>
                <w:szCs w:val="16"/>
              </w:rPr>
            </w:pPr>
            <w:r>
              <w:rPr>
                <w:sz w:val="16"/>
                <w:szCs w:val="16"/>
              </w:rPr>
              <w:t>80,57</w:t>
            </w:r>
            <w:r>
              <w:rPr>
                <w:sz w:val="16"/>
                <w:szCs w:val="16"/>
              </w:rPr>
              <w:t>9</w:t>
            </w:r>
          </w:p>
        </w:tc>
        <w:tc>
          <w:tcPr>
            <w:tcW w:w="0" w:type="auto"/>
            <w:noWrap/>
            <w:vAlign w:val="bottom"/>
            <w:hideMark/>
          </w:tcPr>
          <w:p w14:paraId="4728C5CD" w14:textId="77777777" w:rsidR="00000000" w:rsidRDefault="00832D71">
            <w:pPr>
              <w:pStyle w:val="a3"/>
              <w:spacing w:before="0" w:beforeAutospacing="0" w:after="0" w:afterAutospacing="0"/>
              <w:rPr>
                <w:sz w:val="16"/>
                <w:szCs w:val="16"/>
              </w:rPr>
            </w:pPr>
            <w:r>
              <w:rPr>
                <w:sz w:val="16"/>
                <w:szCs w:val="16"/>
              </w:rPr>
              <w:t> </w:t>
            </w:r>
          </w:p>
        </w:tc>
      </w:tr>
      <w:tr w:rsidR="00000000" w14:paraId="3025C659" w14:textId="77777777">
        <w:trPr>
          <w:trHeight w:val="160"/>
          <w:tblCellSpacing w:w="15" w:type="dxa"/>
        </w:trPr>
        <w:tc>
          <w:tcPr>
            <w:tcW w:w="0" w:type="auto"/>
            <w:hideMark/>
          </w:tcPr>
          <w:p w14:paraId="63043D24" w14:textId="77777777" w:rsidR="00000000" w:rsidRDefault="00832D71">
            <w:pPr>
              <w:pStyle w:val="a3"/>
              <w:spacing w:before="0" w:beforeAutospacing="0" w:after="0" w:afterAutospacing="0"/>
              <w:ind w:left="200"/>
              <w:rPr>
                <w:sz w:val="16"/>
                <w:szCs w:val="16"/>
              </w:rPr>
            </w:pPr>
            <w:r>
              <w:rPr>
                <w:sz w:val="16"/>
                <w:szCs w:val="16"/>
              </w:rPr>
              <w:t>Tota</w:t>
            </w:r>
            <w:r>
              <w:rPr>
                <w:sz w:val="16"/>
                <w:szCs w:val="16"/>
              </w:rPr>
              <w:t>l</w:t>
            </w:r>
          </w:p>
        </w:tc>
        <w:tc>
          <w:tcPr>
            <w:tcW w:w="0" w:type="auto"/>
            <w:hideMark/>
          </w:tcPr>
          <w:p w14:paraId="34AA787B"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ADCCE78"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53E98585" w14:textId="77777777" w:rsidR="00000000" w:rsidRDefault="00832D71">
            <w:pPr>
              <w:pStyle w:val="a3"/>
              <w:spacing w:before="0" w:beforeAutospacing="0" w:after="0" w:afterAutospacing="0"/>
              <w:jc w:val="right"/>
              <w:rPr>
                <w:sz w:val="16"/>
                <w:szCs w:val="16"/>
              </w:rPr>
            </w:pPr>
            <w:r>
              <w:rPr>
                <w:sz w:val="16"/>
                <w:szCs w:val="16"/>
              </w:rPr>
              <w:t>1,055,65</w:t>
            </w:r>
            <w:r>
              <w:rPr>
                <w:sz w:val="16"/>
                <w:szCs w:val="16"/>
              </w:rPr>
              <w:t>3</w:t>
            </w:r>
          </w:p>
        </w:tc>
        <w:tc>
          <w:tcPr>
            <w:tcW w:w="0" w:type="auto"/>
            <w:noWrap/>
            <w:vAlign w:val="bottom"/>
            <w:hideMark/>
          </w:tcPr>
          <w:p w14:paraId="40B4146F"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780CD59"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352C62C"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19893C9C" w14:textId="77777777" w:rsidR="00000000" w:rsidRDefault="00832D71">
            <w:pPr>
              <w:pStyle w:val="a3"/>
              <w:spacing w:before="0" w:beforeAutospacing="0" w:after="0" w:afterAutospacing="0"/>
              <w:jc w:val="right"/>
              <w:rPr>
                <w:sz w:val="16"/>
                <w:szCs w:val="16"/>
              </w:rPr>
            </w:pPr>
            <w:r>
              <w:rPr>
                <w:sz w:val="16"/>
                <w:szCs w:val="16"/>
              </w:rPr>
              <w:t>494,05</w:t>
            </w:r>
            <w:r>
              <w:rPr>
                <w:sz w:val="16"/>
                <w:szCs w:val="16"/>
              </w:rPr>
              <w:t>0</w:t>
            </w:r>
          </w:p>
        </w:tc>
        <w:tc>
          <w:tcPr>
            <w:tcW w:w="0" w:type="auto"/>
            <w:noWrap/>
            <w:vAlign w:val="bottom"/>
            <w:hideMark/>
          </w:tcPr>
          <w:p w14:paraId="40E6F01C"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6963EEE"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CF92BB7"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7E0F0409" w14:textId="77777777" w:rsidR="00000000" w:rsidRDefault="00832D71">
            <w:pPr>
              <w:pStyle w:val="a3"/>
              <w:spacing w:before="0" w:beforeAutospacing="0" w:after="0" w:afterAutospacing="0"/>
              <w:jc w:val="right"/>
              <w:rPr>
                <w:sz w:val="16"/>
                <w:szCs w:val="16"/>
              </w:rPr>
            </w:pPr>
            <w:r>
              <w:rPr>
                <w:sz w:val="16"/>
                <w:szCs w:val="16"/>
              </w:rPr>
              <w:t>494,05</w:t>
            </w:r>
            <w:r>
              <w:rPr>
                <w:sz w:val="16"/>
                <w:szCs w:val="16"/>
              </w:rPr>
              <w:t>0</w:t>
            </w:r>
          </w:p>
        </w:tc>
        <w:tc>
          <w:tcPr>
            <w:tcW w:w="0" w:type="auto"/>
            <w:noWrap/>
            <w:vAlign w:val="bottom"/>
            <w:hideMark/>
          </w:tcPr>
          <w:p w14:paraId="211AD784"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DCA9B60"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0B7831A"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1B2D2C07" w14:textId="77777777" w:rsidR="00000000" w:rsidRDefault="00832D71">
            <w:pPr>
              <w:pStyle w:val="a3"/>
              <w:spacing w:before="0" w:beforeAutospacing="0" w:after="0" w:afterAutospacing="0"/>
              <w:jc w:val="right"/>
              <w:rPr>
                <w:sz w:val="16"/>
                <w:szCs w:val="16"/>
              </w:rPr>
            </w:pPr>
            <w:r>
              <w:rPr>
                <w:sz w:val="16"/>
                <w:szCs w:val="16"/>
              </w:rPr>
              <w:t>448,04</w:t>
            </w:r>
            <w:r>
              <w:rPr>
                <w:sz w:val="16"/>
                <w:szCs w:val="16"/>
              </w:rPr>
              <w:t>9</w:t>
            </w:r>
          </w:p>
        </w:tc>
        <w:tc>
          <w:tcPr>
            <w:tcW w:w="0" w:type="auto"/>
            <w:noWrap/>
            <w:vAlign w:val="bottom"/>
            <w:hideMark/>
          </w:tcPr>
          <w:p w14:paraId="2EFEC922"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F76F25B"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13C7CD1"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588D216F" w14:textId="77777777" w:rsidR="00000000" w:rsidRDefault="00832D71">
            <w:pPr>
              <w:pStyle w:val="a3"/>
              <w:spacing w:before="0" w:beforeAutospacing="0" w:after="0" w:afterAutospacing="0"/>
              <w:jc w:val="right"/>
              <w:rPr>
                <w:sz w:val="16"/>
                <w:szCs w:val="16"/>
              </w:rPr>
            </w:pPr>
            <w:r>
              <w:rPr>
                <w:sz w:val="16"/>
                <w:szCs w:val="16"/>
              </w:rPr>
              <w:t>405,69</w:t>
            </w:r>
            <w:r>
              <w:rPr>
                <w:sz w:val="16"/>
                <w:szCs w:val="16"/>
              </w:rPr>
              <w:t>9</w:t>
            </w:r>
          </w:p>
        </w:tc>
        <w:tc>
          <w:tcPr>
            <w:tcW w:w="0" w:type="auto"/>
            <w:noWrap/>
            <w:vAlign w:val="bottom"/>
            <w:hideMark/>
          </w:tcPr>
          <w:p w14:paraId="3948926A" w14:textId="77777777" w:rsidR="00000000" w:rsidRDefault="00832D71">
            <w:pPr>
              <w:pStyle w:val="a3"/>
              <w:spacing w:before="0" w:beforeAutospacing="0" w:after="0" w:afterAutospacing="0"/>
              <w:rPr>
                <w:sz w:val="16"/>
                <w:szCs w:val="16"/>
              </w:rPr>
            </w:pPr>
            <w:r>
              <w:rPr>
                <w:sz w:val="16"/>
                <w:szCs w:val="16"/>
              </w:rPr>
              <w:t> </w:t>
            </w:r>
          </w:p>
        </w:tc>
      </w:tr>
    </w:tbl>
    <w:p w14:paraId="34371601" w14:textId="77777777" w:rsidR="00000000" w:rsidRDefault="00832D71">
      <w:pPr>
        <w:pStyle w:val="a3"/>
        <w:spacing w:before="0" w:beforeAutospacing="0" w:after="0" w:afterAutospacing="0"/>
        <w:ind w:hanging="422"/>
        <w:jc w:val="both"/>
        <w:rPr>
          <w:sz w:val="20"/>
          <w:szCs w:val="20"/>
        </w:rPr>
      </w:pPr>
      <w:r>
        <w:rPr>
          <w:sz w:val="20"/>
          <w:szCs w:val="20"/>
        </w:rPr>
        <w:t> </w:t>
      </w:r>
    </w:p>
    <w:p w14:paraId="4053FDC1" w14:textId="77777777" w:rsidR="00000000" w:rsidRDefault="00832D71">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19"/>
        <w:gridCol w:w="136"/>
        <w:gridCol w:w="140"/>
        <w:gridCol w:w="936"/>
        <w:gridCol w:w="100"/>
        <w:gridCol w:w="129"/>
        <w:gridCol w:w="140"/>
        <w:gridCol w:w="936"/>
        <w:gridCol w:w="100"/>
        <w:gridCol w:w="130"/>
        <w:gridCol w:w="140"/>
        <w:gridCol w:w="937"/>
        <w:gridCol w:w="100"/>
        <w:gridCol w:w="100"/>
        <w:gridCol w:w="141"/>
        <w:gridCol w:w="1600"/>
        <w:gridCol w:w="100"/>
        <w:gridCol w:w="130"/>
        <w:gridCol w:w="140"/>
        <w:gridCol w:w="937"/>
        <w:gridCol w:w="115"/>
      </w:tblGrid>
      <w:tr w:rsidR="00000000" w14:paraId="33B508EC" w14:textId="77777777">
        <w:trPr>
          <w:tblCellSpacing w:w="15" w:type="dxa"/>
        </w:trPr>
        <w:tc>
          <w:tcPr>
            <w:tcW w:w="710" w:type="pct"/>
            <w:vAlign w:val="center"/>
            <w:hideMark/>
          </w:tcPr>
          <w:p w14:paraId="713AA356" w14:textId="77777777" w:rsidR="00000000" w:rsidRDefault="00832D71">
            <w:pPr>
              <w:rPr>
                <w:sz w:val="20"/>
                <w:szCs w:val="20"/>
              </w:rPr>
            </w:pPr>
          </w:p>
        </w:tc>
        <w:tc>
          <w:tcPr>
            <w:tcW w:w="78" w:type="pct"/>
            <w:vAlign w:val="center"/>
            <w:hideMark/>
          </w:tcPr>
          <w:p w14:paraId="71990C5B" w14:textId="77777777" w:rsidR="00000000" w:rsidRDefault="00832D71">
            <w:pPr>
              <w:rPr>
                <w:rFonts w:eastAsia="Times New Roman"/>
                <w:sz w:val="20"/>
                <w:szCs w:val="20"/>
              </w:rPr>
            </w:pPr>
          </w:p>
        </w:tc>
        <w:tc>
          <w:tcPr>
            <w:tcW w:w="50" w:type="pct"/>
            <w:vAlign w:val="center"/>
            <w:hideMark/>
          </w:tcPr>
          <w:p w14:paraId="177BF17A" w14:textId="77777777" w:rsidR="00000000" w:rsidRDefault="00832D71">
            <w:pPr>
              <w:rPr>
                <w:rFonts w:eastAsia="Times New Roman"/>
                <w:sz w:val="20"/>
                <w:szCs w:val="20"/>
              </w:rPr>
            </w:pPr>
          </w:p>
        </w:tc>
        <w:tc>
          <w:tcPr>
            <w:tcW w:w="600" w:type="pct"/>
            <w:vAlign w:val="center"/>
            <w:hideMark/>
          </w:tcPr>
          <w:p w14:paraId="08EB96E3" w14:textId="77777777" w:rsidR="00000000" w:rsidRDefault="00832D71">
            <w:pPr>
              <w:rPr>
                <w:rFonts w:eastAsia="Times New Roman"/>
                <w:sz w:val="20"/>
                <w:szCs w:val="20"/>
              </w:rPr>
            </w:pPr>
          </w:p>
        </w:tc>
        <w:tc>
          <w:tcPr>
            <w:tcW w:w="50" w:type="pct"/>
            <w:vAlign w:val="center"/>
            <w:hideMark/>
          </w:tcPr>
          <w:p w14:paraId="51083378" w14:textId="77777777" w:rsidR="00000000" w:rsidRDefault="00832D71">
            <w:pPr>
              <w:rPr>
                <w:rFonts w:eastAsia="Times New Roman"/>
                <w:sz w:val="20"/>
                <w:szCs w:val="20"/>
              </w:rPr>
            </w:pPr>
          </w:p>
        </w:tc>
        <w:tc>
          <w:tcPr>
            <w:tcW w:w="77" w:type="pct"/>
            <w:vAlign w:val="center"/>
            <w:hideMark/>
          </w:tcPr>
          <w:p w14:paraId="42AB547E" w14:textId="77777777" w:rsidR="00000000" w:rsidRDefault="00832D71">
            <w:pPr>
              <w:rPr>
                <w:rFonts w:eastAsia="Times New Roman"/>
                <w:sz w:val="20"/>
                <w:szCs w:val="20"/>
              </w:rPr>
            </w:pPr>
          </w:p>
        </w:tc>
        <w:tc>
          <w:tcPr>
            <w:tcW w:w="50" w:type="pct"/>
            <w:vAlign w:val="center"/>
            <w:hideMark/>
          </w:tcPr>
          <w:p w14:paraId="41D52DB4" w14:textId="77777777" w:rsidR="00000000" w:rsidRDefault="00832D71">
            <w:pPr>
              <w:rPr>
                <w:rFonts w:eastAsia="Times New Roman"/>
                <w:sz w:val="20"/>
                <w:szCs w:val="20"/>
              </w:rPr>
            </w:pPr>
          </w:p>
        </w:tc>
        <w:tc>
          <w:tcPr>
            <w:tcW w:w="599" w:type="pct"/>
            <w:vAlign w:val="center"/>
            <w:hideMark/>
          </w:tcPr>
          <w:p w14:paraId="2A473A9E" w14:textId="77777777" w:rsidR="00000000" w:rsidRDefault="00832D71">
            <w:pPr>
              <w:rPr>
                <w:rFonts w:eastAsia="Times New Roman"/>
                <w:sz w:val="20"/>
                <w:szCs w:val="20"/>
              </w:rPr>
            </w:pPr>
          </w:p>
        </w:tc>
        <w:tc>
          <w:tcPr>
            <w:tcW w:w="50" w:type="pct"/>
            <w:vAlign w:val="center"/>
            <w:hideMark/>
          </w:tcPr>
          <w:p w14:paraId="09A08C47" w14:textId="77777777" w:rsidR="00000000" w:rsidRDefault="00832D71">
            <w:pPr>
              <w:rPr>
                <w:rFonts w:eastAsia="Times New Roman"/>
                <w:sz w:val="20"/>
                <w:szCs w:val="20"/>
              </w:rPr>
            </w:pPr>
          </w:p>
        </w:tc>
        <w:tc>
          <w:tcPr>
            <w:tcW w:w="76" w:type="pct"/>
            <w:vAlign w:val="center"/>
            <w:hideMark/>
          </w:tcPr>
          <w:p w14:paraId="6F324134" w14:textId="77777777" w:rsidR="00000000" w:rsidRDefault="00832D71">
            <w:pPr>
              <w:rPr>
                <w:rFonts w:eastAsia="Times New Roman"/>
                <w:sz w:val="20"/>
                <w:szCs w:val="20"/>
              </w:rPr>
            </w:pPr>
          </w:p>
        </w:tc>
        <w:tc>
          <w:tcPr>
            <w:tcW w:w="50" w:type="pct"/>
            <w:vAlign w:val="center"/>
            <w:hideMark/>
          </w:tcPr>
          <w:p w14:paraId="75FC57AE" w14:textId="77777777" w:rsidR="00000000" w:rsidRDefault="00832D71">
            <w:pPr>
              <w:rPr>
                <w:rFonts w:eastAsia="Times New Roman"/>
                <w:sz w:val="20"/>
                <w:szCs w:val="20"/>
              </w:rPr>
            </w:pPr>
          </w:p>
        </w:tc>
        <w:tc>
          <w:tcPr>
            <w:tcW w:w="599" w:type="pct"/>
            <w:vAlign w:val="center"/>
            <w:hideMark/>
          </w:tcPr>
          <w:p w14:paraId="6CBCAEB6" w14:textId="77777777" w:rsidR="00000000" w:rsidRDefault="00832D71">
            <w:pPr>
              <w:rPr>
                <w:rFonts w:eastAsia="Times New Roman"/>
                <w:sz w:val="20"/>
                <w:szCs w:val="20"/>
              </w:rPr>
            </w:pPr>
          </w:p>
        </w:tc>
        <w:tc>
          <w:tcPr>
            <w:tcW w:w="50" w:type="pct"/>
            <w:vAlign w:val="center"/>
            <w:hideMark/>
          </w:tcPr>
          <w:p w14:paraId="1D8769BD" w14:textId="77777777" w:rsidR="00000000" w:rsidRDefault="00832D71">
            <w:pPr>
              <w:rPr>
                <w:rFonts w:eastAsia="Times New Roman"/>
                <w:sz w:val="20"/>
                <w:szCs w:val="20"/>
              </w:rPr>
            </w:pPr>
          </w:p>
        </w:tc>
        <w:tc>
          <w:tcPr>
            <w:tcW w:w="45" w:type="pct"/>
            <w:vAlign w:val="center"/>
            <w:hideMark/>
          </w:tcPr>
          <w:p w14:paraId="6EF0479B" w14:textId="77777777" w:rsidR="00000000" w:rsidRDefault="00832D71">
            <w:pPr>
              <w:rPr>
                <w:rFonts w:eastAsia="Times New Roman"/>
                <w:sz w:val="20"/>
                <w:szCs w:val="20"/>
              </w:rPr>
            </w:pPr>
          </w:p>
        </w:tc>
        <w:tc>
          <w:tcPr>
            <w:tcW w:w="50" w:type="pct"/>
            <w:vAlign w:val="center"/>
            <w:hideMark/>
          </w:tcPr>
          <w:p w14:paraId="12F7FE3F" w14:textId="77777777" w:rsidR="00000000" w:rsidRDefault="00832D71">
            <w:pPr>
              <w:rPr>
                <w:rFonts w:eastAsia="Times New Roman"/>
                <w:sz w:val="20"/>
                <w:szCs w:val="20"/>
              </w:rPr>
            </w:pPr>
          </w:p>
        </w:tc>
        <w:tc>
          <w:tcPr>
            <w:tcW w:w="1036" w:type="pct"/>
            <w:vAlign w:val="center"/>
            <w:hideMark/>
          </w:tcPr>
          <w:p w14:paraId="4EE170F5" w14:textId="77777777" w:rsidR="00000000" w:rsidRDefault="00832D71">
            <w:pPr>
              <w:rPr>
                <w:rFonts w:eastAsia="Times New Roman"/>
                <w:sz w:val="20"/>
                <w:szCs w:val="20"/>
              </w:rPr>
            </w:pPr>
          </w:p>
        </w:tc>
        <w:tc>
          <w:tcPr>
            <w:tcW w:w="50" w:type="pct"/>
            <w:vAlign w:val="center"/>
            <w:hideMark/>
          </w:tcPr>
          <w:p w14:paraId="39B73814" w14:textId="77777777" w:rsidR="00000000" w:rsidRDefault="00832D71">
            <w:pPr>
              <w:rPr>
                <w:rFonts w:eastAsia="Times New Roman"/>
                <w:sz w:val="20"/>
                <w:szCs w:val="20"/>
              </w:rPr>
            </w:pPr>
          </w:p>
        </w:tc>
        <w:tc>
          <w:tcPr>
            <w:tcW w:w="76" w:type="pct"/>
            <w:vAlign w:val="center"/>
            <w:hideMark/>
          </w:tcPr>
          <w:p w14:paraId="44EF1F46" w14:textId="77777777" w:rsidR="00000000" w:rsidRDefault="00832D71">
            <w:pPr>
              <w:rPr>
                <w:rFonts w:eastAsia="Times New Roman"/>
                <w:sz w:val="20"/>
                <w:szCs w:val="20"/>
              </w:rPr>
            </w:pPr>
          </w:p>
        </w:tc>
        <w:tc>
          <w:tcPr>
            <w:tcW w:w="50" w:type="pct"/>
            <w:vAlign w:val="center"/>
            <w:hideMark/>
          </w:tcPr>
          <w:p w14:paraId="248F8943" w14:textId="77777777" w:rsidR="00000000" w:rsidRDefault="00832D71">
            <w:pPr>
              <w:rPr>
                <w:rFonts w:eastAsia="Times New Roman"/>
                <w:sz w:val="20"/>
                <w:szCs w:val="20"/>
              </w:rPr>
            </w:pPr>
          </w:p>
        </w:tc>
        <w:tc>
          <w:tcPr>
            <w:tcW w:w="599" w:type="pct"/>
            <w:vAlign w:val="center"/>
            <w:hideMark/>
          </w:tcPr>
          <w:p w14:paraId="31919819" w14:textId="77777777" w:rsidR="00000000" w:rsidRDefault="00832D71">
            <w:pPr>
              <w:rPr>
                <w:rFonts w:eastAsia="Times New Roman"/>
                <w:sz w:val="20"/>
                <w:szCs w:val="20"/>
              </w:rPr>
            </w:pPr>
          </w:p>
        </w:tc>
        <w:tc>
          <w:tcPr>
            <w:tcW w:w="50" w:type="pct"/>
            <w:vAlign w:val="center"/>
            <w:hideMark/>
          </w:tcPr>
          <w:p w14:paraId="3984B8DF" w14:textId="77777777" w:rsidR="00000000" w:rsidRDefault="00832D71">
            <w:pPr>
              <w:rPr>
                <w:rFonts w:eastAsia="Times New Roman"/>
                <w:sz w:val="20"/>
                <w:szCs w:val="20"/>
              </w:rPr>
            </w:pPr>
          </w:p>
        </w:tc>
      </w:tr>
      <w:tr w:rsidR="00000000" w14:paraId="65785A7E" w14:textId="77777777">
        <w:trPr>
          <w:trHeight w:val="160"/>
          <w:tblCellSpacing w:w="15" w:type="dxa"/>
        </w:trPr>
        <w:tc>
          <w:tcPr>
            <w:tcW w:w="0" w:type="auto"/>
            <w:vAlign w:val="bottom"/>
            <w:hideMark/>
          </w:tcPr>
          <w:p w14:paraId="43240B45"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hideMark/>
          </w:tcPr>
          <w:p w14:paraId="58D11F1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9A3C5EB" w14:textId="77777777" w:rsidR="00000000" w:rsidRDefault="00832D71">
            <w:pPr>
              <w:pStyle w:val="a3"/>
              <w:spacing w:before="0" w:beforeAutospacing="0" w:after="0" w:afterAutospacing="0"/>
              <w:jc w:val="center"/>
              <w:rPr>
                <w:sz w:val="16"/>
                <w:szCs w:val="16"/>
              </w:rPr>
            </w:pPr>
            <w:r>
              <w:rPr>
                <w:b/>
                <w:bCs/>
                <w:sz w:val="16"/>
                <w:szCs w:val="16"/>
              </w:rPr>
              <w:t>Mr. Stival</w:t>
            </w:r>
            <w:r>
              <w:rPr>
                <w:b/>
                <w:bCs/>
                <w:sz w:val="16"/>
                <w:szCs w:val="16"/>
              </w:rPr>
              <w:t>a</w:t>
            </w:r>
          </w:p>
        </w:tc>
        <w:tc>
          <w:tcPr>
            <w:tcW w:w="0" w:type="auto"/>
            <w:vAlign w:val="bottom"/>
            <w:hideMark/>
          </w:tcPr>
          <w:p w14:paraId="4AECCA85"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79223DB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1A65073" w14:textId="77777777" w:rsidR="00000000" w:rsidRDefault="00832D71">
            <w:pPr>
              <w:pStyle w:val="a3"/>
              <w:spacing w:before="0" w:beforeAutospacing="0" w:after="0" w:afterAutospacing="0"/>
              <w:jc w:val="center"/>
              <w:rPr>
                <w:sz w:val="16"/>
                <w:szCs w:val="16"/>
              </w:rPr>
            </w:pPr>
            <w:r>
              <w:rPr>
                <w:b/>
                <w:bCs/>
                <w:sz w:val="16"/>
                <w:szCs w:val="16"/>
              </w:rPr>
              <w:t>Mr. Kugli</w:t>
            </w:r>
            <w:r>
              <w:rPr>
                <w:b/>
                <w:bCs/>
                <w:sz w:val="16"/>
                <w:szCs w:val="16"/>
              </w:rPr>
              <w:t>n</w:t>
            </w:r>
          </w:p>
        </w:tc>
        <w:tc>
          <w:tcPr>
            <w:tcW w:w="0" w:type="auto"/>
            <w:vAlign w:val="bottom"/>
            <w:hideMark/>
          </w:tcPr>
          <w:p w14:paraId="546923D1"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08FF32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D70CE8E" w14:textId="77777777" w:rsidR="00000000" w:rsidRDefault="00832D71">
            <w:pPr>
              <w:pStyle w:val="a3"/>
              <w:spacing w:before="0" w:beforeAutospacing="0" w:after="0" w:afterAutospacing="0"/>
              <w:jc w:val="center"/>
              <w:rPr>
                <w:sz w:val="16"/>
                <w:szCs w:val="16"/>
              </w:rPr>
            </w:pPr>
            <w:r>
              <w:rPr>
                <w:b/>
                <w:bCs/>
                <w:sz w:val="16"/>
                <w:szCs w:val="16"/>
              </w:rPr>
              <w:t>Mr. Boy</w:t>
            </w:r>
            <w:r>
              <w:rPr>
                <w:b/>
                <w:bCs/>
                <w:sz w:val="16"/>
                <w:szCs w:val="16"/>
              </w:rPr>
              <w:t>d</w:t>
            </w:r>
          </w:p>
        </w:tc>
        <w:tc>
          <w:tcPr>
            <w:tcW w:w="0" w:type="auto"/>
            <w:vAlign w:val="bottom"/>
            <w:hideMark/>
          </w:tcPr>
          <w:p w14:paraId="3BB0E2D2"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BFA65D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0218A87" w14:textId="77777777" w:rsidR="00000000" w:rsidRDefault="00832D71">
            <w:pPr>
              <w:pStyle w:val="a3"/>
              <w:spacing w:before="0" w:beforeAutospacing="0" w:after="0" w:afterAutospacing="0"/>
              <w:jc w:val="center"/>
              <w:rPr>
                <w:sz w:val="16"/>
                <w:szCs w:val="16"/>
              </w:rPr>
            </w:pPr>
            <w:r>
              <w:rPr>
                <w:b/>
                <w:bCs/>
                <w:sz w:val="16"/>
                <w:szCs w:val="16"/>
              </w:rPr>
              <w:t>Mr. Brinkwort</w:t>
            </w:r>
            <w:r>
              <w:rPr>
                <w:b/>
                <w:bCs/>
                <w:sz w:val="16"/>
                <w:szCs w:val="16"/>
              </w:rPr>
              <w:t>h</w:t>
            </w:r>
          </w:p>
        </w:tc>
        <w:tc>
          <w:tcPr>
            <w:tcW w:w="0" w:type="auto"/>
            <w:vAlign w:val="bottom"/>
            <w:hideMark/>
          </w:tcPr>
          <w:p w14:paraId="41CC10F8"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CB3CF3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92131A5" w14:textId="77777777" w:rsidR="00000000" w:rsidRDefault="00832D71">
            <w:pPr>
              <w:pStyle w:val="a3"/>
              <w:spacing w:before="0" w:beforeAutospacing="0" w:after="0" w:afterAutospacing="0"/>
              <w:jc w:val="center"/>
              <w:rPr>
                <w:sz w:val="16"/>
                <w:szCs w:val="16"/>
              </w:rPr>
            </w:pPr>
            <w:r>
              <w:rPr>
                <w:b/>
                <w:bCs/>
                <w:sz w:val="16"/>
                <w:szCs w:val="16"/>
              </w:rPr>
              <w:t>Mr. Scanlo</w:t>
            </w:r>
            <w:r>
              <w:rPr>
                <w:b/>
                <w:bCs/>
                <w:sz w:val="16"/>
                <w:szCs w:val="16"/>
              </w:rPr>
              <w:t>n</w:t>
            </w:r>
          </w:p>
        </w:tc>
        <w:tc>
          <w:tcPr>
            <w:tcW w:w="0" w:type="auto"/>
            <w:vAlign w:val="bottom"/>
            <w:hideMark/>
          </w:tcPr>
          <w:p w14:paraId="797A5769"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6B49AD24" w14:textId="77777777">
        <w:trPr>
          <w:trHeight w:val="160"/>
          <w:tblCellSpacing w:w="15" w:type="dxa"/>
        </w:trPr>
        <w:tc>
          <w:tcPr>
            <w:tcW w:w="0" w:type="auto"/>
            <w:hideMark/>
          </w:tcPr>
          <w:p w14:paraId="55347DA5" w14:textId="77777777" w:rsidR="00000000" w:rsidRDefault="00832D71">
            <w:pPr>
              <w:pStyle w:val="a3"/>
              <w:spacing w:before="0" w:beforeAutospacing="0" w:after="0" w:afterAutospacing="0"/>
              <w:rPr>
                <w:sz w:val="16"/>
                <w:szCs w:val="16"/>
              </w:rPr>
            </w:pPr>
            <w:r>
              <w:rPr>
                <w:sz w:val="16"/>
                <w:szCs w:val="16"/>
              </w:rPr>
              <w:t>Annual Cash Bonu</w:t>
            </w:r>
            <w:r>
              <w:rPr>
                <w:sz w:val="16"/>
                <w:szCs w:val="16"/>
              </w:rPr>
              <w:t>s</w:t>
            </w:r>
          </w:p>
        </w:tc>
        <w:tc>
          <w:tcPr>
            <w:tcW w:w="0" w:type="auto"/>
            <w:hideMark/>
          </w:tcPr>
          <w:p w14:paraId="59C51608"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8EB0ABE"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C08130E" w14:textId="77777777" w:rsidR="00000000" w:rsidRDefault="00832D71">
            <w:pPr>
              <w:pStyle w:val="a3"/>
              <w:spacing w:before="0" w:beforeAutospacing="0" w:after="0" w:afterAutospacing="0"/>
              <w:jc w:val="right"/>
              <w:rPr>
                <w:sz w:val="16"/>
                <w:szCs w:val="16"/>
              </w:rPr>
            </w:pPr>
            <w:r>
              <w:rPr>
                <w:sz w:val="16"/>
                <w:szCs w:val="16"/>
              </w:rPr>
              <w:t>462,00</w:t>
            </w:r>
            <w:r>
              <w:rPr>
                <w:sz w:val="16"/>
                <w:szCs w:val="16"/>
              </w:rPr>
              <w:t>0</w:t>
            </w:r>
          </w:p>
        </w:tc>
        <w:tc>
          <w:tcPr>
            <w:tcW w:w="0" w:type="auto"/>
            <w:noWrap/>
            <w:vAlign w:val="bottom"/>
            <w:hideMark/>
          </w:tcPr>
          <w:p w14:paraId="0CCFFFFE"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29C6926"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57AA148"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2C8A3620" w14:textId="77777777" w:rsidR="00000000" w:rsidRDefault="00832D71">
            <w:pPr>
              <w:pStyle w:val="a3"/>
              <w:spacing w:before="0" w:beforeAutospacing="0" w:after="0" w:afterAutospacing="0"/>
              <w:jc w:val="right"/>
              <w:rPr>
                <w:sz w:val="16"/>
                <w:szCs w:val="16"/>
              </w:rPr>
            </w:pPr>
            <w:r>
              <w:rPr>
                <w:sz w:val="16"/>
                <w:szCs w:val="16"/>
              </w:rPr>
              <w:t>246,40</w:t>
            </w:r>
            <w:r>
              <w:rPr>
                <w:sz w:val="16"/>
                <w:szCs w:val="16"/>
              </w:rPr>
              <w:t>0</w:t>
            </w:r>
          </w:p>
        </w:tc>
        <w:tc>
          <w:tcPr>
            <w:tcW w:w="0" w:type="auto"/>
            <w:noWrap/>
            <w:vAlign w:val="bottom"/>
            <w:hideMark/>
          </w:tcPr>
          <w:p w14:paraId="4D4B43D7"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B765D41"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6E471C2"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4ED15F0" w14:textId="77777777" w:rsidR="00000000" w:rsidRDefault="00832D71">
            <w:pPr>
              <w:pStyle w:val="a3"/>
              <w:spacing w:before="0" w:beforeAutospacing="0" w:after="0" w:afterAutospacing="0"/>
              <w:jc w:val="right"/>
              <w:rPr>
                <w:sz w:val="16"/>
                <w:szCs w:val="16"/>
              </w:rPr>
            </w:pPr>
            <w:r>
              <w:rPr>
                <w:sz w:val="16"/>
                <w:szCs w:val="16"/>
              </w:rPr>
              <w:t>246,40</w:t>
            </w:r>
            <w:r>
              <w:rPr>
                <w:sz w:val="16"/>
                <w:szCs w:val="16"/>
              </w:rPr>
              <w:t>0</w:t>
            </w:r>
          </w:p>
        </w:tc>
        <w:tc>
          <w:tcPr>
            <w:tcW w:w="0" w:type="auto"/>
            <w:noWrap/>
            <w:vAlign w:val="bottom"/>
            <w:hideMark/>
          </w:tcPr>
          <w:p w14:paraId="766F78B1"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D761CB5"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7380FB7"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2CBFAFA8" w14:textId="77777777" w:rsidR="00000000" w:rsidRDefault="00832D71">
            <w:pPr>
              <w:pStyle w:val="a3"/>
              <w:spacing w:before="0" w:beforeAutospacing="0" w:after="0" w:afterAutospacing="0"/>
              <w:jc w:val="right"/>
              <w:rPr>
                <w:sz w:val="16"/>
                <w:szCs w:val="16"/>
              </w:rPr>
            </w:pPr>
            <w:r>
              <w:rPr>
                <w:sz w:val="16"/>
                <w:szCs w:val="16"/>
              </w:rPr>
              <w:t>221,76</w:t>
            </w:r>
            <w:r>
              <w:rPr>
                <w:sz w:val="16"/>
                <w:szCs w:val="16"/>
              </w:rPr>
              <w:t>0</w:t>
            </w:r>
          </w:p>
        </w:tc>
        <w:tc>
          <w:tcPr>
            <w:tcW w:w="0" w:type="auto"/>
            <w:noWrap/>
            <w:vAlign w:val="bottom"/>
            <w:hideMark/>
          </w:tcPr>
          <w:p w14:paraId="50C28125"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0E13C5C"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BD5800B"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789E120A" w14:textId="77777777" w:rsidR="00000000" w:rsidRDefault="00832D71">
            <w:pPr>
              <w:pStyle w:val="a3"/>
              <w:spacing w:before="0" w:beforeAutospacing="0" w:after="0" w:afterAutospacing="0"/>
              <w:jc w:val="right"/>
              <w:rPr>
                <w:sz w:val="16"/>
                <w:szCs w:val="16"/>
              </w:rPr>
            </w:pPr>
            <w:r>
              <w:rPr>
                <w:sz w:val="16"/>
                <w:szCs w:val="16"/>
              </w:rPr>
              <w:t>197,12</w:t>
            </w:r>
            <w:r>
              <w:rPr>
                <w:sz w:val="16"/>
                <w:szCs w:val="16"/>
              </w:rPr>
              <w:t>0</w:t>
            </w:r>
          </w:p>
        </w:tc>
        <w:tc>
          <w:tcPr>
            <w:tcW w:w="0" w:type="auto"/>
            <w:noWrap/>
            <w:vAlign w:val="bottom"/>
            <w:hideMark/>
          </w:tcPr>
          <w:p w14:paraId="63270723" w14:textId="77777777" w:rsidR="00000000" w:rsidRDefault="00832D71">
            <w:pPr>
              <w:pStyle w:val="a3"/>
              <w:spacing w:before="0" w:beforeAutospacing="0" w:after="0" w:afterAutospacing="0"/>
              <w:rPr>
                <w:sz w:val="16"/>
                <w:szCs w:val="16"/>
              </w:rPr>
            </w:pPr>
            <w:r>
              <w:rPr>
                <w:sz w:val="16"/>
                <w:szCs w:val="16"/>
              </w:rPr>
              <w:t> </w:t>
            </w:r>
          </w:p>
        </w:tc>
      </w:tr>
      <w:tr w:rsidR="00000000" w14:paraId="3768E691" w14:textId="77777777">
        <w:trPr>
          <w:trHeight w:val="160"/>
          <w:tblCellSpacing w:w="15" w:type="dxa"/>
        </w:trPr>
        <w:tc>
          <w:tcPr>
            <w:tcW w:w="0" w:type="auto"/>
            <w:hideMark/>
          </w:tcPr>
          <w:p w14:paraId="04843FB5" w14:textId="77777777" w:rsidR="00000000" w:rsidRDefault="00832D71">
            <w:pPr>
              <w:pStyle w:val="a3"/>
              <w:spacing w:before="0" w:beforeAutospacing="0" w:after="0" w:afterAutospacing="0"/>
              <w:rPr>
                <w:sz w:val="16"/>
                <w:szCs w:val="16"/>
              </w:rPr>
            </w:pPr>
            <w:r>
              <w:rPr>
                <w:sz w:val="16"/>
                <w:szCs w:val="16"/>
              </w:rPr>
              <w:t>DER Payment</w:t>
            </w:r>
            <w:r>
              <w:rPr>
                <w:sz w:val="16"/>
                <w:szCs w:val="16"/>
              </w:rPr>
              <w:t>s</w:t>
            </w:r>
          </w:p>
        </w:tc>
        <w:tc>
          <w:tcPr>
            <w:tcW w:w="0" w:type="auto"/>
            <w:hideMark/>
          </w:tcPr>
          <w:p w14:paraId="608CBF85"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29C371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DF97AA5" w14:textId="77777777" w:rsidR="00000000" w:rsidRDefault="00832D71">
            <w:pPr>
              <w:pStyle w:val="a3"/>
              <w:spacing w:before="0" w:beforeAutospacing="0" w:after="0" w:afterAutospacing="0"/>
              <w:jc w:val="right"/>
              <w:rPr>
                <w:sz w:val="16"/>
                <w:szCs w:val="16"/>
              </w:rPr>
            </w:pPr>
            <w:r>
              <w:rPr>
                <w:sz w:val="16"/>
                <w:szCs w:val="16"/>
              </w:rPr>
              <w:t>193,35</w:t>
            </w:r>
            <w:r>
              <w:rPr>
                <w:sz w:val="16"/>
                <w:szCs w:val="16"/>
              </w:rPr>
              <w:t>7</w:t>
            </w:r>
          </w:p>
        </w:tc>
        <w:tc>
          <w:tcPr>
            <w:tcW w:w="0" w:type="auto"/>
            <w:noWrap/>
            <w:vAlign w:val="bottom"/>
            <w:hideMark/>
          </w:tcPr>
          <w:p w14:paraId="36E2BBE5"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34F239F"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E166605"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C54D729" w14:textId="77777777" w:rsidR="00000000" w:rsidRDefault="00832D71">
            <w:pPr>
              <w:pStyle w:val="a3"/>
              <w:spacing w:before="0" w:beforeAutospacing="0" w:after="0" w:afterAutospacing="0"/>
              <w:jc w:val="right"/>
              <w:rPr>
                <w:sz w:val="16"/>
                <w:szCs w:val="16"/>
              </w:rPr>
            </w:pPr>
            <w:r>
              <w:rPr>
                <w:sz w:val="16"/>
                <w:szCs w:val="16"/>
              </w:rPr>
              <w:t>120,02</w:t>
            </w:r>
            <w:r>
              <w:rPr>
                <w:sz w:val="16"/>
                <w:szCs w:val="16"/>
              </w:rPr>
              <w:t>0</w:t>
            </w:r>
          </w:p>
        </w:tc>
        <w:tc>
          <w:tcPr>
            <w:tcW w:w="0" w:type="auto"/>
            <w:noWrap/>
            <w:vAlign w:val="bottom"/>
            <w:hideMark/>
          </w:tcPr>
          <w:p w14:paraId="1DCF17C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CD05655"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F8CCC5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78776FF" w14:textId="77777777" w:rsidR="00000000" w:rsidRDefault="00832D71">
            <w:pPr>
              <w:pStyle w:val="a3"/>
              <w:spacing w:before="0" w:beforeAutospacing="0" w:after="0" w:afterAutospacing="0"/>
              <w:jc w:val="right"/>
              <w:rPr>
                <w:sz w:val="16"/>
                <w:szCs w:val="16"/>
              </w:rPr>
            </w:pPr>
            <w:r>
              <w:rPr>
                <w:sz w:val="16"/>
                <w:szCs w:val="16"/>
              </w:rPr>
              <w:t>119,19</w:t>
            </w:r>
            <w:r>
              <w:rPr>
                <w:sz w:val="16"/>
                <w:szCs w:val="16"/>
              </w:rPr>
              <w:t>1</w:t>
            </w:r>
          </w:p>
        </w:tc>
        <w:tc>
          <w:tcPr>
            <w:tcW w:w="0" w:type="auto"/>
            <w:noWrap/>
            <w:vAlign w:val="bottom"/>
            <w:hideMark/>
          </w:tcPr>
          <w:p w14:paraId="52ED1596"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C620C7B"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885C79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F46BDE8" w14:textId="77777777" w:rsidR="00000000" w:rsidRDefault="00832D71">
            <w:pPr>
              <w:pStyle w:val="a3"/>
              <w:spacing w:before="0" w:beforeAutospacing="0" w:after="0" w:afterAutospacing="0"/>
              <w:jc w:val="right"/>
              <w:rPr>
                <w:sz w:val="16"/>
                <w:szCs w:val="16"/>
              </w:rPr>
            </w:pPr>
            <w:r>
              <w:rPr>
                <w:sz w:val="16"/>
                <w:szCs w:val="16"/>
              </w:rPr>
              <w:t>113,42</w:t>
            </w:r>
            <w:r>
              <w:rPr>
                <w:sz w:val="16"/>
                <w:szCs w:val="16"/>
              </w:rPr>
              <w:t>9</w:t>
            </w:r>
          </w:p>
        </w:tc>
        <w:tc>
          <w:tcPr>
            <w:tcW w:w="0" w:type="auto"/>
            <w:noWrap/>
            <w:vAlign w:val="bottom"/>
            <w:hideMark/>
          </w:tcPr>
          <w:p w14:paraId="27F01CC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18D2B01"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5FB792FD"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08ED4A5" w14:textId="77777777" w:rsidR="00000000" w:rsidRDefault="00832D71">
            <w:pPr>
              <w:pStyle w:val="a3"/>
              <w:spacing w:before="0" w:beforeAutospacing="0" w:after="0" w:afterAutospacing="0"/>
              <w:jc w:val="right"/>
              <w:rPr>
                <w:sz w:val="16"/>
                <w:szCs w:val="16"/>
              </w:rPr>
            </w:pPr>
            <w:r>
              <w:rPr>
                <w:sz w:val="16"/>
                <w:szCs w:val="16"/>
              </w:rPr>
              <w:t>108,36</w:t>
            </w:r>
            <w:r>
              <w:rPr>
                <w:sz w:val="16"/>
                <w:szCs w:val="16"/>
              </w:rPr>
              <w:t>9</w:t>
            </w:r>
          </w:p>
        </w:tc>
        <w:tc>
          <w:tcPr>
            <w:tcW w:w="0" w:type="auto"/>
            <w:noWrap/>
            <w:vAlign w:val="bottom"/>
            <w:hideMark/>
          </w:tcPr>
          <w:p w14:paraId="22808487" w14:textId="77777777" w:rsidR="00000000" w:rsidRDefault="00832D71">
            <w:pPr>
              <w:pStyle w:val="a3"/>
              <w:spacing w:before="0" w:beforeAutospacing="0" w:after="0" w:afterAutospacing="0"/>
              <w:rPr>
                <w:sz w:val="16"/>
                <w:szCs w:val="16"/>
              </w:rPr>
            </w:pPr>
            <w:r>
              <w:rPr>
                <w:sz w:val="16"/>
                <w:szCs w:val="16"/>
              </w:rPr>
              <w:t> </w:t>
            </w:r>
          </w:p>
        </w:tc>
      </w:tr>
      <w:tr w:rsidR="00000000" w14:paraId="233D9614" w14:textId="77777777">
        <w:trPr>
          <w:trHeight w:val="160"/>
          <w:tblCellSpacing w:w="15" w:type="dxa"/>
        </w:trPr>
        <w:tc>
          <w:tcPr>
            <w:tcW w:w="0" w:type="auto"/>
            <w:hideMark/>
          </w:tcPr>
          <w:p w14:paraId="4E621301" w14:textId="77777777" w:rsidR="00000000" w:rsidRDefault="00832D71">
            <w:pPr>
              <w:pStyle w:val="a3"/>
              <w:spacing w:before="0" w:beforeAutospacing="0" w:after="0" w:afterAutospacing="0"/>
              <w:ind w:left="200"/>
              <w:rPr>
                <w:sz w:val="16"/>
                <w:szCs w:val="16"/>
              </w:rPr>
            </w:pPr>
            <w:r>
              <w:rPr>
                <w:sz w:val="16"/>
                <w:szCs w:val="16"/>
              </w:rPr>
              <w:t>Tota</w:t>
            </w:r>
            <w:r>
              <w:rPr>
                <w:sz w:val="16"/>
                <w:szCs w:val="16"/>
              </w:rPr>
              <w:t>l</w:t>
            </w:r>
          </w:p>
        </w:tc>
        <w:tc>
          <w:tcPr>
            <w:tcW w:w="0" w:type="auto"/>
            <w:hideMark/>
          </w:tcPr>
          <w:p w14:paraId="237FEE66"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DE97B25"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01262E36" w14:textId="77777777" w:rsidR="00000000" w:rsidRDefault="00832D71">
            <w:pPr>
              <w:pStyle w:val="a3"/>
              <w:spacing w:before="0" w:beforeAutospacing="0" w:after="0" w:afterAutospacing="0"/>
              <w:jc w:val="right"/>
              <w:rPr>
                <w:sz w:val="16"/>
                <w:szCs w:val="16"/>
              </w:rPr>
            </w:pPr>
            <w:r>
              <w:rPr>
                <w:sz w:val="16"/>
                <w:szCs w:val="16"/>
              </w:rPr>
              <w:t>655,35</w:t>
            </w:r>
            <w:r>
              <w:rPr>
                <w:sz w:val="16"/>
                <w:szCs w:val="16"/>
              </w:rPr>
              <w:t>7</w:t>
            </w:r>
          </w:p>
        </w:tc>
        <w:tc>
          <w:tcPr>
            <w:tcW w:w="0" w:type="auto"/>
            <w:noWrap/>
            <w:vAlign w:val="bottom"/>
            <w:hideMark/>
          </w:tcPr>
          <w:p w14:paraId="30C77328"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E999F72"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686BC8F"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49FC779D" w14:textId="77777777" w:rsidR="00000000" w:rsidRDefault="00832D71">
            <w:pPr>
              <w:pStyle w:val="a3"/>
              <w:spacing w:before="0" w:beforeAutospacing="0" w:after="0" w:afterAutospacing="0"/>
              <w:jc w:val="right"/>
              <w:rPr>
                <w:sz w:val="16"/>
                <w:szCs w:val="16"/>
              </w:rPr>
            </w:pPr>
            <w:r>
              <w:rPr>
                <w:sz w:val="16"/>
                <w:szCs w:val="16"/>
              </w:rPr>
              <w:t>366,42</w:t>
            </w:r>
            <w:r>
              <w:rPr>
                <w:sz w:val="16"/>
                <w:szCs w:val="16"/>
              </w:rPr>
              <w:t>0</w:t>
            </w:r>
          </w:p>
        </w:tc>
        <w:tc>
          <w:tcPr>
            <w:tcW w:w="0" w:type="auto"/>
            <w:noWrap/>
            <w:vAlign w:val="bottom"/>
            <w:hideMark/>
          </w:tcPr>
          <w:p w14:paraId="7585AEAE"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48B3197"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AFA2262"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3905C9BE" w14:textId="77777777" w:rsidR="00000000" w:rsidRDefault="00832D71">
            <w:pPr>
              <w:pStyle w:val="a3"/>
              <w:spacing w:before="0" w:beforeAutospacing="0" w:after="0" w:afterAutospacing="0"/>
              <w:jc w:val="right"/>
              <w:rPr>
                <w:sz w:val="16"/>
                <w:szCs w:val="16"/>
              </w:rPr>
            </w:pPr>
            <w:r>
              <w:rPr>
                <w:sz w:val="16"/>
                <w:szCs w:val="16"/>
              </w:rPr>
              <w:t>365,59</w:t>
            </w:r>
            <w:r>
              <w:rPr>
                <w:sz w:val="16"/>
                <w:szCs w:val="16"/>
              </w:rPr>
              <w:t>1</w:t>
            </w:r>
          </w:p>
        </w:tc>
        <w:tc>
          <w:tcPr>
            <w:tcW w:w="0" w:type="auto"/>
            <w:noWrap/>
            <w:vAlign w:val="bottom"/>
            <w:hideMark/>
          </w:tcPr>
          <w:p w14:paraId="2E194415"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A55AD1A"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3DE7F42"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9C4E562" w14:textId="77777777" w:rsidR="00000000" w:rsidRDefault="00832D71">
            <w:pPr>
              <w:pStyle w:val="a3"/>
              <w:spacing w:before="0" w:beforeAutospacing="0" w:after="0" w:afterAutospacing="0"/>
              <w:jc w:val="right"/>
              <w:rPr>
                <w:sz w:val="16"/>
                <w:szCs w:val="16"/>
              </w:rPr>
            </w:pPr>
            <w:r>
              <w:rPr>
                <w:sz w:val="16"/>
                <w:szCs w:val="16"/>
              </w:rPr>
              <w:t>335,18</w:t>
            </w:r>
            <w:r>
              <w:rPr>
                <w:sz w:val="16"/>
                <w:szCs w:val="16"/>
              </w:rPr>
              <w:t>9</w:t>
            </w:r>
          </w:p>
        </w:tc>
        <w:tc>
          <w:tcPr>
            <w:tcW w:w="0" w:type="auto"/>
            <w:noWrap/>
            <w:vAlign w:val="bottom"/>
            <w:hideMark/>
          </w:tcPr>
          <w:p w14:paraId="41A0DBB5"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319994D"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81B040E"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5F7741D5" w14:textId="77777777" w:rsidR="00000000" w:rsidRDefault="00832D71">
            <w:pPr>
              <w:pStyle w:val="a3"/>
              <w:spacing w:before="0" w:beforeAutospacing="0" w:after="0" w:afterAutospacing="0"/>
              <w:jc w:val="right"/>
              <w:rPr>
                <w:sz w:val="16"/>
                <w:szCs w:val="16"/>
              </w:rPr>
            </w:pPr>
            <w:r>
              <w:rPr>
                <w:sz w:val="16"/>
                <w:szCs w:val="16"/>
              </w:rPr>
              <w:t>305,48</w:t>
            </w:r>
            <w:r>
              <w:rPr>
                <w:sz w:val="16"/>
                <w:szCs w:val="16"/>
              </w:rPr>
              <w:t>9</w:t>
            </w:r>
          </w:p>
        </w:tc>
        <w:tc>
          <w:tcPr>
            <w:tcW w:w="0" w:type="auto"/>
            <w:noWrap/>
            <w:vAlign w:val="bottom"/>
            <w:hideMark/>
          </w:tcPr>
          <w:p w14:paraId="7D2583C8" w14:textId="77777777" w:rsidR="00000000" w:rsidRDefault="00832D71">
            <w:pPr>
              <w:pStyle w:val="a3"/>
              <w:spacing w:before="0" w:beforeAutospacing="0" w:after="0" w:afterAutospacing="0"/>
              <w:rPr>
                <w:sz w:val="16"/>
                <w:szCs w:val="16"/>
              </w:rPr>
            </w:pPr>
            <w:r>
              <w:rPr>
                <w:sz w:val="16"/>
                <w:szCs w:val="16"/>
              </w:rPr>
              <w:t> </w:t>
            </w:r>
          </w:p>
        </w:tc>
      </w:tr>
    </w:tbl>
    <w:p w14:paraId="0CB35203" w14:textId="77777777" w:rsidR="00000000" w:rsidRDefault="00832D71">
      <w:pPr>
        <w:pStyle w:val="a3"/>
        <w:spacing w:before="0" w:beforeAutospacing="0" w:after="0" w:afterAutospacing="0"/>
        <w:jc w:val="both"/>
        <w:rPr>
          <w:sz w:val="20"/>
          <w:szCs w:val="20"/>
        </w:rPr>
      </w:pPr>
      <w:r>
        <w:rPr>
          <w:sz w:val="20"/>
          <w:szCs w:val="20"/>
        </w:rPr>
        <w:t> </w:t>
      </w:r>
    </w:p>
    <w:p w14:paraId="565E0146" w14:textId="77777777" w:rsidR="00000000" w:rsidRDefault="00832D71">
      <w:pPr>
        <w:jc w:val="both"/>
        <w:rPr>
          <w:rFonts w:eastAsia="Times New Roman"/>
        </w:rPr>
      </w:pPr>
      <w:r>
        <w:rPr>
          <w:rFonts w:eastAsia="Times New Roman"/>
          <w:sz w:val="16"/>
          <w:szCs w:val="16"/>
        </w:rPr>
        <w:t>(5</w:t>
      </w:r>
      <w:r>
        <w:rPr>
          <w:rFonts w:eastAsia="Times New Roman"/>
          <w:sz w:val="16"/>
          <w:szCs w:val="16"/>
        </w:rPr>
        <w:t>)</w:t>
      </w:r>
    </w:p>
    <w:p w14:paraId="6F63BF81" w14:textId="77777777" w:rsidR="00000000" w:rsidRDefault="00832D71">
      <w:pPr>
        <w:jc w:val="both"/>
        <w:divId w:val="1166094387"/>
        <w:rPr>
          <w:rFonts w:eastAsia="Times New Roman"/>
        </w:rPr>
      </w:pPr>
      <w:r>
        <w:rPr>
          <w:rFonts w:eastAsia="Times New Roman"/>
          <w:sz w:val="16"/>
          <w:szCs w:val="16"/>
        </w:rPr>
        <w:t>Mr. Stivala and Mr. Kuglin do not participate in the Cash Balance Plan. The present value of benefits accrued during fiscal 2022 and fiscal 2021 decreased due to increases in both the discount rate and the PPA lump sum segment rates. Under the disclosure r</w:t>
      </w:r>
      <w:r>
        <w:rPr>
          <w:rFonts w:eastAsia="Times New Roman"/>
          <w:sz w:val="16"/>
          <w:szCs w:val="16"/>
        </w:rPr>
        <w:t>ules, negative values are not shown in the table. The decreases in present values during fiscal 2022 were as follows: $76,514 for Mr. Boyd, $37,749 for Mr. Brinkworth and $44,780 for Mr. Scanlon. The decreases in present values during fiscal 2021 were as f</w:t>
      </w:r>
      <w:r>
        <w:rPr>
          <w:rFonts w:eastAsia="Times New Roman"/>
          <w:sz w:val="16"/>
          <w:szCs w:val="16"/>
        </w:rPr>
        <w:t>ollows: $6,365 for Mr. Boyd, $2,018 for Mr. Brinkworth and $4,181 for Mr. Scanlon.</w:t>
      </w:r>
      <w:r>
        <w:rPr>
          <w:rFonts w:eastAsia="Times New Roman"/>
          <w:sz w:val="16"/>
          <w:szCs w:val="16"/>
        </w:rPr>
        <w:t xml:space="preserve"> </w:t>
      </w:r>
    </w:p>
    <w:p w14:paraId="60B6B956" w14:textId="77777777" w:rsidR="00000000" w:rsidRDefault="00832D71">
      <w:pPr>
        <w:pStyle w:val="a3"/>
        <w:spacing w:before="0" w:beforeAutospacing="0" w:after="0" w:afterAutospacing="0"/>
        <w:ind w:hanging="422"/>
        <w:jc w:val="both"/>
        <w:rPr>
          <w:sz w:val="20"/>
          <w:szCs w:val="20"/>
        </w:rPr>
      </w:pPr>
      <w:r>
        <w:rPr>
          <w:sz w:val="20"/>
          <w:szCs w:val="20"/>
        </w:rPr>
        <w:t> </w:t>
      </w:r>
    </w:p>
    <w:p w14:paraId="5CF113A6" w14:textId="77777777" w:rsidR="00000000" w:rsidRDefault="00832D71">
      <w:pPr>
        <w:jc w:val="both"/>
        <w:rPr>
          <w:rFonts w:eastAsia="Times New Roman"/>
        </w:rPr>
      </w:pPr>
      <w:r>
        <w:rPr>
          <w:rFonts w:eastAsia="Times New Roman"/>
          <w:sz w:val="16"/>
          <w:szCs w:val="16"/>
        </w:rPr>
        <w:t>(6</w:t>
      </w:r>
      <w:r>
        <w:rPr>
          <w:rFonts w:eastAsia="Times New Roman"/>
          <w:sz w:val="16"/>
          <w:szCs w:val="16"/>
        </w:rPr>
        <w:t>)</w:t>
      </w:r>
    </w:p>
    <w:p w14:paraId="278BA75D" w14:textId="77777777" w:rsidR="00000000" w:rsidRDefault="00832D71">
      <w:pPr>
        <w:jc w:val="both"/>
        <w:divId w:val="861555368"/>
        <w:rPr>
          <w:rFonts w:eastAsia="Times New Roman"/>
        </w:rPr>
      </w:pPr>
      <w:r>
        <w:rPr>
          <w:rFonts w:eastAsia="Times New Roman"/>
          <w:sz w:val="16"/>
          <w:szCs w:val="16"/>
        </w:rPr>
        <w:t>The amounts reported in this column consist of the following</w:t>
      </w:r>
      <w:r>
        <w:rPr>
          <w:rFonts w:eastAsia="Times New Roman"/>
          <w:sz w:val="16"/>
          <w:szCs w:val="16"/>
        </w:rPr>
        <w:t>:</w:t>
      </w:r>
    </w:p>
    <w:p w14:paraId="33A06F61" w14:textId="77777777" w:rsidR="00000000" w:rsidRDefault="00832D71">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19"/>
        <w:gridCol w:w="104"/>
        <w:gridCol w:w="140"/>
        <w:gridCol w:w="587"/>
        <w:gridCol w:w="100"/>
        <w:gridCol w:w="100"/>
        <w:gridCol w:w="140"/>
        <w:gridCol w:w="585"/>
        <w:gridCol w:w="100"/>
        <w:gridCol w:w="100"/>
        <w:gridCol w:w="140"/>
        <w:gridCol w:w="585"/>
        <w:gridCol w:w="100"/>
        <w:gridCol w:w="100"/>
        <w:gridCol w:w="141"/>
        <w:gridCol w:w="1257"/>
        <w:gridCol w:w="100"/>
        <w:gridCol w:w="100"/>
        <w:gridCol w:w="140"/>
        <w:gridCol w:w="953"/>
        <w:gridCol w:w="115"/>
      </w:tblGrid>
      <w:tr w:rsidR="00000000" w14:paraId="74D8E2CA" w14:textId="77777777">
        <w:trPr>
          <w:tblCellSpacing w:w="15" w:type="dxa"/>
        </w:trPr>
        <w:tc>
          <w:tcPr>
            <w:tcW w:w="1690" w:type="pct"/>
            <w:vAlign w:val="center"/>
            <w:hideMark/>
          </w:tcPr>
          <w:p w14:paraId="2CDDB8DA" w14:textId="77777777" w:rsidR="00000000" w:rsidRDefault="00832D71">
            <w:pPr>
              <w:rPr>
                <w:sz w:val="20"/>
                <w:szCs w:val="20"/>
              </w:rPr>
            </w:pPr>
          </w:p>
        </w:tc>
        <w:tc>
          <w:tcPr>
            <w:tcW w:w="57" w:type="pct"/>
            <w:vAlign w:val="center"/>
            <w:hideMark/>
          </w:tcPr>
          <w:p w14:paraId="51094A27" w14:textId="77777777" w:rsidR="00000000" w:rsidRDefault="00832D71">
            <w:pPr>
              <w:rPr>
                <w:rFonts w:eastAsia="Times New Roman"/>
                <w:sz w:val="20"/>
                <w:szCs w:val="20"/>
              </w:rPr>
            </w:pPr>
          </w:p>
        </w:tc>
        <w:tc>
          <w:tcPr>
            <w:tcW w:w="50" w:type="pct"/>
            <w:vAlign w:val="center"/>
            <w:hideMark/>
          </w:tcPr>
          <w:p w14:paraId="6C6E9487" w14:textId="77777777" w:rsidR="00000000" w:rsidRDefault="00832D71">
            <w:pPr>
              <w:rPr>
                <w:rFonts w:eastAsia="Times New Roman"/>
                <w:sz w:val="20"/>
                <w:szCs w:val="20"/>
              </w:rPr>
            </w:pPr>
          </w:p>
        </w:tc>
        <w:tc>
          <w:tcPr>
            <w:tcW w:w="371" w:type="pct"/>
            <w:vAlign w:val="center"/>
            <w:hideMark/>
          </w:tcPr>
          <w:p w14:paraId="6945017E" w14:textId="77777777" w:rsidR="00000000" w:rsidRDefault="00832D71">
            <w:pPr>
              <w:rPr>
                <w:rFonts w:eastAsia="Times New Roman"/>
                <w:sz w:val="20"/>
                <w:szCs w:val="20"/>
              </w:rPr>
            </w:pPr>
          </w:p>
        </w:tc>
        <w:tc>
          <w:tcPr>
            <w:tcW w:w="50" w:type="pct"/>
            <w:vAlign w:val="center"/>
            <w:hideMark/>
          </w:tcPr>
          <w:p w14:paraId="175721C2" w14:textId="77777777" w:rsidR="00000000" w:rsidRDefault="00832D71">
            <w:pPr>
              <w:rPr>
                <w:rFonts w:eastAsia="Times New Roman"/>
                <w:sz w:val="20"/>
                <w:szCs w:val="20"/>
              </w:rPr>
            </w:pPr>
          </w:p>
        </w:tc>
        <w:tc>
          <w:tcPr>
            <w:tcW w:w="56" w:type="pct"/>
            <w:vAlign w:val="center"/>
            <w:hideMark/>
          </w:tcPr>
          <w:p w14:paraId="04B6C0EF" w14:textId="77777777" w:rsidR="00000000" w:rsidRDefault="00832D71">
            <w:pPr>
              <w:rPr>
                <w:rFonts w:eastAsia="Times New Roman"/>
                <w:sz w:val="20"/>
                <w:szCs w:val="20"/>
              </w:rPr>
            </w:pPr>
          </w:p>
        </w:tc>
        <w:tc>
          <w:tcPr>
            <w:tcW w:w="50" w:type="pct"/>
            <w:vAlign w:val="center"/>
            <w:hideMark/>
          </w:tcPr>
          <w:p w14:paraId="72143FCD" w14:textId="77777777" w:rsidR="00000000" w:rsidRDefault="00832D71">
            <w:pPr>
              <w:rPr>
                <w:rFonts w:eastAsia="Times New Roman"/>
                <w:sz w:val="20"/>
                <w:szCs w:val="20"/>
              </w:rPr>
            </w:pPr>
          </w:p>
        </w:tc>
        <w:tc>
          <w:tcPr>
            <w:tcW w:w="370" w:type="pct"/>
            <w:vAlign w:val="center"/>
            <w:hideMark/>
          </w:tcPr>
          <w:p w14:paraId="0DE09768" w14:textId="77777777" w:rsidR="00000000" w:rsidRDefault="00832D71">
            <w:pPr>
              <w:rPr>
                <w:rFonts w:eastAsia="Times New Roman"/>
                <w:sz w:val="20"/>
                <w:szCs w:val="20"/>
              </w:rPr>
            </w:pPr>
          </w:p>
        </w:tc>
        <w:tc>
          <w:tcPr>
            <w:tcW w:w="50" w:type="pct"/>
            <w:vAlign w:val="center"/>
            <w:hideMark/>
          </w:tcPr>
          <w:p w14:paraId="7C1D350A" w14:textId="77777777" w:rsidR="00000000" w:rsidRDefault="00832D71">
            <w:pPr>
              <w:rPr>
                <w:rFonts w:eastAsia="Times New Roman"/>
                <w:sz w:val="20"/>
                <w:szCs w:val="20"/>
              </w:rPr>
            </w:pPr>
          </w:p>
        </w:tc>
        <w:tc>
          <w:tcPr>
            <w:tcW w:w="56" w:type="pct"/>
            <w:vAlign w:val="center"/>
            <w:hideMark/>
          </w:tcPr>
          <w:p w14:paraId="0788ACAF" w14:textId="77777777" w:rsidR="00000000" w:rsidRDefault="00832D71">
            <w:pPr>
              <w:rPr>
                <w:rFonts w:eastAsia="Times New Roman"/>
                <w:sz w:val="20"/>
                <w:szCs w:val="20"/>
              </w:rPr>
            </w:pPr>
          </w:p>
        </w:tc>
        <w:tc>
          <w:tcPr>
            <w:tcW w:w="50" w:type="pct"/>
            <w:vAlign w:val="center"/>
            <w:hideMark/>
          </w:tcPr>
          <w:p w14:paraId="2155665B" w14:textId="77777777" w:rsidR="00000000" w:rsidRDefault="00832D71">
            <w:pPr>
              <w:rPr>
                <w:rFonts w:eastAsia="Times New Roman"/>
                <w:sz w:val="20"/>
                <w:szCs w:val="20"/>
              </w:rPr>
            </w:pPr>
          </w:p>
        </w:tc>
        <w:tc>
          <w:tcPr>
            <w:tcW w:w="370" w:type="pct"/>
            <w:vAlign w:val="center"/>
            <w:hideMark/>
          </w:tcPr>
          <w:p w14:paraId="64446E0C" w14:textId="77777777" w:rsidR="00000000" w:rsidRDefault="00832D71">
            <w:pPr>
              <w:rPr>
                <w:rFonts w:eastAsia="Times New Roman"/>
                <w:sz w:val="20"/>
                <w:szCs w:val="20"/>
              </w:rPr>
            </w:pPr>
          </w:p>
        </w:tc>
        <w:tc>
          <w:tcPr>
            <w:tcW w:w="50" w:type="pct"/>
            <w:vAlign w:val="center"/>
            <w:hideMark/>
          </w:tcPr>
          <w:p w14:paraId="303EBD05" w14:textId="77777777" w:rsidR="00000000" w:rsidRDefault="00832D71">
            <w:pPr>
              <w:rPr>
                <w:rFonts w:eastAsia="Times New Roman"/>
                <w:sz w:val="20"/>
                <w:szCs w:val="20"/>
              </w:rPr>
            </w:pPr>
          </w:p>
        </w:tc>
        <w:tc>
          <w:tcPr>
            <w:tcW w:w="45" w:type="pct"/>
            <w:vAlign w:val="center"/>
            <w:hideMark/>
          </w:tcPr>
          <w:p w14:paraId="71E6298D" w14:textId="77777777" w:rsidR="00000000" w:rsidRDefault="00832D71">
            <w:pPr>
              <w:rPr>
                <w:rFonts w:eastAsia="Times New Roman"/>
                <w:sz w:val="20"/>
                <w:szCs w:val="20"/>
              </w:rPr>
            </w:pPr>
          </w:p>
        </w:tc>
        <w:tc>
          <w:tcPr>
            <w:tcW w:w="50" w:type="pct"/>
            <w:vAlign w:val="center"/>
            <w:hideMark/>
          </w:tcPr>
          <w:p w14:paraId="25D50407" w14:textId="77777777" w:rsidR="00000000" w:rsidRDefault="00832D71">
            <w:pPr>
              <w:rPr>
                <w:rFonts w:eastAsia="Times New Roman"/>
                <w:sz w:val="20"/>
                <w:szCs w:val="20"/>
              </w:rPr>
            </w:pPr>
          </w:p>
        </w:tc>
        <w:tc>
          <w:tcPr>
            <w:tcW w:w="812" w:type="pct"/>
            <w:vAlign w:val="center"/>
            <w:hideMark/>
          </w:tcPr>
          <w:p w14:paraId="7808597B" w14:textId="77777777" w:rsidR="00000000" w:rsidRDefault="00832D71">
            <w:pPr>
              <w:rPr>
                <w:rFonts w:eastAsia="Times New Roman"/>
                <w:sz w:val="20"/>
                <w:szCs w:val="20"/>
              </w:rPr>
            </w:pPr>
          </w:p>
        </w:tc>
        <w:tc>
          <w:tcPr>
            <w:tcW w:w="50" w:type="pct"/>
            <w:vAlign w:val="center"/>
            <w:hideMark/>
          </w:tcPr>
          <w:p w14:paraId="735DB4D3" w14:textId="77777777" w:rsidR="00000000" w:rsidRDefault="00832D71">
            <w:pPr>
              <w:rPr>
                <w:rFonts w:eastAsia="Times New Roman"/>
                <w:sz w:val="20"/>
                <w:szCs w:val="20"/>
              </w:rPr>
            </w:pPr>
          </w:p>
        </w:tc>
        <w:tc>
          <w:tcPr>
            <w:tcW w:w="56" w:type="pct"/>
            <w:vAlign w:val="center"/>
            <w:hideMark/>
          </w:tcPr>
          <w:p w14:paraId="6CEEE747" w14:textId="77777777" w:rsidR="00000000" w:rsidRDefault="00832D71">
            <w:pPr>
              <w:rPr>
                <w:rFonts w:eastAsia="Times New Roman"/>
                <w:sz w:val="20"/>
                <w:szCs w:val="20"/>
              </w:rPr>
            </w:pPr>
          </w:p>
        </w:tc>
        <w:tc>
          <w:tcPr>
            <w:tcW w:w="50" w:type="pct"/>
            <w:vAlign w:val="center"/>
            <w:hideMark/>
          </w:tcPr>
          <w:p w14:paraId="242B8CE6" w14:textId="77777777" w:rsidR="00000000" w:rsidRDefault="00832D71">
            <w:pPr>
              <w:rPr>
                <w:rFonts w:eastAsia="Times New Roman"/>
                <w:sz w:val="20"/>
                <w:szCs w:val="20"/>
              </w:rPr>
            </w:pPr>
          </w:p>
        </w:tc>
        <w:tc>
          <w:tcPr>
            <w:tcW w:w="610" w:type="pct"/>
            <w:vAlign w:val="center"/>
            <w:hideMark/>
          </w:tcPr>
          <w:p w14:paraId="35C92201" w14:textId="77777777" w:rsidR="00000000" w:rsidRDefault="00832D71">
            <w:pPr>
              <w:rPr>
                <w:rFonts w:eastAsia="Times New Roman"/>
                <w:sz w:val="20"/>
                <w:szCs w:val="20"/>
              </w:rPr>
            </w:pPr>
          </w:p>
        </w:tc>
        <w:tc>
          <w:tcPr>
            <w:tcW w:w="50" w:type="pct"/>
            <w:vAlign w:val="center"/>
            <w:hideMark/>
          </w:tcPr>
          <w:p w14:paraId="002A6106" w14:textId="77777777" w:rsidR="00000000" w:rsidRDefault="00832D71">
            <w:pPr>
              <w:rPr>
                <w:rFonts w:eastAsia="Times New Roman"/>
                <w:sz w:val="20"/>
                <w:szCs w:val="20"/>
              </w:rPr>
            </w:pPr>
          </w:p>
        </w:tc>
      </w:tr>
      <w:tr w:rsidR="00000000" w14:paraId="6B0754E6" w14:textId="77777777">
        <w:trPr>
          <w:trHeight w:val="160"/>
          <w:tblCellSpacing w:w="15" w:type="dxa"/>
        </w:trPr>
        <w:tc>
          <w:tcPr>
            <w:tcW w:w="0" w:type="auto"/>
            <w:gridSpan w:val="20"/>
            <w:vAlign w:val="bottom"/>
            <w:hideMark/>
          </w:tcPr>
          <w:p w14:paraId="3F8167C1" w14:textId="77777777" w:rsidR="00000000" w:rsidRDefault="00832D71">
            <w:pPr>
              <w:pStyle w:val="a3"/>
              <w:spacing w:before="0" w:beforeAutospacing="0" w:after="0" w:afterAutospacing="0"/>
              <w:jc w:val="center"/>
              <w:rPr>
                <w:sz w:val="16"/>
                <w:szCs w:val="16"/>
              </w:rPr>
            </w:pPr>
            <w:r>
              <w:rPr>
                <w:b/>
                <w:bCs/>
                <w:sz w:val="16"/>
                <w:szCs w:val="16"/>
              </w:rPr>
              <w:t>Fiscal 202</w:t>
            </w:r>
            <w:r>
              <w:rPr>
                <w:b/>
                <w:bCs/>
                <w:sz w:val="16"/>
                <w:szCs w:val="16"/>
              </w:rPr>
              <w:t>2</w:t>
            </w:r>
          </w:p>
        </w:tc>
        <w:tc>
          <w:tcPr>
            <w:tcW w:w="0" w:type="auto"/>
            <w:vAlign w:val="bottom"/>
            <w:hideMark/>
          </w:tcPr>
          <w:p w14:paraId="62762F74"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E27945D" w14:textId="77777777">
        <w:trPr>
          <w:trHeight w:val="160"/>
          <w:tblCellSpacing w:w="15" w:type="dxa"/>
        </w:trPr>
        <w:tc>
          <w:tcPr>
            <w:tcW w:w="0" w:type="auto"/>
            <w:vAlign w:val="bottom"/>
            <w:hideMark/>
          </w:tcPr>
          <w:p w14:paraId="1350DAA4" w14:textId="77777777" w:rsidR="00000000" w:rsidRDefault="00832D71">
            <w:pPr>
              <w:pStyle w:val="a3"/>
              <w:spacing w:before="0" w:beforeAutospacing="0" w:after="0" w:afterAutospacing="0"/>
              <w:jc w:val="center"/>
              <w:rPr>
                <w:sz w:val="16"/>
                <w:szCs w:val="16"/>
              </w:rPr>
            </w:pPr>
            <w:r>
              <w:rPr>
                <w:b/>
                <w:bCs/>
                <w:sz w:val="16"/>
                <w:szCs w:val="16"/>
              </w:rPr>
              <w:t>Type of Compensatio</w:t>
            </w:r>
            <w:r>
              <w:rPr>
                <w:b/>
                <w:bCs/>
                <w:sz w:val="16"/>
                <w:szCs w:val="16"/>
              </w:rPr>
              <w:t>n</w:t>
            </w:r>
          </w:p>
        </w:tc>
        <w:tc>
          <w:tcPr>
            <w:tcW w:w="0" w:type="auto"/>
            <w:hideMark/>
          </w:tcPr>
          <w:p w14:paraId="1FE08C6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4767E65" w14:textId="77777777" w:rsidR="00000000" w:rsidRDefault="00832D71">
            <w:pPr>
              <w:pStyle w:val="a3"/>
              <w:spacing w:before="0" w:beforeAutospacing="0" w:after="0" w:afterAutospacing="0"/>
              <w:jc w:val="center"/>
              <w:rPr>
                <w:sz w:val="16"/>
                <w:szCs w:val="16"/>
              </w:rPr>
            </w:pPr>
            <w:r>
              <w:rPr>
                <w:b/>
                <w:bCs/>
                <w:sz w:val="16"/>
                <w:szCs w:val="16"/>
              </w:rPr>
              <w:t>Mr. Stival</w:t>
            </w:r>
            <w:r>
              <w:rPr>
                <w:b/>
                <w:bCs/>
                <w:sz w:val="16"/>
                <w:szCs w:val="16"/>
              </w:rPr>
              <w:t>a</w:t>
            </w:r>
          </w:p>
        </w:tc>
        <w:tc>
          <w:tcPr>
            <w:tcW w:w="0" w:type="auto"/>
            <w:vAlign w:val="bottom"/>
            <w:hideMark/>
          </w:tcPr>
          <w:p w14:paraId="50DBA6A8"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5955D3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E24D255" w14:textId="77777777" w:rsidR="00000000" w:rsidRDefault="00832D71">
            <w:pPr>
              <w:pStyle w:val="a3"/>
              <w:spacing w:before="0" w:beforeAutospacing="0" w:after="0" w:afterAutospacing="0"/>
              <w:jc w:val="center"/>
              <w:rPr>
                <w:sz w:val="16"/>
                <w:szCs w:val="16"/>
              </w:rPr>
            </w:pPr>
            <w:r>
              <w:rPr>
                <w:b/>
                <w:bCs/>
                <w:sz w:val="16"/>
                <w:szCs w:val="16"/>
              </w:rPr>
              <w:t>Mr. Kugli</w:t>
            </w:r>
            <w:r>
              <w:rPr>
                <w:b/>
                <w:bCs/>
                <w:sz w:val="16"/>
                <w:szCs w:val="16"/>
              </w:rPr>
              <w:t>n</w:t>
            </w:r>
          </w:p>
        </w:tc>
        <w:tc>
          <w:tcPr>
            <w:tcW w:w="0" w:type="auto"/>
            <w:vAlign w:val="bottom"/>
            <w:hideMark/>
          </w:tcPr>
          <w:p w14:paraId="05A5BCD5"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249E27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781B3B7" w14:textId="77777777" w:rsidR="00000000" w:rsidRDefault="00832D71">
            <w:pPr>
              <w:pStyle w:val="a3"/>
              <w:spacing w:before="0" w:beforeAutospacing="0" w:after="0" w:afterAutospacing="0"/>
              <w:jc w:val="center"/>
              <w:rPr>
                <w:sz w:val="16"/>
                <w:szCs w:val="16"/>
              </w:rPr>
            </w:pPr>
            <w:r>
              <w:rPr>
                <w:b/>
                <w:bCs/>
                <w:sz w:val="16"/>
                <w:szCs w:val="16"/>
              </w:rPr>
              <w:t>Mr. Boy</w:t>
            </w:r>
            <w:r>
              <w:rPr>
                <w:b/>
                <w:bCs/>
                <w:sz w:val="16"/>
                <w:szCs w:val="16"/>
              </w:rPr>
              <w:t>d</w:t>
            </w:r>
          </w:p>
        </w:tc>
        <w:tc>
          <w:tcPr>
            <w:tcW w:w="0" w:type="auto"/>
            <w:vAlign w:val="bottom"/>
            <w:hideMark/>
          </w:tcPr>
          <w:p w14:paraId="35D84E12"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637D32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6ACEF29" w14:textId="77777777" w:rsidR="00000000" w:rsidRDefault="00832D71">
            <w:pPr>
              <w:pStyle w:val="a3"/>
              <w:spacing w:before="0" w:beforeAutospacing="0" w:after="0" w:afterAutospacing="0"/>
              <w:jc w:val="center"/>
              <w:rPr>
                <w:sz w:val="16"/>
                <w:szCs w:val="16"/>
              </w:rPr>
            </w:pPr>
            <w:r>
              <w:rPr>
                <w:b/>
                <w:bCs/>
                <w:sz w:val="16"/>
                <w:szCs w:val="16"/>
              </w:rPr>
              <w:t>Mr. Brinkwort</w:t>
            </w:r>
            <w:r>
              <w:rPr>
                <w:b/>
                <w:bCs/>
                <w:sz w:val="16"/>
                <w:szCs w:val="16"/>
              </w:rPr>
              <w:t>h</w:t>
            </w:r>
          </w:p>
        </w:tc>
        <w:tc>
          <w:tcPr>
            <w:tcW w:w="0" w:type="auto"/>
            <w:vAlign w:val="bottom"/>
            <w:hideMark/>
          </w:tcPr>
          <w:p w14:paraId="135FF03B"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28FD65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31E5EFC" w14:textId="77777777" w:rsidR="00000000" w:rsidRDefault="00832D71">
            <w:pPr>
              <w:pStyle w:val="a3"/>
              <w:spacing w:before="0" w:beforeAutospacing="0" w:after="0" w:afterAutospacing="0"/>
              <w:jc w:val="center"/>
              <w:rPr>
                <w:sz w:val="16"/>
                <w:szCs w:val="16"/>
              </w:rPr>
            </w:pPr>
            <w:r>
              <w:rPr>
                <w:b/>
                <w:bCs/>
                <w:sz w:val="16"/>
                <w:szCs w:val="16"/>
              </w:rPr>
              <w:t>Mr. Scanlo</w:t>
            </w:r>
            <w:r>
              <w:rPr>
                <w:b/>
                <w:bCs/>
                <w:sz w:val="16"/>
                <w:szCs w:val="16"/>
              </w:rPr>
              <w:t>n</w:t>
            </w:r>
          </w:p>
        </w:tc>
        <w:tc>
          <w:tcPr>
            <w:tcW w:w="0" w:type="auto"/>
            <w:vAlign w:val="bottom"/>
            <w:hideMark/>
          </w:tcPr>
          <w:p w14:paraId="7F2EB6CB"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807A194" w14:textId="77777777">
        <w:trPr>
          <w:trHeight w:val="160"/>
          <w:tblCellSpacing w:w="15" w:type="dxa"/>
        </w:trPr>
        <w:tc>
          <w:tcPr>
            <w:tcW w:w="0" w:type="auto"/>
            <w:hideMark/>
          </w:tcPr>
          <w:p w14:paraId="0F738F20" w14:textId="77777777" w:rsidR="00000000" w:rsidRDefault="00832D71">
            <w:pPr>
              <w:pStyle w:val="a3"/>
              <w:spacing w:before="0" w:beforeAutospacing="0" w:after="0" w:afterAutospacing="0"/>
              <w:rPr>
                <w:sz w:val="16"/>
                <w:szCs w:val="16"/>
              </w:rPr>
            </w:pPr>
            <w:r>
              <w:rPr>
                <w:sz w:val="16"/>
                <w:szCs w:val="16"/>
              </w:rPr>
              <w:t>401(k) Matc</w:t>
            </w:r>
            <w:r>
              <w:rPr>
                <w:sz w:val="16"/>
                <w:szCs w:val="16"/>
              </w:rPr>
              <w:t>h</w:t>
            </w:r>
          </w:p>
        </w:tc>
        <w:tc>
          <w:tcPr>
            <w:tcW w:w="0" w:type="auto"/>
            <w:hideMark/>
          </w:tcPr>
          <w:p w14:paraId="5F468235"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EFE2550"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6EA43C7" w14:textId="77777777" w:rsidR="00000000" w:rsidRDefault="00832D71">
            <w:pPr>
              <w:pStyle w:val="a3"/>
              <w:spacing w:before="0" w:beforeAutospacing="0" w:after="0" w:afterAutospacing="0"/>
              <w:jc w:val="right"/>
              <w:rPr>
                <w:sz w:val="16"/>
                <w:szCs w:val="16"/>
              </w:rPr>
            </w:pPr>
            <w:r>
              <w:rPr>
                <w:sz w:val="16"/>
                <w:szCs w:val="16"/>
              </w:rPr>
              <w:t>9,15</w:t>
            </w:r>
            <w:r>
              <w:rPr>
                <w:sz w:val="16"/>
                <w:szCs w:val="16"/>
              </w:rPr>
              <w:t>0</w:t>
            </w:r>
          </w:p>
        </w:tc>
        <w:tc>
          <w:tcPr>
            <w:tcW w:w="0" w:type="auto"/>
            <w:noWrap/>
            <w:vAlign w:val="bottom"/>
            <w:hideMark/>
          </w:tcPr>
          <w:p w14:paraId="443721B4"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214CC43"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2ECDFF6"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1458ADFF" w14:textId="77777777" w:rsidR="00000000" w:rsidRDefault="00832D71">
            <w:pPr>
              <w:pStyle w:val="a3"/>
              <w:spacing w:before="0" w:beforeAutospacing="0" w:after="0" w:afterAutospacing="0"/>
              <w:jc w:val="right"/>
              <w:rPr>
                <w:sz w:val="16"/>
                <w:szCs w:val="16"/>
              </w:rPr>
            </w:pPr>
            <w:r>
              <w:rPr>
                <w:sz w:val="16"/>
                <w:szCs w:val="16"/>
              </w:rPr>
              <w:t>9,15</w:t>
            </w:r>
            <w:r>
              <w:rPr>
                <w:sz w:val="16"/>
                <w:szCs w:val="16"/>
              </w:rPr>
              <w:t>0</w:t>
            </w:r>
          </w:p>
        </w:tc>
        <w:tc>
          <w:tcPr>
            <w:tcW w:w="0" w:type="auto"/>
            <w:noWrap/>
            <w:vAlign w:val="bottom"/>
            <w:hideMark/>
          </w:tcPr>
          <w:p w14:paraId="2917CA02"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0AD7550"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97A3595"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106685D3" w14:textId="77777777" w:rsidR="00000000" w:rsidRDefault="00832D71">
            <w:pPr>
              <w:pStyle w:val="a3"/>
              <w:spacing w:before="0" w:beforeAutospacing="0" w:after="0" w:afterAutospacing="0"/>
              <w:jc w:val="right"/>
              <w:rPr>
                <w:sz w:val="16"/>
                <w:szCs w:val="16"/>
              </w:rPr>
            </w:pPr>
            <w:r>
              <w:rPr>
                <w:sz w:val="16"/>
                <w:szCs w:val="16"/>
              </w:rPr>
              <w:t>9,15</w:t>
            </w:r>
            <w:r>
              <w:rPr>
                <w:sz w:val="16"/>
                <w:szCs w:val="16"/>
              </w:rPr>
              <w:t>0</w:t>
            </w:r>
          </w:p>
        </w:tc>
        <w:tc>
          <w:tcPr>
            <w:tcW w:w="0" w:type="auto"/>
            <w:noWrap/>
            <w:vAlign w:val="bottom"/>
            <w:hideMark/>
          </w:tcPr>
          <w:p w14:paraId="4828AA52"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B1AEE3E"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332B44A"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3B3B46B6" w14:textId="77777777" w:rsidR="00000000" w:rsidRDefault="00832D71">
            <w:pPr>
              <w:pStyle w:val="a3"/>
              <w:spacing w:before="0" w:beforeAutospacing="0" w:after="0" w:afterAutospacing="0"/>
              <w:jc w:val="right"/>
              <w:rPr>
                <w:sz w:val="16"/>
                <w:szCs w:val="16"/>
              </w:rPr>
            </w:pPr>
            <w:r>
              <w:rPr>
                <w:sz w:val="16"/>
                <w:szCs w:val="16"/>
              </w:rPr>
              <w:t>9,15</w:t>
            </w:r>
            <w:r>
              <w:rPr>
                <w:sz w:val="16"/>
                <w:szCs w:val="16"/>
              </w:rPr>
              <w:t>0</w:t>
            </w:r>
          </w:p>
        </w:tc>
        <w:tc>
          <w:tcPr>
            <w:tcW w:w="0" w:type="auto"/>
            <w:noWrap/>
            <w:vAlign w:val="bottom"/>
            <w:hideMark/>
          </w:tcPr>
          <w:p w14:paraId="6C14870F"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A8E4D92"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042D571"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4F035679" w14:textId="77777777" w:rsidR="00000000" w:rsidRDefault="00832D71">
            <w:pPr>
              <w:pStyle w:val="a3"/>
              <w:spacing w:before="0" w:beforeAutospacing="0" w:after="0" w:afterAutospacing="0"/>
              <w:jc w:val="right"/>
              <w:rPr>
                <w:sz w:val="16"/>
                <w:szCs w:val="16"/>
              </w:rPr>
            </w:pPr>
            <w:r>
              <w:rPr>
                <w:sz w:val="16"/>
                <w:szCs w:val="16"/>
              </w:rPr>
              <w:t>9,15</w:t>
            </w:r>
            <w:r>
              <w:rPr>
                <w:sz w:val="16"/>
                <w:szCs w:val="16"/>
              </w:rPr>
              <w:t>0</w:t>
            </w:r>
          </w:p>
        </w:tc>
        <w:tc>
          <w:tcPr>
            <w:tcW w:w="0" w:type="auto"/>
            <w:noWrap/>
            <w:vAlign w:val="bottom"/>
            <w:hideMark/>
          </w:tcPr>
          <w:p w14:paraId="4E1934B3" w14:textId="77777777" w:rsidR="00000000" w:rsidRDefault="00832D71">
            <w:pPr>
              <w:pStyle w:val="a3"/>
              <w:spacing w:before="0" w:beforeAutospacing="0" w:after="0" w:afterAutospacing="0"/>
              <w:rPr>
                <w:sz w:val="16"/>
                <w:szCs w:val="16"/>
              </w:rPr>
            </w:pPr>
            <w:r>
              <w:rPr>
                <w:sz w:val="16"/>
                <w:szCs w:val="16"/>
              </w:rPr>
              <w:t> </w:t>
            </w:r>
          </w:p>
        </w:tc>
      </w:tr>
      <w:tr w:rsidR="00000000" w14:paraId="3D5A6639" w14:textId="77777777">
        <w:trPr>
          <w:trHeight w:val="160"/>
          <w:tblCellSpacing w:w="15" w:type="dxa"/>
        </w:trPr>
        <w:tc>
          <w:tcPr>
            <w:tcW w:w="0" w:type="auto"/>
            <w:hideMark/>
          </w:tcPr>
          <w:p w14:paraId="17CE697C" w14:textId="77777777" w:rsidR="00000000" w:rsidRDefault="00832D71">
            <w:pPr>
              <w:pStyle w:val="a3"/>
              <w:spacing w:before="0" w:beforeAutospacing="0" w:after="0" w:afterAutospacing="0"/>
              <w:rPr>
                <w:sz w:val="16"/>
                <w:szCs w:val="16"/>
              </w:rPr>
            </w:pPr>
            <w:r>
              <w:rPr>
                <w:sz w:val="16"/>
                <w:szCs w:val="16"/>
              </w:rPr>
              <w:t>Value of Annual Physical Examinatio</w:t>
            </w:r>
            <w:r>
              <w:rPr>
                <w:sz w:val="16"/>
                <w:szCs w:val="16"/>
              </w:rPr>
              <w:t>n</w:t>
            </w:r>
          </w:p>
        </w:tc>
        <w:tc>
          <w:tcPr>
            <w:tcW w:w="0" w:type="auto"/>
            <w:hideMark/>
          </w:tcPr>
          <w:p w14:paraId="64B16ECB"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5F45D2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AA6813B" w14:textId="77777777" w:rsidR="00000000" w:rsidRDefault="00832D71">
            <w:pPr>
              <w:pStyle w:val="a3"/>
              <w:spacing w:before="0" w:beforeAutospacing="0" w:after="0" w:afterAutospacing="0"/>
              <w:jc w:val="right"/>
              <w:rPr>
                <w:sz w:val="16"/>
                <w:szCs w:val="16"/>
              </w:rPr>
            </w:pPr>
            <w:r>
              <w:rPr>
                <w:sz w:val="16"/>
                <w:szCs w:val="16"/>
              </w:rPr>
              <w:t>3,15</w:t>
            </w:r>
            <w:r>
              <w:rPr>
                <w:sz w:val="16"/>
                <w:szCs w:val="16"/>
              </w:rPr>
              <w:t>0</w:t>
            </w:r>
          </w:p>
        </w:tc>
        <w:tc>
          <w:tcPr>
            <w:tcW w:w="0" w:type="auto"/>
            <w:noWrap/>
            <w:vAlign w:val="bottom"/>
            <w:hideMark/>
          </w:tcPr>
          <w:p w14:paraId="30B862A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CADF05F"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7EB337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5225CF6" w14:textId="77777777" w:rsidR="00000000" w:rsidRDefault="00832D71">
            <w:pPr>
              <w:pStyle w:val="a3"/>
              <w:spacing w:before="0" w:beforeAutospacing="0" w:after="0" w:afterAutospacing="0"/>
              <w:jc w:val="right"/>
              <w:rPr>
                <w:sz w:val="16"/>
                <w:szCs w:val="16"/>
              </w:rPr>
            </w:pPr>
            <w:r>
              <w:rPr>
                <w:sz w:val="16"/>
                <w:szCs w:val="16"/>
              </w:rPr>
              <w:t>3,15</w:t>
            </w:r>
            <w:r>
              <w:rPr>
                <w:sz w:val="16"/>
                <w:szCs w:val="16"/>
              </w:rPr>
              <w:t>0</w:t>
            </w:r>
          </w:p>
        </w:tc>
        <w:tc>
          <w:tcPr>
            <w:tcW w:w="0" w:type="auto"/>
            <w:noWrap/>
            <w:vAlign w:val="bottom"/>
            <w:hideMark/>
          </w:tcPr>
          <w:p w14:paraId="1254FF18"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1CAF842"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2A2F330"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05851E8"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vAlign w:val="bottom"/>
            <w:hideMark/>
          </w:tcPr>
          <w:p w14:paraId="574AE01C"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E84802A"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C35CC5B"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6EDBE0F" w14:textId="77777777" w:rsidR="00000000" w:rsidRDefault="00832D71">
            <w:pPr>
              <w:pStyle w:val="a3"/>
              <w:spacing w:before="0" w:beforeAutospacing="0" w:after="0" w:afterAutospacing="0"/>
              <w:jc w:val="right"/>
              <w:rPr>
                <w:sz w:val="16"/>
                <w:szCs w:val="16"/>
              </w:rPr>
            </w:pPr>
            <w:r>
              <w:rPr>
                <w:sz w:val="16"/>
                <w:szCs w:val="16"/>
              </w:rPr>
              <w:t>3,55</w:t>
            </w:r>
            <w:r>
              <w:rPr>
                <w:sz w:val="16"/>
                <w:szCs w:val="16"/>
              </w:rPr>
              <w:t>0</w:t>
            </w:r>
          </w:p>
        </w:tc>
        <w:tc>
          <w:tcPr>
            <w:tcW w:w="0" w:type="auto"/>
            <w:noWrap/>
            <w:vAlign w:val="bottom"/>
            <w:hideMark/>
          </w:tcPr>
          <w:p w14:paraId="49A14128"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A4D7119"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7F8B68F"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B8043B2"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vAlign w:val="bottom"/>
            <w:hideMark/>
          </w:tcPr>
          <w:p w14:paraId="42B1E2E6" w14:textId="77777777" w:rsidR="00000000" w:rsidRDefault="00832D71">
            <w:pPr>
              <w:pStyle w:val="a3"/>
              <w:spacing w:before="0" w:beforeAutospacing="0" w:after="0" w:afterAutospacing="0"/>
              <w:rPr>
                <w:sz w:val="16"/>
                <w:szCs w:val="16"/>
              </w:rPr>
            </w:pPr>
            <w:r>
              <w:rPr>
                <w:sz w:val="16"/>
                <w:szCs w:val="16"/>
              </w:rPr>
              <w:t> </w:t>
            </w:r>
          </w:p>
        </w:tc>
      </w:tr>
      <w:tr w:rsidR="00000000" w14:paraId="18A5C4BA" w14:textId="77777777">
        <w:trPr>
          <w:trHeight w:val="160"/>
          <w:tblCellSpacing w:w="15" w:type="dxa"/>
        </w:trPr>
        <w:tc>
          <w:tcPr>
            <w:tcW w:w="0" w:type="auto"/>
            <w:hideMark/>
          </w:tcPr>
          <w:p w14:paraId="50107C49" w14:textId="77777777" w:rsidR="00000000" w:rsidRDefault="00832D71">
            <w:pPr>
              <w:pStyle w:val="a3"/>
              <w:spacing w:before="0" w:beforeAutospacing="0" w:after="0" w:afterAutospacing="0"/>
              <w:rPr>
                <w:sz w:val="16"/>
                <w:szCs w:val="16"/>
              </w:rPr>
            </w:pPr>
            <w:r>
              <w:rPr>
                <w:sz w:val="16"/>
                <w:szCs w:val="16"/>
              </w:rPr>
              <w:t>Value of Partnership Provided Vehicle</w:t>
            </w:r>
            <w:r>
              <w:rPr>
                <w:sz w:val="16"/>
                <w:szCs w:val="16"/>
              </w:rPr>
              <w:t>s</w:t>
            </w:r>
          </w:p>
        </w:tc>
        <w:tc>
          <w:tcPr>
            <w:tcW w:w="0" w:type="auto"/>
            <w:hideMark/>
          </w:tcPr>
          <w:p w14:paraId="237CE5B9"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9859E9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62192B1" w14:textId="77777777" w:rsidR="00000000" w:rsidRDefault="00832D71">
            <w:pPr>
              <w:pStyle w:val="a3"/>
              <w:spacing w:before="0" w:beforeAutospacing="0" w:after="0" w:afterAutospacing="0"/>
              <w:jc w:val="right"/>
              <w:rPr>
                <w:sz w:val="16"/>
                <w:szCs w:val="16"/>
              </w:rPr>
            </w:pPr>
            <w:r>
              <w:rPr>
                <w:sz w:val="16"/>
                <w:szCs w:val="16"/>
              </w:rPr>
              <w:t>18,26</w:t>
            </w:r>
            <w:r>
              <w:rPr>
                <w:sz w:val="16"/>
                <w:szCs w:val="16"/>
              </w:rPr>
              <w:t>3</w:t>
            </w:r>
          </w:p>
        </w:tc>
        <w:tc>
          <w:tcPr>
            <w:tcW w:w="0" w:type="auto"/>
            <w:noWrap/>
            <w:vAlign w:val="bottom"/>
            <w:hideMark/>
          </w:tcPr>
          <w:p w14:paraId="310584F7"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BCACA74"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DC58BFF"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E9896E5" w14:textId="77777777" w:rsidR="00000000" w:rsidRDefault="00832D71">
            <w:pPr>
              <w:pStyle w:val="a3"/>
              <w:spacing w:before="0" w:beforeAutospacing="0" w:after="0" w:afterAutospacing="0"/>
              <w:jc w:val="right"/>
              <w:rPr>
                <w:sz w:val="16"/>
                <w:szCs w:val="16"/>
              </w:rPr>
            </w:pPr>
            <w:r>
              <w:rPr>
                <w:sz w:val="16"/>
                <w:szCs w:val="16"/>
              </w:rPr>
              <w:t>20,93</w:t>
            </w:r>
            <w:r>
              <w:rPr>
                <w:sz w:val="16"/>
                <w:szCs w:val="16"/>
              </w:rPr>
              <w:t>2</w:t>
            </w:r>
          </w:p>
        </w:tc>
        <w:tc>
          <w:tcPr>
            <w:tcW w:w="0" w:type="auto"/>
            <w:noWrap/>
            <w:vAlign w:val="bottom"/>
            <w:hideMark/>
          </w:tcPr>
          <w:p w14:paraId="4EE1A057"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0D0F895"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BDD30D7"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FA7713C" w14:textId="77777777" w:rsidR="00000000" w:rsidRDefault="00832D71">
            <w:pPr>
              <w:pStyle w:val="a3"/>
              <w:spacing w:before="0" w:beforeAutospacing="0" w:after="0" w:afterAutospacing="0"/>
              <w:jc w:val="right"/>
              <w:rPr>
                <w:sz w:val="16"/>
                <w:szCs w:val="16"/>
              </w:rPr>
            </w:pPr>
            <w:r>
              <w:rPr>
                <w:sz w:val="16"/>
                <w:szCs w:val="16"/>
              </w:rPr>
              <w:t>9,05</w:t>
            </w:r>
            <w:r>
              <w:rPr>
                <w:sz w:val="16"/>
                <w:szCs w:val="16"/>
              </w:rPr>
              <w:t>7</w:t>
            </w:r>
          </w:p>
        </w:tc>
        <w:tc>
          <w:tcPr>
            <w:tcW w:w="0" w:type="auto"/>
            <w:noWrap/>
            <w:vAlign w:val="bottom"/>
            <w:hideMark/>
          </w:tcPr>
          <w:p w14:paraId="35AFEF6D"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9810044"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4F3F81D"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E8227FC" w14:textId="77777777" w:rsidR="00000000" w:rsidRDefault="00832D71">
            <w:pPr>
              <w:pStyle w:val="a3"/>
              <w:spacing w:before="0" w:beforeAutospacing="0" w:after="0" w:afterAutospacing="0"/>
              <w:jc w:val="right"/>
              <w:rPr>
                <w:sz w:val="16"/>
                <w:szCs w:val="16"/>
              </w:rPr>
            </w:pPr>
            <w:r>
              <w:rPr>
                <w:sz w:val="16"/>
                <w:szCs w:val="16"/>
              </w:rPr>
              <w:t>18,00</w:t>
            </w:r>
            <w:r>
              <w:rPr>
                <w:sz w:val="16"/>
                <w:szCs w:val="16"/>
              </w:rPr>
              <w:t>2</w:t>
            </w:r>
          </w:p>
        </w:tc>
        <w:tc>
          <w:tcPr>
            <w:tcW w:w="0" w:type="auto"/>
            <w:noWrap/>
            <w:vAlign w:val="bottom"/>
            <w:hideMark/>
          </w:tcPr>
          <w:p w14:paraId="2244B1E9"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069F66F"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C1FE26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E3D80B5" w14:textId="77777777" w:rsidR="00000000" w:rsidRDefault="00832D71">
            <w:pPr>
              <w:pStyle w:val="a3"/>
              <w:spacing w:before="0" w:beforeAutospacing="0" w:after="0" w:afterAutospacing="0"/>
              <w:jc w:val="right"/>
              <w:rPr>
                <w:sz w:val="16"/>
                <w:szCs w:val="16"/>
              </w:rPr>
            </w:pPr>
            <w:r>
              <w:rPr>
                <w:sz w:val="16"/>
                <w:szCs w:val="16"/>
              </w:rPr>
              <w:t>18,82</w:t>
            </w:r>
            <w:r>
              <w:rPr>
                <w:sz w:val="16"/>
                <w:szCs w:val="16"/>
              </w:rPr>
              <w:t>2</w:t>
            </w:r>
          </w:p>
        </w:tc>
        <w:tc>
          <w:tcPr>
            <w:tcW w:w="0" w:type="auto"/>
            <w:noWrap/>
            <w:vAlign w:val="bottom"/>
            <w:hideMark/>
          </w:tcPr>
          <w:p w14:paraId="087F59D4" w14:textId="77777777" w:rsidR="00000000" w:rsidRDefault="00832D71">
            <w:pPr>
              <w:pStyle w:val="a3"/>
              <w:spacing w:before="0" w:beforeAutospacing="0" w:after="0" w:afterAutospacing="0"/>
              <w:rPr>
                <w:sz w:val="16"/>
                <w:szCs w:val="16"/>
              </w:rPr>
            </w:pPr>
            <w:r>
              <w:rPr>
                <w:sz w:val="16"/>
                <w:szCs w:val="16"/>
              </w:rPr>
              <w:t> </w:t>
            </w:r>
          </w:p>
        </w:tc>
      </w:tr>
      <w:tr w:rsidR="00000000" w14:paraId="75C1C0EF" w14:textId="77777777">
        <w:trPr>
          <w:trHeight w:val="160"/>
          <w:tblCellSpacing w:w="15" w:type="dxa"/>
        </w:trPr>
        <w:tc>
          <w:tcPr>
            <w:tcW w:w="0" w:type="auto"/>
            <w:hideMark/>
          </w:tcPr>
          <w:p w14:paraId="2A78DB94" w14:textId="77777777" w:rsidR="00000000" w:rsidRDefault="00832D71">
            <w:pPr>
              <w:pStyle w:val="a3"/>
              <w:spacing w:before="0" w:beforeAutospacing="0" w:after="0" w:afterAutospacing="0"/>
              <w:rPr>
                <w:sz w:val="16"/>
                <w:szCs w:val="16"/>
              </w:rPr>
            </w:pPr>
            <w:r>
              <w:rPr>
                <w:sz w:val="16"/>
                <w:szCs w:val="16"/>
              </w:rPr>
              <w:t>Tax Preparation Service</w:t>
            </w:r>
            <w:r>
              <w:rPr>
                <w:sz w:val="16"/>
                <w:szCs w:val="16"/>
              </w:rPr>
              <w:t>s</w:t>
            </w:r>
          </w:p>
        </w:tc>
        <w:tc>
          <w:tcPr>
            <w:tcW w:w="0" w:type="auto"/>
            <w:hideMark/>
          </w:tcPr>
          <w:p w14:paraId="798C8598"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EEE0757"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C9C5678"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vAlign w:val="bottom"/>
            <w:hideMark/>
          </w:tcPr>
          <w:p w14:paraId="04AE0679"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33B115F"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C1632F1"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AAD21B0"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vAlign w:val="bottom"/>
            <w:hideMark/>
          </w:tcPr>
          <w:p w14:paraId="0EF24A7C"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0203FF5"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042435D"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91F2AD1" w14:textId="77777777" w:rsidR="00000000" w:rsidRDefault="00832D71">
            <w:pPr>
              <w:pStyle w:val="a3"/>
              <w:spacing w:before="0" w:beforeAutospacing="0" w:after="0" w:afterAutospacing="0"/>
              <w:jc w:val="right"/>
              <w:rPr>
                <w:sz w:val="16"/>
                <w:szCs w:val="16"/>
              </w:rPr>
            </w:pPr>
            <w:r>
              <w:rPr>
                <w:sz w:val="16"/>
                <w:szCs w:val="16"/>
              </w:rPr>
              <w:t>4,00</w:t>
            </w:r>
            <w:r>
              <w:rPr>
                <w:sz w:val="16"/>
                <w:szCs w:val="16"/>
              </w:rPr>
              <w:t>0</w:t>
            </w:r>
          </w:p>
        </w:tc>
        <w:tc>
          <w:tcPr>
            <w:tcW w:w="0" w:type="auto"/>
            <w:noWrap/>
            <w:vAlign w:val="bottom"/>
            <w:hideMark/>
          </w:tcPr>
          <w:p w14:paraId="7BBA68A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94E52AB"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CC64F5A"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EDEF262" w14:textId="77777777" w:rsidR="00000000" w:rsidRDefault="00832D71">
            <w:pPr>
              <w:pStyle w:val="a3"/>
              <w:spacing w:before="0" w:beforeAutospacing="0" w:after="0" w:afterAutospacing="0"/>
              <w:jc w:val="right"/>
              <w:rPr>
                <w:sz w:val="16"/>
                <w:szCs w:val="16"/>
              </w:rPr>
            </w:pPr>
            <w:r>
              <w:rPr>
                <w:sz w:val="16"/>
                <w:szCs w:val="16"/>
              </w:rPr>
              <w:t>3,20</w:t>
            </w:r>
            <w:r>
              <w:rPr>
                <w:sz w:val="16"/>
                <w:szCs w:val="16"/>
              </w:rPr>
              <w:t>0</w:t>
            </w:r>
          </w:p>
        </w:tc>
        <w:tc>
          <w:tcPr>
            <w:tcW w:w="0" w:type="auto"/>
            <w:noWrap/>
            <w:vAlign w:val="bottom"/>
            <w:hideMark/>
          </w:tcPr>
          <w:p w14:paraId="3A056667"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C365E39"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CC9A49F"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EBD4199" w14:textId="77777777" w:rsidR="00000000" w:rsidRDefault="00832D71">
            <w:pPr>
              <w:pStyle w:val="a3"/>
              <w:spacing w:before="0" w:beforeAutospacing="0" w:after="0" w:afterAutospacing="0"/>
              <w:jc w:val="right"/>
              <w:rPr>
                <w:sz w:val="16"/>
                <w:szCs w:val="16"/>
              </w:rPr>
            </w:pPr>
            <w:r>
              <w:rPr>
                <w:sz w:val="16"/>
                <w:szCs w:val="16"/>
              </w:rPr>
              <w:t>4,00</w:t>
            </w:r>
            <w:r>
              <w:rPr>
                <w:sz w:val="16"/>
                <w:szCs w:val="16"/>
              </w:rPr>
              <w:t>0</w:t>
            </w:r>
          </w:p>
        </w:tc>
        <w:tc>
          <w:tcPr>
            <w:tcW w:w="0" w:type="auto"/>
            <w:noWrap/>
            <w:vAlign w:val="bottom"/>
            <w:hideMark/>
          </w:tcPr>
          <w:p w14:paraId="6D8A829D" w14:textId="77777777" w:rsidR="00000000" w:rsidRDefault="00832D71">
            <w:pPr>
              <w:pStyle w:val="a3"/>
              <w:spacing w:before="0" w:beforeAutospacing="0" w:after="0" w:afterAutospacing="0"/>
              <w:rPr>
                <w:sz w:val="16"/>
                <w:szCs w:val="16"/>
              </w:rPr>
            </w:pPr>
            <w:r>
              <w:rPr>
                <w:sz w:val="16"/>
                <w:szCs w:val="16"/>
              </w:rPr>
              <w:t> </w:t>
            </w:r>
          </w:p>
        </w:tc>
      </w:tr>
      <w:tr w:rsidR="00000000" w14:paraId="1EFC7684" w14:textId="77777777">
        <w:trPr>
          <w:trHeight w:val="160"/>
          <w:tblCellSpacing w:w="15" w:type="dxa"/>
        </w:trPr>
        <w:tc>
          <w:tcPr>
            <w:tcW w:w="0" w:type="auto"/>
            <w:hideMark/>
          </w:tcPr>
          <w:p w14:paraId="2513936D" w14:textId="77777777" w:rsidR="00000000" w:rsidRDefault="00832D71">
            <w:pPr>
              <w:pStyle w:val="a3"/>
              <w:spacing w:before="0" w:beforeAutospacing="0" w:after="0" w:afterAutospacing="0"/>
              <w:rPr>
                <w:sz w:val="16"/>
                <w:szCs w:val="16"/>
              </w:rPr>
            </w:pPr>
            <w:r>
              <w:rPr>
                <w:sz w:val="16"/>
                <w:szCs w:val="16"/>
              </w:rPr>
              <w:t>Cash Balance Plan Administrative Fee</w:t>
            </w:r>
            <w:r>
              <w:rPr>
                <w:sz w:val="16"/>
                <w:szCs w:val="16"/>
              </w:rPr>
              <w:t>s</w:t>
            </w:r>
          </w:p>
        </w:tc>
        <w:tc>
          <w:tcPr>
            <w:tcW w:w="0" w:type="auto"/>
            <w:hideMark/>
          </w:tcPr>
          <w:p w14:paraId="7B0B8726"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44CB2BF"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D71F945"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vAlign w:val="bottom"/>
            <w:hideMark/>
          </w:tcPr>
          <w:p w14:paraId="6874822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8B264A4"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ECBCA2F"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B184869"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vAlign w:val="bottom"/>
            <w:hideMark/>
          </w:tcPr>
          <w:p w14:paraId="6D9ECE17"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0554291"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1E7720A"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70EE0C6" w14:textId="77777777" w:rsidR="00000000" w:rsidRDefault="00832D71">
            <w:pPr>
              <w:pStyle w:val="a3"/>
              <w:spacing w:before="0" w:beforeAutospacing="0" w:after="0" w:afterAutospacing="0"/>
              <w:jc w:val="right"/>
              <w:rPr>
                <w:sz w:val="16"/>
                <w:szCs w:val="16"/>
              </w:rPr>
            </w:pPr>
            <w:r>
              <w:rPr>
                <w:sz w:val="16"/>
                <w:szCs w:val="16"/>
              </w:rPr>
              <w:t>76</w:t>
            </w:r>
            <w:r>
              <w:rPr>
                <w:sz w:val="16"/>
                <w:szCs w:val="16"/>
              </w:rPr>
              <w:t>2</w:t>
            </w:r>
          </w:p>
        </w:tc>
        <w:tc>
          <w:tcPr>
            <w:tcW w:w="0" w:type="auto"/>
            <w:noWrap/>
            <w:vAlign w:val="bottom"/>
            <w:hideMark/>
          </w:tcPr>
          <w:p w14:paraId="60D1C672"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AB6FE4B"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9467F4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08CABB0" w14:textId="77777777" w:rsidR="00000000" w:rsidRDefault="00832D71">
            <w:pPr>
              <w:pStyle w:val="a3"/>
              <w:spacing w:before="0" w:beforeAutospacing="0" w:after="0" w:afterAutospacing="0"/>
              <w:jc w:val="right"/>
              <w:rPr>
                <w:sz w:val="16"/>
                <w:szCs w:val="16"/>
              </w:rPr>
            </w:pPr>
            <w:r>
              <w:rPr>
                <w:sz w:val="16"/>
                <w:szCs w:val="16"/>
              </w:rPr>
              <w:t>76</w:t>
            </w:r>
            <w:r>
              <w:rPr>
                <w:sz w:val="16"/>
                <w:szCs w:val="16"/>
              </w:rPr>
              <w:t>2</w:t>
            </w:r>
          </w:p>
        </w:tc>
        <w:tc>
          <w:tcPr>
            <w:tcW w:w="0" w:type="auto"/>
            <w:noWrap/>
            <w:vAlign w:val="bottom"/>
            <w:hideMark/>
          </w:tcPr>
          <w:p w14:paraId="5FA37F4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E571992"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E7CA7CB"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F3DE199" w14:textId="77777777" w:rsidR="00000000" w:rsidRDefault="00832D71">
            <w:pPr>
              <w:pStyle w:val="a3"/>
              <w:spacing w:before="0" w:beforeAutospacing="0" w:after="0" w:afterAutospacing="0"/>
              <w:jc w:val="right"/>
              <w:rPr>
                <w:sz w:val="16"/>
                <w:szCs w:val="16"/>
              </w:rPr>
            </w:pPr>
            <w:r>
              <w:rPr>
                <w:sz w:val="16"/>
                <w:szCs w:val="16"/>
              </w:rPr>
              <w:t>76</w:t>
            </w:r>
            <w:r>
              <w:rPr>
                <w:sz w:val="16"/>
                <w:szCs w:val="16"/>
              </w:rPr>
              <w:t>2</w:t>
            </w:r>
          </w:p>
        </w:tc>
        <w:tc>
          <w:tcPr>
            <w:tcW w:w="0" w:type="auto"/>
            <w:noWrap/>
            <w:vAlign w:val="bottom"/>
            <w:hideMark/>
          </w:tcPr>
          <w:p w14:paraId="64049607" w14:textId="77777777" w:rsidR="00000000" w:rsidRDefault="00832D71">
            <w:pPr>
              <w:pStyle w:val="a3"/>
              <w:spacing w:before="0" w:beforeAutospacing="0" w:after="0" w:afterAutospacing="0"/>
              <w:rPr>
                <w:sz w:val="16"/>
                <w:szCs w:val="16"/>
              </w:rPr>
            </w:pPr>
            <w:r>
              <w:rPr>
                <w:sz w:val="16"/>
                <w:szCs w:val="16"/>
              </w:rPr>
              <w:t> </w:t>
            </w:r>
          </w:p>
        </w:tc>
      </w:tr>
      <w:tr w:rsidR="00000000" w14:paraId="3275A31A" w14:textId="77777777">
        <w:trPr>
          <w:trHeight w:val="160"/>
          <w:tblCellSpacing w:w="15" w:type="dxa"/>
        </w:trPr>
        <w:tc>
          <w:tcPr>
            <w:tcW w:w="0" w:type="auto"/>
            <w:hideMark/>
          </w:tcPr>
          <w:p w14:paraId="565B75FA" w14:textId="77777777" w:rsidR="00000000" w:rsidRDefault="00832D71">
            <w:pPr>
              <w:pStyle w:val="a3"/>
              <w:spacing w:before="0" w:beforeAutospacing="0" w:after="0" w:afterAutospacing="0"/>
              <w:ind w:left="200"/>
              <w:rPr>
                <w:sz w:val="16"/>
                <w:szCs w:val="16"/>
              </w:rPr>
            </w:pPr>
            <w:r>
              <w:rPr>
                <w:sz w:val="16"/>
                <w:szCs w:val="16"/>
              </w:rPr>
              <w:t>Tota</w:t>
            </w:r>
            <w:r>
              <w:rPr>
                <w:sz w:val="16"/>
                <w:szCs w:val="16"/>
              </w:rPr>
              <w:t>l</w:t>
            </w:r>
          </w:p>
        </w:tc>
        <w:tc>
          <w:tcPr>
            <w:tcW w:w="0" w:type="auto"/>
            <w:hideMark/>
          </w:tcPr>
          <w:p w14:paraId="0DC9D15D"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2719296"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2A114801" w14:textId="77777777" w:rsidR="00000000" w:rsidRDefault="00832D71">
            <w:pPr>
              <w:pStyle w:val="a3"/>
              <w:spacing w:before="0" w:beforeAutospacing="0" w:after="0" w:afterAutospacing="0"/>
              <w:jc w:val="right"/>
              <w:rPr>
                <w:sz w:val="16"/>
                <w:szCs w:val="16"/>
              </w:rPr>
            </w:pPr>
            <w:r>
              <w:rPr>
                <w:sz w:val="16"/>
                <w:szCs w:val="16"/>
              </w:rPr>
              <w:t>30,56</w:t>
            </w:r>
            <w:r>
              <w:rPr>
                <w:sz w:val="16"/>
                <w:szCs w:val="16"/>
              </w:rPr>
              <w:t>3</w:t>
            </w:r>
          </w:p>
        </w:tc>
        <w:tc>
          <w:tcPr>
            <w:tcW w:w="0" w:type="auto"/>
            <w:noWrap/>
            <w:vAlign w:val="bottom"/>
            <w:hideMark/>
          </w:tcPr>
          <w:p w14:paraId="74041B16"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C901B31"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F701EEA"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2B5EB101" w14:textId="77777777" w:rsidR="00000000" w:rsidRDefault="00832D71">
            <w:pPr>
              <w:pStyle w:val="a3"/>
              <w:spacing w:before="0" w:beforeAutospacing="0" w:after="0" w:afterAutospacing="0"/>
              <w:jc w:val="right"/>
              <w:rPr>
                <w:sz w:val="16"/>
                <w:szCs w:val="16"/>
              </w:rPr>
            </w:pPr>
            <w:r>
              <w:rPr>
                <w:sz w:val="16"/>
                <w:szCs w:val="16"/>
              </w:rPr>
              <w:t>33,23</w:t>
            </w:r>
            <w:r>
              <w:rPr>
                <w:sz w:val="16"/>
                <w:szCs w:val="16"/>
              </w:rPr>
              <w:t>2</w:t>
            </w:r>
          </w:p>
        </w:tc>
        <w:tc>
          <w:tcPr>
            <w:tcW w:w="0" w:type="auto"/>
            <w:noWrap/>
            <w:vAlign w:val="bottom"/>
            <w:hideMark/>
          </w:tcPr>
          <w:p w14:paraId="6AB93D77"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F77F0B8"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75AB1AA"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0D5E930A" w14:textId="77777777" w:rsidR="00000000" w:rsidRDefault="00832D71">
            <w:pPr>
              <w:pStyle w:val="a3"/>
              <w:spacing w:before="0" w:beforeAutospacing="0" w:after="0" w:afterAutospacing="0"/>
              <w:jc w:val="right"/>
              <w:rPr>
                <w:sz w:val="16"/>
                <w:szCs w:val="16"/>
              </w:rPr>
            </w:pPr>
            <w:r>
              <w:rPr>
                <w:sz w:val="16"/>
                <w:szCs w:val="16"/>
              </w:rPr>
              <w:t>22,96</w:t>
            </w:r>
            <w:r>
              <w:rPr>
                <w:sz w:val="16"/>
                <w:szCs w:val="16"/>
              </w:rPr>
              <w:t>9</w:t>
            </w:r>
          </w:p>
        </w:tc>
        <w:tc>
          <w:tcPr>
            <w:tcW w:w="0" w:type="auto"/>
            <w:noWrap/>
            <w:vAlign w:val="bottom"/>
            <w:hideMark/>
          </w:tcPr>
          <w:p w14:paraId="003B96A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90FBBCC"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BA431E4"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251AC333" w14:textId="77777777" w:rsidR="00000000" w:rsidRDefault="00832D71">
            <w:pPr>
              <w:pStyle w:val="a3"/>
              <w:spacing w:before="0" w:beforeAutospacing="0" w:after="0" w:afterAutospacing="0"/>
              <w:jc w:val="right"/>
              <w:rPr>
                <w:sz w:val="16"/>
                <w:szCs w:val="16"/>
              </w:rPr>
            </w:pPr>
            <w:r>
              <w:rPr>
                <w:sz w:val="16"/>
                <w:szCs w:val="16"/>
              </w:rPr>
              <w:t>34,66</w:t>
            </w:r>
            <w:r>
              <w:rPr>
                <w:sz w:val="16"/>
                <w:szCs w:val="16"/>
              </w:rPr>
              <w:t>4</w:t>
            </w:r>
          </w:p>
        </w:tc>
        <w:tc>
          <w:tcPr>
            <w:tcW w:w="0" w:type="auto"/>
            <w:noWrap/>
            <w:vAlign w:val="bottom"/>
            <w:hideMark/>
          </w:tcPr>
          <w:p w14:paraId="0EBF3BBF"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963B50C"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1258312"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77223116" w14:textId="77777777" w:rsidR="00000000" w:rsidRDefault="00832D71">
            <w:pPr>
              <w:pStyle w:val="a3"/>
              <w:spacing w:before="0" w:beforeAutospacing="0" w:after="0" w:afterAutospacing="0"/>
              <w:jc w:val="right"/>
              <w:rPr>
                <w:sz w:val="16"/>
                <w:szCs w:val="16"/>
              </w:rPr>
            </w:pPr>
            <w:r>
              <w:rPr>
                <w:sz w:val="16"/>
                <w:szCs w:val="16"/>
              </w:rPr>
              <w:t>32,73</w:t>
            </w:r>
            <w:r>
              <w:rPr>
                <w:sz w:val="16"/>
                <w:szCs w:val="16"/>
              </w:rPr>
              <w:t>4</w:t>
            </w:r>
          </w:p>
        </w:tc>
        <w:tc>
          <w:tcPr>
            <w:tcW w:w="0" w:type="auto"/>
            <w:noWrap/>
            <w:vAlign w:val="bottom"/>
            <w:hideMark/>
          </w:tcPr>
          <w:p w14:paraId="75C21A3E" w14:textId="77777777" w:rsidR="00000000" w:rsidRDefault="00832D71">
            <w:pPr>
              <w:pStyle w:val="a3"/>
              <w:spacing w:before="0" w:beforeAutospacing="0" w:after="0" w:afterAutospacing="0"/>
              <w:rPr>
                <w:sz w:val="16"/>
                <w:szCs w:val="16"/>
              </w:rPr>
            </w:pPr>
            <w:r>
              <w:rPr>
                <w:sz w:val="16"/>
                <w:szCs w:val="16"/>
              </w:rPr>
              <w:t> </w:t>
            </w:r>
          </w:p>
        </w:tc>
      </w:tr>
    </w:tbl>
    <w:p w14:paraId="65FEE98B" w14:textId="77777777" w:rsidR="00000000" w:rsidRDefault="00832D71">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19"/>
        <w:gridCol w:w="104"/>
        <w:gridCol w:w="140"/>
        <w:gridCol w:w="587"/>
        <w:gridCol w:w="100"/>
        <w:gridCol w:w="100"/>
        <w:gridCol w:w="140"/>
        <w:gridCol w:w="585"/>
        <w:gridCol w:w="100"/>
        <w:gridCol w:w="100"/>
        <w:gridCol w:w="140"/>
        <w:gridCol w:w="585"/>
        <w:gridCol w:w="100"/>
        <w:gridCol w:w="100"/>
        <w:gridCol w:w="141"/>
        <w:gridCol w:w="1257"/>
        <w:gridCol w:w="100"/>
        <w:gridCol w:w="100"/>
        <w:gridCol w:w="140"/>
        <w:gridCol w:w="953"/>
        <w:gridCol w:w="115"/>
      </w:tblGrid>
      <w:tr w:rsidR="00000000" w14:paraId="62AA4C13" w14:textId="77777777">
        <w:trPr>
          <w:tblCellSpacing w:w="15" w:type="dxa"/>
        </w:trPr>
        <w:tc>
          <w:tcPr>
            <w:tcW w:w="1690" w:type="pct"/>
            <w:vAlign w:val="center"/>
            <w:hideMark/>
          </w:tcPr>
          <w:p w14:paraId="7F52762C" w14:textId="77777777" w:rsidR="00000000" w:rsidRDefault="00832D71">
            <w:pPr>
              <w:rPr>
                <w:sz w:val="20"/>
                <w:szCs w:val="20"/>
              </w:rPr>
            </w:pPr>
          </w:p>
        </w:tc>
        <w:tc>
          <w:tcPr>
            <w:tcW w:w="57" w:type="pct"/>
            <w:vAlign w:val="center"/>
            <w:hideMark/>
          </w:tcPr>
          <w:p w14:paraId="198C7FC8" w14:textId="77777777" w:rsidR="00000000" w:rsidRDefault="00832D71">
            <w:pPr>
              <w:rPr>
                <w:rFonts w:eastAsia="Times New Roman"/>
                <w:sz w:val="20"/>
                <w:szCs w:val="20"/>
              </w:rPr>
            </w:pPr>
          </w:p>
        </w:tc>
        <w:tc>
          <w:tcPr>
            <w:tcW w:w="50" w:type="pct"/>
            <w:vAlign w:val="center"/>
            <w:hideMark/>
          </w:tcPr>
          <w:p w14:paraId="3E0ED0A2" w14:textId="77777777" w:rsidR="00000000" w:rsidRDefault="00832D71">
            <w:pPr>
              <w:rPr>
                <w:rFonts w:eastAsia="Times New Roman"/>
                <w:sz w:val="20"/>
                <w:szCs w:val="20"/>
              </w:rPr>
            </w:pPr>
          </w:p>
        </w:tc>
        <w:tc>
          <w:tcPr>
            <w:tcW w:w="371" w:type="pct"/>
            <w:vAlign w:val="center"/>
            <w:hideMark/>
          </w:tcPr>
          <w:p w14:paraId="59669A70" w14:textId="77777777" w:rsidR="00000000" w:rsidRDefault="00832D71">
            <w:pPr>
              <w:rPr>
                <w:rFonts w:eastAsia="Times New Roman"/>
                <w:sz w:val="20"/>
                <w:szCs w:val="20"/>
              </w:rPr>
            </w:pPr>
          </w:p>
        </w:tc>
        <w:tc>
          <w:tcPr>
            <w:tcW w:w="50" w:type="pct"/>
            <w:vAlign w:val="center"/>
            <w:hideMark/>
          </w:tcPr>
          <w:p w14:paraId="503F8E62" w14:textId="77777777" w:rsidR="00000000" w:rsidRDefault="00832D71">
            <w:pPr>
              <w:rPr>
                <w:rFonts w:eastAsia="Times New Roman"/>
                <w:sz w:val="20"/>
                <w:szCs w:val="20"/>
              </w:rPr>
            </w:pPr>
          </w:p>
        </w:tc>
        <w:tc>
          <w:tcPr>
            <w:tcW w:w="56" w:type="pct"/>
            <w:vAlign w:val="center"/>
            <w:hideMark/>
          </w:tcPr>
          <w:p w14:paraId="31461B52" w14:textId="77777777" w:rsidR="00000000" w:rsidRDefault="00832D71">
            <w:pPr>
              <w:rPr>
                <w:rFonts w:eastAsia="Times New Roman"/>
                <w:sz w:val="20"/>
                <w:szCs w:val="20"/>
              </w:rPr>
            </w:pPr>
          </w:p>
        </w:tc>
        <w:tc>
          <w:tcPr>
            <w:tcW w:w="50" w:type="pct"/>
            <w:vAlign w:val="center"/>
            <w:hideMark/>
          </w:tcPr>
          <w:p w14:paraId="6992EAD5" w14:textId="77777777" w:rsidR="00000000" w:rsidRDefault="00832D71">
            <w:pPr>
              <w:rPr>
                <w:rFonts w:eastAsia="Times New Roman"/>
                <w:sz w:val="20"/>
                <w:szCs w:val="20"/>
              </w:rPr>
            </w:pPr>
          </w:p>
        </w:tc>
        <w:tc>
          <w:tcPr>
            <w:tcW w:w="370" w:type="pct"/>
            <w:vAlign w:val="center"/>
            <w:hideMark/>
          </w:tcPr>
          <w:p w14:paraId="4447E99C" w14:textId="77777777" w:rsidR="00000000" w:rsidRDefault="00832D71">
            <w:pPr>
              <w:rPr>
                <w:rFonts w:eastAsia="Times New Roman"/>
                <w:sz w:val="20"/>
                <w:szCs w:val="20"/>
              </w:rPr>
            </w:pPr>
          </w:p>
        </w:tc>
        <w:tc>
          <w:tcPr>
            <w:tcW w:w="50" w:type="pct"/>
            <w:vAlign w:val="center"/>
            <w:hideMark/>
          </w:tcPr>
          <w:p w14:paraId="15D9E5A8" w14:textId="77777777" w:rsidR="00000000" w:rsidRDefault="00832D71">
            <w:pPr>
              <w:rPr>
                <w:rFonts w:eastAsia="Times New Roman"/>
                <w:sz w:val="20"/>
                <w:szCs w:val="20"/>
              </w:rPr>
            </w:pPr>
          </w:p>
        </w:tc>
        <w:tc>
          <w:tcPr>
            <w:tcW w:w="56" w:type="pct"/>
            <w:vAlign w:val="center"/>
            <w:hideMark/>
          </w:tcPr>
          <w:p w14:paraId="634C2BA8" w14:textId="77777777" w:rsidR="00000000" w:rsidRDefault="00832D71">
            <w:pPr>
              <w:rPr>
                <w:rFonts w:eastAsia="Times New Roman"/>
                <w:sz w:val="20"/>
                <w:szCs w:val="20"/>
              </w:rPr>
            </w:pPr>
          </w:p>
        </w:tc>
        <w:tc>
          <w:tcPr>
            <w:tcW w:w="50" w:type="pct"/>
            <w:vAlign w:val="center"/>
            <w:hideMark/>
          </w:tcPr>
          <w:p w14:paraId="7C33ACC3" w14:textId="77777777" w:rsidR="00000000" w:rsidRDefault="00832D71">
            <w:pPr>
              <w:rPr>
                <w:rFonts w:eastAsia="Times New Roman"/>
                <w:sz w:val="20"/>
                <w:szCs w:val="20"/>
              </w:rPr>
            </w:pPr>
          </w:p>
        </w:tc>
        <w:tc>
          <w:tcPr>
            <w:tcW w:w="370" w:type="pct"/>
            <w:vAlign w:val="center"/>
            <w:hideMark/>
          </w:tcPr>
          <w:p w14:paraId="6577A1C9" w14:textId="77777777" w:rsidR="00000000" w:rsidRDefault="00832D71">
            <w:pPr>
              <w:rPr>
                <w:rFonts w:eastAsia="Times New Roman"/>
                <w:sz w:val="20"/>
                <w:szCs w:val="20"/>
              </w:rPr>
            </w:pPr>
          </w:p>
        </w:tc>
        <w:tc>
          <w:tcPr>
            <w:tcW w:w="50" w:type="pct"/>
            <w:vAlign w:val="center"/>
            <w:hideMark/>
          </w:tcPr>
          <w:p w14:paraId="39867A0E" w14:textId="77777777" w:rsidR="00000000" w:rsidRDefault="00832D71">
            <w:pPr>
              <w:rPr>
                <w:rFonts w:eastAsia="Times New Roman"/>
                <w:sz w:val="20"/>
                <w:szCs w:val="20"/>
              </w:rPr>
            </w:pPr>
          </w:p>
        </w:tc>
        <w:tc>
          <w:tcPr>
            <w:tcW w:w="45" w:type="pct"/>
            <w:vAlign w:val="center"/>
            <w:hideMark/>
          </w:tcPr>
          <w:p w14:paraId="77054359" w14:textId="77777777" w:rsidR="00000000" w:rsidRDefault="00832D71">
            <w:pPr>
              <w:rPr>
                <w:rFonts w:eastAsia="Times New Roman"/>
                <w:sz w:val="20"/>
                <w:szCs w:val="20"/>
              </w:rPr>
            </w:pPr>
          </w:p>
        </w:tc>
        <w:tc>
          <w:tcPr>
            <w:tcW w:w="50" w:type="pct"/>
            <w:vAlign w:val="center"/>
            <w:hideMark/>
          </w:tcPr>
          <w:p w14:paraId="1FF5AC7D" w14:textId="77777777" w:rsidR="00000000" w:rsidRDefault="00832D71">
            <w:pPr>
              <w:rPr>
                <w:rFonts w:eastAsia="Times New Roman"/>
                <w:sz w:val="20"/>
                <w:szCs w:val="20"/>
              </w:rPr>
            </w:pPr>
          </w:p>
        </w:tc>
        <w:tc>
          <w:tcPr>
            <w:tcW w:w="812" w:type="pct"/>
            <w:vAlign w:val="center"/>
            <w:hideMark/>
          </w:tcPr>
          <w:p w14:paraId="2EE6F454" w14:textId="77777777" w:rsidR="00000000" w:rsidRDefault="00832D71">
            <w:pPr>
              <w:rPr>
                <w:rFonts w:eastAsia="Times New Roman"/>
                <w:sz w:val="20"/>
                <w:szCs w:val="20"/>
              </w:rPr>
            </w:pPr>
          </w:p>
        </w:tc>
        <w:tc>
          <w:tcPr>
            <w:tcW w:w="50" w:type="pct"/>
            <w:vAlign w:val="center"/>
            <w:hideMark/>
          </w:tcPr>
          <w:p w14:paraId="6D3807D7" w14:textId="77777777" w:rsidR="00000000" w:rsidRDefault="00832D71">
            <w:pPr>
              <w:rPr>
                <w:rFonts w:eastAsia="Times New Roman"/>
                <w:sz w:val="20"/>
                <w:szCs w:val="20"/>
              </w:rPr>
            </w:pPr>
          </w:p>
        </w:tc>
        <w:tc>
          <w:tcPr>
            <w:tcW w:w="56" w:type="pct"/>
            <w:vAlign w:val="center"/>
            <w:hideMark/>
          </w:tcPr>
          <w:p w14:paraId="1991AE55" w14:textId="77777777" w:rsidR="00000000" w:rsidRDefault="00832D71">
            <w:pPr>
              <w:rPr>
                <w:rFonts w:eastAsia="Times New Roman"/>
                <w:sz w:val="20"/>
                <w:szCs w:val="20"/>
              </w:rPr>
            </w:pPr>
          </w:p>
        </w:tc>
        <w:tc>
          <w:tcPr>
            <w:tcW w:w="50" w:type="pct"/>
            <w:vAlign w:val="center"/>
            <w:hideMark/>
          </w:tcPr>
          <w:p w14:paraId="04D9A3A9" w14:textId="77777777" w:rsidR="00000000" w:rsidRDefault="00832D71">
            <w:pPr>
              <w:rPr>
                <w:rFonts w:eastAsia="Times New Roman"/>
                <w:sz w:val="20"/>
                <w:szCs w:val="20"/>
              </w:rPr>
            </w:pPr>
          </w:p>
        </w:tc>
        <w:tc>
          <w:tcPr>
            <w:tcW w:w="610" w:type="pct"/>
            <w:vAlign w:val="center"/>
            <w:hideMark/>
          </w:tcPr>
          <w:p w14:paraId="2C684763" w14:textId="77777777" w:rsidR="00000000" w:rsidRDefault="00832D71">
            <w:pPr>
              <w:rPr>
                <w:rFonts w:eastAsia="Times New Roman"/>
                <w:sz w:val="20"/>
                <w:szCs w:val="20"/>
              </w:rPr>
            </w:pPr>
          </w:p>
        </w:tc>
        <w:tc>
          <w:tcPr>
            <w:tcW w:w="50" w:type="pct"/>
            <w:vAlign w:val="center"/>
            <w:hideMark/>
          </w:tcPr>
          <w:p w14:paraId="37877543" w14:textId="77777777" w:rsidR="00000000" w:rsidRDefault="00832D71">
            <w:pPr>
              <w:rPr>
                <w:rFonts w:eastAsia="Times New Roman"/>
                <w:sz w:val="20"/>
                <w:szCs w:val="20"/>
              </w:rPr>
            </w:pPr>
          </w:p>
        </w:tc>
      </w:tr>
      <w:tr w:rsidR="00000000" w14:paraId="1E9A3193" w14:textId="77777777">
        <w:trPr>
          <w:trHeight w:val="160"/>
          <w:tblCellSpacing w:w="15" w:type="dxa"/>
        </w:trPr>
        <w:tc>
          <w:tcPr>
            <w:tcW w:w="0" w:type="auto"/>
            <w:gridSpan w:val="20"/>
            <w:vAlign w:val="bottom"/>
            <w:hideMark/>
          </w:tcPr>
          <w:p w14:paraId="3A3572B5" w14:textId="77777777" w:rsidR="00000000" w:rsidRDefault="00832D71">
            <w:pPr>
              <w:pStyle w:val="a3"/>
              <w:spacing w:before="0" w:beforeAutospacing="0" w:after="0" w:afterAutospacing="0"/>
              <w:jc w:val="center"/>
              <w:rPr>
                <w:sz w:val="16"/>
                <w:szCs w:val="16"/>
              </w:rPr>
            </w:pPr>
            <w:r>
              <w:rPr>
                <w:b/>
                <w:bCs/>
                <w:sz w:val="16"/>
                <w:szCs w:val="16"/>
              </w:rPr>
              <w:t>Fiscal 202</w:t>
            </w:r>
            <w:r>
              <w:rPr>
                <w:b/>
                <w:bCs/>
                <w:sz w:val="16"/>
                <w:szCs w:val="16"/>
              </w:rPr>
              <w:t>1</w:t>
            </w:r>
          </w:p>
        </w:tc>
        <w:tc>
          <w:tcPr>
            <w:tcW w:w="0" w:type="auto"/>
            <w:vAlign w:val="bottom"/>
            <w:hideMark/>
          </w:tcPr>
          <w:p w14:paraId="2F7E629F"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2F343E3" w14:textId="77777777">
        <w:trPr>
          <w:trHeight w:val="160"/>
          <w:tblCellSpacing w:w="15" w:type="dxa"/>
        </w:trPr>
        <w:tc>
          <w:tcPr>
            <w:tcW w:w="0" w:type="auto"/>
            <w:vAlign w:val="bottom"/>
            <w:hideMark/>
          </w:tcPr>
          <w:p w14:paraId="1C6C96A4" w14:textId="77777777" w:rsidR="00000000" w:rsidRDefault="00832D71">
            <w:pPr>
              <w:pStyle w:val="a3"/>
              <w:spacing w:before="0" w:beforeAutospacing="0" w:after="0" w:afterAutospacing="0"/>
              <w:jc w:val="center"/>
              <w:rPr>
                <w:sz w:val="16"/>
                <w:szCs w:val="16"/>
              </w:rPr>
            </w:pPr>
            <w:r>
              <w:rPr>
                <w:b/>
                <w:bCs/>
                <w:sz w:val="16"/>
                <w:szCs w:val="16"/>
              </w:rPr>
              <w:t>Type of Compensatio</w:t>
            </w:r>
            <w:r>
              <w:rPr>
                <w:b/>
                <w:bCs/>
                <w:sz w:val="16"/>
                <w:szCs w:val="16"/>
              </w:rPr>
              <w:t>n</w:t>
            </w:r>
          </w:p>
        </w:tc>
        <w:tc>
          <w:tcPr>
            <w:tcW w:w="0" w:type="auto"/>
            <w:hideMark/>
          </w:tcPr>
          <w:p w14:paraId="0CDBDAF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96AD5FE" w14:textId="77777777" w:rsidR="00000000" w:rsidRDefault="00832D71">
            <w:pPr>
              <w:pStyle w:val="a3"/>
              <w:spacing w:before="0" w:beforeAutospacing="0" w:after="0" w:afterAutospacing="0"/>
              <w:jc w:val="center"/>
              <w:rPr>
                <w:sz w:val="16"/>
                <w:szCs w:val="16"/>
              </w:rPr>
            </w:pPr>
            <w:r>
              <w:rPr>
                <w:b/>
                <w:bCs/>
                <w:sz w:val="16"/>
                <w:szCs w:val="16"/>
              </w:rPr>
              <w:t>Mr. Stival</w:t>
            </w:r>
            <w:r>
              <w:rPr>
                <w:b/>
                <w:bCs/>
                <w:sz w:val="16"/>
                <w:szCs w:val="16"/>
              </w:rPr>
              <w:t>a</w:t>
            </w:r>
          </w:p>
        </w:tc>
        <w:tc>
          <w:tcPr>
            <w:tcW w:w="0" w:type="auto"/>
            <w:vAlign w:val="bottom"/>
            <w:hideMark/>
          </w:tcPr>
          <w:p w14:paraId="42A062F1"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E00801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43E78E1" w14:textId="77777777" w:rsidR="00000000" w:rsidRDefault="00832D71">
            <w:pPr>
              <w:pStyle w:val="a3"/>
              <w:spacing w:before="0" w:beforeAutospacing="0" w:after="0" w:afterAutospacing="0"/>
              <w:jc w:val="center"/>
              <w:rPr>
                <w:sz w:val="16"/>
                <w:szCs w:val="16"/>
              </w:rPr>
            </w:pPr>
            <w:r>
              <w:rPr>
                <w:b/>
                <w:bCs/>
                <w:sz w:val="16"/>
                <w:szCs w:val="16"/>
              </w:rPr>
              <w:t>Mr. Kugli</w:t>
            </w:r>
            <w:r>
              <w:rPr>
                <w:b/>
                <w:bCs/>
                <w:sz w:val="16"/>
                <w:szCs w:val="16"/>
              </w:rPr>
              <w:t>n</w:t>
            </w:r>
          </w:p>
        </w:tc>
        <w:tc>
          <w:tcPr>
            <w:tcW w:w="0" w:type="auto"/>
            <w:vAlign w:val="bottom"/>
            <w:hideMark/>
          </w:tcPr>
          <w:p w14:paraId="3BAFFBA6"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955D3B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CA7E71A" w14:textId="77777777" w:rsidR="00000000" w:rsidRDefault="00832D71">
            <w:pPr>
              <w:pStyle w:val="a3"/>
              <w:spacing w:before="0" w:beforeAutospacing="0" w:after="0" w:afterAutospacing="0"/>
              <w:jc w:val="center"/>
              <w:rPr>
                <w:sz w:val="16"/>
                <w:szCs w:val="16"/>
              </w:rPr>
            </w:pPr>
            <w:r>
              <w:rPr>
                <w:b/>
                <w:bCs/>
                <w:sz w:val="16"/>
                <w:szCs w:val="16"/>
              </w:rPr>
              <w:t>Mr. Boy</w:t>
            </w:r>
            <w:r>
              <w:rPr>
                <w:b/>
                <w:bCs/>
                <w:sz w:val="16"/>
                <w:szCs w:val="16"/>
              </w:rPr>
              <w:t>d</w:t>
            </w:r>
          </w:p>
        </w:tc>
        <w:tc>
          <w:tcPr>
            <w:tcW w:w="0" w:type="auto"/>
            <w:vAlign w:val="bottom"/>
            <w:hideMark/>
          </w:tcPr>
          <w:p w14:paraId="70599F31"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93D175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7B4ED85" w14:textId="77777777" w:rsidR="00000000" w:rsidRDefault="00832D71">
            <w:pPr>
              <w:pStyle w:val="a3"/>
              <w:spacing w:before="0" w:beforeAutospacing="0" w:after="0" w:afterAutospacing="0"/>
              <w:jc w:val="center"/>
              <w:rPr>
                <w:sz w:val="16"/>
                <w:szCs w:val="16"/>
              </w:rPr>
            </w:pPr>
            <w:r>
              <w:rPr>
                <w:b/>
                <w:bCs/>
                <w:sz w:val="16"/>
                <w:szCs w:val="16"/>
              </w:rPr>
              <w:t>Mr. Brinkwort</w:t>
            </w:r>
            <w:r>
              <w:rPr>
                <w:b/>
                <w:bCs/>
                <w:sz w:val="16"/>
                <w:szCs w:val="16"/>
              </w:rPr>
              <w:t>h</w:t>
            </w:r>
          </w:p>
        </w:tc>
        <w:tc>
          <w:tcPr>
            <w:tcW w:w="0" w:type="auto"/>
            <w:vAlign w:val="bottom"/>
            <w:hideMark/>
          </w:tcPr>
          <w:p w14:paraId="7308F8C1"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A3C049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B89E8A8" w14:textId="77777777" w:rsidR="00000000" w:rsidRDefault="00832D71">
            <w:pPr>
              <w:pStyle w:val="a3"/>
              <w:spacing w:before="0" w:beforeAutospacing="0" w:after="0" w:afterAutospacing="0"/>
              <w:jc w:val="center"/>
              <w:rPr>
                <w:sz w:val="16"/>
                <w:szCs w:val="16"/>
              </w:rPr>
            </w:pPr>
            <w:r>
              <w:rPr>
                <w:b/>
                <w:bCs/>
                <w:sz w:val="16"/>
                <w:szCs w:val="16"/>
              </w:rPr>
              <w:t>Mr. Scanlo</w:t>
            </w:r>
            <w:r>
              <w:rPr>
                <w:b/>
                <w:bCs/>
                <w:sz w:val="16"/>
                <w:szCs w:val="16"/>
              </w:rPr>
              <w:t>n</w:t>
            </w:r>
          </w:p>
        </w:tc>
        <w:tc>
          <w:tcPr>
            <w:tcW w:w="0" w:type="auto"/>
            <w:vAlign w:val="bottom"/>
            <w:hideMark/>
          </w:tcPr>
          <w:p w14:paraId="64AF44E7"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16388D8A" w14:textId="77777777">
        <w:trPr>
          <w:trHeight w:val="160"/>
          <w:tblCellSpacing w:w="15" w:type="dxa"/>
        </w:trPr>
        <w:tc>
          <w:tcPr>
            <w:tcW w:w="0" w:type="auto"/>
            <w:hideMark/>
          </w:tcPr>
          <w:p w14:paraId="39801982" w14:textId="77777777" w:rsidR="00000000" w:rsidRDefault="00832D71">
            <w:pPr>
              <w:pStyle w:val="a3"/>
              <w:spacing w:before="0" w:beforeAutospacing="0" w:after="0" w:afterAutospacing="0"/>
              <w:rPr>
                <w:sz w:val="16"/>
                <w:szCs w:val="16"/>
              </w:rPr>
            </w:pPr>
            <w:r>
              <w:rPr>
                <w:sz w:val="16"/>
                <w:szCs w:val="16"/>
              </w:rPr>
              <w:t>401(k) Matc</w:t>
            </w:r>
            <w:r>
              <w:rPr>
                <w:sz w:val="16"/>
                <w:szCs w:val="16"/>
              </w:rPr>
              <w:t>h</w:t>
            </w:r>
          </w:p>
        </w:tc>
        <w:tc>
          <w:tcPr>
            <w:tcW w:w="0" w:type="auto"/>
            <w:hideMark/>
          </w:tcPr>
          <w:p w14:paraId="025F52FE"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DFF87AF"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F04FAE6" w14:textId="77777777" w:rsidR="00000000" w:rsidRDefault="00832D71">
            <w:pPr>
              <w:pStyle w:val="a3"/>
              <w:spacing w:before="0" w:beforeAutospacing="0" w:after="0" w:afterAutospacing="0"/>
              <w:jc w:val="right"/>
              <w:rPr>
                <w:sz w:val="16"/>
                <w:szCs w:val="16"/>
              </w:rPr>
            </w:pPr>
            <w:r>
              <w:rPr>
                <w:sz w:val="16"/>
                <w:szCs w:val="16"/>
              </w:rPr>
              <w:t>8,70</w:t>
            </w:r>
            <w:r>
              <w:rPr>
                <w:sz w:val="16"/>
                <w:szCs w:val="16"/>
              </w:rPr>
              <w:t>0</w:t>
            </w:r>
          </w:p>
        </w:tc>
        <w:tc>
          <w:tcPr>
            <w:tcW w:w="0" w:type="auto"/>
            <w:noWrap/>
            <w:vAlign w:val="bottom"/>
            <w:hideMark/>
          </w:tcPr>
          <w:p w14:paraId="2D1A2E7C"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076184C"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D8EFFDD"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1FA9C79" w14:textId="77777777" w:rsidR="00000000" w:rsidRDefault="00832D71">
            <w:pPr>
              <w:pStyle w:val="a3"/>
              <w:spacing w:before="0" w:beforeAutospacing="0" w:after="0" w:afterAutospacing="0"/>
              <w:jc w:val="right"/>
              <w:rPr>
                <w:sz w:val="16"/>
                <w:szCs w:val="16"/>
              </w:rPr>
            </w:pPr>
            <w:r>
              <w:rPr>
                <w:sz w:val="16"/>
                <w:szCs w:val="16"/>
              </w:rPr>
              <w:t>8,70</w:t>
            </w:r>
            <w:r>
              <w:rPr>
                <w:sz w:val="16"/>
                <w:szCs w:val="16"/>
              </w:rPr>
              <w:t>0</w:t>
            </w:r>
          </w:p>
        </w:tc>
        <w:tc>
          <w:tcPr>
            <w:tcW w:w="0" w:type="auto"/>
            <w:noWrap/>
            <w:vAlign w:val="bottom"/>
            <w:hideMark/>
          </w:tcPr>
          <w:p w14:paraId="6651A9F8"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5F26B07"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000E6E1"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5DA5F877" w14:textId="77777777" w:rsidR="00000000" w:rsidRDefault="00832D71">
            <w:pPr>
              <w:pStyle w:val="a3"/>
              <w:spacing w:before="0" w:beforeAutospacing="0" w:after="0" w:afterAutospacing="0"/>
              <w:jc w:val="right"/>
              <w:rPr>
                <w:sz w:val="16"/>
                <w:szCs w:val="16"/>
              </w:rPr>
            </w:pPr>
            <w:r>
              <w:rPr>
                <w:sz w:val="16"/>
                <w:szCs w:val="16"/>
              </w:rPr>
              <w:t>8,70</w:t>
            </w:r>
            <w:r>
              <w:rPr>
                <w:sz w:val="16"/>
                <w:szCs w:val="16"/>
              </w:rPr>
              <w:t>0</w:t>
            </w:r>
          </w:p>
        </w:tc>
        <w:tc>
          <w:tcPr>
            <w:tcW w:w="0" w:type="auto"/>
            <w:noWrap/>
            <w:vAlign w:val="bottom"/>
            <w:hideMark/>
          </w:tcPr>
          <w:p w14:paraId="4339C5F2"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A6BB127"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077EFA6"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04317BEA" w14:textId="77777777" w:rsidR="00000000" w:rsidRDefault="00832D71">
            <w:pPr>
              <w:pStyle w:val="a3"/>
              <w:spacing w:before="0" w:beforeAutospacing="0" w:after="0" w:afterAutospacing="0"/>
              <w:jc w:val="right"/>
              <w:rPr>
                <w:sz w:val="16"/>
                <w:szCs w:val="16"/>
              </w:rPr>
            </w:pPr>
            <w:r>
              <w:rPr>
                <w:sz w:val="16"/>
                <w:szCs w:val="16"/>
              </w:rPr>
              <w:t>8,70</w:t>
            </w:r>
            <w:r>
              <w:rPr>
                <w:sz w:val="16"/>
                <w:szCs w:val="16"/>
              </w:rPr>
              <w:t>0</w:t>
            </w:r>
          </w:p>
        </w:tc>
        <w:tc>
          <w:tcPr>
            <w:tcW w:w="0" w:type="auto"/>
            <w:noWrap/>
            <w:vAlign w:val="bottom"/>
            <w:hideMark/>
          </w:tcPr>
          <w:p w14:paraId="796B73D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A488D13"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C58D6C3"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3733CDE8" w14:textId="77777777" w:rsidR="00000000" w:rsidRDefault="00832D71">
            <w:pPr>
              <w:pStyle w:val="a3"/>
              <w:spacing w:before="0" w:beforeAutospacing="0" w:after="0" w:afterAutospacing="0"/>
              <w:jc w:val="right"/>
              <w:rPr>
                <w:sz w:val="16"/>
                <w:szCs w:val="16"/>
              </w:rPr>
            </w:pPr>
            <w:r>
              <w:rPr>
                <w:sz w:val="16"/>
                <w:szCs w:val="16"/>
              </w:rPr>
              <w:t>8,70</w:t>
            </w:r>
            <w:r>
              <w:rPr>
                <w:sz w:val="16"/>
                <w:szCs w:val="16"/>
              </w:rPr>
              <w:t>0</w:t>
            </w:r>
          </w:p>
        </w:tc>
        <w:tc>
          <w:tcPr>
            <w:tcW w:w="0" w:type="auto"/>
            <w:noWrap/>
            <w:vAlign w:val="bottom"/>
            <w:hideMark/>
          </w:tcPr>
          <w:p w14:paraId="596F19AB" w14:textId="77777777" w:rsidR="00000000" w:rsidRDefault="00832D71">
            <w:pPr>
              <w:pStyle w:val="a3"/>
              <w:spacing w:before="0" w:beforeAutospacing="0" w:after="0" w:afterAutospacing="0"/>
              <w:rPr>
                <w:sz w:val="16"/>
                <w:szCs w:val="16"/>
              </w:rPr>
            </w:pPr>
            <w:r>
              <w:rPr>
                <w:sz w:val="16"/>
                <w:szCs w:val="16"/>
              </w:rPr>
              <w:t> </w:t>
            </w:r>
          </w:p>
        </w:tc>
      </w:tr>
      <w:tr w:rsidR="00000000" w14:paraId="2FA58C25" w14:textId="77777777">
        <w:trPr>
          <w:trHeight w:val="160"/>
          <w:tblCellSpacing w:w="15" w:type="dxa"/>
        </w:trPr>
        <w:tc>
          <w:tcPr>
            <w:tcW w:w="0" w:type="auto"/>
            <w:hideMark/>
          </w:tcPr>
          <w:p w14:paraId="129AA780" w14:textId="77777777" w:rsidR="00000000" w:rsidRDefault="00832D71">
            <w:pPr>
              <w:pStyle w:val="a3"/>
              <w:spacing w:before="0" w:beforeAutospacing="0" w:after="0" w:afterAutospacing="0"/>
              <w:rPr>
                <w:sz w:val="16"/>
                <w:szCs w:val="16"/>
              </w:rPr>
            </w:pPr>
            <w:r>
              <w:rPr>
                <w:sz w:val="16"/>
                <w:szCs w:val="16"/>
              </w:rPr>
              <w:t>Value of Annual Physical Examinatio</w:t>
            </w:r>
            <w:r>
              <w:rPr>
                <w:sz w:val="16"/>
                <w:szCs w:val="16"/>
              </w:rPr>
              <w:t>n</w:t>
            </w:r>
          </w:p>
        </w:tc>
        <w:tc>
          <w:tcPr>
            <w:tcW w:w="0" w:type="auto"/>
            <w:hideMark/>
          </w:tcPr>
          <w:p w14:paraId="52188E19"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310428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1D60385" w14:textId="77777777" w:rsidR="00000000" w:rsidRDefault="00832D71">
            <w:pPr>
              <w:pStyle w:val="a3"/>
              <w:spacing w:before="0" w:beforeAutospacing="0" w:after="0" w:afterAutospacing="0"/>
              <w:jc w:val="right"/>
              <w:rPr>
                <w:sz w:val="16"/>
                <w:szCs w:val="16"/>
              </w:rPr>
            </w:pPr>
            <w:r>
              <w:rPr>
                <w:sz w:val="16"/>
                <w:szCs w:val="16"/>
              </w:rPr>
              <w:t>3,15</w:t>
            </w:r>
            <w:r>
              <w:rPr>
                <w:sz w:val="16"/>
                <w:szCs w:val="16"/>
              </w:rPr>
              <w:t>0</w:t>
            </w:r>
          </w:p>
        </w:tc>
        <w:tc>
          <w:tcPr>
            <w:tcW w:w="0" w:type="auto"/>
            <w:noWrap/>
            <w:vAlign w:val="bottom"/>
            <w:hideMark/>
          </w:tcPr>
          <w:p w14:paraId="3A51FF86"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6C49B68"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F8ADBEA"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D239904"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vAlign w:val="bottom"/>
            <w:hideMark/>
          </w:tcPr>
          <w:p w14:paraId="19B215C8"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FFA5FA3"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333E315"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89B6191"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vAlign w:val="bottom"/>
            <w:hideMark/>
          </w:tcPr>
          <w:p w14:paraId="1BFAAF5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B25C198"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280E35F"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59F96CA" w14:textId="77777777" w:rsidR="00000000" w:rsidRDefault="00832D71">
            <w:pPr>
              <w:pStyle w:val="a3"/>
              <w:spacing w:before="0" w:beforeAutospacing="0" w:after="0" w:afterAutospacing="0"/>
              <w:jc w:val="right"/>
              <w:rPr>
                <w:sz w:val="16"/>
                <w:szCs w:val="16"/>
              </w:rPr>
            </w:pPr>
            <w:r>
              <w:rPr>
                <w:sz w:val="16"/>
                <w:szCs w:val="16"/>
              </w:rPr>
              <w:t>3,15</w:t>
            </w:r>
            <w:r>
              <w:rPr>
                <w:sz w:val="16"/>
                <w:szCs w:val="16"/>
              </w:rPr>
              <w:t>0</w:t>
            </w:r>
          </w:p>
        </w:tc>
        <w:tc>
          <w:tcPr>
            <w:tcW w:w="0" w:type="auto"/>
            <w:noWrap/>
            <w:vAlign w:val="bottom"/>
            <w:hideMark/>
          </w:tcPr>
          <w:p w14:paraId="6668B725"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A46F8A1"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FBD31CB"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82C3BDF" w14:textId="77777777" w:rsidR="00000000" w:rsidRDefault="00832D71">
            <w:pPr>
              <w:pStyle w:val="a3"/>
              <w:spacing w:before="0" w:beforeAutospacing="0" w:after="0" w:afterAutospacing="0"/>
              <w:jc w:val="right"/>
              <w:rPr>
                <w:sz w:val="16"/>
                <w:szCs w:val="16"/>
              </w:rPr>
            </w:pPr>
            <w:r>
              <w:rPr>
                <w:sz w:val="16"/>
                <w:szCs w:val="16"/>
              </w:rPr>
              <w:t>3,10</w:t>
            </w:r>
            <w:r>
              <w:rPr>
                <w:sz w:val="16"/>
                <w:szCs w:val="16"/>
              </w:rPr>
              <w:t>0</w:t>
            </w:r>
          </w:p>
        </w:tc>
        <w:tc>
          <w:tcPr>
            <w:tcW w:w="0" w:type="auto"/>
            <w:noWrap/>
            <w:vAlign w:val="bottom"/>
            <w:hideMark/>
          </w:tcPr>
          <w:p w14:paraId="6401AF0E" w14:textId="77777777" w:rsidR="00000000" w:rsidRDefault="00832D71">
            <w:pPr>
              <w:pStyle w:val="a3"/>
              <w:spacing w:before="0" w:beforeAutospacing="0" w:after="0" w:afterAutospacing="0"/>
              <w:rPr>
                <w:sz w:val="16"/>
                <w:szCs w:val="16"/>
              </w:rPr>
            </w:pPr>
            <w:r>
              <w:rPr>
                <w:sz w:val="16"/>
                <w:szCs w:val="16"/>
              </w:rPr>
              <w:t> </w:t>
            </w:r>
          </w:p>
        </w:tc>
      </w:tr>
      <w:tr w:rsidR="00000000" w14:paraId="1DB535F3" w14:textId="77777777">
        <w:trPr>
          <w:trHeight w:val="160"/>
          <w:tblCellSpacing w:w="15" w:type="dxa"/>
        </w:trPr>
        <w:tc>
          <w:tcPr>
            <w:tcW w:w="0" w:type="auto"/>
            <w:hideMark/>
          </w:tcPr>
          <w:p w14:paraId="7CFE3C08" w14:textId="77777777" w:rsidR="00000000" w:rsidRDefault="00832D71">
            <w:pPr>
              <w:pStyle w:val="a3"/>
              <w:spacing w:before="0" w:beforeAutospacing="0" w:after="0" w:afterAutospacing="0"/>
              <w:rPr>
                <w:sz w:val="16"/>
                <w:szCs w:val="16"/>
              </w:rPr>
            </w:pPr>
            <w:r>
              <w:rPr>
                <w:sz w:val="16"/>
                <w:szCs w:val="16"/>
              </w:rPr>
              <w:t>Value of Partnership Provided Vehicle</w:t>
            </w:r>
            <w:r>
              <w:rPr>
                <w:sz w:val="16"/>
                <w:szCs w:val="16"/>
              </w:rPr>
              <w:t>s</w:t>
            </w:r>
          </w:p>
        </w:tc>
        <w:tc>
          <w:tcPr>
            <w:tcW w:w="0" w:type="auto"/>
            <w:hideMark/>
          </w:tcPr>
          <w:p w14:paraId="405201E2"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51F0210"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19ED3D0" w14:textId="77777777" w:rsidR="00000000" w:rsidRDefault="00832D71">
            <w:pPr>
              <w:pStyle w:val="a3"/>
              <w:spacing w:before="0" w:beforeAutospacing="0" w:after="0" w:afterAutospacing="0"/>
              <w:jc w:val="right"/>
              <w:rPr>
                <w:sz w:val="16"/>
                <w:szCs w:val="16"/>
              </w:rPr>
            </w:pPr>
            <w:r>
              <w:rPr>
                <w:sz w:val="16"/>
                <w:szCs w:val="16"/>
              </w:rPr>
              <w:t>18,32</w:t>
            </w:r>
            <w:r>
              <w:rPr>
                <w:sz w:val="16"/>
                <w:szCs w:val="16"/>
              </w:rPr>
              <w:t>4</w:t>
            </w:r>
          </w:p>
        </w:tc>
        <w:tc>
          <w:tcPr>
            <w:tcW w:w="0" w:type="auto"/>
            <w:noWrap/>
            <w:vAlign w:val="bottom"/>
            <w:hideMark/>
          </w:tcPr>
          <w:p w14:paraId="3530AEA6"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7A8F936"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86D5D7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6A777B2" w14:textId="77777777" w:rsidR="00000000" w:rsidRDefault="00832D71">
            <w:pPr>
              <w:pStyle w:val="a3"/>
              <w:spacing w:before="0" w:beforeAutospacing="0" w:after="0" w:afterAutospacing="0"/>
              <w:jc w:val="right"/>
              <w:rPr>
                <w:sz w:val="16"/>
                <w:szCs w:val="16"/>
              </w:rPr>
            </w:pPr>
            <w:r>
              <w:rPr>
                <w:sz w:val="16"/>
                <w:szCs w:val="16"/>
              </w:rPr>
              <w:t>18,20</w:t>
            </w:r>
            <w:r>
              <w:rPr>
                <w:sz w:val="16"/>
                <w:szCs w:val="16"/>
              </w:rPr>
              <w:t>3</w:t>
            </w:r>
          </w:p>
        </w:tc>
        <w:tc>
          <w:tcPr>
            <w:tcW w:w="0" w:type="auto"/>
            <w:noWrap/>
            <w:vAlign w:val="bottom"/>
            <w:hideMark/>
          </w:tcPr>
          <w:p w14:paraId="51A7BCD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B050B8E"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B9912EF"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A785E8D" w14:textId="77777777" w:rsidR="00000000" w:rsidRDefault="00832D71">
            <w:pPr>
              <w:pStyle w:val="a3"/>
              <w:spacing w:before="0" w:beforeAutospacing="0" w:after="0" w:afterAutospacing="0"/>
              <w:jc w:val="right"/>
              <w:rPr>
                <w:sz w:val="16"/>
                <w:szCs w:val="16"/>
              </w:rPr>
            </w:pPr>
            <w:r>
              <w:rPr>
                <w:sz w:val="16"/>
                <w:szCs w:val="16"/>
              </w:rPr>
              <w:t>8,73</w:t>
            </w:r>
            <w:r>
              <w:rPr>
                <w:sz w:val="16"/>
                <w:szCs w:val="16"/>
              </w:rPr>
              <w:t>2</w:t>
            </w:r>
          </w:p>
        </w:tc>
        <w:tc>
          <w:tcPr>
            <w:tcW w:w="0" w:type="auto"/>
            <w:noWrap/>
            <w:vAlign w:val="bottom"/>
            <w:hideMark/>
          </w:tcPr>
          <w:p w14:paraId="36D0074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5B460F8"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53F9080C"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3B69B2A" w14:textId="77777777" w:rsidR="00000000" w:rsidRDefault="00832D71">
            <w:pPr>
              <w:pStyle w:val="a3"/>
              <w:spacing w:before="0" w:beforeAutospacing="0" w:after="0" w:afterAutospacing="0"/>
              <w:jc w:val="right"/>
              <w:rPr>
                <w:sz w:val="16"/>
                <w:szCs w:val="16"/>
              </w:rPr>
            </w:pPr>
            <w:r>
              <w:rPr>
                <w:sz w:val="16"/>
                <w:szCs w:val="16"/>
              </w:rPr>
              <w:t>16,84</w:t>
            </w:r>
            <w:r>
              <w:rPr>
                <w:sz w:val="16"/>
                <w:szCs w:val="16"/>
              </w:rPr>
              <w:t>0</w:t>
            </w:r>
          </w:p>
        </w:tc>
        <w:tc>
          <w:tcPr>
            <w:tcW w:w="0" w:type="auto"/>
            <w:noWrap/>
            <w:vAlign w:val="bottom"/>
            <w:hideMark/>
          </w:tcPr>
          <w:p w14:paraId="5F6B55D3"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3C86901"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A710DAD"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E26762C" w14:textId="77777777" w:rsidR="00000000" w:rsidRDefault="00832D71">
            <w:pPr>
              <w:pStyle w:val="a3"/>
              <w:spacing w:before="0" w:beforeAutospacing="0" w:after="0" w:afterAutospacing="0"/>
              <w:jc w:val="right"/>
              <w:rPr>
                <w:sz w:val="16"/>
                <w:szCs w:val="16"/>
              </w:rPr>
            </w:pPr>
            <w:r>
              <w:rPr>
                <w:sz w:val="16"/>
                <w:szCs w:val="16"/>
              </w:rPr>
              <w:t>17,43</w:t>
            </w:r>
            <w:r>
              <w:rPr>
                <w:sz w:val="16"/>
                <w:szCs w:val="16"/>
              </w:rPr>
              <w:t>0</w:t>
            </w:r>
          </w:p>
        </w:tc>
        <w:tc>
          <w:tcPr>
            <w:tcW w:w="0" w:type="auto"/>
            <w:noWrap/>
            <w:vAlign w:val="bottom"/>
            <w:hideMark/>
          </w:tcPr>
          <w:p w14:paraId="34904509" w14:textId="77777777" w:rsidR="00000000" w:rsidRDefault="00832D71">
            <w:pPr>
              <w:pStyle w:val="a3"/>
              <w:spacing w:before="0" w:beforeAutospacing="0" w:after="0" w:afterAutospacing="0"/>
              <w:rPr>
                <w:sz w:val="16"/>
                <w:szCs w:val="16"/>
              </w:rPr>
            </w:pPr>
            <w:r>
              <w:rPr>
                <w:sz w:val="16"/>
                <w:szCs w:val="16"/>
              </w:rPr>
              <w:t> </w:t>
            </w:r>
          </w:p>
        </w:tc>
      </w:tr>
      <w:tr w:rsidR="00000000" w14:paraId="473584D4" w14:textId="77777777">
        <w:trPr>
          <w:trHeight w:val="160"/>
          <w:tblCellSpacing w:w="15" w:type="dxa"/>
        </w:trPr>
        <w:tc>
          <w:tcPr>
            <w:tcW w:w="0" w:type="auto"/>
            <w:hideMark/>
          </w:tcPr>
          <w:p w14:paraId="4BE37049" w14:textId="77777777" w:rsidR="00000000" w:rsidRDefault="00832D71">
            <w:pPr>
              <w:pStyle w:val="a3"/>
              <w:spacing w:before="0" w:beforeAutospacing="0" w:after="0" w:afterAutospacing="0"/>
              <w:rPr>
                <w:sz w:val="16"/>
                <w:szCs w:val="16"/>
              </w:rPr>
            </w:pPr>
            <w:r>
              <w:rPr>
                <w:sz w:val="16"/>
                <w:szCs w:val="16"/>
              </w:rPr>
              <w:t>Tax Preparation Service</w:t>
            </w:r>
            <w:r>
              <w:rPr>
                <w:sz w:val="16"/>
                <w:szCs w:val="16"/>
              </w:rPr>
              <w:t>s</w:t>
            </w:r>
          </w:p>
        </w:tc>
        <w:tc>
          <w:tcPr>
            <w:tcW w:w="0" w:type="auto"/>
            <w:hideMark/>
          </w:tcPr>
          <w:p w14:paraId="6F578585"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BAA39D4"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C792CE5"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vAlign w:val="bottom"/>
            <w:hideMark/>
          </w:tcPr>
          <w:p w14:paraId="6FBC0D7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C5DFBAE"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5C8D0D8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A4C497C"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vAlign w:val="bottom"/>
            <w:hideMark/>
          </w:tcPr>
          <w:p w14:paraId="4BABED4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DBB2885"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00E3ABA"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CEFC531" w14:textId="77777777" w:rsidR="00000000" w:rsidRDefault="00832D71">
            <w:pPr>
              <w:pStyle w:val="a3"/>
              <w:spacing w:before="0" w:beforeAutospacing="0" w:after="0" w:afterAutospacing="0"/>
              <w:jc w:val="right"/>
              <w:rPr>
                <w:sz w:val="16"/>
                <w:szCs w:val="16"/>
              </w:rPr>
            </w:pPr>
            <w:r>
              <w:rPr>
                <w:sz w:val="16"/>
                <w:szCs w:val="16"/>
              </w:rPr>
              <w:t>4,00</w:t>
            </w:r>
            <w:r>
              <w:rPr>
                <w:sz w:val="16"/>
                <w:szCs w:val="16"/>
              </w:rPr>
              <w:t>0</w:t>
            </w:r>
          </w:p>
        </w:tc>
        <w:tc>
          <w:tcPr>
            <w:tcW w:w="0" w:type="auto"/>
            <w:noWrap/>
            <w:vAlign w:val="bottom"/>
            <w:hideMark/>
          </w:tcPr>
          <w:p w14:paraId="056CB78E"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6CA7264"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F933BD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E6ACACC" w14:textId="77777777" w:rsidR="00000000" w:rsidRDefault="00832D71">
            <w:pPr>
              <w:pStyle w:val="a3"/>
              <w:spacing w:before="0" w:beforeAutospacing="0" w:after="0" w:afterAutospacing="0"/>
              <w:jc w:val="right"/>
              <w:rPr>
                <w:sz w:val="16"/>
                <w:szCs w:val="16"/>
              </w:rPr>
            </w:pPr>
            <w:r>
              <w:rPr>
                <w:sz w:val="16"/>
                <w:szCs w:val="16"/>
              </w:rPr>
              <w:t>3,20</w:t>
            </w:r>
            <w:r>
              <w:rPr>
                <w:sz w:val="16"/>
                <w:szCs w:val="16"/>
              </w:rPr>
              <w:t>0</w:t>
            </w:r>
          </w:p>
        </w:tc>
        <w:tc>
          <w:tcPr>
            <w:tcW w:w="0" w:type="auto"/>
            <w:noWrap/>
            <w:vAlign w:val="bottom"/>
            <w:hideMark/>
          </w:tcPr>
          <w:p w14:paraId="01F2AFF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655E8AE"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8CC336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CDCDF3F" w14:textId="77777777" w:rsidR="00000000" w:rsidRDefault="00832D71">
            <w:pPr>
              <w:pStyle w:val="a3"/>
              <w:spacing w:before="0" w:beforeAutospacing="0" w:after="0" w:afterAutospacing="0"/>
              <w:jc w:val="right"/>
              <w:rPr>
                <w:sz w:val="16"/>
                <w:szCs w:val="16"/>
              </w:rPr>
            </w:pPr>
            <w:r>
              <w:rPr>
                <w:sz w:val="16"/>
                <w:szCs w:val="16"/>
              </w:rPr>
              <w:t>3,20</w:t>
            </w:r>
            <w:r>
              <w:rPr>
                <w:sz w:val="16"/>
                <w:szCs w:val="16"/>
              </w:rPr>
              <w:t>0</w:t>
            </w:r>
          </w:p>
        </w:tc>
        <w:tc>
          <w:tcPr>
            <w:tcW w:w="0" w:type="auto"/>
            <w:noWrap/>
            <w:vAlign w:val="bottom"/>
            <w:hideMark/>
          </w:tcPr>
          <w:p w14:paraId="106D2BC9" w14:textId="77777777" w:rsidR="00000000" w:rsidRDefault="00832D71">
            <w:pPr>
              <w:pStyle w:val="a3"/>
              <w:spacing w:before="0" w:beforeAutospacing="0" w:after="0" w:afterAutospacing="0"/>
              <w:rPr>
                <w:sz w:val="16"/>
                <w:szCs w:val="16"/>
              </w:rPr>
            </w:pPr>
            <w:r>
              <w:rPr>
                <w:sz w:val="16"/>
                <w:szCs w:val="16"/>
              </w:rPr>
              <w:t> </w:t>
            </w:r>
          </w:p>
        </w:tc>
      </w:tr>
      <w:tr w:rsidR="00000000" w14:paraId="4E6D1207" w14:textId="77777777">
        <w:trPr>
          <w:trHeight w:val="160"/>
          <w:tblCellSpacing w:w="15" w:type="dxa"/>
        </w:trPr>
        <w:tc>
          <w:tcPr>
            <w:tcW w:w="0" w:type="auto"/>
            <w:hideMark/>
          </w:tcPr>
          <w:p w14:paraId="6B358571" w14:textId="77777777" w:rsidR="00000000" w:rsidRDefault="00832D71">
            <w:pPr>
              <w:pStyle w:val="a3"/>
              <w:spacing w:before="0" w:beforeAutospacing="0" w:after="0" w:afterAutospacing="0"/>
              <w:rPr>
                <w:sz w:val="16"/>
                <w:szCs w:val="16"/>
              </w:rPr>
            </w:pPr>
            <w:r>
              <w:rPr>
                <w:sz w:val="16"/>
                <w:szCs w:val="16"/>
              </w:rPr>
              <w:t>Cash Balance Plan Administrative Fee</w:t>
            </w:r>
            <w:r>
              <w:rPr>
                <w:sz w:val="16"/>
                <w:szCs w:val="16"/>
              </w:rPr>
              <w:t>s</w:t>
            </w:r>
          </w:p>
        </w:tc>
        <w:tc>
          <w:tcPr>
            <w:tcW w:w="0" w:type="auto"/>
            <w:hideMark/>
          </w:tcPr>
          <w:p w14:paraId="7F4D2460"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D797F7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91BFD87"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vAlign w:val="bottom"/>
            <w:hideMark/>
          </w:tcPr>
          <w:p w14:paraId="51DA0333"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3B9AF98"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5921B8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137FF6A"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vAlign w:val="bottom"/>
            <w:hideMark/>
          </w:tcPr>
          <w:p w14:paraId="5C4E3D7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0996576"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57D633A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F87D0E7" w14:textId="77777777" w:rsidR="00000000" w:rsidRDefault="00832D71">
            <w:pPr>
              <w:pStyle w:val="a3"/>
              <w:spacing w:before="0" w:beforeAutospacing="0" w:after="0" w:afterAutospacing="0"/>
              <w:jc w:val="right"/>
              <w:rPr>
                <w:sz w:val="16"/>
                <w:szCs w:val="16"/>
              </w:rPr>
            </w:pPr>
            <w:r>
              <w:rPr>
                <w:sz w:val="16"/>
                <w:szCs w:val="16"/>
              </w:rPr>
              <w:t>76</w:t>
            </w:r>
            <w:r>
              <w:rPr>
                <w:sz w:val="16"/>
                <w:szCs w:val="16"/>
              </w:rPr>
              <w:t>2</w:t>
            </w:r>
          </w:p>
        </w:tc>
        <w:tc>
          <w:tcPr>
            <w:tcW w:w="0" w:type="auto"/>
            <w:noWrap/>
            <w:vAlign w:val="bottom"/>
            <w:hideMark/>
          </w:tcPr>
          <w:p w14:paraId="2865FBD8"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B7B63B5"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7AD199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6BB224D" w14:textId="77777777" w:rsidR="00000000" w:rsidRDefault="00832D71">
            <w:pPr>
              <w:pStyle w:val="a3"/>
              <w:spacing w:before="0" w:beforeAutospacing="0" w:after="0" w:afterAutospacing="0"/>
              <w:jc w:val="right"/>
              <w:rPr>
                <w:sz w:val="16"/>
                <w:szCs w:val="16"/>
              </w:rPr>
            </w:pPr>
            <w:r>
              <w:rPr>
                <w:sz w:val="16"/>
                <w:szCs w:val="16"/>
              </w:rPr>
              <w:t>76</w:t>
            </w:r>
            <w:r>
              <w:rPr>
                <w:sz w:val="16"/>
                <w:szCs w:val="16"/>
              </w:rPr>
              <w:t>2</w:t>
            </w:r>
          </w:p>
        </w:tc>
        <w:tc>
          <w:tcPr>
            <w:tcW w:w="0" w:type="auto"/>
            <w:noWrap/>
            <w:vAlign w:val="bottom"/>
            <w:hideMark/>
          </w:tcPr>
          <w:p w14:paraId="141FAE3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E6BC123"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6DD1BE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B85467E" w14:textId="77777777" w:rsidR="00000000" w:rsidRDefault="00832D71">
            <w:pPr>
              <w:pStyle w:val="a3"/>
              <w:spacing w:before="0" w:beforeAutospacing="0" w:after="0" w:afterAutospacing="0"/>
              <w:jc w:val="right"/>
              <w:rPr>
                <w:sz w:val="16"/>
                <w:szCs w:val="16"/>
              </w:rPr>
            </w:pPr>
            <w:r>
              <w:rPr>
                <w:sz w:val="16"/>
                <w:szCs w:val="16"/>
              </w:rPr>
              <w:t>76</w:t>
            </w:r>
            <w:r>
              <w:rPr>
                <w:sz w:val="16"/>
                <w:szCs w:val="16"/>
              </w:rPr>
              <w:t>2</w:t>
            </w:r>
          </w:p>
        </w:tc>
        <w:tc>
          <w:tcPr>
            <w:tcW w:w="0" w:type="auto"/>
            <w:noWrap/>
            <w:vAlign w:val="bottom"/>
            <w:hideMark/>
          </w:tcPr>
          <w:p w14:paraId="12EDF8C3" w14:textId="77777777" w:rsidR="00000000" w:rsidRDefault="00832D71">
            <w:pPr>
              <w:pStyle w:val="a3"/>
              <w:spacing w:before="0" w:beforeAutospacing="0" w:after="0" w:afterAutospacing="0"/>
              <w:rPr>
                <w:sz w:val="16"/>
                <w:szCs w:val="16"/>
              </w:rPr>
            </w:pPr>
            <w:r>
              <w:rPr>
                <w:sz w:val="16"/>
                <w:szCs w:val="16"/>
              </w:rPr>
              <w:t> </w:t>
            </w:r>
          </w:p>
        </w:tc>
      </w:tr>
      <w:tr w:rsidR="00000000" w14:paraId="63CB5EF6" w14:textId="77777777">
        <w:trPr>
          <w:trHeight w:val="160"/>
          <w:tblCellSpacing w:w="15" w:type="dxa"/>
        </w:trPr>
        <w:tc>
          <w:tcPr>
            <w:tcW w:w="0" w:type="auto"/>
            <w:hideMark/>
          </w:tcPr>
          <w:p w14:paraId="4959716E" w14:textId="77777777" w:rsidR="00000000" w:rsidRDefault="00832D71">
            <w:pPr>
              <w:pStyle w:val="a3"/>
              <w:spacing w:before="0" w:beforeAutospacing="0" w:after="0" w:afterAutospacing="0"/>
              <w:ind w:left="200"/>
              <w:rPr>
                <w:sz w:val="16"/>
                <w:szCs w:val="16"/>
              </w:rPr>
            </w:pPr>
            <w:r>
              <w:rPr>
                <w:sz w:val="16"/>
                <w:szCs w:val="16"/>
              </w:rPr>
              <w:t>Tota</w:t>
            </w:r>
            <w:r>
              <w:rPr>
                <w:sz w:val="16"/>
                <w:szCs w:val="16"/>
              </w:rPr>
              <w:t>l</w:t>
            </w:r>
          </w:p>
        </w:tc>
        <w:tc>
          <w:tcPr>
            <w:tcW w:w="0" w:type="auto"/>
            <w:hideMark/>
          </w:tcPr>
          <w:p w14:paraId="07616F77"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FFDEE4A"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0BAB605B" w14:textId="77777777" w:rsidR="00000000" w:rsidRDefault="00832D71">
            <w:pPr>
              <w:pStyle w:val="a3"/>
              <w:spacing w:before="0" w:beforeAutospacing="0" w:after="0" w:afterAutospacing="0"/>
              <w:jc w:val="right"/>
              <w:rPr>
                <w:sz w:val="16"/>
                <w:szCs w:val="16"/>
              </w:rPr>
            </w:pPr>
            <w:r>
              <w:rPr>
                <w:sz w:val="16"/>
                <w:szCs w:val="16"/>
              </w:rPr>
              <w:t>30,17</w:t>
            </w:r>
            <w:r>
              <w:rPr>
                <w:sz w:val="16"/>
                <w:szCs w:val="16"/>
              </w:rPr>
              <w:t>4</w:t>
            </w:r>
          </w:p>
        </w:tc>
        <w:tc>
          <w:tcPr>
            <w:tcW w:w="0" w:type="auto"/>
            <w:noWrap/>
            <w:vAlign w:val="bottom"/>
            <w:hideMark/>
          </w:tcPr>
          <w:p w14:paraId="489C43DF"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DE4A06C"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6EB23FB"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75D0185E" w14:textId="77777777" w:rsidR="00000000" w:rsidRDefault="00832D71">
            <w:pPr>
              <w:pStyle w:val="a3"/>
              <w:spacing w:before="0" w:beforeAutospacing="0" w:after="0" w:afterAutospacing="0"/>
              <w:jc w:val="right"/>
              <w:rPr>
                <w:sz w:val="16"/>
                <w:szCs w:val="16"/>
              </w:rPr>
            </w:pPr>
            <w:r>
              <w:rPr>
                <w:sz w:val="16"/>
                <w:szCs w:val="16"/>
              </w:rPr>
              <w:t>26,90</w:t>
            </w:r>
            <w:r>
              <w:rPr>
                <w:sz w:val="16"/>
                <w:szCs w:val="16"/>
              </w:rPr>
              <w:t>3</w:t>
            </w:r>
          </w:p>
        </w:tc>
        <w:tc>
          <w:tcPr>
            <w:tcW w:w="0" w:type="auto"/>
            <w:noWrap/>
            <w:vAlign w:val="bottom"/>
            <w:hideMark/>
          </w:tcPr>
          <w:p w14:paraId="4B43B33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F3F9341"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50126FD"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584193D9" w14:textId="77777777" w:rsidR="00000000" w:rsidRDefault="00832D71">
            <w:pPr>
              <w:pStyle w:val="a3"/>
              <w:spacing w:before="0" w:beforeAutospacing="0" w:after="0" w:afterAutospacing="0"/>
              <w:jc w:val="right"/>
              <w:rPr>
                <w:sz w:val="16"/>
                <w:szCs w:val="16"/>
              </w:rPr>
            </w:pPr>
            <w:r>
              <w:rPr>
                <w:sz w:val="16"/>
                <w:szCs w:val="16"/>
              </w:rPr>
              <w:t>22,19</w:t>
            </w:r>
            <w:r>
              <w:rPr>
                <w:sz w:val="16"/>
                <w:szCs w:val="16"/>
              </w:rPr>
              <w:t>4</w:t>
            </w:r>
          </w:p>
        </w:tc>
        <w:tc>
          <w:tcPr>
            <w:tcW w:w="0" w:type="auto"/>
            <w:noWrap/>
            <w:vAlign w:val="bottom"/>
            <w:hideMark/>
          </w:tcPr>
          <w:p w14:paraId="66D1C0CC"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17DE5191"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6EBDA07"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1181AC7" w14:textId="77777777" w:rsidR="00000000" w:rsidRDefault="00832D71">
            <w:pPr>
              <w:pStyle w:val="a3"/>
              <w:spacing w:before="0" w:beforeAutospacing="0" w:after="0" w:afterAutospacing="0"/>
              <w:jc w:val="right"/>
              <w:rPr>
                <w:sz w:val="16"/>
                <w:szCs w:val="16"/>
              </w:rPr>
            </w:pPr>
            <w:r>
              <w:rPr>
                <w:sz w:val="16"/>
                <w:szCs w:val="16"/>
              </w:rPr>
              <w:t>32,65</w:t>
            </w:r>
            <w:r>
              <w:rPr>
                <w:sz w:val="16"/>
                <w:szCs w:val="16"/>
              </w:rPr>
              <w:t>2</w:t>
            </w:r>
          </w:p>
        </w:tc>
        <w:tc>
          <w:tcPr>
            <w:tcW w:w="0" w:type="auto"/>
            <w:noWrap/>
            <w:vAlign w:val="bottom"/>
            <w:hideMark/>
          </w:tcPr>
          <w:p w14:paraId="74C83522"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FAB4852"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9024C14"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582D7062" w14:textId="77777777" w:rsidR="00000000" w:rsidRDefault="00832D71">
            <w:pPr>
              <w:pStyle w:val="a3"/>
              <w:spacing w:before="0" w:beforeAutospacing="0" w:after="0" w:afterAutospacing="0"/>
              <w:jc w:val="right"/>
              <w:rPr>
                <w:sz w:val="16"/>
                <w:szCs w:val="16"/>
              </w:rPr>
            </w:pPr>
            <w:r>
              <w:rPr>
                <w:sz w:val="16"/>
                <w:szCs w:val="16"/>
              </w:rPr>
              <w:t>33,19</w:t>
            </w:r>
            <w:r>
              <w:rPr>
                <w:sz w:val="16"/>
                <w:szCs w:val="16"/>
              </w:rPr>
              <w:t>2</w:t>
            </w:r>
          </w:p>
        </w:tc>
        <w:tc>
          <w:tcPr>
            <w:tcW w:w="0" w:type="auto"/>
            <w:noWrap/>
            <w:vAlign w:val="bottom"/>
            <w:hideMark/>
          </w:tcPr>
          <w:p w14:paraId="623D46A0" w14:textId="77777777" w:rsidR="00000000" w:rsidRDefault="00832D71">
            <w:pPr>
              <w:pStyle w:val="a3"/>
              <w:spacing w:before="0" w:beforeAutospacing="0" w:after="0" w:afterAutospacing="0"/>
              <w:rPr>
                <w:sz w:val="16"/>
                <w:szCs w:val="16"/>
              </w:rPr>
            </w:pPr>
            <w:r>
              <w:rPr>
                <w:sz w:val="16"/>
                <w:szCs w:val="16"/>
              </w:rPr>
              <w:t> </w:t>
            </w:r>
          </w:p>
        </w:tc>
      </w:tr>
    </w:tbl>
    <w:p w14:paraId="0C06E05B" w14:textId="77777777" w:rsidR="00000000" w:rsidRDefault="00832D71">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4"/>
        <w:gridCol w:w="104"/>
        <w:gridCol w:w="140"/>
        <w:gridCol w:w="585"/>
        <w:gridCol w:w="100"/>
        <w:gridCol w:w="100"/>
        <w:gridCol w:w="140"/>
        <w:gridCol w:w="585"/>
        <w:gridCol w:w="100"/>
        <w:gridCol w:w="100"/>
        <w:gridCol w:w="140"/>
        <w:gridCol w:w="585"/>
        <w:gridCol w:w="100"/>
        <w:gridCol w:w="100"/>
        <w:gridCol w:w="141"/>
        <w:gridCol w:w="1257"/>
        <w:gridCol w:w="100"/>
        <w:gridCol w:w="100"/>
        <w:gridCol w:w="140"/>
        <w:gridCol w:w="950"/>
        <w:gridCol w:w="115"/>
      </w:tblGrid>
      <w:tr w:rsidR="00000000" w14:paraId="41DBDF35" w14:textId="77777777">
        <w:trPr>
          <w:tblCellSpacing w:w="15" w:type="dxa"/>
        </w:trPr>
        <w:tc>
          <w:tcPr>
            <w:tcW w:w="1692" w:type="pct"/>
            <w:vAlign w:val="center"/>
            <w:hideMark/>
          </w:tcPr>
          <w:p w14:paraId="7ED9C67E" w14:textId="77777777" w:rsidR="00000000" w:rsidRDefault="00832D71">
            <w:pPr>
              <w:rPr>
                <w:sz w:val="20"/>
                <w:szCs w:val="20"/>
              </w:rPr>
            </w:pPr>
          </w:p>
        </w:tc>
        <w:tc>
          <w:tcPr>
            <w:tcW w:w="57" w:type="pct"/>
            <w:vAlign w:val="center"/>
            <w:hideMark/>
          </w:tcPr>
          <w:p w14:paraId="03A0BBE6" w14:textId="77777777" w:rsidR="00000000" w:rsidRDefault="00832D71">
            <w:pPr>
              <w:rPr>
                <w:rFonts w:eastAsia="Times New Roman"/>
                <w:sz w:val="20"/>
                <w:szCs w:val="20"/>
              </w:rPr>
            </w:pPr>
          </w:p>
        </w:tc>
        <w:tc>
          <w:tcPr>
            <w:tcW w:w="50" w:type="pct"/>
            <w:vAlign w:val="center"/>
            <w:hideMark/>
          </w:tcPr>
          <w:p w14:paraId="48551E3A" w14:textId="77777777" w:rsidR="00000000" w:rsidRDefault="00832D71">
            <w:pPr>
              <w:rPr>
                <w:rFonts w:eastAsia="Times New Roman"/>
                <w:sz w:val="20"/>
                <w:szCs w:val="20"/>
              </w:rPr>
            </w:pPr>
          </w:p>
        </w:tc>
        <w:tc>
          <w:tcPr>
            <w:tcW w:w="370" w:type="pct"/>
            <w:vAlign w:val="center"/>
            <w:hideMark/>
          </w:tcPr>
          <w:p w14:paraId="04756F57" w14:textId="77777777" w:rsidR="00000000" w:rsidRDefault="00832D71">
            <w:pPr>
              <w:rPr>
                <w:rFonts w:eastAsia="Times New Roman"/>
                <w:sz w:val="20"/>
                <w:szCs w:val="20"/>
              </w:rPr>
            </w:pPr>
          </w:p>
        </w:tc>
        <w:tc>
          <w:tcPr>
            <w:tcW w:w="50" w:type="pct"/>
            <w:vAlign w:val="center"/>
            <w:hideMark/>
          </w:tcPr>
          <w:p w14:paraId="283D0F09" w14:textId="77777777" w:rsidR="00000000" w:rsidRDefault="00832D71">
            <w:pPr>
              <w:rPr>
                <w:rFonts w:eastAsia="Times New Roman"/>
                <w:sz w:val="20"/>
                <w:szCs w:val="20"/>
              </w:rPr>
            </w:pPr>
          </w:p>
        </w:tc>
        <w:tc>
          <w:tcPr>
            <w:tcW w:w="56" w:type="pct"/>
            <w:vAlign w:val="center"/>
            <w:hideMark/>
          </w:tcPr>
          <w:p w14:paraId="4976891C" w14:textId="77777777" w:rsidR="00000000" w:rsidRDefault="00832D71">
            <w:pPr>
              <w:rPr>
                <w:rFonts w:eastAsia="Times New Roman"/>
                <w:sz w:val="20"/>
                <w:szCs w:val="20"/>
              </w:rPr>
            </w:pPr>
          </w:p>
        </w:tc>
        <w:tc>
          <w:tcPr>
            <w:tcW w:w="50" w:type="pct"/>
            <w:vAlign w:val="center"/>
            <w:hideMark/>
          </w:tcPr>
          <w:p w14:paraId="6376E3E4" w14:textId="77777777" w:rsidR="00000000" w:rsidRDefault="00832D71">
            <w:pPr>
              <w:rPr>
                <w:rFonts w:eastAsia="Times New Roman"/>
                <w:sz w:val="20"/>
                <w:szCs w:val="20"/>
              </w:rPr>
            </w:pPr>
          </w:p>
        </w:tc>
        <w:tc>
          <w:tcPr>
            <w:tcW w:w="370" w:type="pct"/>
            <w:vAlign w:val="center"/>
            <w:hideMark/>
          </w:tcPr>
          <w:p w14:paraId="6311912B" w14:textId="77777777" w:rsidR="00000000" w:rsidRDefault="00832D71">
            <w:pPr>
              <w:rPr>
                <w:rFonts w:eastAsia="Times New Roman"/>
                <w:sz w:val="20"/>
                <w:szCs w:val="20"/>
              </w:rPr>
            </w:pPr>
          </w:p>
        </w:tc>
        <w:tc>
          <w:tcPr>
            <w:tcW w:w="50" w:type="pct"/>
            <w:vAlign w:val="center"/>
            <w:hideMark/>
          </w:tcPr>
          <w:p w14:paraId="33FB1BAD" w14:textId="77777777" w:rsidR="00000000" w:rsidRDefault="00832D71">
            <w:pPr>
              <w:rPr>
                <w:rFonts w:eastAsia="Times New Roman"/>
                <w:sz w:val="20"/>
                <w:szCs w:val="20"/>
              </w:rPr>
            </w:pPr>
          </w:p>
        </w:tc>
        <w:tc>
          <w:tcPr>
            <w:tcW w:w="56" w:type="pct"/>
            <w:vAlign w:val="center"/>
            <w:hideMark/>
          </w:tcPr>
          <w:p w14:paraId="43619BC2" w14:textId="77777777" w:rsidR="00000000" w:rsidRDefault="00832D71">
            <w:pPr>
              <w:rPr>
                <w:rFonts w:eastAsia="Times New Roman"/>
                <w:sz w:val="20"/>
                <w:szCs w:val="20"/>
              </w:rPr>
            </w:pPr>
          </w:p>
        </w:tc>
        <w:tc>
          <w:tcPr>
            <w:tcW w:w="50" w:type="pct"/>
            <w:vAlign w:val="center"/>
            <w:hideMark/>
          </w:tcPr>
          <w:p w14:paraId="12A12823" w14:textId="77777777" w:rsidR="00000000" w:rsidRDefault="00832D71">
            <w:pPr>
              <w:rPr>
                <w:rFonts w:eastAsia="Times New Roman"/>
                <w:sz w:val="20"/>
                <w:szCs w:val="20"/>
              </w:rPr>
            </w:pPr>
          </w:p>
        </w:tc>
        <w:tc>
          <w:tcPr>
            <w:tcW w:w="370" w:type="pct"/>
            <w:vAlign w:val="center"/>
            <w:hideMark/>
          </w:tcPr>
          <w:p w14:paraId="4B8D8534" w14:textId="77777777" w:rsidR="00000000" w:rsidRDefault="00832D71">
            <w:pPr>
              <w:rPr>
                <w:rFonts w:eastAsia="Times New Roman"/>
                <w:sz w:val="20"/>
                <w:szCs w:val="20"/>
              </w:rPr>
            </w:pPr>
          </w:p>
        </w:tc>
        <w:tc>
          <w:tcPr>
            <w:tcW w:w="50" w:type="pct"/>
            <w:vAlign w:val="center"/>
            <w:hideMark/>
          </w:tcPr>
          <w:p w14:paraId="0F3C0877" w14:textId="77777777" w:rsidR="00000000" w:rsidRDefault="00832D71">
            <w:pPr>
              <w:rPr>
                <w:rFonts w:eastAsia="Times New Roman"/>
                <w:sz w:val="20"/>
                <w:szCs w:val="20"/>
              </w:rPr>
            </w:pPr>
          </w:p>
        </w:tc>
        <w:tc>
          <w:tcPr>
            <w:tcW w:w="45" w:type="pct"/>
            <w:vAlign w:val="center"/>
            <w:hideMark/>
          </w:tcPr>
          <w:p w14:paraId="0D1D7847" w14:textId="77777777" w:rsidR="00000000" w:rsidRDefault="00832D71">
            <w:pPr>
              <w:rPr>
                <w:rFonts w:eastAsia="Times New Roman"/>
                <w:sz w:val="20"/>
                <w:szCs w:val="20"/>
              </w:rPr>
            </w:pPr>
          </w:p>
        </w:tc>
        <w:tc>
          <w:tcPr>
            <w:tcW w:w="50" w:type="pct"/>
            <w:vAlign w:val="center"/>
            <w:hideMark/>
          </w:tcPr>
          <w:p w14:paraId="3E9BF45D" w14:textId="77777777" w:rsidR="00000000" w:rsidRDefault="00832D71">
            <w:pPr>
              <w:rPr>
                <w:rFonts w:eastAsia="Times New Roman"/>
                <w:sz w:val="20"/>
                <w:szCs w:val="20"/>
              </w:rPr>
            </w:pPr>
          </w:p>
        </w:tc>
        <w:tc>
          <w:tcPr>
            <w:tcW w:w="812" w:type="pct"/>
            <w:vAlign w:val="center"/>
            <w:hideMark/>
          </w:tcPr>
          <w:p w14:paraId="7FFA72F1" w14:textId="77777777" w:rsidR="00000000" w:rsidRDefault="00832D71">
            <w:pPr>
              <w:rPr>
                <w:rFonts w:eastAsia="Times New Roman"/>
                <w:sz w:val="20"/>
                <w:szCs w:val="20"/>
              </w:rPr>
            </w:pPr>
          </w:p>
        </w:tc>
        <w:tc>
          <w:tcPr>
            <w:tcW w:w="50" w:type="pct"/>
            <w:vAlign w:val="center"/>
            <w:hideMark/>
          </w:tcPr>
          <w:p w14:paraId="46187B9D" w14:textId="77777777" w:rsidR="00000000" w:rsidRDefault="00832D71">
            <w:pPr>
              <w:rPr>
                <w:rFonts w:eastAsia="Times New Roman"/>
                <w:sz w:val="20"/>
                <w:szCs w:val="20"/>
              </w:rPr>
            </w:pPr>
          </w:p>
        </w:tc>
        <w:tc>
          <w:tcPr>
            <w:tcW w:w="56" w:type="pct"/>
            <w:vAlign w:val="center"/>
            <w:hideMark/>
          </w:tcPr>
          <w:p w14:paraId="344B1DD0" w14:textId="77777777" w:rsidR="00000000" w:rsidRDefault="00832D71">
            <w:pPr>
              <w:rPr>
                <w:rFonts w:eastAsia="Times New Roman"/>
                <w:sz w:val="20"/>
                <w:szCs w:val="20"/>
              </w:rPr>
            </w:pPr>
          </w:p>
        </w:tc>
        <w:tc>
          <w:tcPr>
            <w:tcW w:w="50" w:type="pct"/>
            <w:vAlign w:val="center"/>
            <w:hideMark/>
          </w:tcPr>
          <w:p w14:paraId="40C37DFE" w14:textId="77777777" w:rsidR="00000000" w:rsidRDefault="00832D71">
            <w:pPr>
              <w:rPr>
                <w:rFonts w:eastAsia="Times New Roman"/>
                <w:sz w:val="20"/>
                <w:szCs w:val="20"/>
              </w:rPr>
            </w:pPr>
          </w:p>
        </w:tc>
        <w:tc>
          <w:tcPr>
            <w:tcW w:w="608" w:type="pct"/>
            <w:vAlign w:val="center"/>
            <w:hideMark/>
          </w:tcPr>
          <w:p w14:paraId="26C5536A" w14:textId="77777777" w:rsidR="00000000" w:rsidRDefault="00832D71">
            <w:pPr>
              <w:rPr>
                <w:rFonts w:eastAsia="Times New Roman"/>
                <w:sz w:val="20"/>
                <w:szCs w:val="20"/>
              </w:rPr>
            </w:pPr>
          </w:p>
        </w:tc>
        <w:tc>
          <w:tcPr>
            <w:tcW w:w="50" w:type="pct"/>
            <w:vAlign w:val="center"/>
            <w:hideMark/>
          </w:tcPr>
          <w:p w14:paraId="7B1DD0B0" w14:textId="77777777" w:rsidR="00000000" w:rsidRDefault="00832D71">
            <w:pPr>
              <w:rPr>
                <w:rFonts w:eastAsia="Times New Roman"/>
                <w:sz w:val="20"/>
                <w:szCs w:val="20"/>
              </w:rPr>
            </w:pPr>
          </w:p>
        </w:tc>
      </w:tr>
      <w:tr w:rsidR="00000000" w14:paraId="15A8A85F" w14:textId="77777777">
        <w:trPr>
          <w:trHeight w:val="160"/>
          <w:tblCellSpacing w:w="15" w:type="dxa"/>
        </w:trPr>
        <w:tc>
          <w:tcPr>
            <w:tcW w:w="0" w:type="auto"/>
            <w:gridSpan w:val="20"/>
            <w:vAlign w:val="bottom"/>
            <w:hideMark/>
          </w:tcPr>
          <w:p w14:paraId="2B0EC40E" w14:textId="77777777" w:rsidR="00000000" w:rsidRDefault="00832D71">
            <w:pPr>
              <w:pStyle w:val="a3"/>
              <w:spacing w:before="0" w:beforeAutospacing="0" w:after="0" w:afterAutospacing="0"/>
              <w:jc w:val="center"/>
              <w:rPr>
                <w:sz w:val="16"/>
                <w:szCs w:val="16"/>
              </w:rPr>
            </w:pPr>
            <w:r>
              <w:rPr>
                <w:b/>
                <w:bCs/>
                <w:sz w:val="16"/>
                <w:szCs w:val="16"/>
              </w:rPr>
              <w:t>Fiscal 202</w:t>
            </w:r>
            <w:r>
              <w:rPr>
                <w:b/>
                <w:bCs/>
                <w:sz w:val="16"/>
                <w:szCs w:val="16"/>
              </w:rPr>
              <w:t>0</w:t>
            </w:r>
          </w:p>
        </w:tc>
        <w:tc>
          <w:tcPr>
            <w:tcW w:w="0" w:type="auto"/>
            <w:vAlign w:val="bottom"/>
            <w:hideMark/>
          </w:tcPr>
          <w:p w14:paraId="708411B8"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49BF0AC6" w14:textId="77777777">
        <w:trPr>
          <w:trHeight w:val="160"/>
          <w:tblCellSpacing w:w="15" w:type="dxa"/>
        </w:trPr>
        <w:tc>
          <w:tcPr>
            <w:tcW w:w="0" w:type="auto"/>
            <w:vAlign w:val="bottom"/>
            <w:hideMark/>
          </w:tcPr>
          <w:p w14:paraId="025006FA" w14:textId="77777777" w:rsidR="00000000" w:rsidRDefault="00832D71">
            <w:pPr>
              <w:pStyle w:val="a3"/>
              <w:spacing w:before="0" w:beforeAutospacing="0" w:after="0" w:afterAutospacing="0"/>
              <w:jc w:val="center"/>
              <w:rPr>
                <w:sz w:val="16"/>
                <w:szCs w:val="16"/>
              </w:rPr>
            </w:pPr>
            <w:r>
              <w:rPr>
                <w:b/>
                <w:bCs/>
                <w:sz w:val="16"/>
                <w:szCs w:val="16"/>
              </w:rPr>
              <w:t>Type of Compensatio</w:t>
            </w:r>
            <w:r>
              <w:rPr>
                <w:b/>
                <w:bCs/>
                <w:sz w:val="16"/>
                <w:szCs w:val="16"/>
              </w:rPr>
              <w:t>n</w:t>
            </w:r>
          </w:p>
        </w:tc>
        <w:tc>
          <w:tcPr>
            <w:tcW w:w="0" w:type="auto"/>
            <w:hideMark/>
          </w:tcPr>
          <w:p w14:paraId="53285CB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E79C5A7" w14:textId="77777777" w:rsidR="00000000" w:rsidRDefault="00832D71">
            <w:pPr>
              <w:pStyle w:val="a3"/>
              <w:spacing w:before="0" w:beforeAutospacing="0" w:after="0" w:afterAutospacing="0"/>
              <w:jc w:val="center"/>
              <w:rPr>
                <w:sz w:val="16"/>
                <w:szCs w:val="16"/>
              </w:rPr>
            </w:pPr>
            <w:r>
              <w:rPr>
                <w:b/>
                <w:bCs/>
                <w:sz w:val="16"/>
                <w:szCs w:val="16"/>
              </w:rPr>
              <w:t>Mr. Stival</w:t>
            </w:r>
            <w:r>
              <w:rPr>
                <w:b/>
                <w:bCs/>
                <w:sz w:val="16"/>
                <w:szCs w:val="16"/>
              </w:rPr>
              <w:t>a</w:t>
            </w:r>
          </w:p>
        </w:tc>
        <w:tc>
          <w:tcPr>
            <w:tcW w:w="0" w:type="auto"/>
            <w:vAlign w:val="bottom"/>
            <w:hideMark/>
          </w:tcPr>
          <w:p w14:paraId="30A07B19"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79F495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4CD97F3" w14:textId="77777777" w:rsidR="00000000" w:rsidRDefault="00832D71">
            <w:pPr>
              <w:pStyle w:val="a3"/>
              <w:spacing w:before="0" w:beforeAutospacing="0" w:after="0" w:afterAutospacing="0"/>
              <w:jc w:val="center"/>
              <w:rPr>
                <w:sz w:val="16"/>
                <w:szCs w:val="16"/>
              </w:rPr>
            </w:pPr>
            <w:r>
              <w:rPr>
                <w:b/>
                <w:bCs/>
                <w:sz w:val="16"/>
                <w:szCs w:val="16"/>
              </w:rPr>
              <w:t>Mr. Kugli</w:t>
            </w:r>
            <w:r>
              <w:rPr>
                <w:b/>
                <w:bCs/>
                <w:sz w:val="16"/>
                <w:szCs w:val="16"/>
              </w:rPr>
              <w:t>n</w:t>
            </w:r>
          </w:p>
        </w:tc>
        <w:tc>
          <w:tcPr>
            <w:tcW w:w="0" w:type="auto"/>
            <w:vAlign w:val="bottom"/>
            <w:hideMark/>
          </w:tcPr>
          <w:p w14:paraId="6E4B1D17"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2A7F71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0BDF675" w14:textId="77777777" w:rsidR="00000000" w:rsidRDefault="00832D71">
            <w:pPr>
              <w:pStyle w:val="a3"/>
              <w:spacing w:before="0" w:beforeAutospacing="0" w:after="0" w:afterAutospacing="0"/>
              <w:jc w:val="center"/>
              <w:rPr>
                <w:sz w:val="16"/>
                <w:szCs w:val="16"/>
              </w:rPr>
            </w:pPr>
            <w:r>
              <w:rPr>
                <w:b/>
                <w:bCs/>
                <w:sz w:val="16"/>
                <w:szCs w:val="16"/>
              </w:rPr>
              <w:t>Mr. Boy</w:t>
            </w:r>
            <w:r>
              <w:rPr>
                <w:b/>
                <w:bCs/>
                <w:sz w:val="16"/>
                <w:szCs w:val="16"/>
              </w:rPr>
              <w:t>d</w:t>
            </w:r>
          </w:p>
        </w:tc>
        <w:tc>
          <w:tcPr>
            <w:tcW w:w="0" w:type="auto"/>
            <w:vAlign w:val="bottom"/>
            <w:hideMark/>
          </w:tcPr>
          <w:p w14:paraId="62A4B195"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33D7B1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8A90D82" w14:textId="77777777" w:rsidR="00000000" w:rsidRDefault="00832D71">
            <w:pPr>
              <w:pStyle w:val="a3"/>
              <w:spacing w:before="0" w:beforeAutospacing="0" w:after="0" w:afterAutospacing="0"/>
              <w:jc w:val="center"/>
              <w:rPr>
                <w:sz w:val="16"/>
                <w:szCs w:val="16"/>
              </w:rPr>
            </w:pPr>
            <w:r>
              <w:rPr>
                <w:b/>
                <w:bCs/>
                <w:sz w:val="16"/>
                <w:szCs w:val="16"/>
              </w:rPr>
              <w:t>Mr. Brinkwort</w:t>
            </w:r>
            <w:r>
              <w:rPr>
                <w:b/>
                <w:bCs/>
                <w:sz w:val="16"/>
                <w:szCs w:val="16"/>
              </w:rPr>
              <w:t>h</w:t>
            </w:r>
          </w:p>
        </w:tc>
        <w:tc>
          <w:tcPr>
            <w:tcW w:w="0" w:type="auto"/>
            <w:vAlign w:val="bottom"/>
            <w:hideMark/>
          </w:tcPr>
          <w:p w14:paraId="18780560"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F7302D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A4129E8" w14:textId="77777777" w:rsidR="00000000" w:rsidRDefault="00832D71">
            <w:pPr>
              <w:pStyle w:val="a3"/>
              <w:spacing w:before="0" w:beforeAutospacing="0" w:after="0" w:afterAutospacing="0"/>
              <w:jc w:val="center"/>
              <w:rPr>
                <w:sz w:val="16"/>
                <w:szCs w:val="16"/>
              </w:rPr>
            </w:pPr>
            <w:r>
              <w:rPr>
                <w:b/>
                <w:bCs/>
                <w:sz w:val="16"/>
                <w:szCs w:val="16"/>
              </w:rPr>
              <w:t>Mr. Scanlo</w:t>
            </w:r>
            <w:r>
              <w:rPr>
                <w:b/>
                <w:bCs/>
                <w:sz w:val="16"/>
                <w:szCs w:val="16"/>
              </w:rPr>
              <w:t>n</w:t>
            </w:r>
          </w:p>
        </w:tc>
        <w:tc>
          <w:tcPr>
            <w:tcW w:w="0" w:type="auto"/>
            <w:vAlign w:val="bottom"/>
            <w:hideMark/>
          </w:tcPr>
          <w:p w14:paraId="00F1726A"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595FE4B" w14:textId="77777777">
        <w:trPr>
          <w:trHeight w:val="160"/>
          <w:tblCellSpacing w:w="15" w:type="dxa"/>
        </w:trPr>
        <w:tc>
          <w:tcPr>
            <w:tcW w:w="0" w:type="auto"/>
            <w:hideMark/>
          </w:tcPr>
          <w:p w14:paraId="410D2599" w14:textId="77777777" w:rsidR="00000000" w:rsidRDefault="00832D71">
            <w:pPr>
              <w:pStyle w:val="a3"/>
              <w:spacing w:before="0" w:beforeAutospacing="0" w:after="0" w:afterAutospacing="0"/>
              <w:rPr>
                <w:sz w:val="16"/>
                <w:szCs w:val="16"/>
              </w:rPr>
            </w:pPr>
            <w:r>
              <w:rPr>
                <w:sz w:val="16"/>
                <w:szCs w:val="16"/>
              </w:rPr>
              <w:t>401(k) Matc</w:t>
            </w:r>
            <w:r>
              <w:rPr>
                <w:sz w:val="16"/>
                <w:szCs w:val="16"/>
              </w:rPr>
              <w:t>h</w:t>
            </w:r>
          </w:p>
        </w:tc>
        <w:tc>
          <w:tcPr>
            <w:tcW w:w="0" w:type="auto"/>
            <w:hideMark/>
          </w:tcPr>
          <w:p w14:paraId="30683174"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83E04EF"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E501DD6" w14:textId="77777777" w:rsidR="00000000" w:rsidRDefault="00832D71">
            <w:pPr>
              <w:pStyle w:val="a3"/>
              <w:spacing w:before="0" w:beforeAutospacing="0" w:after="0" w:afterAutospacing="0"/>
              <w:jc w:val="right"/>
              <w:rPr>
                <w:sz w:val="16"/>
                <w:szCs w:val="16"/>
              </w:rPr>
            </w:pPr>
            <w:r>
              <w:rPr>
                <w:sz w:val="16"/>
                <w:szCs w:val="16"/>
              </w:rPr>
              <w:t>8,55</w:t>
            </w:r>
            <w:r>
              <w:rPr>
                <w:sz w:val="16"/>
                <w:szCs w:val="16"/>
              </w:rPr>
              <w:t>0</w:t>
            </w:r>
          </w:p>
        </w:tc>
        <w:tc>
          <w:tcPr>
            <w:tcW w:w="0" w:type="auto"/>
            <w:noWrap/>
            <w:vAlign w:val="bottom"/>
            <w:hideMark/>
          </w:tcPr>
          <w:p w14:paraId="129592D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F2F95A2"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F8C1290"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2BB0E652" w14:textId="77777777" w:rsidR="00000000" w:rsidRDefault="00832D71">
            <w:pPr>
              <w:pStyle w:val="a3"/>
              <w:spacing w:before="0" w:beforeAutospacing="0" w:after="0" w:afterAutospacing="0"/>
              <w:jc w:val="right"/>
              <w:rPr>
                <w:sz w:val="16"/>
                <w:szCs w:val="16"/>
              </w:rPr>
            </w:pPr>
            <w:r>
              <w:rPr>
                <w:sz w:val="16"/>
                <w:szCs w:val="16"/>
              </w:rPr>
              <w:t>8,55</w:t>
            </w:r>
            <w:r>
              <w:rPr>
                <w:sz w:val="16"/>
                <w:szCs w:val="16"/>
              </w:rPr>
              <w:t>0</w:t>
            </w:r>
          </w:p>
        </w:tc>
        <w:tc>
          <w:tcPr>
            <w:tcW w:w="0" w:type="auto"/>
            <w:noWrap/>
            <w:vAlign w:val="bottom"/>
            <w:hideMark/>
          </w:tcPr>
          <w:p w14:paraId="3C80A09F"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2D9EBC85"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DB2FC1B"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167E5DB8" w14:textId="77777777" w:rsidR="00000000" w:rsidRDefault="00832D71">
            <w:pPr>
              <w:pStyle w:val="a3"/>
              <w:spacing w:before="0" w:beforeAutospacing="0" w:after="0" w:afterAutospacing="0"/>
              <w:jc w:val="right"/>
              <w:rPr>
                <w:sz w:val="16"/>
                <w:szCs w:val="16"/>
              </w:rPr>
            </w:pPr>
            <w:r>
              <w:rPr>
                <w:sz w:val="16"/>
                <w:szCs w:val="16"/>
              </w:rPr>
              <w:t>8,55</w:t>
            </w:r>
            <w:r>
              <w:rPr>
                <w:sz w:val="16"/>
                <w:szCs w:val="16"/>
              </w:rPr>
              <w:t>0</w:t>
            </w:r>
          </w:p>
        </w:tc>
        <w:tc>
          <w:tcPr>
            <w:tcW w:w="0" w:type="auto"/>
            <w:noWrap/>
            <w:vAlign w:val="bottom"/>
            <w:hideMark/>
          </w:tcPr>
          <w:p w14:paraId="08DE2162"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CB34F4B"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5F5CDE9"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11E91912" w14:textId="77777777" w:rsidR="00000000" w:rsidRDefault="00832D71">
            <w:pPr>
              <w:pStyle w:val="a3"/>
              <w:spacing w:before="0" w:beforeAutospacing="0" w:after="0" w:afterAutospacing="0"/>
              <w:jc w:val="right"/>
              <w:rPr>
                <w:sz w:val="16"/>
                <w:szCs w:val="16"/>
              </w:rPr>
            </w:pPr>
            <w:r>
              <w:rPr>
                <w:sz w:val="16"/>
                <w:szCs w:val="16"/>
              </w:rPr>
              <w:t>8,55</w:t>
            </w:r>
            <w:r>
              <w:rPr>
                <w:sz w:val="16"/>
                <w:szCs w:val="16"/>
              </w:rPr>
              <w:t>0</w:t>
            </w:r>
          </w:p>
        </w:tc>
        <w:tc>
          <w:tcPr>
            <w:tcW w:w="0" w:type="auto"/>
            <w:noWrap/>
            <w:vAlign w:val="bottom"/>
            <w:hideMark/>
          </w:tcPr>
          <w:p w14:paraId="36738E92"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A315860"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2180C7B"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0FA3879B" w14:textId="77777777" w:rsidR="00000000" w:rsidRDefault="00832D71">
            <w:pPr>
              <w:pStyle w:val="a3"/>
              <w:spacing w:before="0" w:beforeAutospacing="0" w:after="0" w:afterAutospacing="0"/>
              <w:jc w:val="right"/>
              <w:rPr>
                <w:sz w:val="16"/>
                <w:szCs w:val="16"/>
              </w:rPr>
            </w:pPr>
            <w:r>
              <w:rPr>
                <w:sz w:val="16"/>
                <w:szCs w:val="16"/>
              </w:rPr>
              <w:t>8,55</w:t>
            </w:r>
            <w:r>
              <w:rPr>
                <w:sz w:val="16"/>
                <w:szCs w:val="16"/>
              </w:rPr>
              <w:t>0</w:t>
            </w:r>
          </w:p>
        </w:tc>
        <w:tc>
          <w:tcPr>
            <w:tcW w:w="0" w:type="auto"/>
            <w:noWrap/>
            <w:vAlign w:val="bottom"/>
            <w:hideMark/>
          </w:tcPr>
          <w:p w14:paraId="0F95EC46" w14:textId="77777777" w:rsidR="00000000" w:rsidRDefault="00832D71">
            <w:pPr>
              <w:pStyle w:val="a3"/>
              <w:spacing w:before="0" w:beforeAutospacing="0" w:after="0" w:afterAutospacing="0"/>
              <w:rPr>
                <w:sz w:val="16"/>
                <w:szCs w:val="16"/>
              </w:rPr>
            </w:pPr>
            <w:r>
              <w:rPr>
                <w:sz w:val="16"/>
                <w:szCs w:val="16"/>
              </w:rPr>
              <w:t> </w:t>
            </w:r>
          </w:p>
        </w:tc>
      </w:tr>
      <w:tr w:rsidR="00000000" w14:paraId="5BB3541F" w14:textId="77777777">
        <w:trPr>
          <w:trHeight w:val="160"/>
          <w:tblCellSpacing w:w="15" w:type="dxa"/>
        </w:trPr>
        <w:tc>
          <w:tcPr>
            <w:tcW w:w="0" w:type="auto"/>
            <w:hideMark/>
          </w:tcPr>
          <w:p w14:paraId="664933F3" w14:textId="77777777" w:rsidR="00000000" w:rsidRDefault="00832D71">
            <w:pPr>
              <w:pStyle w:val="a3"/>
              <w:spacing w:before="0" w:beforeAutospacing="0" w:after="0" w:afterAutospacing="0"/>
              <w:rPr>
                <w:sz w:val="16"/>
                <w:szCs w:val="16"/>
              </w:rPr>
            </w:pPr>
            <w:r>
              <w:rPr>
                <w:sz w:val="16"/>
                <w:szCs w:val="16"/>
              </w:rPr>
              <w:t>Value of Annual Physical Examinatio</w:t>
            </w:r>
            <w:r>
              <w:rPr>
                <w:sz w:val="16"/>
                <w:szCs w:val="16"/>
              </w:rPr>
              <w:t>n</w:t>
            </w:r>
          </w:p>
        </w:tc>
        <w:tc>
          <w:tcPr>
            <w:tcW w:w="0" w:type="auto"/>
            <w:hideMark/>
          </w:tcPr>
          <w:p w14:paraId="215ACDAB"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390CB2D"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4CF3DB6" w14:textId="77777777" w:rsidR="00000000" w:rsidRDefault="00832D71">
            <w:pPr>
              <w:pStyle w:val="a3"/>
              <w:spacing w:before="0" w:beforeAutospacing="0" w:after="0" w:afterAutospacing="0"/>
              <w:jc w:val="right"/>
              <w:rPr>
                <w:sz w:val="16"/>
                <w:szCs w:val="16"/>
              </w:rPr>
            </w:pPr>
            <w:r>
              <w:rPr>
                <w:sz w:val="16"/>
                <w:szCs w:val="16"/>
              </w:rPr>
              <w:t>3,15</w:t>
            </w:r>
            <w:r>
              <w:rPr>
                <w:sz w:val="16"/>
                <w:szCs w:val="16"/>
              </w:rPr>
              <w:t>0</w:t>
            </w:r>
          </w:p>
        </w:tc>
        <w:tc>
          <w:tcPr>
            <w:tcW w:w="0" w:type="auto"/>
            <w:noWrap/>
            <w:vAlign w:val="bottom"/>
            <w:hideMark/>
          </w:tcPr>
          <w:p w14:paraId="2D7F4A15"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749CEBD"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58CEA99"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A10C36C" w14:textId="77777777" w:rsidR="00000000" w:rsidRDefault="00832D71">
            <w:pPr>
              <w:pStyle w:val="a3"/>
              <w:spacing w:before="0" w:beforeAutospacing="0" w:after="0" w:afterAutospacing="0"/>
              <w:jc w:val="right"/>
              <w:rPr>
                <w:sz w:val="16"/>
                <w:szCs w:val="16"/>
              </w:rPr>
            </w:pPr>
            <w:r>
              <w:rPr>
                <w:sz w:val="16"/>
                <w:szCs w:val="16"/>
              </w:rPr>
              <w:t>3,15</w:t>
            </w:r>
            <w:r>
              <w:rPr>
                <w:sz w:val="16"/>
                <w:szCs w:val="16"/>
              </w:rPr>
              <w:t>0</w:t>
            </w:r>
          </w:p>
        </w:tc>
        <w:tc>
          <w:tcPr>
            <w:tcW w:w="0" w:type="auto"/>
            <w:noWrap/>
            <w:vAlign w:val="bottom"/>
            <w:hideMark/>
          </w:tcPr>
          <w:p w14:paraId="70261040"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F4A5790"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20E3A4D"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6DF9A13"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vAlign w:val="bottom"/>
            <w:hideMark/>
          </w:tcPr>
          <w:p w14:paraId="5B26BFA4"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892D044"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34CAACD"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F415C1B"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vAlign w:val="bottom"/>
            <w:hideMark/>
          </w:tcPr>
          <w:p w14:paraId="29774549"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FA9D450"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142F641"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0EDD263" w14:textId="77777777" w:rsidR="00000000" w:rsidRDefault="00832D71">
            <w:pPr>
              <w:pStyle w:val="a3"/>
              <w:spacing w:before="0" w:beforeAutospacing="0" w:after="0" w:afterAutospacing="0"/>
              <w:jc w:val="right"/>
              <w:rPr>
                <w:sz w:val="16"/>
                <w:szCs w:val="16"/>
              </w:rPr>
            </w:pPr>
            <w:r>
              <w:rPr>
                <w:sz w:val="16"/>
                <w:szCs w:val="16"/>
              </w:rPr>
              <w:t>3,15</w:t>
            </w:r>
            <w:r>
              <w:rPr>
                <w:sz w:val="16"/>
                <w:szCs w:val="16"/>
              </w:rPr>
              <w:t>0</w:t>
            </w:r>
          </w:p>
        </w:tc>
        <w:tc>
          <w:tcPr>
            <w:tcW w:w="0" w:type="auto"/>
            <w:noWrap/>
            <w:vAlign w:val="bottom"/>
            <w:hideMark/>
          </w:tcPr>
          <w:p w14:paraId="4EACF156" w14:textId="77777777" w:rsidR="00000000" w:rsidRDefault="00832D71">
            <w:pPr>
              <w:pStyle w:val="a3"/>
              <w:spacing w:before="0" w:beforeAutospacing="0" w:after="0" w:afterAutospacing="0"/>
              <w:rPr>
                <w:sz w:val="16"/>
                <w:szCs w:val="16"/>
              </w:rPr>
            </w:pPr>
            <w:r>
              <w:rPr>
                <w:sz w:val="16"/>
                <w:szCs w:val="16"/>
              </w:rPr>
              <w:t> </w:t>
            </w:r>
          </w:p>
        </w:tc>
      </w:tr>
      <w:tr w:rsidR="00000000" w14:paraId="01C562E1" w14:textId="77777777">
        <w:trPr>
          <w:trHeight w:val="160"/>
          <w:tblCellSpacing w:w="15" w:type="dxa"/>
        </w:trPr>
        <w:tc>
          <w:tcPr>
            <w:tcW w:w="0" w:type="auto"/>
            <w:hideMark/>
          </w:tcPr>
          <w:p w14:paraId="09AF07FA" w14:textId="77777777" w:rsidR="00000000" w:rsidRDefault="00832D71">
            <w:pPr>
              <w:pStyle w:val="a3"/>
              <w:spacing w:before="0" w:beforeAutospacing="0" w:after="0" w:afterAutospacing="0"/>
              <w:rPr>
                <w:sz w:val="16"/>
                <w:szCs w:val="16"/>
              </w:rPr>
            </w:pPr>
            <w:r>
              <w:rPr>
                <w:sz w:val="16"/>
                <w:szCs w:val="16"/>
              </w:rPr>
              <w:t>Value of Partnership Provided Vehicle</w:t>
            </w:r>
            <w:r>
              <w:rPr>
                <w:sz w:val="16"/>
                <w:szCs w:val="16"/>
              </w:rPr>
              <w:t>s</w:t>
            </w:r>
          </w:p>
        </w:tc>
        <w:tc>
          <w:tcPr>
            <w:tcW w:w="0" w:type="auto"/>
            <w:hideMark/>
          </w:tcPr>
          <w:p w14:paraId="1AD1A5B7"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7CF112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DD2F849" w14:textId="77777777" w:rsidR="00000000" w:rsidRDefault="00832D71">
            <w:pPr>
              <w:pStyle w:val="a3"/>
              <w:spacing w:before="0" w:beforeAutospacing="0" w:after="0" w:afterAutospacing="0"/>
              <w:jc w:val="right"/>
              <w:rPr>
                <w:sz w:val="16"/>
                <w:szCs w:val="16"/>
              </w:rPr>
            </w:pPr>
            <w:r>
              <w:rPr>
                <w:sz w:val="16"/>
                <w:szCs w:val="16"/>
              </w:rPr>
              <w:t>18,64</w:t>
            </w:r>
            <w:r>
              <w:rPr>
                <w:sz w:val="16"/>
                <w:szCs w:val="16"/>
              </w:rPr>
              <w:t>8</w:t>
            </w:r>
          </w:p>
        </w:tc>
        <w:tc>
          <w:tcPr>
            <w:tcW w:w="0" w:type="auto"/>
            <w:noWrap/>
            <w:vAlign w:val="bottom"/>
            <w:hideMark/>
          </w:tcPr>
          <w:p w14:paraId="018BFBFD"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24EC8DD"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537CA9B7"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087B85B" w14:textId="77777777" w:rsidR="00000000" w:rsidRDefault="00832D71">
            <w:pPr>
              <w:pStyle w:val="a3"/>
              <w:spacing w:before="0" w:beforeAutospacing="0" w:after="0" w:afterAutospacing="0"/>
              <w:jc w:val="right"/>
              <w:rPr>
                <w:sz w:val="16"/>
                <w:szCs w:val="16"/>
              </w:rPr>
            </w:pPr>
            <w:r>
              <w:rPr>
                <w:sz w:val="16"/>
                <w:szCs w:val="16"/>
              </w:rPr>
              <w:t>17,59</w:t>
            </w:r>
            <w:r>
              <w:rPr>
                <w:sz w:val="16"/>
                <w:szCs w:val="16"/>
              </w:rPr>
              <w:t>4</w:t>
            </w:r>
          </w:p>
        </w:tc>
        <w:tc>
          <w:tcPr>
            <w:tcW w:w="0" w:type="auto"/>
            <w:noWrap/>
            <w:vAlign w:val="bottom"/>
            <w:hideMark/>
          </w:tcPr>
          <w:p w14:paraId="21B863F6"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9DF933C"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5120277B"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9978CD9" w14:textId="77777777" w:rsidR="00000000" w:rsidRDefault="00832D71">
            <w:pPr>
              <w:pStyle w:val="a3"/>
              <w:spacing w:before="0" w:beforeAutospacing="0" w:after="0" w:afterAutospacing="0"/>
              <w:jc w:val="right"/>
              <w:rPr>
                <w:sz w:val="16"/>
                <w:szCs w:val="16"/>
              </w:rPr>
            </w:pPr>
            <w:r>
              <w:rPr>
                <w:sz w:val="16"/>
                <w:szCs w:val="16"/>
              </w:rPr>
              <w:t>8,56</w:t>
            </w:r>
            <w:r>
              <w:rPr>
                <w:sz w:val="16"/>
                <w:szCs w:val="16"/>
              </w:rPr>
              <w:t>3</w:t>
            </w:r>
          </w:p>
        </w:tc>
        <w:tc>
          <w:tcPr>
            <w:tcW w:w="0" w:type="auto"/>
            <w:noWrap/>
            <w:vAlign w:val="bottom"/>
            <w:hideMark/>
          </w:tcPr>
          <w:p w14:paraId="260341A4"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5F9FE20"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29711C1"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890E3D1" w14:textId="77777777" w:rsidR="00000000" w:rsidRDefault="00832D71">
            <w:pPr>
              <w:pStyle w:val="a3"/>
              <w:spacing w:before="0" w:beforeAutospacing="0" w:after="0" w:afterAutospacing="0"/>
              <w:jc w:val="right"/>
              <w:rPr>
                <w:sz w:val="16"/>
                <w:szCs w:val="16"/>
              </w:rPr>
            </w:pPr>
            <w:r>
              <w:rPr>
                <w:sz w:val="16"/>
                <w:szCs w:val="16"/>
              </w:rPr>
              <w:t>16,93</w:t>
            </w:r>
            <w:r>
              <w:rPr>
                <w:sz w:val="16"/>
                <w:szCs w:val="16"/>
              </w:rPr>
              <w:t>6</w:t>
            </w:r>
          </w:p>
        </w:tc>
        <w:tc>
          <w:tcPr>
            <w:tcW w:w="0" w:type="auto"/>
            <w:noWrap/>
            <w:vAlign w:val="bottom"/>
            <w:hideMark/>
          </w:tcPr>
          <w:p w14:paraId="2980A670"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77DE48A"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3B5516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E00E35E" w14:textId="77777777" w:rsidR="00000000" w:rsidRDefault="00832D71">
            <w:pPr>
              <w:pStyle w:val="a3"/>
              <w:spacing w:before="0" w:beforeAutospacing="0" w:after="0" w:afterAutospacing="0"/>
              <w:jc w:val="right"/>
              <w:rPr>
                <w:sz w:val="16"/>
                <w:szCs w:val="16"/>
              </w:rPr>
            </w:pPr>
            <w:r>
              <w:rPr>
                <w:sz w:val="16"/>
                <w:szCs w:val="16"/>
              </w:rPr>
              <w:t>17,13</w:t>
            </w:r>
            <w:r>
              <w:rPr>
                <w:sz w:val="16"/>
                <w:szCs w:val="16"/>
              </w:rPr>
              <w:t>1</w:t>
            </w:r>
          </w:p>
        </w:tc>
        <w:tc>
          <w:tcPr>
            <w:tcW w:w="0" w:type="auto"/>
            <w:noWrap/>
            <w:vAlign w:val="bottom"/>
            <w:hideMark/>
          </w:tcPr>
          <w:p w14:paraId="231F45CC" w14:textId="77777777" w:rsidR="00000000" w:rsidRDefault="00832D71">
            <w:pPr>
              <w:pStyle w:val="a3"/>
              <w:spacing w:before="0" w:beforeAutospacing="0" w:after="0" w:afterAutospacing="0"/>
              <w:rPr>
                <w:sz w:val="16"/>
                <w:szCs w:val="16"/>
              </w:rPr>
            </w:pPr>
            <w:r>
              <w:rPr>
                <w:sz w:val="16"/>
                <w:szCs w:val="16"/>
              </w:rPr>
              <w:t> </w:t>
            </w:r>
          </w:p>
        </w:tc>
      </w:tr>
      <w:tr w:rsidR="00000000" w14:paraId="1255C7E8" w14:textId="77777777">
        <w:trPr>
          <w:trHeight w:val="160"/>
          <w:tblCellSpacing w:w="15" w:type="dxa"/>
        </w:trPr>
        <w:tc>
          <w:tcPr>
            <w:tcW w:w="0" w:type="auto"/>
            <w:hideMark/>
          </w:tcPr>
          <w:p w14:paraId="0C6EF4F5" w14:textId="77777777" w:rsidR="00000000" w:rsidRDefault="00832D71">
            <w:pPr>
              <w:pStyle w:val="a3"/>
              <w:spacing w:before="0" w:beforeAutospacing="0" w:after="0" w:afterAutospacing="0"/>
              <w:rPr>
                <w:sz w:val="16"/>
                <w:szCs w:val="16"/>
              </w:rPr>
            </w:pPr>
            <w:r>
              <w:rPr>
                <w:sz w:val="16"/>
                <w:szCs w:val="16"/>
              </w:rPr>
              <w:t>Tax Preparation Service</w:t>
            </w:r>
            <w:r>
              <w:rPr>
                <w:sz w:val="16"/>
                <w:szCs w:val="16"/>
              </w:rPr>
              <w:t>s</w:t>
            </w:r>
          </w:p>
        </w:tc>
        <w:tc>
          <w:tcPr>
            <w:tcW w:w="0" w:type="auto"/>
            <w:hideMark/>
          </w:tcPr>
          <w:p w14:paraId="17B81CB9"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D3294C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8826DFF"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vAlign w:val="bottom"/>
            <w:hideMark/>
          </w:tcPr>
          <w:p w14:paraId="6EC2ADB5"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D8EE7A6"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E599E8D"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F24597F"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vAlign w:val="bottom"/>
            <w:hideMark/>
          </w:tcPr>
          <w:p w14:paraId="708A218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E35CB7A"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0CBFC6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CA00491" w14:textId="77777777" w:rsidR="00000000" w:rsidRDefault="00832D71">
            <w:pPr>
              <w:pStyle w:val="a3"/>
              <w:spacing w:before="0" w:beforeAutospacing="0" w:after="0" w:afterAutospacing="0"/>
              <w:jc w:val="right"/>
              <w:rPr>
                <w:sz w:val="16"/>
                <w:szCs w:val="16"/>
              </w:rPr>
            </w:pPr>
            <w:r>
              <w:rPr>
                <w:sz w:val="16"/>
                <w:szCs w:val="16"/>
              </w:rPr>
              <w:t>4,00</w:t>
            </w:r>
            <w:r>
              <w:rPr>
                <w:sz w:val="16"/>
                <w:szCs w:val="16"/>
              </w:rPr>
              <w:t>0</w:t>
            </w:r>
          </w:p>
        </w:tc>
        <w:tc>
          <w:tcPr>
            <w:tcW w:w="0" w:type="auto"/>
            <w:noWrap/>
            <w:vAlign w:val="bottom"/>
            <w:hideMark/>
          </w:tcPr>
          <w:p w14:paraId="01DC0B37"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1A6FCF7"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E439495"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1A7E47A" w14:textId="77777777" w:rsidR="00000000" w:rsidRDefault="00832D71">
            <w:pPr>
              <w:pStyle w:val="a3"/>
              <w:spacing w:before="0" w:beforeAutospacing="0" w:after="0" w:afterAutospacing="0"/>
              <w:jc w:val="right"/>
              <w:rPr>
                <w:sz w:val="16"/>
                <w:szCs w:val="16"/>
              </w:rPr>
            </w:pPr>
            <w:r>
              <w:rPr>
                <w:sz w:val="16"/>
                <w:szCs w:val="16"/>
              </w:rPr>
              <w:t>3,20</w:t>
            </w:r>
            <w:r>
              <w:rPr>
                <w:sz w:val="16"/>
                <w:szCs w:val="16"/>
              </w:rPr>
              <w:t>0</w:t>
            </w:r>
          </w:p>
        </w:tc>
        <w:tc>
          <w:tcPr>
            <w:tcW w:w="0" w:type="auto"/>
            <w:noWrap/>
            <w:vAlign w:val="bottom"/>
            <w:hideMark/>
          </w:tcPr>
          <w:p w14:paraId="50F5200B"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6DB2C6C"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14410B1"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B410788" w14:textId="77777777" w:rsidR="00000000" w:rsidRDefault="00832D71">
            <w:pPr>
              <w:pStyle w:val="a3"/>
              <w:spacing w:before="0" w:beforeAutospacing="0" w:after="0" w:afterAutospacing="0"/>
              <w:jc w:val="right"/>
              <w:rPr>
                <w:sz w:val="16"/>
                <w:szCs w:val="16"/>
              </w:rPr>
            </w:pPr>
            <w:r>
              <w:rPr>
                <w:sz w:val="16"/>
                <w:szCs w:val="16"/>
              </w:rPr>
              <w:t>3,20</w:t>
            </w:r>
            <w:r>
              <w:rPr>
                <w:sz w:val="16"/>
                <w:szCs w:val="16"/>
              </w:rPr>
              <w:t>0</w:t>
            </w:r>
          </w:p>
        </w:tc>
        <w:tc>
          <w:tcPr>
            <w:tcW w:w="0" w:type="auto"/>
            <w:noWrap/>
            <w:vAlign w:val="bottom"/>
            <w:hideMark/>
          </w:tcPr>
          <w:p w14:paraId="78CAACD8" w14:textId="77777777" w:rsidR="00000000" w:rsidRDefault="00832D71">
            <w:pPr>
              <w:pStyle w:val="a3"/>
              <w:spacing w:before="0" w:beforeAutospacing="0" w:after="0" w:afterAutospacing="0"/>
              <w:rPr>
                <w:sz w:val="16"/>
                <w:szCs w:val="16"/>
              </w:rPr>
            </w:pPr>
            <w:r>
              <w:rPr>
                <w:sz w:val="16"/>
                <w:szCs w:val="16"/>
              </w:rPr>
              <w:t> </w:t>
            </w:r>
          </w:p>
        </w:tc>
      </w:tr>
      <w:tr w:rsidR="00000000" w14:paraId="63EF31BE" w14:textId="77777777">
        <w:trPr>
          <w:trHeight w:val="160"/>
          <w:tblCellSpacing w:w="15" w:type="dxa"/>
        </w:trPr>
        <w:tc>
          <w:tcPr>
            <w:tcW w:w="0" w:type="auto"/>
            <w:hideMark/>
          </w:tcPr>
          <w:p w14:paraId="7FE2BAA9" w14:textId="77777777" w:rsidR="00000000" w:rsidRDefault="00832D71">
            <w:pPr>
              <w:pStyle w:val="a3"/>
              <w:spacing w:before="0" w:beforeAutospacing="0" w:after="0" w:afterAutospacing="0"/>
              <w:rPr>
                <w:sz w:val="16"/>
                <w:szCs w:val="16"/>
              </w:rPr>
            </w:pPr>
            <w:r>
              <w:rPr>
                <w:sz w:val="16"/>
                <w:szCs w:val="16"/>
              </w:rPr>
              <w:t>Cash Balance Plan Administrative Fee</w:t>
            </w:r>
            <w:r>
              <w:rPr>
                <w:sz w:val="16"/>
                <w:szCs w:val="16"/>
              </w:rPr>
              <w:t>s</w:t>
            </w:r>
          </w:p>
        </w:tc>
        <w:tc>
          <w:tcPr>
            <w:tcW w:w="0" w:type="auto"/>
            <w:hideMark/>
          </w:tcPr>
          <w:p w14:paraId="381FEC1E"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BB20527"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77C833C"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vAlign w:val="bottom"/>
            <w:hideMark/>
          </w:tcPr>
          <w:p w14:paraId="3EC35503"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6A1211D"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E804B3F"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AD39770" w14:textId="77777777" w:rsidR="00000000" w:rsidRDefault="00832D71">
            <w:pPr>
              <w:pStyle w:val="a3"/>
              <w:spacing w:before="0" w:beforeAutospacing="0" w:after="0" w:afterAutospacing="0"/>
              <w:jc w:val="right"/>
              <w:rPr>
                <w:sz w:val="16"/>
                <w:szCs w:val="16"/>
              </w:rPr>
            </w:pPr>
            <w:r>
              <w:rPr>
                <w:sz w:val="16"/>
                <w:szCs w:val="16"/>
              </w:rPr>
              <w:t>—</w:t>
            </w:r>
          </w:p>
        </w:tc>
        <w:tc>
          <w:tcPr>
            <w:tcW w:w="0" w:type="auto"/>
            <w:noWrap/>
            <w:vAlign w:val="bottom"/>
            <w:hideMark/>
          </w:tcPr>
          <w:p w14:paraId="12657E94"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AB5B3E7"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7C3915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4AB8A13" w14:textId="77777777" w:rsidR="00000000" w:rsidRDefault="00832D71">
            <w:pPr>
              <w:pStyle w:val="a3"/>
              <w:spacing w:before="0" w:beforeAutospacing="0" w:after="0" w:afterAutospacing="0"/>
              <w:jc w:val="right"/>
              <w:rPr>
                <w:sz w:val="16"/>
                <w:szCs w:val="16"/>
              </w:rPr>
            </w:pPr>
            <w:r>
              <w:rPr>
                <w:sz w:val="16"/>
                <w:szCs w:val="16"/>
              </w:rPr>
              <w:t>76</w:t>
            </w:r>
            <w:r>
              <w:rPr>
                <w:sz w:val="16"/>
                <w:szCs w:val="16"/>
              </w:rPr>
              <w:t>2</w:t>
            </w:r>
          </w:p>
        </w:tc>
        <w:tc>
          <w:tcPr>
            <w:tcW w:w="0" w:type="auto"/>
            <w:noWrap/>
            <w:vAlign w:val="bottom"/>
            <w:hideMark/>
          </w:tcPr>
          <w:p w14:paraId="73DCE213"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BD9F7BF"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4025C89"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9A4E13E" w14:textId="77777777" w:rsidR="00000000" w:rsidRDefault="00832D71">
            <w:pPr>
              <w:pStyle w:val="a3"/>
              <w:spacing w:before="0" w:beforeAutospacing="0" w:after="0" w:afterAutospacing="0"/>
              <w:jc w:val="right"/>
              <w:rPr>
                <w:sz w:val="16"/>
                <w:szCs w:val="16"/>
              </w:rPr>
            </w:pPr>
            <w:r>
              <w:rPr>
                <w:sz w:val="16"/>
                <w:szCs w:val="16"/>
              </w:rPr>
              <w:t>76</w:t>
            </w:r>
            <w:r>
              <w:rPr>
                <w:sz w:val="16"/>
                <w:szCs w:val="16"/>
              </w:rPr>
              <w:t>2</w:t>
            </w:r>
          </w:p>
        </w:tc>
        <w:tc>
          <w:tcPr>
            <w:tcW w:w="0" w:type="auto"/>
            <w:noWrap/>
            <w:vAlign w:val="bottom"/>
            <w:hideMark/>
          </w:tcPr>
          <w:p w14:paraId="6561C989"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37D6794"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CFB9EAA"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C02AA03" w14:textId="77777777" w:rsidR="00000000" w:rsidRDefault="00832D71">
            <w:pPr>
              <w:pStyle w:val="a3"/>
              <w:spacing w:before="0" w:beforeAutospacing="0" w:after="0" w:afterAutospacing="0"/>
              <w:jc w:val="right"/>
              <w:rPr>
                <w:sz w:val="16"/>
                <w:szCs w:val="16"/>
              </w:rPr>
            </w:pPr>
            <w:r>
              <w:rPr>
                <w:sz w:val="16"/>
                <w:szCs w:val="16"/>
              </w:rPr>
              <w:t>76</w:t>
            </w:r>
            <w:r>
              <w:rPr>
                <w:sz w:val="16"/>
                <w:szCs w:val="16"/>
              </w:rPr>
              <w:t>2</w:t>
            </w:r>
          </w:p>
        </w:tc>
        <w:tc>
          <w:tcPr>
            <w:tcW w:w="0" w:type="auto"/>
            <w:noWrap/>
            <w:vAlign w:val="bottom"/>
            <w:hideMark/>
          </w:tcPr>
          <w:p w14:paraId="1D410F28" w14:textId="77777777" w:rsidR="00000000" w:rsidRDefault="00832D71">
            <w:pPr>
              <w:pStyle w:val="a3"/>
              <w:spacing w:before="0" w:beforeAutospacing="0" w:after="0" w:afterAutospacing="0"/>
              <w:rPr>
                <w:sz w:val="16"/>
                <w:szCs w:val="16"/>
              </w:rPr>
            </w:pPr>
            <w:r>
              <w:rPr>
                <w:sz w:val="16"/>
                <w:szCs w:val="16"/>
              </w:rPr>
              <w:t> </w:t>
            </w:r>
          </w:p>
        </w:tc>
      </w:tr>
      <w:tr w:rsidR="00000000" w14:paraId="4DF79E8E" w14:textId="77777777">
        <w:trPr>
          <w:trHeight w:val="160"/>
          <w:tblCellSpacing w:w="15" w:type="dxa"/>
        </w:trPr>
        <w:tc>
          <w:tcPr>
            <w:tcW w:w="0" w:type="auto"/>
            <w:hideMark/>
          </w:tcPr>
          <w:p w14:paraId="6A543969" w14:textId="77777777" w:rsidR="00000000" w:rsidRDefault="00832D71">
            <w:pPr>
              <w:pStyle w:val="a3"/>
              <w:spacing w:before="0" w:beforeAutospacing="0" w:after="0" w:afterAutospacing="0"/>
              <w:ind w:left="200"/>
              <w:rPr>
                <w:sz w:val="16"/>
                <w:szCs w:val="16"/>
              </w:rPr>
            </w:pPr>
            <w:r>
              <w:rPr>
                <w:sz w:val="16"/>
                <w:szCs w:val="16"/>
              </w:rPr>
              <w:t>Tota</w:t>
            </w:r>
            <w:r>
              <w:rPr>
                <w:sz w:val="16"/>
                <w:szCs w:val="16"/>
              </w:rPr>
              <w:t>l</w:t>
            </w:r>
          </w:p>
        </w:tc>
        <w:tc>
          <w:tcPr>
            <w:tcW w:w="0" w:type="auto"/>
            <w:hideMark/>
          </w:tcPr>
          <w:p w14:paraId="3C2B66DC"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815C71B"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26845810" w14:textId="77777777" w:rsidR="00000000" w:rsidRDefault="00832D71">
            <w:pPr>
              <w:pStyle w:val="a3"/>
              <w:spacing w:before="0" w:beforeAutospacing="0" w:after="0" w:afterAutospacing="0"/>
              <w:jc w:val="right"/>
              <w:rPr>
                <w:sz w:val="16"/>
                <w:szCs w:val="16"/>
              </w:rPr>
            </w:pPr>
            <w:r>
              <w:rPr>
                <w:sz w:val="16"/>
                <w:szCs w:val="16"/>
              </w:rPr>
              <w:t>30,34</w:t>
            </w:r>
            <w:r>
              <w:rPr>
                <w:sz w:val="16"/>
                <w:szCs w:val="16"/>
              </w:rPr>
              <w:t>8</w:t>
            </w:r>
          </w:p>
        </w:tc>
        <w:tc>
          <w:tcPr>
            <w:tcW w:w="0" w:type="auto"/>
            <w:noWrap/>
            <w:vAlign w:val="bottom"/>
            <w:hideMark/>
          </w:tcPr>
          <w:p w14:paraId="3E331DF4"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A10DFB3"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462A980"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580D5450" w14:textId="77777777" w:rsidR="00000000" w:rsidRDefault="00832D71">
            <w:pPr>
              <w:pStyle w:val="a3"/>
              <w:spacing w:before="0" w:beforeAutospacing="0" w:after="0" w:afterAutospacing="0"/>
              <w:jc w:val="right"/>
              <w:rPr>
                <w:sz w:val="16"/>
                <w:szCs w:val="16"/>
              </w:rPr>
            </w:pPr>
            <w:r>
              <w:rPr>
                <w:sz w:val="16"/>
                <w:szCs w:val="16"/>
              </w:rPr>
              <w:t>29,29</w:t>
            </w:r>
            <w:r>
              <w:rPr>
                <w:sz w:val="16"/>
                <w:szCs w:val="16"/>
              </w:rPr>
              <w:t>4</w:t>
            </w:r>
          </w:p>
        </w:tc>
        <w:tc>
          <w:tcPr>
            <w:tcW w:w="0" w:type="auto"/>
            <w:noWrap/>
            <w:vAlign w:val="bottom"/>
            <w:hideMark/>
          </w:tcPr>
          <w:p w14:paraId="12685F7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492379B3"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100B293"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42CF967B" w14:textId="77777777" w:rsidR="00000000" w:rsidRDefault="00832D71">
            <w:pPr>
              <w:pStyle w:val="a3"/>
              <w:spacing w:before="0" w:beforeAutospacing="0" w:after="0" w:afterAutospacing="0"/>
              <w:jc w:val="right"/>
              <w:rPr>
                <w:sz w:val="16"/>
                <w:szCs w:val="16"/>
              </w:rPr>
            </w:pPr>
            <w:r>
              <w:rPr>
                <w:sz w:val="16"/>
                <w:szCs w:val="16"/>
              </w:rPr>
              <w:t>21,87</w:t>
            </w:r>
            <w:r>
              <w:rPr>
                <w:sz w:val="16"/>
                <w:szCs w:val="16"/>
              </w:rPr>
              <w:t>5</w:t>
            </w:r>
          </w:p>
        </w:tc>
        <w:tc>
          <w:tcPr>
            <w:tcW w:w="0" w:type="auto"/>
            <w:noWrap/>
            <w:vAlign w:val="bottom"/>
            <w:hideMark/>
          </w:tcPr>
          <w:p w14:paraId="30CCC7DF"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B1C9206"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521ACC1E"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9156FDD" w14:textId="77777777" w:rsidR="00000000" w:rsidRDefault="00832D71">
            <w:pPr>
              <w:pStyle w:val="a3"/>
              <w:spacing w:before="0" w:beforeAutospacing="0" w:after="0" w:afterAutospacing="0"/>
              <w:jc w:val="right"/>
              <w:rPr>
                <w:sz w:val="16"/>
                <w:szCs w:val="16"/>
              </w:rPr>
            </w:pPr>
            <w:r>
              <w:rPr>
                <w:sz w:val="16"/>
                <w:szCs w:val="16"/>
              </w:rPr>
              <w:t>29,44</w:t>
            </w:r>
            <w:r>
              <w:rPr>
                <w:sz w:val="16"/>
                <w:szCs w:val="16"/>
              </w:rPr>
              <w:t>8</w:t>
            </w:r>
          </w:p>
        </w:tc>
        <w:tc>
          <w:tcPr>
            <w:tcW w:w="0" w:type="auto"/>
            <w:noWrap/>
            <w:vAlign w:val="bottom"/>
            <w:hideMark/>
          </w:tcPr>
          <w:p w14:paraId="767170BC"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8FEDB5F"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432CE1C"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0C19F918" w14:textId="77777777" w:rsidR="00000000" w:rsidRDefault="00832D71">
            <w:pPr>
              <w:pStyle w:val="a3"/>
              <w:spacing w:before="0" w:beforeAutospacing="0" w:after="0" w:afterAutospacing="0"/>
              <w:jc w:val="right"/>
              <w:rPr>
                <w:sz w:val="16"/>
                <w:szCs w:val="16"/>
              </w:rPr>
            </w:pPr>
            <w:r>
              <w:rPr>
                <w:sz w:val="16"/>
                <w:szCs w:val="16"/>
              </w:rPr>
              <w:t>32,79</w:t>
            </w:r>
            <w:r>
              <w:rPr>
                <w:sz w:val="16"/>
                <w:szCs w:val="16"/>
              </w:rPr>
              <w:t>3</w:t>
            </w:r>
          </w:p>
        </w:tc>
        <w:tc>
          <w:tcPr>
            <w:tcW w:w="0" w:type="auto"/>
            <w:noWrap/>
            <w:vAlign w:val="bottom"/>
            <w:hideMark/>
          </w:tcPr>
          <w:p w14:paraId="5B75B6EE" w14:textId="77777777" w:rsidR="00000000" w:rsidRDefault="00832D71">
            <w:pPr>
              <w:pStyle w:val="a3"/>
              <w:spacing w:before="0" w:beforeAutospacing="0" w:after="0" w:afterAutospacing="0"/>
              <w:rPr>
                <w:sz w:val="16"/>
                <w:szCs w:val="16"/>
              </w:rPr>
            </w:pPr>
            <w:r>
              <w:rPr>
                <w:sz w:val="16"/>
                <w:szCs w:val="16"/>
              </w:rPr>
              <w:t> </w:t>
            </w:r>
          </w:p>
        </w:tc>
      </w:tr>
    </w:tbl>
    <w:p w14:paraId="2F8A7C1D" w14:textId="77777777" w:rsidR="00000000" w:rsidRDefault="00832D71">
      <w:pPr>
        <w:pStyle w:val="a3"/>
        <w:spacing w:before="240" w:beforeAutospacing="0" w:after="0" w:afterAutospacing="0"/>
        <w:jc w:val="both"/>
        <w:rPr>
          <w:sz w:val="20"/>
          <w:szCs w:val="20"/>
        </w:rPr>
      </w:pPr>
      <w:r>
        <w:rPr>
          <w:sz w:val="16"/>
          <w:szCs w:val="16"/>
        </w:rPr>
        <w:t xml:space="preserve">Note: </w:t>
      </w:r>
      <w:r>
        <w:rPr>
          <w:sz w:val="16"/>
          <w:szCs w:val="16"/>
        </w:rPr>
        <w:t>Column (f) was omitted from the Summary Compensation Table because we do not grant options to our employees</w:t>
      </w:r>
      <w:r>
        <w:rPr>
          <w:sz w:val="16"/>
          <w:szCs w:val="16"/>
        </w:rPr>
        <w:t>.</w:t>
      </w:r>
    </w:p>
    <w:p w14:paraId="6EC825CC" w14:textId="77777777" w:rsidR="00000000" w:rsidRDefault="00832D71">
      <w:pPr>
        <w:pStyle w:val="a3"/>
        <w:spacing w:before="0" w:beforeAutospacing="0" w:after="0" w:afterAutospacing="0"/>
        <w:jc w:val="both"/>
        <w:rPr>
          <w:sz w:val="20"/>
          <w:szCs w:val="20"/>
        </w:rPr>
      </w:pPr>
      <w:r>
        <w:rPr>
          <w:sz w:val="20"/>
          <w:szCs w:val="20"/>
        </w:rPr>
        <w:t> </w:t>
      </w:r>
    </w:p>
    <w:p w14:paraId="0F5EE4F8" w14:textId="77777777" w:rsidR="00000000" w:rsidRDefault="00832D71">
      <w:pPr>
        <w:pStyle w:val="a3"/>
        <w:spacing w:before="0" w:beforeAutospacing="0" w:after="0" w:afterAutospacing="0"/>
        <w:jc w:val="center"/>
        <w:rPr>
          <w:sz w:val="20"/>
          <w:szCs w:val="20"/>
        </w:rPr>
      </w:pPr>
      <w:r>
        <w:rPr>
          <w:sz w:val="20"/>
          <w:szCs w:val="20"/>
        </w:rPr>
        <w:t> </w:t>
      </w:r>
    </w:p>
    <w:p w14:paraId="4682BA43" w14:textId="77777777" w:rsidR="00000000" w:rsidRDefault="00832D71">
      <w:pPr>
        <w:pStyle w:val="a3"/>
        <w:spacing w:before="0" w:beforeAutospacing="0" w:after="0" w:afterAutospacing="0"/>
        <w:jc w:val="center"/>
        <w:rPr>
          <w:sz w:val="20"/>
          <w:szCs w:val="20"/>
        </w:rPr>
      </w:pPr>
      <w:r>
        <w:rPr>
          <w:sz w:val="20"/>
          <w:szCs w:val="20"/>
        </w:rPr>
        <w:t>7</w:t>
      </w:r>
      <w:r>
        <w:rPr>
          <w:sz w:val="20"/>
          <w:szCs w:val="20"/>
        </w:rPr>
        <w:t>6</w:t>
      </w:r>
    </w:p>
    <w:p w14:paraId="203070B6" w14:textId="77777777" w:rsidR="00000000" w:rsidRDefault="00832D71">
      <w:pPr>
        <w:rPr>
          <w:rFonts w:eastAsia="Times New Roman"/>
        </w:rPr>
      </w:pPr>
      <w:r>
        <w:rPr>
          <w:rFonts w:eastAsia="Times New Roman"/>
        </w:rPr>
        <w:pict w14:anchorId="721A0F4A">
          <v:rect id="_x0000_i1103" style="width:0;height:1.5pt" o:hralign="center" o:hrstd="t" o:hr="t" fillcolor="#a0a0a0" stroked="f"/>
        </w:pict>
      </w:r>
    </w:p>
    <w:p w14:paraId="7D60BDD2"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035F1AFA" w14:textId="77777777" w:rsidR="00000000" w:rsidRDefault="00832D71">
      <w:pPr>
        <w:pStyle w:val="a3"/>
        <w:spacing w:before="0" w:beforeAutospacing="0" w:after="0" w:afterAutospacing="0"/>
        <w:jc w:val="both"/>
        <w:rPr>
          <w:sz w:val="20"/>
          <w:szCs w:val="20"/>
        </w:rPr>
      </w:pPr>
      <w:r>
        <w:rPr>
          <w:b/>
          <w:bCs/>
          <w:sz w:val="20"/>
          <w:szCs w:val="20"/>
        </w:rPr>
        <w:t>Grants of Plan Based Awards Table for Fiscal 202</w:t>
      </w:r>
      <w:r>
        <w:rPr>
          <w:b/>
          <w:bCs/>
          <w:sz w:val="20"/>
          <w:szCs w:val="20"/>
        </w:rPr>
        <w:t>2</w:t>
      </w:r>
    </w:p>
    <w:p w14:paraId="729A9BB2" w14:textId="77777777" w:rsidR="00000000" w:rsidRDefault="00832D71">
      <w:pPr>
        <w:pStyle w:val="a3"/>
        <w:spacing w:before="120" w:beforeAutospacing="0" w:after="0" w:afterAutospacing="0"/>
        <w:ind w:firstLine="555"/>
        <w:jc w:val="both"/>
        <w:rPr>
          <w:sz w:val="20"/>
          <w:szCs w:val="20"/>
        </w:rPr>
      </w:pPr>
      <w:r>
        <w:rPr>
          <w:sz w:val="20"/>
          <w:szCs w:val="20"/>
        </w:rPr>
        <w:t>The following table sets forth certain information concerning grants of awards made to each named executive officer during the fiscal year ended September 24, 2022</w:t>
      </w:r>
      <w:r>
        <w:rPr>
          <w:sz w:val="20"/>
          <w:szCs w:val="20"/>
        </w:rPr>
        <w:t>:</w:t>
      </w:r>
    </w:p>
    <w:p w14:paraId="3053E251" w14:textId="77777777" w:rsidR="00000000" w:rsidRDefault="00832D7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3"/>
        <w:gridCol w:w="100"/>
        <w:gridCol w:w="469"/>
        <w:gridCol w:w="100"/>
        <w:gridCol w:w="478"/>
        <w:gridCol w:w="100"/>
        <w:gridCol w:w="709"/>
        <w:gridCol w:w="100"/>
        <w:gridCol w:w="101"/>
        <w:gridCol w:w="743"/>
        <w:gridCol w:w="115"/>
        <w:gridCol w:w="100"/>
        <w:gridCol w:w="140"/>
        <w:gridCol w:w="580"/>
        <w:gridCol w:w="115"/>
        <w:gridCol w:w="115"/>
        <w:gridCol w:w="140"/>
        <w:gridCol w:w="700"/>
        <w:gridCol w:w="115"/>
        <w:gridCol w:w="100"/>
        <w:gridCol w:w="140"/>
        <w:gridCol w:w="580"/>
        <w:gridCol w:w="115"/>
        <w:gridCol w:w="115"/>
        <w:gridCol w:w="140"/>
        <w:gridCol w:w="700"/>
        <w:gridCol w:w="115"/>
        <w:gridCol w:w="100"/>
        <w:gridCol w:w="101"/>
        <w:gridCol w:w="553"/>
        <w:gridCol w:w="100"/>
        <w:gridCol w:w="100"/>
        <w:gridCol w:w="140"/>
        <w:gridCol w:w="580"/>
        <w:gridCol w:w="115"/>
      </w:tblGrid>
      <w:tr w:rsidR="00000000" w14:paraId="55591041" w14:textId="77777777">
        <w:trPr>
          <w:tblCellSpacing w:w="15" w:type="dxa"/>
        </w:trPr>
        <w:tc>
          <w:tcPr>
            <w:tcW w:w="578" w:type="pct"/>
            <w:vAlign w:val="center"/>
            <w:hideMark/>
          </w:tcPr>
          <w:p w14:paraId="1D1E1193" w14:textId="77777777" w:rsidR="00000000" w:rsidRDefault="00832D71">
            <w:pPr>
              <w:rPr>
                <w:sz w:val="20"/>
                <w:szCs w:val="20"/>
              </w:rPr>
            </w:pPr>
          </w:p>
        </w:tc>
        <w:tc>
          <w:tcPr>
            <w:tcW w:w="28" w:type="pct"/>
            <w:vAlign w:val="center"/>
            <w:hideMark/>
          </w:tcPr>
          <w:p w14:paraId="2594E735" w14:textId="77777777" w:rsidR="00000000" w:rsidRDefault="00832D71">
            <w:pPr>
              <w:rPr>
                <w:rFonts w:eastAsia="Times New Roman"/>
                <w:sz w:val="20"/>
                <w:szCs w:val="20"/>
              </w:rPr>
            </w:pPr>
          </w:p>
        </w:tc>
        <w:tc>
          <w:tcPr>
            <w:tcW w:w="328" w:type="pct"/>
            <w:vAlign w:val="center"/>
            <w:hideMark/>
          </w:tcPr>
          <w:p w14:paraId="5C769593" w14:textId="77777777" w:rsidR="00000000" w:rsidRDefault="00832D71">
            <w:pPr>
              <w:rPr>
                <w:rFonts w:eastAsia="Times New Roman"/>
                <w:sz w:val="20"/>
                <w:szCs w:val="20"/>
              </w:rPr>
            </w:pPr>
          </w:p>
        </w:tc>
        <w:tc>
          <w:tcPr>
            <w:tcW w:w="28" w:type="pct"/>
            <w:vAlign w:val="center"/>
            <w:hideMark/>
          </w:tcPr>
          <w:p w14:paraId="4C550085" w14:textId="77777777" w:rsidR="00000000" w:rsidRDefault="00832D71">
            <w:pPr>
              <w:rPr>
                <w:rFonts w:eastAsia="Times New Roman"/>
                <w:sz w:val="20"/>
                <w:szCs w:val="20"/>
              </w:rPr>
            </w:pPr>
          </w:p>
        </w:tc>
        <w:tc>
          <w:tcPr>
            <w:tcW w:w="328" w:type="pct"/>
            <w:vAlign w:val="center"/>
            <w:hideMark/>
          </w:tcPr>
          <w:p w14:paraId="7401B92B" w14:textId="77777777" w:rsidR="00000000" w:rsidRDefault="00832D71">
            <w:pPr>
              <w:rPr>
                <w:rFonts w:eastAsia="Times New Roman"/>
                <w:sz w:val="20"/>
                <w:szCs w:val="20"/>
              </w:rPr>
            </w:pPr>
          </w:p>
        </w:tc>
        <w:tc>
          <w:tcPr>
            <w:tcW w:w="28" w:type="pct"/>
            <w:vAlign w:val="center"/>
            <w:hideMark/>
          </w:tcPr>
          <w:p w14:paraId="01299213" w14:textId="77777777" w:rsidR="00000000" w:rsidRDefault="00832D71">
            <w:pPr>
              <w:rPr>
                <w:rFonts w:eastAsia="Times New Roman"/>
                <w:sz w:val="20"/>
                <w:szCs w:val="20"/>
              </w:rPr>
            </w:pPr>
          </w:p>
        </w:tc>
        <w:tc>
          <w:tcPr>
            <w:tcW w:w="328" w:type="pct"/>
            <w:vAlign w:val="center"/>
            <w:hideMark/>
          </w:tcPr>
          <w:p w14:paraId="32D5824C" w14:textId="77777777" w:rsidR="00000000" w:rsidRDefault="00832D71">
            <w:pPr>
              <w:rPr>
                <w:rFonts w:eastAsia="Times New Roman"/>
                <w:sz w:val="20"/>
                <w:szCs w:val="20"/>
              </w:rPr>
            </w:pPr>
          </w:p>
        </w:tc>
        <w:tc>
          <w:tcPr>
            <w:tcW w:w="28" w:type="pct"/>
            <w:vAlign w:val="center"/>
            <w:hideMark/>
          </w:tcPr>
          <w:p w14:paraId="43F47B92" w14:textId="77777777" w:rsidR="00000000" w:rsidRDefault="00832D71">
            <w:pPr>
              <w:rPr>
                <w:rFonts w:eastAsia="Times New Roman"/>
                <w:sz w:val="20"/>
                <w:szCs w:val="20"/>
              </w:rPr>
            </w:pPr>
          </w:p>
        </w:tc>
        <w:tc>
          <w:tcPr>
            <w:tcW w:w="50" w:type="pct"/>
            <w:vAlign w:val="center"/>
            <w:hideMark/>
          </w:tcPr>
          <w:p w14:paraId="15356CD7" w14:textId="77777777" w:rsidR="00000000" w:rsidRDefault="00832D71">
            <w:pPr>
              <w:rPr>
                <w:rFonts w:eastAsia="Times New Roman"/>
                <w:sz w:val="20"/>
                <w:szCs w:val="20"/>
              </w:rPr>
            </w:pPr>
          </w:p>
        </w:tc>
        <w:tc>
          <w:tcPr>
            <w:tcW w:w="589" w:type="pct"/>
            <w:vAlign w:val="center"/>
            <w:hideMark/>
          </w:tcPr>
          <w:p w14:paraId="3D9D3957" w14:textId="77777777" w:rsidR="00000000" w:rsidRDefault="00832D71">
            <w:pPr>
              <w:rPr>
                <w:rFonts w:eastAsia="Times New Roman"/>
                <w:sz w:val="20"/>
                <w:szCs w:val="20"/>
              </w:rPr>
            </w:pPr>
          </w:p>
        </w:tc>
        <w:tc>
          <w:tcPr>
            <w:tcW w:w="50" w:type="pct"/>
            <w:vAlign w:val="center"/>
            <w:hideMark/>
          </w:tcPr>
          <w:p w14:paraId="53AD9226" w14:textId="77777777" w:rsidR="00000000" w:rsidRDefault="00832D71">
            <w:pPr>
              <w:rPr>
                <w:rFonts w:eastAsia="Times New Roman"/>
                <w:sz w:val="20"/>
                <w:szCs w:val="20"/>
              </w:rPr>
            </w:pPr>
          </w:p>
        </w:tc>
        <w:tc>
          <w:tcPr>
            <w:tcW w:w="28" w:type="pct"/>
            <w:vAlign w:val="center"/>
            <w:hideMark/>
          </w:tcPr>
          <w:p w14:paraId="44CCA9F3" w14:textId="77777777" w:rsidR="00000000" w:rsidRDefault="00832D71">
            <w:pPr>
              <w:rPr>
                <w:rFonts w:eastAsia="Times New Roman"/>
                <w:sz w:val="20"/>
                <w:szCs w:val="20"/>
              </w:rPr>
            </w:pPr>
          </w:p>
        </w:tc>
        <w:tc>
          <w:tcPr>
            <w:tcW w:w="50" w:type="pct"/>
            <w:vAlign w:val="center"/>
            <w:hideMark/>
          </w:tcPr>
          <w:p w14:paraId="7AA0A990" w14:textId="77777777" w:rsidR="00000000" w:rsidRDefault="00832D71">
            <w:pPr>
              <w:rPr>
                <w:rFonts w:eastAsia="Times New Roman"/>
                <w:sz w:val="20"/>
                <w:szCs w:val="20"/>
              </w:rPr>
            </w:pPr>
          </w:p>
        </w:tc>
        <w:tc>
          <w:tcPr>
            <w:tcW w:w="236" w:type="pct"/>
            <w:vAlign w:val="center"/>
            <w:hideMark/>
          </w:tcPr>
          <w:p w14:paraId="0095F4CC" w14:textId="77777777" w:rsidR="00000000" w:rsidRDefault="00832D71">
            <w:pPr>
              <w:rPr>
                <w:rFonts w:eastAsia="Times New Roman"/>
                <w:sz w:val="20"/>
                <w:szCs w:val="20"/>
              </w:rPr>
            </w:pPr>
          </w:p>
        </w:tc>
        <w:tc>
          <w:tcPr>
            <w:tcW w:w="50" w:type="pct"/>
            <w:vAlign w:val="center"/>
            <w:hideMark/>
          </w:tcPr>
          <w:p w14:paraId="13DCF6C7" w14:textId="77777777" w:rsidR="00000000" w:rsidRDefault="00832D71">
            <w:pPr>
              <w:rPr>
                <w:rFonts w:eastAsia="Times New Roman"/>
                <w:sz w:val="20"/>
                <w:szCs w:val="20"/>
              </w:rPr>
            </w:pPr>
          </w:p>
        </w:tc>
        <w:tc>
          <w:tcPr>
            <w:tcW w:w="28" w:type="pct"/>
            <w:vAlign w:val="center"/>
            <w:hideMark/>
          </w:tcPr>
          <w:p w14:paraId="1EF3DA68" w14:textId="77777777" w:rsidR="00000000" w:rsidRDefault="00832D71">
            <w:pPr>
              <w:rPr>
                <w:rFonts w:eastAsia="Times New Roman"/>
                <w:sz w:val="20"/>
                <w:szCs w:val="20"/>
              </w:rPr>
            </w:pPr>
          </w:p>
        </w:tc>
        <w:tc>
          <w:tcPr>
            <w:tcW w:w="50" w:type="pct"/>
            <w:vAlign w:val="center"/>
            <w:hideMark/>
          </w:tcPr>
          <w:p w14:paraId="0C0E89E9" w14:textId="77777777" w:rsidR="00000000" w:rsidRDefault="00832D71">
            <w:pPr>
              <w:rPr>
                <w:rFonts w:eastAsia="Times New Roman"/>
                <w:sz w:val="20"/>
                <w:szCs w:val="20"/>
              </w:rPr>
            </w:pPr>
          </w:p>
        </w:tc>
        <w:tc>
          <w:tcPr>
            <w:tcW w:w="236" w:type="pct"/>
            <w:vAlign w:val="center"/>
            <w:hideMark/>
          </w:tcPr>
          <w:p w14:paraId="24CD5B5E" w14:textId="77777777" w:rsidR="00000000" w:rsidRDefault="00832D71">
            <w:pPr>
              <w:rPr>
                <w:rFonts w:eastAsia="Times New Roman"/>
                <w:sz w:val="20"/>
                <w:szCs w:val="20"/>
              </w:rPr>
            </w:pPr>
          </w:p>
        </w:tc>
        <w:tc>
          <w:tcPr>
            <w:tcW w:w="50" w:type="pct"/>
            <w:vAlign w:val="center"/>
            <w:hideMark/>
          </w:tcPr>
          <w:p w14:paraId="7536EB51" w14:textId="77777777" w:rsidR="00000000" w:rsidRDefault="00832D71">
            <w:pPr>
              <w:rPr>
                <w:rFonts w:eastAsia="Times New Roman"/>
                <w:sz w:val="20"/>
                <w:szCs w:val="20"/>
              </w:rPr>
            </w:pPr>
          </w:p>
        </w:tc>
        <w:tc>
          <w:tcPr>
            <w:tcW w:w="26" w:type="pct"/>
            <w:vAlign w:val="center"/>
            <w:hideMark/>
          </w:tcPr>
          <w:p w14:paraId="56EE7387" w14:textId="77777777" w:rsidR="00000000" w:rsidRDefault="00832D71">
            <w:pPr>
              <w:rPr>
                <w:rFonts w:eastAsia="Times New Roman"/>
                <w:sz w:val="20"/>
                <w:szCs w:val="20"/>
              </w:rPr>
            </w:pPr>
          </w:p>
        </w:tc>
        <w:tc>
          <w:tcPr>
            <w:tcW w:w="50" w:type="pct"/>
            <w:vAlign w:val="center"/>
            <w:hideMark/>
          </w:tcPr>
          <w:p w14:paraId="14D2F642" w14:textId="77777777" w:rsidR="00000000" w:rsidRDefault="00832D71">
            <w:pPr>
              <w:rPr>
                <w:rFonts w:eastAsia="Times New Roman"/>
                <w:sz w:val="20"/>
                <w:szCs w:val="20"/>
              </w:rPr>
            </w:pPr>
          </w:p>
        </w:tc>
        <w:tc>
          <w:tcPr>
            <w:tcW w:w="232" w:type="pct"/>
            <w:vAlign w:val="center"/>
            <w:hideMark/>
          </w:tcPr>
          <w:p w14:paraId="7C3E113F" w14:textId="77777777" w:rsidR="00000000" w:rsidRDefault="00832D71">
            <w:pPr>
              <w:rPr>
                <w:rFonts w:eastAsia="Times New Roman"/>
                <w:sz w:val="20"/>
                <w:szCs w:val="20"/>
              </w:rPr>
            </w:pPr>
          </w:p>
        </w:tc>
        <w:tc>
          <w:tcPr>
            <w:tcW w:w="50" w:type="pct"/>
            <w:vAlign w:val="center"/>
            <w:hideMark/>
          </w:tcPr>
          <w:p w14:paraId="7428A4D4" w14:textId="77777777" w:rsidR="00000000" w:rsidRDefault="00832D71">
            <w:pPr>
              <w:rPr>
                <w:rFonts w:eastAsia="Times New Roman"/>
                <w:sz w:val="20"/>
                <w:szCs w:val="20"/>
              </w:rPr>
            </w:pPr>
          </w:p>
        </w:tc>
        <w:tc>
          <w:tcPr>
            <w:tcW w:w="28" w:type="pct"/>
            <w:vAlign w:val="center"/>
            <w:hideMark/>
          </w:tcPr>
          <w:p w14:paraId="56485E76" w14:textId="77777777" w:rsidR="00000000" w:rsidRDefault="00832D71">
            <w:pPr>
              <w:rPr>
                <w:rFonts w:eastAsia="Times New Roman"/>
                <w:sz w:val="20"/>
                <w:szCs w:val="20"/>
              </w:rPr>
            </w:pPr>
          </w:p>
        </w:tc>
        <w:tc>
          <w:tcPr>
            <w:tcW w:w="50" w:type="pct"/>
            <w:vAlign w:val="center"/>
            <w:hideMark/>
          </w:tcPr>
          <w:p w14:paraId="315CC20A" w14:textId="77777777" w:rsidR="00000000" w:rsidRDefault="00832D71">
            <w:pPr>
              <w:rPr>
                <w:rFonts w:eastAsia="Times New Roman"/>
                <w:sz w:val="20"/>
                <w:szCs w:val="20"/>
              </w:rPr>
            </w:pPr>
          </w:p>
        </w:tc>
        <w:tc>
          <w:tcPr>
            <w:tcW w:w="236" w:type="pct"/>
            <w:vAlign w:val="center"/>
            <w:hideMark/>
          </w:tcPr>
          <w:p w14:paraId="4E8CC60F" w14:textId="77777777" w:rsidR="00000000" w:rsidRDefault="00832D71">
            <w:pPr>
              <w:rPr>
                <w:rFonts w:eastAsia="Times New Roman"/>
                <w:sz w:val="20"/>
                <w:szCs w:val="20"/>
              </w:rPr>
            </w:pPr>
          </w:p>
        </w:tc>
        <w:tc>
          <w:tcPr>
            <w:tcW w:w="50" w:type="pct"/>
            <w:vAlign w:val="center"/>
            <w:hideMark/>
          </w:tcPr>
          <w:p w14:paraId="099711C8" w14:textId="77777777" w:rsidR="00000000" w:rsidRDefault="00832D71">
            <w:pPr>
              <w:rPr>
                <w:rFonts w:eastAsia="Times New Roman"/>
                <w:sz w:val="20"/>
                <w:szCs w:val="20"/>
              </w:rPr>
            </w:pPr>
          </w:p>
        </w:tc>
        <w:tc>
          <w:tcPr>
            <w:tcW w:w="26" w:type="pct"/>
            <w:vAlign w:val="center"/>
            <w:hideMark/>
          </w:tcPr>
          <w:p w14:paraId="0391E174" w14:textId="77777777" w:rsidR="00000000" w:rsidRDefault="00832D71">
            <w:pPr>
              <w:rPr>
                <w:rFonts w:eastAsia="Times New Roman"/>
                <w:sz w:val="20"/>
                <w:szCs w:val="20"/>
              </w:rPr>
            </w:pPr>
          </w:p>
        </w:tc>
        <w:tc>
          <w:tcPr>
            <w:tcW w:w="50" w:type="pct"/>
            <w:vAlign w:val="center"/>
            <w:hideMark/>
          </w:tcPr>
          <w:p w14:paraId="0E82D0AC" w14:textId="77777777" w:rsidR="00000000" w:rsidRDefault="00832D71">
            <w:pPr>
              <w:rPr>
                <w:rFonts w:eastAsia="Times New Roman"/>
                <w:sz w:val="20"/>
                <w:szCs w:val="20"/>
              </w:rPr>
            </w:pPr>
          </w:p>
        </w:tc>
        <w:tc>
          <w:tcPr>
            <w:tcW w:w="414" w:type="pct"/>
            <w:vAlign w:val="center"/>
            <w:hideMark/>
          </w:tcPr>
          <w:p w14:paraId="4B8C0C6F" w14:textId="77777777" w:rsidR="00000000" w:rsidRDefault="00832D71">
            <w:pPr>
              <w:rPr>
                <w:rFonts w:eastAsia="Times New Roman"/>
                <w:sz w:val="20"/>
                <w:szCs w:val="20"/>
              </w:rPr>
            </w:pPr>
          </w:p>
        </w:tc>
        <w:tc>
          <w:tcPr>
            <w:tcW w:w="50" w:type="pct"/>
            <w:vAlign w:val="center"/>
            <w:hideMark/>
          </w:tcPr>
          <w:p w14:paraId="56C5CFC5" w14:textId="77777777" w:rsidR="00000000" w:rsidRDefault="00832D71">
            <w:pPr>
              <w:rPr>
                <w:rFonts w:eastAsia="Times New Roman"/>
                <w:sz w:val="20"/>
                <w:szCs w:val="20"/>
              </w:rPr>
            </w:pPr>
          </w:p>
        </w:tc>
        <w:tc>
          <w:tcPr>
            <w:tcW w:w="28" w:type="pct"/>
            <w:vAlign w:val="center"/>
            <w:hideMark/>
          </w:tcPr>
          <w:p w14:paraId="7DC0A369" w14:textId="77777777" w:rsidR="00000000" w:rsidRDefault="00832D71">
            <w:pPr>
              <w:rPr>
                <w:rFonts w:eastAsia="Times New Roman"/>
                <w:sz w:val="20"/>
                <w:szCs w:val="20"/>
              </w:rPr>
            </w:pPr>
          </w:p>
        </w:tc>
        <w:tc>
          <w:tcPr>
            <w:tcW w:w="50" w:type="pct"/>
            <w:vAlign w:val="center"/>
            <w:hideMark/>
          </w:tcPr>
          <w:p w14:paraId="6249F418" w14:textId="77777777" w:rsidR="00000000" w:rsidRDefault="00832D71">
            <w:pPr>
              <w:rPr>
                <w:rFonts w:eastAsia="Times New Roman"/>
                <w:sz w:val="20"/>
                <w:szCs w:val="20"/>
              </w:rPr>
            </w:pPr>
          </w:p>
        </w:tc>
        <w:tc>
          <w:tcPr>
            <w:tcW w:w="511" w:type="pct"/>
            <w:vAlign w:val="center"/>
            <w:hideMark/>
          </w:tcPr>
          <w:p w14:paraId="4A262DC9" w14:textId="77777777" w:rsidR="00000000" w:rsidRDefault="00832D71">
            <w:pPr>
              <w:rPr>
                <w:rFonts w:eastAsia="Times New Roman"/>
                <w:sz w:val="20"/>
                <w:szCs w:val="20"/>
              </w:rPr>
            </w:pPr>
          </w:p>
        </w:tc>
        <w:tc>
          <w:tcPr>
            <w:tcW w:w="50" w:type="pct"/>
            <w:vAlign w:val="center"/>
            <w:hideMark/>
          </w:tcPr>
          <w:p w14:paraId="35B75588" w14:textId="77777777" w:rsidR="00000000" w:rsidRDefault="00832D71">
            <w:pPr>
              <w:rPr>
                <w:rFonts w:eastAsia="Times New Roman"/>
                <w:sz w:val="20"/>
                <w:szCs w:val="20"/>
              </w:rPr>
            </w:pPr>
          </w:p>
        </w:tc>
      </w:tr>
      <w:tr w:rsidR="00000000" w14:paraId="1BE16662" w14:textId="77777777">
        <w:trPr>
          <w:trHeight w:val="160"/>
          <w:tblCellSpacing w:w="15" w:type="dxa"/>
        </w:trPr>
        <w:tc>
          <w:tcPr>
            <w:tcW w:w="0" w:type="auto"/>
            <w:vAlign w:val="bottom"/>
            <w:hideMark/>
          </w:tcPr>
          <w:p w14:paraId="54D18340"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4A50ED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B36E063" w14:textId="77777777" w:rsidR="00000000" w:rsidRDefault="00832D71">
            <w:pPr>
              <w:pStyle w:val="a3"/>
              <w:spacing w:before="0" w:beforeAutospacing="0" w:after="0" w:afterAutospacing="0"/>
              <w:jc w:val="center"/>
              <w:rPr>
                <w:sz w:val="16"/>
                <w:szCs w:val="16"/>
              </w:rPr>
            </w:pPr>
            <w:r>
              <w:rPr>
                <w:b/>
                <w:bCs/>
                <w:sz w:val="16"/>
                <w:szCs w:val="16"/>
              </w:rPr>
              <w:t>Pla</w:t>
            </w:r>
            <w:r>
              <w:rPr>
                <w:b/>
                <w:bCs/>
                <w:sz w:val="16"/>
                <w:szCs w:val="16"/>
              </w:rPr>
              <w:t>n</w:t>
            </w:r>
          </w:p>
        </w:tc>
        <w:tc>
          <w:tcPr>
            <w:tcW w:w="0" w:type="auto"/>
            <w:vAlign w:val="bottom"/>
            <w:hideMark/>
          </w:tcPr>
          <w:p w14:paraId="134B1C18"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3818E4C" w14:textId="77777777" w:rsidR="00000000" w:rsidRDefault="00832D71">
            <w:pPr>
              <w:pStyle w:val="a3"/>
              <w:spacing w:before="0" w:beforeAutospacing="0" w:after="0" w:afterAutospacing="0"/>
              <w:jc w:val="center"/>
              <w:rPr>
                <w:sz w:val="16"/>
                <w:szCs w:val="16"/>
              </w:rPr>
            </w:pPr>
            <w:r>
              <w:rPr>
                <w:b/>
                <w:bCs/>
                <w:sz w:val="16"/>
                <w:szCs w:val="16"/>
              </w:rPr>
              <w:t>Gran</w:t>
            </w:r>
            <w:r>
              <w:rPr>
                <w:b/>
                <w:bCs/>
                <w:sz w:val="16"/>
                <w:szCs w:val="16"/>
              </w:rPr>
              <w:t>t</w:t>
            </w:r>
          </w:p>
        </w:tc>
        <w:tc>
          <w:tcPr>
            <w:tcW w:w="0" w:type="auto"/>
            <w:vAlign w:val="bottom"/>
            <w:hideMark/>
          </w:tcPr>
          <w:p w14:paraId="5C3CE1AF"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6AADBE1" w14:textId="77777777" w:rsidR="00000000" w:rsidRDefault="00832D71">
            <w:pPr>
              <w:pStyle w:val="a3"/>
              <w:spacing w:before="0" w:beforeAutospacing="0" w:after="0" w:afterAutospacing="0"/>
              <w:jc w:val="center"/>
              <w:rPr>
                <w:sz w:val="16"/>
                <w:szCs w:val="16"/>
              </w:rPr>
            </w:pPr>
            <w:r>
              <w:rPr>
                <w:b/>
                <w:bCs/>
                <w:sz w:val="16"/>
                <w:szCs w:val="16"/>
              </w:rPr>
              <w:t>Approva</w:t>
            </w:r>
            <w:r>
              <w:rPr>
                <w:b/>
                <w:bCs/>
                <w:sz w:val="16"/>
                <w:szCs w:val="16"/>
              </w:rPr>
              <w:t>l</w:t>
            </w:r>
          </w:p>
        </w:tc>
        <w:tc>
          <w:tcPr>
            <w:tcW w:w="0" w:type="auto"/>
            <w:vAlign w:val="bottom"/>
            <w:hideMark/>
          </w:tcPr>
          <w:p w14:paraId="03C2106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6FBBB5F" w14:textId="77777777" w:rsidR="00000000" w:rsidRDefault="00832D71">
            <w:pPr>
              <w:pStyle w:val="a3"/>
              <w:spacing w:before="0" w:beforeAutospacing="0" w:after="0" w:afterAutospacing="0"/>
              <w:jc w:val="center"/>
              <w:rPr>
                <w:sz w:val="16"/>
                <w:szCs w:val="16"/>
              </w:rPr>
            </w:pPr>
            <w:r>
              <w:rPr>
                <w:b/>
                <w:bCs/>
                <w:sz w:val="16"/>
                <w:szCs w:val="16"/>
              </w:rPr>
              <w:t>LTIP Units Underlying Equity Incentive Plan Award</w:t>
            </w:r>
            <w:r>
              <w:rPr>
                <w:b/>
                <w:bCs/>
                <w:sz w:val="16"/>
                <w:szCs w:val="16"/>
              </w:rPr>
              <w:t>s</w:t>
            </w:r>
          </w:p>
        </w:tc>
        <w:tc>
          <w:tcPr>
            <w:tcW w:w="0" w:type="auto"/>
            <w:vAlign w:val="bottom"/>
            <w:hideMark/>
          </w:tcPr>
          <w:p w14:paraId="42500CB2"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403D2B2" w14:textId="77777777" w:rsidR="00000000" w:rsidRDefault="00832D71">
            <w:pPr>
              <w:pStyle w:val="a3"/>
              <w:spacing w:before="0" w:beforeAutospacing="0" w:after="0" w:afterAutospacing="0"/>
              <w:rPr>
                <w:sz w:val="16"/>
                <w:szCs w:val="16"/>
              </w:rPr>
            </w:pPr>
            <w:r>
              <w:rPr>
                <w:sz w:val="16"/>
                <w:szCs w:val="16"/>
              </w:rPr>
              <w:t> </w:t>
            </w:r>
          </w:p>
        </w:tc>
        <w:tc>
          <w:tcPr>
            <w:tcW w:w="0" w:type="auto"/>
            <w:gridSpan w:val="6"/>
            <w:vAlign w:val="bottom"/>
            <w:hideMark/>
          </w:tcPr>
          <w:p w14:paraId="71B6BBD2" w14:textId="77777777" w:rsidR="00000000" w:rsidRDefault="00832D71">
            <w:pPr>
              <w:pStyle w:val="a3"/>
              <w:spacing w:before="0" w:beforeAutospacing="0" w:after="0" w:afterAutospacing="0"/>
              <w:jc w:val="center"/>
              <w:rPr>
                <w:sz w:val="16"/>
                <w:szCs w:val="16"/>
              </w:rPr>
            </w:pPr>
            <w:r>
              <w:rPr>
                <w:b/>
                <w:bCs/>
                <w:sz w:val="16"/>
                <w:szCs w:val="16"/>
              </w:rPr>
              <w:t>Estimated Future Payments Under Non-Equity Incentive Plan Award</w:t>
            </w:r>
            <w:r>
              <w:rPr>
                <w:b/>
                <w:bCs/>
                <w:sz w:val="16"/>
                <w:szCs w:val="16"/>
              </w:rPr>
              <w:t>s</w:t>
            </w:r>
          </w:p>
        </w:tc>
        <w:tc>
          <w:tcPr>
            <w:tcW w:w="0" w:type="auto"/>
            <w:vAlign w:val="bottom"/>
            <w:hideMark/>
          </w:tcPr>
          <w:p w14:paraId="0A505A3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7A2557C" w14:textId="77777777" w:rsidR="00000000" w:rsidRDefault="00832D71">
            <w:pPr>
              <w:pStyle w:val="a3"/>
              <w:spacing w:before="0" w:beforeAutospacing="0" w:after="0" w:afterAutospacing="0"/>
              <w:rPr>
                <w:sz w:val="16"/>
                <w:szCs w:val="16"/>
              </w:rPr>
            </w:pPr>
            <w:r>
              <w:rPr>
                <w:sz w:val="16"/>
                <w:szCs w:val="16"/>
              </w:rPr>
              <w:t> </w:t>
            </w:r>
          </w:p>
        </w:tc>
        <w:tc>
          <w:tcPr>
            <w:tcW w:w="0" w:type="auto"/>
            <w:gridSpan w:val="6"/>
            <w:vAlign w:val="bottom"/>
            <w:hideMark/>
          </w:tcPr>
          <w:p w14:paraId="39B65DE6" w14:textId="77777777" w:rsidR="00000000" w:rsidRDefault="00832D71">
            <w:pPr>
              <w:pStyle w:val="a3"/>
              <w:spacing w:before="0" w:beforeAutospacing="0" w:after="0" w:afterAutospacing="0"/>
              <w:jc w:val="center"/>
              <w:rPr>
                <w:sz w:val="16"/>
                <w:szCs w:val="16"/>
              </w:rPr>
            </w:pPr>
            <w:r>
              <w:rPr>
                <w:b/>
                <w:bCs/>
                <w:sz w:val="16"/>
                <w:szCs w:val="16"/>
              </w:rPr>
              <w:t>Estimated Future Payments Under Equity Incentive Plan Award</w:t>
            </w:r>
            <w:r>
              <w:rPr>
                <w:b/>
                <w:bCs/>
                <w:sz w:val="16"/>
                <w:szCs w:val="16"/>
              </w:rPr>
              <w:t>s</w:t>
            </w:r>
          </w:p>
        </w:tc>
        <w:tc>
          <w:tcPr>
            <w:tcW w:w="0" w:type="auto"/>
            <w:vAlign w:val="bottom"/>
            <w:hideMark/>
          </w:tcPr>
          <w:p w14:paraId="243D10F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5C036A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9FDB8F3" w14:textId="77777777" w:rsidR="00000000" w:rsidRDefault="00832D71">
            <w:pPr>
              <w:pStyle w:val="a3"/>
              <w:spacing w:before="0" w:beforeAutospacing="0" w:after="0" w:afterAutospacing="0"/>
              <w:jc w:val="center"/>
              <w:rPr>
                <w:sz w:val="16"/>
                <w:szCs w:val="16"/>
              </w:rPr>
            </w:pPr>
            <w:r>
              <w:rPr>
                <w:b/>
                <w:bCs/>
                <w:sz w:val="16"/>
                <w:szCs w:val="16"/>
              </w:rPr>
              <w:t>All Other Stock Awards: Number of Shares of Stoc</w:t>
            </w:r>
            <w:r>
              <w:rPr>
                <w:b/>
                <w:bCs/>
                <w:sz w:val="16"/>
                <w:szCs w:val="16"/>
              </w:rPr>
              <w:t>k</w:t>
            </w:r>
          </w:p>
        </w:tc>
        <w:tc>
          <w:tcPr>
            <w:tcW w:w="0" w:type="auto"/>
            <w:vAlign w:val="bottom"/>
            <w:hideMark/>
          </w:tcPr>
          <w:p w14:paraId="25AD2E0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FCB7DA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CA0A24C" w14:textId="77777777" w:rsidR="00000000" w:rsidRDefault="00832D71">
            <w:pPr>
              <w:pStyle w:val="a3"/>
              <w:spacing w:before="0" w:beforeAutospacing="0" w:after="0" w:afterAutospacing="0"/>
              <w:jc w:val="center"/>
              <w:rPr>
                <w:sz w:val="16"/>
                <w:szCs w:val="16"/>
              </w:rPr>
            </w:pPr>
            <w:r>
              <w:rPr>
                <w:b/>
                <w:bCs/>
                <w:sz w:val="16"/>
                <w:szCs w:val="16"/>
              </w:rPr>
              <w:t>Grant Date Fair Value of Stock and Optio</w:t>
            </w:r>
            <w:r>
              <w:rPr>
                <w:b/>
                <w:bCs/>
                <w:sz w:val="16"/>
                <w:szCs w:val="16"/>
              </w:rPr>
              <w:t>n</w:t>
            </w:r>
          </w:p>
        </w:tc>
        <w:tc>
          <w:tcPr>
            <w:tcW w:w="0" w:type="auto"/>
            <w:vAlign w:val="bottom"/>
            <w:hideMark/>
          </w:tcPr>
          <w:p w14:paraId="797F18A5"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67F63400" w14:textId="77777777">
        <w:trPr>
          <w:trHeight w:val="160"/>
          <w:tblCellSpacing w:w="15" w:type="dxa"/>
        </w:trPr>
        <w:tc>
          <w:tcPr>
            <w:tcW w:w="0" w:type="auto"/>
            <w:vAlign w:val="bottom"/>
            <w:hideMark/>
          </w:tcPr>
          <w:p w14:paraId="31217B92"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6C8E4BD4"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A000245"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5D63ED74"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D99538E" w14:textId="77777777" w:rsidR="00000000" w:rsidRDefault="00832D71">
            <w:pPr>
              <w:pStyle w:val="a3"/>
              <w:spacing w:before="0" w:beforeAutospacing="0" w:after="0" w:afterAutospacing="0"/>
              <w:jc w:val="center"/>
              <w:rPr>
                <w:sz w:val="16"/>
                <w:szCs w:val="16"/>
              </w:rPr>
            </w:pPr>
            <w:r>
              <w:rPr>
                <w:b/>
                <w:bCs/>
                <w:sz w:val="16"/>
                <w:szCs w:val="16"/>
              </w:rPr>
              <w:t>Dat</w:t>
            </w:r>
            <w:r>
              <w:rPr>
                <w:b/>
                <w:bCs/>
                <w:sz w:val="16"/>
                <w:szCs w:val="16"/>
              </w:rPr>
              <w:t>e</w:t>
            </w:r>
          </w:p>
        </w:tc>
        <w:tc>
          <w:tcPr>
            <w:tcW w:w="0" w:type="auto"/>
            <w:hideMark/>
          </w:tcPr>
          <w:p w14:paraId="5E275550"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600B907" w14:textId="77777777" w:rsidR="00000000" w:rsidRDefault="00832D71">
            <w:pPr>
              <w:pStyle w:val="a3"/>
              <w:spacing w:before="0" w:beforeAutospacing="0" w:after="0" w:afterAutospacing="0"/>
              <w:jc w:val="center"/>
              <w:rPr>
                <w:sz w:val="16"/>
                <w:szCs w:val="16"/>
              </w:rPr>
            </w:pPr>
            <w:r>
              <w:rPr>
                <w:b/>
                <w:bCs/>
                <w:sz w:val="16"/>
                <w:szCs w:val="16"/>
              </w:rPr>
              <w:t>Dat</w:t>
            </w:r>
            <w:r>
              <w:rPr>
                <w:b/>
                <w:bCs/>
                <w:sz w:val="16"/>
                <w:szCs w:val="16"/>
              </w:rPr>
              <w:t>e</w:t>
            </w:r>
          </w:p>
        </w:tc>
        <w:tc>
          <w:tcPr>
            <w:tcW w:w="0" w:type="auto"/>
            <w:hideMark/>
          </w:tcPr>
          <w:p w14:paraId="04C708A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2A3B09A" w14:textId="77777777" w:rsidR="00000000" w:rsidRDefault="00832D71">
            <w:pPr>
              <w:pStyle w:val="a3"/>
              <w:spacing w:before="0" w:beforeAutospacing="0" w:after="0" w:afterAutospacing="0"/>
              <w:jc w:val="center"/>
              <w:rPr>
                <w:sz w:val="16"/>
                <w:szCs w:val="16"/>
              </w:rPr>
            </w:pPr>
            <w:r>
              <w:rPr>
                <w:b/>
                <w:bCs/>
                <w:sz w:val="16"/>
                <w:szCs w:val="16"/>
              </w:rPr>
              <w:t>(LTIP) (5</w:t>
            </w:r>
            <w:r>
              <w:rPr>
                <w:b/>
                <w:bCs/>
                <w:sz w:val="16"/>
                <w:szCs w:val="16"/>
              </w:rPr>
              <w:t>)</w:t>
            </w:r>
          </w:p>
        </w:tc>
        <w:tc>
          <w:tcPr>
            <w:tcW w:w="0" w:type="auto"/>
            <w:vAlign w:val="bottom"/>
            <w:hideMark/>
          </w:tcPr>
          <w:p w14:paraId="3CBAFE27"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CB501D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713C574" w14:textId="77777777" w:rsidR="00000000" w:rsidRDefault="00832D71">
            <w:pPr>
              <w:pStyle w:val="a3"/>
              <w:spacing w:before="0" w:beforeAutospacing="0" w:after="0" w:afterAutospacing="0"/>
              <w:jc w:val="center"/>
              <w:rPr>
                <w:sz w:val="16"/>
                <w:szCs w:val="16"/>
              </w:rPr>
            </w:pPr>
            <w:r>
              <w:rPr>
                <w:b/>
                <w:bCs/>
                <w:sz w:val="16"/>
                <w:szCs w:val="16"/>
              </w:rPr>
              <w:t>Targe</w:t>
            </w:r>
            <w:r>
              <w:rPr>
                <w:b/>
                <w:bCs/>
                <w:sz w:val="16"/>
                <w:szCs w:val="16"/>
              </w:rPr>
              <w:t>t</w:t>
            </w:r>
          </w:p>
        </w:tc>
        <w:tc>
          <w:tcPr>
            <w:tcW w:w="0" w:type="auto"/>
            <w:vAlign w:val="bottom"/>
            <w:hideMark/>
          </w:tcPr>
          <w:p w14:paraId="4C8AF032"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92D8E2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3B3156E" w14:textId="77777777" w:rsidR="00000000" w:rsidRDefault="00832D71">
            <w:pPr>
              <w:pStyle w:val="a3"/>
              <w:spacing w:before="0" w:beforeAutospacing="0" w:after="0" w:afterAutospacing="0"/>
              <w:jc w:val="center"/>
              <w:rPr>
                <w:sz w:val="16"/>
                <w:szCs w:val="16"/>
              </w:rPr>
            </w:pPr>
            <w:r>
              <w:rPr>
                <w:b/>
                <w:bCs/>
                <w:sz w:val="16"/>
                <w:szCs w:val="16"/>
              </w:rPr>
              <w:t>Maximu</w:t>
            </w:r>
            <w:r>
              <w:rPr>
                <w:b/>
                <w:bCs/>
                <w:sz w:val="16"/>
                <w:szCs w:val="16"/>
              </w:rPr>
              <w:t>m</w:t>
            </w:r>
          </w:p>
        </w:tc>
        <w:tc>
          <w:tcPr>
            <w:tcW w:w="0" w:type="auto"/>
            <w:vAlign w:val="bottom"/>
            <w:hideMark/>
          </w:tcPr>
          <w:p w14:paraId="7849FDB1"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9965C3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85DBAEC" w14:textId="77777777" w:rsidR="00000000" w:rsidRDefault="00832D71">
            <w:pPr>
              <w:pStyle w:val="a3"/>
              <w:spacing w:before="0" w:beforeAutospacing="0" w:after="0" w:afterAutospacing="0"/>
              <w:jc w:val="center"/>
              <w:rPr>
                <w:sz w:val="16"/>
                <w:szCs w:val="16"/>
              </w:rPr>
            </w:pPr>
            <w:r>
              <w:rPr>
                <w:b/>
                <w:bCs/>
                <w:sz w:val="16"/>
                <w:szCs w:val="16"/>
              </w:rPr>
              <w:t>Targe</w:t>
            </w:r>
            <w:r>
              <w:rPr>
                <w:b/>
                <w:bCs/>
                <w:sz w:val="16"/>
                <w:szCs w:val="16"/>
              </w:rPr>
              <w:t>t</w:t>
            </w:r>
          </w:p>
        </w:tc>
        <w:tc>
          <w:tcPr>
            <w:tcW w:w="0" w:type="auto"/>
            <w:vAlign w:val="bottom"/>
            <w:hideMark/>
          </w:tcPr>
          <w:p w14:paraId="2ED8C800"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D7D80C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2C2A896" w14:textId="77777777" w:rsidR="00000000" w:rsidRDefault="00832D71">
            <w:pPr>
              <w:pStyle w:val="a3"/>
              <w:spacing w:before="0" w:beforeAutospacing="0" w:after="0" w:afterAutospacing="0"/>
              <w:jc w:val="center"/>
              <w:rPr>
                <w:sz w:val="16"/>
                <w:szCs w:val="16"/>
              </w:rPr>
            </w:pPr>
            <w:r>
              <w:rPr>
                <w:b/>
                <w:bCs/>
                <w:sz w:val="16"/>
                <w:szCs w:val="16"/>
              </w:rPr>
              <w:t>Maximu</w:t>
            </w:r>
            <w:r>
              <w:rPr>
                <w:b/>
                <w:bCs/>
                <w:sz w:val="16"/>
                <w:szCs w:val="16"/>
              </w:rPr>
              <w:t>m</w:t>
            </w:r>
          </w:p>
        </w:tc>
        <w:tc>
          <w:tcPr>
            <w:tcW w:w="0" w:type="auto"/>
            <w:vAlign w:val="bottom"/>
            <w:hideMark/>
          </w:tcPr>
          <w:p w14:paraId="60CA6F36"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11959F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49D090F" w14:textId="77777777" w:rsidR="00000000" w:rsidRDefault="00832D71">
            <w:pPr>
              <w:pStyle w:val="a3"/>
              <w:spacing w:before="0" w:beforeAutospacing="0" w:after="0" w:afterAutospacing="0"/>
              <w:jc w:val="center"/>
              <w:rPr>
                <w:sz w:val="16"/>
                <w:szCs w:val="16"/>
              </w:rPr>
            </w:pPr>
            <w:r>
              <w:rPr>
                <w:b/>
                <w:bCs/>
                <w:sz w:val="16"/>
                <w:szCs w:val="16"/>
              </w:rPr>
              <w:t>or Unit</w:t>
            </w:r>
            <w:r>
              <w:rPr>
                <w:b/>
                <w:bCs/>
                <w:sz w:val="16"/>
                <w:szCs w:val="16"/>
              </w:rPr>
              <w:t>s</w:t>
            </w:r>
          </w:p>
        </w:tc>
        <w:tc>
          <w:tcPr>
            <w:tcW w:w="0" w:type="auto"/>
            <w:vAlign w:val="bottom"/>
            <w:hideMark/>
          </w:tcPr>
          <w:p w14:paraId="2771645C"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423E41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FF1B81F" w14:textId="77777777" w:rsidR="00000000" w:rsidRDefault="00832D71">
            <w:pPr>
              <w:pStyle w:val="a3"/>
              <w:spacing w:before="0" w:beforeAutospacing="0" w:after="0" w:afterAutospacing="0"/>
              <w:jc w:val="center"/>
              <w:rPr>
                <w:sz w:val="16"/>
                <w:szCs w:val="16"/>
              </w:rPr>
            </w:pPr>
            <w:r>
              <w:rPr>
                <w:b/>
                <w:bCs/>
                <w:sz w:val="16"/>
                <w:szCs w:val="16"/>
              </w:rPr>
              <w:t>Awards (6</w:t>
            </w:r>
            <w:r>
              <w:rPr>
                <w:b/>
                <w:bCs/>
                <w:sz w:val="16"/>
                <w:szCs w:val="16"/>
              </w:rPr>
              <w:t>)</w:t>
            </w:r>
          </w:p>
        </w:tc>
        <w:tc>
          <w:tcPr>
            <w:tcW w:w="0" w:type="auto"/>
            <w:vAlign w:val="bottom"/>
            <w:hideMark/>
          </w:tcPr>
          <w:p w14:paraId="67314378"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6CB1AD87" w14:textId="77777777">
        <w:trPr>
          <w:trHeight w:val="160"/>
          <w:tblCellSpacing w:w="15" w:type="dxa"/>
        </w:trPr>
        <w:tc>
          <w:tcPr>
            <w:tcW w:w="0" w:type="auto"/>
            <w:hideMark/>
          </w:tcPr>
          <w:p w14:paraId="6B35C2EF" w14:textId="77777777" w:rsidR="00000000" w:rsidRDefault="00832D71">
            <w:pPr>
              <w:pStyle w:val="a3"/>
              <w:spacing w:before="0" w:beforeAutospacing="0" w:after="0" w:afterAutospacing="0"/>
              <w:jc w:val="center"/>
              <w:rPr>
                <w:sz w:val="16"/>
                <w:szCs w:val="16"/>
              </w:rPr>
            </w:pPr>
            <w:r>
              <w:rPr>
                <w:sz w:val="16"/>
                <w:szCs w:val="16"/>
              </w:rPr>
              <w:t>(a</w:t>
            </w:r>
            <w:r>
              <w:rPr>
                <w:sz w:val="16"/>
                <w:szCs w:val="16"/>
              </w:rPr>
              <w:t>)</w:t>
            </w:r>
          </w:p>
        </w:tc>
        <w:tc>
          <w:tcPr>
            <w:tcW w:w="0" w:type="auto"/>
            <w:hideMark/>
          </w:tcPr>
          <w:p w14:paraId="088429FD"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514B7666"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709F654"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343BD519" w14:textId="77777777" w:rsidR="00000000" w:rsidRDefault="00832D71">
            <w:pPr>
              <w:pStyle w:val="a3"/>
              <w:spacing w:before="0" w:beforeAutospacing="0" w:after="0" w:afterAutospacing="0"/>
              <w:jc w:val="center"/>
              <w:rPr>
                <w:sz w:val="16"/>
                <w:szCs w:val="16"/>
              </w:rPr>
            </w:pPr>
            <w:r>
              <w:rPr>
                <w:sz w:val="16"/>
                <w:szCs w:val="16"/>
              </w:rPr>
              <w:t>(b</w:t>
            </w:r>
            <w:r>
              <w:rPr>
                <w:sz w:val="16"/>
                <w:szCs w:val="16"/>
              </w:rPr>
              <w:t>)</w:t>
            </w:r>
          </w:p>
        </w:tc>
        <w:tc>
          <w:tcPr>
            <w:tcW w:w="0" w:type="auto"/>
            <w:hideMark/>
          </w:tcPr>
          <w:p w14:paraId="766AFF17"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1C8FB7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6648DB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2A9CFB13"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358D9B9"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2A5758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009ACEC2" w14:textId="77777777" w:rsidR="00000000" w:rsidRDefault="00832D71">
            <w:pPr>
              <w:pStyle w:val="a3"/>
              <w:spacing w:before="0" w:beforeAutospacing="0" w:after="0" w:afterAutospacing="0"/>
              <w:jc w:val="center"/>
              <w:rPr>
                <w:sz w:val="16"/>
                <w:szCs w:val="16"/>
              </w:rPr>
            </w:pPr>
            <w:r>
              <w:rPr>
                <w:sz w:val="16"/>
                <w:szCs w:val="16"/>
              </w:rPr>
              <w:t>(d</w:t>
            </w:r>
            <w:r>
              <w:rPr>
                <w:sz w:val="16"/>
                <w:szCs w:val="16"/>
              </w:rPr>
              <w:t>)</w:t>
            </w:r>
          </w:p>
        </w:tc>
        <w:tc>
          <w:tcPr>
            <w:tcW w:w="0" w:type="auto"/>
            <w:hideMark/>
          </w:tcPr>
          <w:p w14:paraId="4DFA8E9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03E085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06D28E62" w14:textId="77777777" w:rsidR="00000000" w:rsidRDefault="00832D71">
            <w:pPr>
              <w:pStyle w:val="a3"/>
              <w:spacing w:before="0" w:beforeAutospacing="0" w:after="0" w:afterAutospacing="0"/>
              <w:jc w:val="center"/>
              <w:rPr>
                <w:sz w:val="16"/>
                <w:szCs w:val="16"/>
              </w:rPr>
            </w:pPr>
            <w:r>
              <w:rPr>
                <w:sz w:val="16"/>
                <w:szCs w:val="16"/>
              </w:rPr>
              <w:t>(e</w:t>
            </w:r>
            <w:r>
              <w:rPr>
                <w:sz w:val="16"/>
                <w:szCs w:val="16"/>
              </w:rPr>
              <w:t>)</w:t>
            </w:r>
          </w:p>
        </w:tc>
        <w:tc>
          <w:tcPr>
            <w:tcW w:w="0" w:type="auto"/>
            <w:hideMark/>
          </w:tcPr>
          <w:p w14:paraId="56ACEF7C"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36C567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2E3EEF93" w14:textId="77777777" w:rsidR="00000000" w:rsidRDefault="00832D71">
            <w:pPr>
              <w:pStyle w:val="a3"/>
              <w:spacing w:before="0" w:beforeAutospacing="0" w:after="0" w:afterAutospacing="0"/>
              <w:jc w:val="center"/>
              <w:rPr>
                <w:sz w:val="16"/>
                <w:szCs w:val="16"/>
              </w:rPr>
            </w:pPr>
            <w:r>
              <w:rPr>
                <w:sz w:val="16"/>
                <w:szCs w:val="16"/>
              </w:rPr>
              <w:t>(g</w:t>
            </w:r>
            <w:r>
              <w:rPr>
                <w:sz w:val="16"/>
                <w:szCs w:val="16"/>
              </w:rPr>
              <w:t>)</w:t>
            </w:r>
          </w:p>
        </w:tc>
        <w:tc>
          <w:tcPr>
            <w:tcW w:w="0" w:type="auto"/>
            <w:hideMark/>
          </w:tcPr>
          <w:p w14:paraId="3F799F09"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7D704C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4EDFC87F" w14:textId="77777777" w:rsidR="00000000" w:rsidRDefault="00832D71">
            <w:pPr>
              <w:pStyle w:val="a3"/>
              <w:spacing w:before="0" w:beforeAutospacing="0" w:after="0" w:afterAutospacing="0"/>
              <w:jc w:val="center"/>
              <w:rPr>
                <w:sz w:val="16"/>
                <w:szCs w:val="16"/>
              </w:rPr>
            </w:pPr>
            <w:r>
              <w:rPr>
                <w:sz w:val="16"/>
                <w:szCs w:val="16"/>
              </w:rPr>
              <w:t>(h</w:t>
            </w:r>
            <w:r>
              <w:rPr>
                <w:sz w:val="16"/>
                <w:szCs w:val="16"/>
              </w:rPr>
              <w:t>)</w:t>
            </w:r>
          </w:p>
        </w:tc>
        <w:tc>
          <w:tcPr>
            <w:tcW w:w="0" w:type="auto"/>
            <w:hideMark/>
          </w:tcPr>
          <w:p w14:paraId="7A1B876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D2751E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387D63E2" w14:textId="77777777" w:rsidR="00000000" w:rsidRDefault="00832D71">
            <w:pPr>
              <w:pStyle w:val="a3"/>
              <w:spacing w:before="0" w:beforeAutospacing="0" w:after="0" w:afterAutospacing="0"/>
              <w:jc w:val="center"/>
              <w:rPr>
                <w:sz w:val="16"/>
                <w:szCs w:val="16"/>
              </w:rPr>
            </w:pPr>
            <w:r>
              <w:rPr>
                <w:sz w:val="16"/>
                <w:szCs w:val="16"/>
              </w:rPr>
              <w:t>(i</w:t>
            </w:r>
            <w:r>
              <w:rPr>
                <w:sz w:val="16"/>
                <w:szCs w:val="16"/>
              </w:rPr>
              <w:t>)</w:t>
            </w:r>
          </w:p>
        </w:tc>
        <w:tc>
          <w:tcPr>
            <w:tcW w:w="0" w:type="auto"/>
            <w:hideMark/>
          </w:tcPr>
          <w:p w14:paraId="3D6D9697"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036EF4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468566A2" w14:textId="77777777" w:rsidR="00000000" w:rsidRDefault="00832D71">
            <w:pPr>
              <w:pStyle w:val="a3"/>
              <w:spacing w:before="0" w:beforeAutospacing="0" w:after="0" w:afterAutospacing="0"/>
              <w:jc w:val="center"/>
              <w:rPr>
                <w:sz w:val="16"/>
                <w:szCs w:val="16"/>
              </w:rPr>
            </w:pPr>
            <w:r>
              <w:rPr>
                <w:sz w:val="16"/>
                <w:szCs w:val="16"/>
              </w:rPr>
              <w:t>(l</w:t>
            </w:r>
            <w:r>
              <w:rPr>
                <w:sz w:val="16"/>
                <w:szCs w:val="16"/>
              </w:rPr>
              <w:t>)</w:t>
            </w:r>
          </w:p>
        </w:tc>
        <w:tc>
          <w:tcPr>
            <w:tcW w:w="0" w:type="auto"/>
            <w:hideMark/>
          </w:tcPr>
          <w:p w14:paraId="06BF1C69"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41BB29D1" w14:textId="77777777">
        <w:trPr>
          <w:trHeight w:val="160"/>
          <w:tblCellSpacing w:w="15" w:type="dxa"/>
        </w:trPr>
        <w:tc>
          <w:tcPr>
            <w:tcW w:w="0" w:type="auto"/>
            <w:vAlign w:val="bottom"/>
            <w:hideMark/>
          </w:tcPr>
          <w:p w14:paraId="775AF586" w14:textId="77777777" w:rsidR="00000000" w:rsidRDefault="00832D71">
            <w:pPr>
              <w:pStyle w:val="a3"/>
              <w:spacing w:before="0" w:beforeAutospacing="0" w:after="0" w:afterAutospacing="0"/>
              <w:rPr>
                <w:sz w:val="16"/>
                <w:szCs w:val="16"/>
              </w:rPr>
            </w:pPr>
            <w:r>
              <w:rPr>
                <w:sz w:val="16"/>
                <w:szCs w:val="16"/>
              </w:rPr>
              <w:t>Michael A. Stival</w:t>
            </w:r>
            <w:r>
              <w:rPr>
                <w:sz w:val="16"/>
                <w:szCs w:val="16"/>
              </w:rPr>
              <w:t>a</w:t>
            </w:r>
          </w:p>
        </w:tc>
        <w:tc>
          <w:tcPr>
            <w:tcW w:w="0" w:type="auto"/>
            <w:vAlign w:val="bottom"/>
            <w:hideMark/>
          </w:tcPr>
          <w:p w14:paraId="7789FBA7"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3883E1E" w14:textId="77777777" w:rsidR="00000000" w:rsidRDefault="00832D71">
            <w:pPr>
              <w:pStyle w:val="a3"/>
              <w:spacing w:before="0" w:beforeAutospacing="0" w:after="0" w:afterAutospacing="0"/>
              <w:jc w:val="center"/>
              <w:rPr>
                <w:sz w:val="16"/>
                <w:szCs w:val="16"/>
              </w:rPr>
            </w:pPr>
            <w:r>
              <w:rPr>
                <w:sz w:val="16"/>
                <w:szCs w:val="16"/>
              </w:rPr>
              <w:t>RUP (1</w:t>
            </w:r>
            <w:r>
              <w:rPr>
                <w:sz w:val="16"/>
                <w:szCs w:val="16"/>
              </w:rPr>
              <w:t>)</w:t>
            </w:r>
          </w:p>
        </w:tc>
        <w:tc>
          <w:tcPr>
            <w:tcW w:w="0" w:type="auto"/>
            <w:vAlign w:val="bottom"/>
            <w:hideMark/>
          </w:tcPr>
          <w:p w14:paraId="1CC3AF89"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A31DBCF" w14:textId="77777777" w:rsidR="00000000" w:rsidRDefault="00832D71">
            <w:pPr>
              <w:pStyle w:val="a3"/>
              <w:spacing w:before="0" w:beforeAutospacing="0" w:after="0" w:afterAutospacing="0"/>
              <w:jc w:val="center"/>
              <w:rPr>
                <w:sz w:val="16"/>
                <w:szCs w:val="16"/>
              </w:rPr>
            </w:pPr>
            <w:r>
              <w:rPr>
                <w:sz w:val="16"/>
                <w:szCs w:val="16"/>
              </w:rPr>
              <w:t>15 Nov 2</w:t>
            </w:r>
            <w:r>
              <w:rPr>
                <w:sz w:val="16"/>
                <w:szCs w:val="16"/>
              </w:rPr>
              <w:t>1</w:t>
            </w:r>
          </w:p>
        </w:tc>
        <w:tc>
          <w:tcPr>
            <w:tcW w:w="0" w:type="auto"/>
            <w:vAlign w:val="bottom"/>
            <w:hideMark/>
          </w:tcPr>
          <w:p w14:paraId="05CA612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FFDDD8D" w14:textId="77777777" w:rsidR="00000000" w:rsidRDefault="00832D71">
            <w:pPr>
              <w:pStyle w:val="a3"/>
              <w:spacing w:before="0" w:beforeAutospacing="0" w:after="0" w:afterAutospacing="0"/>
              <w:jc w:val="center"/>
              <w:rPr>
                <w:sz w:val="16"/>
                <w:szCs w:val="16"/>
              </w:rPr>
            </w:pPr>
            <w:r>
              <w:rPr>
                <w:sz w:val="16"/>
                <w:szCs w:val="16"/>
              </w:rPr>
              <w:t>9 Nov 2</w:t>
            </w:r>
            <w:r>
              <w:rPr>
                <w:sz w:val="16"/>
                <w:szCs w:val="16"/>
              </w:rPr>
              <w:t>1</w:t>
            </w:r>
          </w:p>
        </w:tc>
        <w:tc>
          <w:tcPr>
            <w:tcW w:w="0" w:type="auto"/>
            <w:vAlign w:val="bottom"/>
            <w:hideMark/>
          </w:tcPr>
          <w:p w14:paraId="09292F8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C114EE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F0D776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2AA385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740CCA8"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BF81B73"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842037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78C9DDE"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890FDD5"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3D667FFD"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048DBD0"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2625784E"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685159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A99FFBF"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0F51D93"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67C6C6B"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E57FA7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02FBC62" w14:textId="77777777" w:rsidR="00000000" w:rsidRDefault="00832D71">
            <w:pPr>
              <w:pStyle w:val="a3"/>
              <w:spacing w:before="0" w:beforeAutospacing="0" w:after="0" w:afterAutospacing="0"/>
              <w:jc w:val="right"/>
              <w:rPr>
                <w:sz w:val="16"/>
                <w:szCs w:val="16"/>
              </w:rPr>
            </w:pPr>
            <w:r>
              <w:rPr>
                <w:sz w:val="16"/>
                <w:szCs w:val="16"/>
              </w:rPr>
              <w:t>57,38</w:t>
            </w:r>
            <w:r>
              <w:rPr>
                <w:sz w:val="16"/>
                <w:szCs w:val="16"/>
              </w:rPr>
              <w:t>2</w:t>
            </w:r>
          </w:p>
        </w:tc>
        <w:tc>
          <w:tcPr>
            <w:tcW w:w="0" w:type="auto"/>
            <w:noWrap/>
            <w:vAlign w:val="bottom"/>
            <w:hideMark/>
          </w:tcPr>
          <w:p w14:paraId="525AD4B1"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19E6305"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4496CB1"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7FDB8CC7" w14:textId="77777777" w:rsidR="00000000" w:rsidRDefault="00832D71">
            <w:pPr>
              <w:pStyle w:val="a3"/>
              <w:spacing w:before="0" w:beforeAutospacing="0" w:after="0" w:afterAutospacing="0"/>
              <w:jc w:val="right"/>
              <w:rPr>
                <w:sz w:val="16"/>
                <w:szCs w:val="16"/>
              </w:rPr>
            </w:pPr>
            <w:r>
              <w:rPr>
                <w:sz w:val="16"/>
                <w:szCs w:val="16"/>
              </w:rPr>
              <w:t>744,24</w:t>
            </w:r>
            <w:r>
              <w:rPr>
                <w:sz w:val="16"/>
                <w:szCs w:val="16"/>
              </w:rPr>
              <w:t>7</w:t>
            </w:r>
          </w:p>
        </w:tc>
        <w:tc>
          <w:tcPr>
            <w:tcW w:w="0" w:type="auto"/>
            <w:noWrap/>
            <w:vAlign w:val="bottom"/>
            <w:hideMark/>
          </w:tcPr>
          <w:p w14:paraId="24B4A8C4" w14:textId="77777777" w:rsidR="00000000" w:rsidRDefault="00832D71">
            <w:pPr>
              <w:pStyle w:val="a3"/>
              <w:spacing w:before="0" w:beforeAutospacing="0" w:after="0" w:afterAutospacing="0"/>
              <w:rPr>
                <w:sz w:val="16"/>
                <w:szCs w:val="16"/>
              </w:rPr>
            </w:pPr>
            <w:r>
              <w:rPr>
                <w:sz w:val="16"/>
                <w:szCs w:val="16"/>
              </w:rPr>
              <w:t> </w:t>
            </w:r>
          </w:p>
        </w:tc>
      </w:tr>
      <w:tr w:rsidR="00000000" w14:paraId="05C481F5" w14:textId="77777777">
        <w:trPr>
          <w:trHeight w:val="160"/>
          <w:tblCellSpacing w:w="15" w:type="dxa"/>
        </w:trPr>
        <w:tc>
          <w:tcPr>
            <w:tcW w:w="0" w:type="auto"/>
            <w:vAlign w:val="bottom"/>
            <w:hideMark/>
          </w:tcPr>
          <w:p w14:paraId="443FFCC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5D08367"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B4DF9F6" w14:textId="77777777" w:rsidR="00000000" w:rsidRDefault="00832D71">
            <w:pPr>
              <w:pStyle w:val="a3"/>
              <w:spacing w:before="0" w:beforeAutospacing="0" w:after="0" w:afterAutospacing="0"/>
              <w:jc w:val="center"/>
              <w:rPr>
                <w:sz w:val="16"/>
                <w:szCs w:val="16"/>
              </w:rPr>
            </w:pPr>
            <w:r>
              <w:rPr>
                <w:sz w:val="16"/>
                <w:szCs w:val="16"/>
              </w:rPr>
              <w:t>Bonus (2</w:t>
            </w:r>
            <w:r>
              <w:rPr>
                <w:sz w:val="16"/>
                <w:szCs w:val="16"/>
              </w:rPr>
              <w:t>)</w:t>
            </w:r>
          </w:p>
        </w:tc>
        <w:tc>
          <w:tcPr>
            <w:tcW w:w="0" w:type="auto"/>
            <w:vAlign w:val="bottom"/>
            <w:hideMark/>
          </w:tcPr>
          <w:p w14:paraId="497B094A"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0203B32" w14:textId="77777777" w:rsidR="00000000" w:rsidRDefault="00832D71">
            <w:pPr>
              <w:pStyle w:val="a3"/>
              <w:spacing w:before="0" w:beforeAutospacing="0" w:after="0" w:afterAutospacing="0"/>
              <w:jc w:val="center"/>
              <w:rPr>
                <w:sz w:val="16"/>
                <w:szCs w:val="16"/>
              </w:rPr>
            </w:pPr>
            <w:r>
              <w:rPr>
                <w:sz w:val="16"/>
                <w:szCs w:val="16"/>
              </w:rPr>
              <w:t>27 Sep 2</w:t>
            </w:r>
            <w:r>
              <w:rPr>
                <w:sz w:val="16"/>
                <w:szCs w:val="16"/>
              </w:rPr>
              <w:t>1</w:t>
            </w:r>
          </w:p>
        </w:tc>
        <w:tc>
          <w:tcPr>
            <w:tcW w:w="0" w:type="auto"/>
            <w:vAlign w:val="bottom"/>
            <w:hideMark/>
          </w:tcPr>
          <w:p w14:paraId="3F8BA270"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AE38225" w14:textId="77777777" w:rsidR="00000000" w:rsidRDefault="00832D71">
            <w:pPr>
              <w:pStyle w:val="a3"/>
              <w:spacing w:before="0" w:beforeAutospacing="0" w:after="0" w:afterAutospacing="0"/>
              <w:jc w:val="center"/>
              <w:rPr>
                <w:sz w:val="16"/>
                <w:szCs w:val="16"/>
              </w:rPr>
            </w:pPr>
            <w:r>
              <w:rPr>
                <w:sz w:val="16"/>
                <w:szCs w:val="16"/>
              </w:rPr>
              <w:t>9 Nov 2</w:t>
            </w:r>
            <w:r>
              <w:rPr>
                <w:sz w:val="16"/>
                <w:szCs w:val="16"/>
              </w:rPr>
              <w:t>1</w:t>
            </w:r>
          </w:p>
        </w:tc>
        <w:tc>
          <w:tcPr>
            <w:tcW w:w="0" w:type="auto"/>
            <w:vAlign w:val="bottom"/>
            <w:hideMark/>
          </w:tcPr>
          <w:p w14:paraId="3504AF0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0FBB03BF"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center"/>
            <w:hideMark/>
          </w:tcPr>
          <w:p w14:paraId="148B8151"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6ECCC7A"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56D4C2D"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4D100462" w14:textId="77777777" w:rsidR="00000000" w:rsidRDefault="00832D71">
            <w:pPr>
              <w:pStyle w:val="a3"/>
              <w:spacing w:before="0" w:beforeAutospacing="0" w:after="0" w:afterAutospacing="0"/>
              <w:jc w:val="right"/>
              <w:rPr>
                <w:sz w:val="16"/>
                <w:szCs w:val="16"/>
              </w:rPr>
            </w:pPr>
            <w:r>
              <w:rPr>
                <w:sz w:val="16"/>
                <w:szCs w:val="16"/>
              </w:rPr>
              <w:t>984,00</w:t>
            </w:r>
            <w:r>
              <w:rPr>
                <w:sz w:val="16"/>
                <w:szCs w:val="16"/>
              </w:rPr>
              <w:t>0</w:t>
            </w:r>
          </w:p>
        </w:tc>
        <w:tc>
          <w:tcPr>
            <w:tcW w:w="0" w:type="auto"/>
            <w:noWrap/>
            <w:vAlign w:val="bottom"/>
            <w:hideMark/>
          </w:tcPr>
          <w:p w14:paraId="7A84F99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A691051"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BA3DF40"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28B85C57" w14:textId="77777777" w:rsidR="00000000" w:rsidRDefault="00832D71">
            <w:pPr>
              <w:pStyle w:val="a3"/>
              <w:spacing w:before="0" w:beforeAutospacing="0" w:after="0" w:afterAutospacing="0"/>
              <w:jc w:val="right"/>
              <w:rPr>
                <w:sz w:val="16"/>
                <w:szCs w:val="16"/>
              </w:rPr>
            </w:pPr>
            <w:r>
              <w:rPr>
                <w:sz w:val="16"/>
                <w:szCs w:val="16"/>
              </w:rPr>
              <w:t>1,525,20</w:t>
            </w:r>
            <w:r>
              <w:rPr>
                <w:sz w:val="16"/>
                <w:szCs w:val="16"/>
              </w:rPr>
              <w:t>0</w:t>
            </w:r>
          </w:p>
        </w:tc>
        <w:tc>
          <w:tcPr>
            <w:tcW w:w="0" w:type="auto"/>
            <w:noWrap/>
            <w:vAlign w:val="bottom"/>
            <w:hideMark/>
          </w:tcPr>
          <w:p w14:paraId="43BB310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F548E9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9EF27C5"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6D5A695"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D6458D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DB0876C"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6847FBDF"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2C96785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393BC1C"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5A4467A"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3A309B0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5B813D0"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31DCFC36" w14:textId="77777777" w:rsidR="00000000" w:rsidRDefault="00832D71">
            <w:pPr>
              <w:pStyle w:val="a3"/>
              <w:spacing w:before="0" w:beforeAutospacing="0" w:after="0" w:afterAutospacing="0"/>
              <w:jc w:val="right"/>
              <w:rPr>
                <w:sz w:val="16"/>
                <w:szCs w:val="16"/>
              </w:rPr>
            </w:pPr>
            <w:r>
              <w:rPr>
                <w:sz w:val="16"/>
                <w:szCs w:val="16"/>
              </w:rPr>
              <w:t> </w:t>
            </w:r>
          </w:p>
        </w:tc>
      </w:tr>
      <w:tr w:rsidR="00000000" w14:paraId="3DF83076" w14:textId="77777777">
        <w:trPr>
          <w:trHeight w:val="160"/>
          <w:tblCellSpacing w:w="15" w:type="dxa"/>
        </w:trPr>
        <w:tc>
          <w:tcPr>
            <w:tcW w:w="0" w:type="auto"/>
            <w:vAlign w:val="bottom"/>
            <w:hideMark/>
          </w:tcPr>
          <w:p w14:paraId="5EBA3B6A"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986402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E58E30E" w14:textId="77777777" w:rsidR="00000000" w:rsidRDefault="00832D71">
            <w:pPr>
              <w:pStyle w:val="a3"/>
              <w:spacing w:before="0" w:beforeAutospacing="0" w:after="0" w:afterAutospacing="0"/>
              <w:jc w:val="center"/>
              <w:rPr>
                <w:sz w:val="16"/>
                <w:szCs w:val="16"/>
              </w:rPr>
            </w:pPr>
            <w:r>
              <w:rPr>
                <w:sz w:val="16"/>
                <w:szCs w:val="16"/>
              </w:rPr>
              <w:t>LTIP (3</w:t>
            </w:r>
            <w:r>
              <w:rPr>
                <w:sz w:val="16"/>
                <w:szCs w:val="16"/>
              </w:rPr>
              <w:t>)</w:t>
            </w:r>
          </w:p>
        </w:tc>
        <w:tc>
          <w:tcPr>
            <w:tcW w:w="0" w:type="auto"/>
            <w:vAlign w:val="bottom"/>
            <w:hideMark/>
          </w:tcPr>
          <w:p w14:paraId="530B485B"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2E3B4B4" w14:textId="77777777" w:rsidR="00000000" w:rsidRDefault="00832D71">
            <w:pPr>
              <w:pStyle w:val="a3"/>
              <w:spacing w:before="0" w:beforeAutospacing="0" w:after="0" w:afterAutospacing="0"/>
              <w:jc w:val="center"/>
              <w:rPr>
                <w:sz w:val="16"/>
                <w:szCs w:val="16"/>
              </w:rPr>
            </w:pPr>
            <w:r>
              <w:rPr>
                <w:sz w:val="16"/>
                <w:szCs w:val="16"/>
              </w:rPr>
              <w:t>27 Sep 2</w:t>
            </w:r>
            <w:r>
              <w:rPr>
                <w:sz w:val="16"/>
                <w:szCs w:val="16"/>
              </w:rPr>
              <w:t>1</w:t>
            </w:r>
          </w:p>
        </w:tc>
        <w:tc>
          <w:tcPr>
            <w:tcW w:w="0" w:type="auto"/>
            <w:vAlign w:val="bottom"/>
            <w:hideMark/>
          </w:tcPr>
          <w:p w14:paraId="249861F1"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4F21A78" w14:textId="77777777" w:rsidR="00000000" w:rsidRDefault="00832D71">
            <w:pPr>
              <w:pStyle w:val="a3"/>
              <w:spacing w:before="0" w:beforeAutospacing="0" w:after="0" w:afterAutospacing="0"/>
              <w:jc w:val="center"/>
              <w:rPr>
                <w:sz w:val="16"/>
                <w:szCs w:val="16"/>
              </w:rPr>
            </w:pPr>
            <w:r>
              <w:rPr>
                <w:sz w:val="16"/>
                <w:szCs w:val="16"/>
              </w:rPr>
              <w:t>9 Nov 2</w:t>
            </w:r>
            <w:r>
              <w:rPr>
                <w:sz w:val="16"/>
                <w:szCs w:val="16"/>
              </w:rPr>
              <w:t>1</w:t>
            </w:r>
          </w:p>
        </w:tc>
        <w:tc>
          <w:tcPr>
            <w:tcW w:w="0" w:type="auto"/>
            <w:vAlign w:val="bottom"/>
            <w:hideMark/>
          </w:tcPr>
          <w:p w14:paraId="56EE1EBF"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center"/>
            <w:hideMark/>
          </w:tcPr>
          <w:p w14:paraId="081E6539" w14:textId="77777777" w:rsidR="00000000" w:rsidRDefault="00832D71">
            <w:pPr>
              <w:pStyle w:val="a3"/>
              <w:spacing w:before="0" w:beforeAutospacing="0" w:after="0" w:afterAutospacing="0"/>
              <w:rPr>
                <w:sz w:val="16"/>
                <w:szCs w:val="16"/>
              </w:rPr>
            </w:pPr>
            <w:r>
              <w:rPr>
                <w:sz w:val="16"/>
                <w:szCs w:val="16"/>
              </w:rPr>
              <w:t> </w:t>
            </w:r>
          </w:p>
        </w:tc>
        <w:tc>
          <w:tcPr>
            <w:tcW w:w="0" w:type="auto"/>
            <w:vAlign w:val="center"/>
            <w:hideMark/>
          </w:tcPr>
          <w:p w14:paraId="111DFB66" w14:textId="77777777" w:rsidR="00000000" w:rsidRDefault="00832D71">
            <w:pPr>
              <w:pStyle w:val="a3"/>
              <w:spacing w:before="0" w:beforeAutospacing="0" w:after="0" w:afterAutospacing="0"/>
              <w:jc w:val="right"/>
              <w:rPr>
                <w:sz w:val="16"/>
                <w:szCs w:val="16"/>
              </w:rPr>
            </w:pPr>
            <w:r>
              <w:rPr>
                <w:sz w:val="16"/>
                <w:szCs w:val="16"/>
              </w:rPr>
              <w:t>48,43</w:t>
            </w:r>
            <w:r>
              <w:rPr>
                <w:sz w:val="16"/>
                <w:szCs w:val="16"/>
              </w:rPr>
              <w:t>6</w:t>
            </w:r>
          </w:p>
        </w:tc>
        <w:tc>
          <w:tcPr>
            <w:tcW w:w="0" w:type="auto"/>
            <w:noWrap/>
            <w:vAlign w:val="center"/>
            <w:hideMark/>
          </w:tcPr>
          <w:p w14:paraId="46423AAA"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5D177F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FF3B091"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2C99E4A"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BCA613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E0036C6"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94221D2"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9185199"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4FF5265"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2208B12E" w14:textId="77777777" w:rsidR="00000000" w:rsidRDefault="00832D71">
            <w:pPr>
              <w:pStyle w:val="a3"/>
              <w:spacing w:before="0" w:beforeAutospacing="0" w:after="0" w:afterAutospacing="0"/>
              <w:jc w:val="right"/>
              <w:rPr>
                <w:sz w:val="16"/>
                <w:szCs w:val="16"/>
              </w:rPr>
            </w:pPr>
            <w:r>
              <w:rPr>
                <w:sz w:val="16"/>
                <w:szCs w:val="16"/>
              </w:rPr>
              <w:t>926,90</w:t>
            </w:r>
            <w:r>
              <w:rPr>
                <w:sz w:val="16"/>
                <w:szCs w:val="16"/>
              </w:rPr>
              <w:t>0</w:t>
            </w:r>
          </w:p>
        </w:tc>
        <w:tc>
          <w:tcPr>
            <w:tcW w:w="0" w:type="auto"/>
            <w:noWrap/>
            <w:vAlign w:val="bottom"/>
            <w:hideMark/>
          </w:tcPr>
          <w:p w14:paraId="4281E5F0"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C5EF2D2"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1961278"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54F5790" w14:textId="77777777" w:rsidR="00000000" w:rsidRDefault="00832D71">
            <w:pPr>
              <w:pStyle w:val="a3"/>
              <w:spacing w:before="0" w:beforeAutospacing="0" w:after="0" w:afterAutospacing="0"/>
              <w:jc w:val="right"/>
              <w:rPr>
                <w:sz w:val="16"/>
                <w:szCs w:val="16"/>
              </w:rPr>
            </w:pPr>
            <w:r>
              <w:rPr>
                <w:sz w:val="16"/>
                <w:szCs w:val="16"/>
              </w:rPr>
              <w:t>1,390,35</w:t>
            </w:r>
            <w:r>
              <w:rPr>
                <w:sz w:val="16"/>
                <w:szCs w:val="16"/>
              </w:rPr>
              <w:t>0</w:t>
            </w:r>
          </w:p>
        </w:tc>
        <w:tc>
          <w:tcPr>
            <w:tcW w:w="0" w:type="auto"/>
            <w:noWrap/>
            <w:vAlign w:val="bottom"/>
            <w:hideMark/>
          </w:tcPr>
          <w:p w14:paraId="2FDF2494"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E8AFF8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578EB7A"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AEE8B94"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C6D619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B45B9DF"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CF85596" w14:textId="77777777" w:rsidR="00000000" w:rsidRDefault="00832D71">
            <w:pPr>
              <w:pStyle w:val="a3"/>
              <w:spacing w:before="0" w:beforeAutospacing="0" w:after="0" w:afterAutospacing="0"/>
              <w:jc w:val="right"/>
              <w:rPr>
                <w:sz w:val="16"/>
                <w:szCs w:val="16"/>
              </w:rPr>
            </w:pPr>
            <w:r>
              <w:rPr>
                <w:sz w:val="16"/>
                <w:szCs w:val="16"/>
              </w:rPr>
              <w:t> </w:t>
            </w:r>
          </w:p>
        </w:tc>
      </w:tr>
      <w:tr w:rsidR="00000000" w14:paraId="35EBFC4C" w14:textId="77777777">
        <w:trPr>
          <w:trHeight w:val="160"/>
          <w:tblCellSpacing w:w="15" w:type="dxa"/>
        </w:trPr>
        <w:tc>
          <w:tcPr>
            <w:tcW w:w="0" w:type="auto"/>
            <w:vAlign w:val="bottom"/>
            <w:hideMark/>
          </w:tcPr>
          <w:p w14:paraId="7567F7F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0A04AB8"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05F5115" w14:textId="77777777" w:rsidR="00000000" w:rsidRDefault="00832D71">
            <w:pPr>
              <w:pStyle w:val="a3"/>
              <w:spacing w:before="0" w:beforeAutospacing="0" w:after="0" w:afterAutospacing="0"/>
              <w:jc w:val="center"/>
              <w:rPr>
                <w:sz w:val="16"/>
                <w:szCs w:val="16"/>
              </w:rPr>
            </w:pPr>
            <w:r>
              <w:rPr>
                <w:sz w:val="16"/>
                <w:szCs w:val="16"/>
              </w:rPr>
              <w:t>DER (4</w:t>
            </w:r>
            <w:r>
              <w:rPr>
                <w:sz w:val="16"/>
                <w:szCs w:val="16"/>
              </w:rPr>
              <w:t>)</w:t>
            </w:r>
          </w:p>
        </w:tc>
        <w:tc>
          <w:tcPr>
            <w:tcW w:w="0" w:type="auto"/>
            <w:vAlign w:val="bottom"/>
            <w:hideMark/>
          </w:tcPr>
          <w:p w14:paraId="33B65D1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61EC3C6" w14:textId="77777777" w:rsidR="00000000" w:rsidRDefault="00832D71">
            <w:pPr>
              <w:pStyle w:val="a3"/>
              <w:spacing w:before="0" w:beforeAutospacing="0" w:after="0" w:afterAutospacing="0"/>
              <w:jc w:val="center"/>
              <w:rPr>
                <w:sz w:val="16"/>
                <w:szCs w:val="16"/>
              </w:rPr>
            </w:pPr>
            <w:r>
              <w:rPr>
                <w:sz w:val="16"/>
                <w:szCs w:val="16"/>
              </w:rPr>
              <w:t>17 Jan 1</w:t>
            </w:r>
            <w:r>
              <w:rPr>
                <w:sz w:val="16"/>
                <w:szCs w:val="16"/>
              </w:rPr>
              <w:t>7</w:t>
            </w:r>
          </w:p>
        </w:tc>
        <w:tc>
          <w:tcPr>
            <w:tcW w:w="0" w:type="auto"/>
            <w:vAlign w:val="bottom"/>
            <w:hideMark/>
          </w:tcPr>
          <w:p w14:paraId="15498382"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046E061" w14:textId="77777777" w:rsidR="00000000" w:rsidRDefault="00832D71">
            <w:pPr>
              <w:pStyle w:val="a3"/>
              <w:spacing w:before="0" w:beforeAutospacing="0" w:after="0" w:afterAutospacing="0"/>
              <w:jc w:val="center"/>
              <w:rPr>
                <w:sz w:val="16"/>
                <w:szCs w:val="16"/>
              </w:rPr>
            </w:pPr>
            <w:r>
              <w:rPr>
                <w:sz w:val="16"/>
                <w:szCs w:val="16"/>
              </w:rPr>
              <w:t>17 Jan 1</w:t>
            </w:r>
            <w:r>
              <w:rPr>
                <w:sz w:val="16"/>
                <w:szCs w:val="16"/>
              </w:rPr>
              <w:t>7</w:t>
            </w:r>
          </w:p>
        </w:tc>
        <w:tc>
          <w:tcPr>
            <w:tcW w:w="0" w:type="auto"/>
            <w:vAlign w:val="bottom"/>
            <w:hideMark/>
          </w:tcPr>
          <w:p w14:paraId="7A1AAE05"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C92EC4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B7F4060"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BD581F6" w14:textId="77777777" w:rsidR="00000000" w:rsidRDefault="00832D71">
            <w:pPr>
              <w:pStyle w:val="a3"/>
              <w:spacing w:before="0" w:beforeAutospacing="0" w:after="0" w:afterAutospacing="0"/>
              <w:jc w:val="center"/>
              <w:rPr>
                <w:sz w:val="16"/>
                <w:szCs w:val="16"/>
              </w:rPr>
            </w:pPr>
            <w:r>
              <w:rPr>
                <w:sz w:val="16"/>
                <w:szCs w:val="16"/>
              </w:rPr>
              <w:t> </w:t>
            </w:r>
          </w:p>
        </w:tc>
        <w:tc>
          <w:tcPr>
            <w:tcW w:w="0" w:type="auto"/>
            <w:noWrap/>
            <w:vAlign w:val="bottom"/>
            <w:hideMark/>
          </w:tcPr>
          <w:p w14:paraId="08E7811A"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345087E8" w14:textId="77777777" w:rsidR="00000000" w:rsidRDefault="00832D71">
            <w:pPr>
              <w:pStyle w:val="a3"/>
              <w:spacing w:before="0" w:beforeAutospacing="0" w:after="0" w:afterAutospacing="0"/>
              <w:jc w:val="right"/>
              <w:rPr>
                <w:sz w:val="16"/>
                <w:szCs w:val="16"/>
              </w:rPr>
            </w:pPr>
            <w:r>
              <w:rPr>
                <w:sz w:val="16"/>
                <w:szCs w:val="16"/>
              </w:rPr>
              <w:t>159,09</w:t>
            </w:r>
            <w:r>
              <w:rPr>
                <w:sz w:val="16"/>
                <w:szCs w:val="16"/>
              </w:rPr>
              <w:t>1</w:t>
            </w:r>
          </w:p>
        </w:tc>
        <w:tc>
          <w:tcPr>
            <w:tcW w:w="0" w:type="auto"/>
            <w:noWrap/>
            <w:vAlign w:val="bottom"/>
            <w:hideMark/>
          </w:tcPr>
          <w:p w14:paraId="107A915F"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927A4EE"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0EF19E0"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FC070EE"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4B92A09"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E8E715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99FCB50"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2477D54"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B9FBB03"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9D61E1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64DDE9B"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461B042"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2B3A68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1092924"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77C33A8"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2D664F6"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561EF265" w14:textId="77777777">
        <w:trPr>
          <w:tblCellSpacing w:w="15" w:type="dxa"/>
        </w:trPr>
        <w:tc>
          <w:tcPr>
            <w:tcW w:w="0" w:type="auto"/>
            <w:vAlign w:val="bottom"/>
            <w:hideMark/>
          </w:tcPr>
          <w:p w14:paraId="393ABBAA"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D3E2A3F"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4E78348"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0A45D89"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CA53EB0"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A62D1C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C15E800"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F7230C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6AC50D0A"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center"/>
            <w:hideMark/>
          </w:tcPr>
          <w:p w14:paraId="249229ED"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65F352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D86DAA7"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97F2F6F"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3F4B64F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A6DB8BD"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6E551668"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149754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A247152"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331C126F"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6FBF64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B23E659"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B48B508"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3F55BF6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79DE2C2"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F1119B8"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2E14A19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8887127"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569C7B3" w14:textId="77777777" w:rsidR="00000000" w:rsidRDefault="00832D71">
            <w:pPr>
              <w:pStyle w:val="a3"/>
              <w:spacing w:before="0" w:beforeAutospacing="0" w:after="0" w:afterAutospacing="0"/>
              <w:jc w:val="right"/>
              <w:rPr>
                <w:sz w:val="16"/>
                <w:szCs w:val="16"/>
              </w:rPr>
            </w:pPr>
            <w:r>
              <w:rPr>
                <w:sz w:val="16"/>
                <w:szCs w:val="16"/>
              </w:rPr>
              <w:t> </w:t>
            </w:r>
          </w:p>
        </w:tc>
      </w:tr>
      <w:tr w:rsidR="00000000" w14:paraId="26CF51F0" w14:textId="77777777">
        <w:trPr>
          <w:trHeight w:val="160"/>
          <w:tblCellSpacing w:w="15" w:type="dxa"/>
        </w:trPr>
        <w:tc>
          <w:tcPr>
            <w:tcW w:w="0" w:type="auto"/>
            <w:vAlign w:val="bottom"/>
            <w:hideMark/>
          </w:tcPr>
          <w:p w14:paraId="7C45FAC2" w14:textId="77777777" w:rsidR="00000000" w:rsidRDefault="00832D71">
            <w:pPr>
              <w:pStyle w:val="a3"/>
              <w:spacing w:before="0" w:beforeAutospacing="0" w:after="0" w:afterAutospacing="0"/>
              <w:rPr>
                <w:sz w:val="16"/>
                <w:szCs w:val="16"/>
              </w:rPr>
            </w:pPr>
            <w:r>
              <w:rPr>
                <w:sz w:val="16"/>
                <w:szCs w:val="16"/>
              </w:rPr>
              <w:t>Michael A. Kugli</w:t>
            </w:r>
            <w:r>
              <w:rPr>
                <w:sz w:val="16"/>
                <w:szCs w:val="16"/>
              </w:rPr>
              <w:t>n</w:t>
            </w:r>
          </w:p>
        </w:tc>
        <w:tc>
          <w:tcPr>
            <w:tcW w:w="0" w:type="auto"/>
            <w:vAlign w:val="bottom"/>
            <w:hideMark/>
          </w:tcPr>
          <w:p w14:paraId="23B1DE2A"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9A4A422" w14:textId="77777777" w:rsidR="00000000" w:rsidRDefault="00832D71">
            <w:pPr>
              <w:pStyle w:val="a3"/>
              <w:spacing w:before="0" w:beforeAutospacing="0" w:after="0" w:afterAutospacing="0"/>
              <w:jc w:val="center"/>
              <w:rPr>
                <w:sz w:val="16"/>
                <w:szCs w:val="16"/>
              </w:rPr>
            </w:pPr>
            <w:r>
              <w:rPr>
                <w:sz w:val="16"/>
                <w:szCs w:val="16"/>
              </w:rPr>
              <w:t>RUP (1</w:t>
            </w:r>
            <w:r>
              <w:rPr>
                <w:sz w:val="16"/>
                <w:szCs w:val="16"/>
              </w:rPr>
              <w:t>)</w:t>
            </w:r>
          </w:p>
        </w:tc>
        <w:tc>
          <w:tcPr>
            <w:tcW w:w="0" w:type="auto"/>
            <w:vAlign w:val="bottom"/>
            <w:hideMark/>
          </w:tcPr>
          <w:p w14:paraId="3C399301"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7C96183" w14:textId="77777777" w:rsidR="00000000" w:rsidRDefault="00832D71">
            <w:pPr>
              <w:pStyle w:val="a3"/>
              <w:spacing w:before="0" w:beforeAutospacing="0" w:after="0" w:afterAutospacing="0"/>
              <w:jc w:val="center"/>
              <w:rPr>
                <w:sz w:val="16"/>
                <w:szCs w:val="16"/>
              </w:rPr>
            </w:pPr>
            <w:r>
              <w:rPr>
                <w:sz w:val="16"/>
                <w:szCs w:val="16"/>
              </w:rPr>
              <w:t>15 Nov 2</w:t>
            </w:r>
            <w:r>
              <w:rPr>
                <w:sz w:val="16"/>
                <w:szCs w:val="16"/>
              </w:rPr>
              <w:t>1</w:t>
            </w:r>
          </w:p>
        </w:tc>
        <w:tc>
          <w:tcPr>
            <w:tcW w:w="0" w:type="auto"/>
            <w:vAlign w:val="bottom"/>
            <w:hideMark/>
          </w:tcPr>
          <w:p w14:paraId="53AE9164"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B0C8902" w14:textId="77777777" w:rsidR="00000000" w:rsidRDefault="00832D71">
            <w:pPr>
              <w:pStyle w:val="a3"/>
              <w:spacing w:before="0" w:beforeAutospacing="0" w:after="0" w:afterAutospacing="0"/>
              <w:jc w:val="center"/>
              <w:rPr>
                <w:sz w:val="16"/>
                <w:szCs w:val="16"/>
              </w:rPr>
            </w:pPr>
            <w:r>
              <w:rPr>
                <w:sz w:val="16"/>
                <w:szCs w:val="16"/>
              </w:rPr>
              <w:t>9 Nov 2</w:t>
            </w:r>
            <w:r>
              <w:rPr>
                <w:sz w:val="16"/>
                <w:szCs w:val="16"/>
              </w:rPr>
              <w:t>1</w:t>
            </w:r>
          </w:p>
        </w:tc>
        <w:tc>
          <w:tcPr>
            <w:tcW w:w="0" w:type="auto"/>
            <w:vAlign w:val="bottom"/>
            <w:hideMark/>
          </w:tcPr>
          <w:p w14:paraId="5AF1103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6D078C1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center"/>
            <w:hideMark/>
          </w:tcPr>
          <w:p w14:paraId="5596D341"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63350BD"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9AD1A42"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10D52747"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5C508557" w14:textId="77777777" w:rsidR="00000000" w:rsidRDefault="00832D71">
            <w:pPr>
              <w:pStyle w:val="a3"/>
              <w:spacing w:before="0" w:beforeAutospacing="0" w:after="0" w:afterAutospacing="0"/>
              <w:rPr>
                <w:sz w:val="22"/>
                <w:szCs w:val="22"/>
              </w:rPr>
            </w:pPr>
            <w:r>
              <w:rPr>
                <w:sz w:val="22"/>
                <w:szCs w:val="22"/>
              </w:rPr>
              <w:t> </w:t>
            </w:r>
          </w:p>
        </w:tc>
        <w:tc>
          <w:tcPr>
            <w:tcW w:w="0" w:type="auto"/>
            <w:gridSpan w:val="2"/>
            <w:vAlign w:val="bottom"/>
            <w:hideMark/>
          </w:tcPr>
          <w:p w14:paraId="18183D70"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74F9BB90"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2B9D874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55AEA3C"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BD8D1EC"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67FA013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D0D2A1D"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D158EE5"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3F17EAD7"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399197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373B303" w14:textId="77777777" w:rsidR="00000000" w:rsidRDefault="00832D71">
            <w:pPr>
              <w:pStyle w:val="a3"/>
              <w:spacing w:before="0" w:beforeAutospacing="0" w:after="0" w:afterAutospacing="0"/>
              <w:jc w:val="right"/>
              <w:rPr>
                <w:sz w:val="16"/>
                <w:szCs w:val="16"/>
              </w:rPr>
            </w:pPr>
            <w:r>
              <w:rPr>
                <w:sz w:val="16"/>
                <w:szCs w:val="16"/>
              </w:rPr>
              <w:t>47,81</w:t>
            </w:r>
            <w:r>
              <w:rPr>
                <w:sz w:val="16"/>
                <w:szCs w:val="16"/>
              </w:rPr>
              <w:t>8</w:t>
            </w:r>
          </w:p>
        </w:tc>
        <w:tc>
          <w:tcPr>
            <w:tcW w:w="0" w:type="auto"/>
            <w:noWrap/>
            <w:vAlign w:val="bottom"/>
            <w:hideMark/>
          </w:tcPr>
          <w:p w14:paraId="38A77BCB"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C44DE69"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9151672"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490AE503" w14:textId="77777777" w:rsidR="00000000" w:rsidRDefault="00832D71">
            <w:pPr>
              <w:pStyle w:val="a3"/>
              <w:spacing w:before="0" w:beforeAutospacing="0" w:after="0" w:afterAutospacing="0"/>
              <w:jc w:val="right"/>
              <w:rPr>
                <w:sz w:val="16"/>
                <w:szCs w:val="16"/>
              </w:rPr>
            </w:pPr>
            <w:r>
              <w:rPr>
                <w:sz w:val="16"/>
                <w:szCs w:val="16"/>
              </w:rPr>
              <w:t>620,20</w:t>
            </w:r>
            <w:r>
              <w:rPr>
                <w:sz w:val="16"/>
                <w:szCs w:val="16"/>
              </w:rPr>
              <w:t>2</w:t>
            </w:r>
          </w:p>
        </w:tc>
        <w:tc>
          <w:tcPr>
            <w:tcW w:w="0" w:type="auto"/>
            <w:noWrap/>
            <w:vAlign w:val="bottom"/>
            <w:hideMark/>
          </w:tcPr>
          <w:p w14:paraId="42007683" w14:textId="77777777" w:rsidR="00000000" w:rsidRDefault="00832D71">
            <w:pPr>
              <w:pStyle w:val="a3"/>
              <w:spacing w:before="0" w:beforeAutospacing="0" w:after="0" w:afterAutospacing="0"/>
              <w:rPr>
                <w:sz w:val="16"/>
                <w:szCs w:val="16"/>
              </w:rPr>
            </w:pPr>
            <w:r>
              <w:rPr>
                <w:sz w:val="16"/>
                <w:szCs w:val="16"/>
              </w:rPr>
              <w:t> </w:t>
            </w:r>
          </w:p>
        </w:tc>
      </w:tr>
      <w:tr w:rsidR="00000000" w14:paraId="288A44CB" w14:textId="77777777">
        <w:trPr>
          <w:trHeight w:val="160"/>
          <w:tblCellSpacing w:w="15" w:type="dxa"/>
        </w:trPr>
        <w:tc>
          <w:tcPr>
            <w:tcW w:w="0" w:type="auto"/>
            <w:vAlign w:val="bottom"/>
            <w:hideMark/>
          </w:tcPr>
          <w:p w14:paraId="7A872F90"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F389D2D"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9F2968C" w14:textId="77777777" w:rsidR="00000000" w:rsidRDefault="00832D71">
            <w:pPr>
              <w:pStyle w:val="a3"/>
              <w:spacing w:before="0" w:beforeAutospacing="0" w:after="0" w:afterAutospacing="0"/>
              <w:jc w:val="center"/>
              <w:rPr>
                <w:sz w:val="16"/>
                <w:szCs w:val="16"/>
              </w:rPr>
            </w:pPr>
            <w:r>
              <w:rPr>
                <w:sz w:val="16"/>
                <w:szCs w:val="16"/>
              </w:rPr>
              <w:t>Bonus (2</w:t>
            </w:r>
            <w:r>
              <w:rPr>
                <w:sz w:val="16"/>
                <w:szCs w:val="16"/>
              </w:rPr>
              <w:t>)</w:t>
            </w:r>
          </w:p>
        </w:tc>
        <w:tc>
          <w:tcPr>
            <w:tcW w:w="0" w:type="auto"/>
            <w:vAlign w:val="bottom"/>
            <w:hideMark/>
          </w:tcPr>
          <w:p w14:paraId="5A865279"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E16CF16" w14:textId="77777777" w:rsidR="00000000" w:rsidRDefault="00832D71">
            <w:pPr>
              <w:pStyle w:val="a3"/>
              <w:spacing w:before="0" w:beforeAutospacing="0" w:after="0" w:afterAutospacing="0"/>
              <w:jc w:val="center"/>
              <w:rPr>
                <w:sz w:val="16"/>
                <w:szCs w:val="16"/>
              </w:rPr>
            </w:pPr>
            <w:r>
              <w:rPr>
                <w:sz w:val="16"/>
                <w:szCs w:val="16"/>
              </w:rPr>
              <w:t>27 Sep 2</w:t>
            </w:r>
            <w:r>
              <w:rPr>
                <w:sz w:val="16"/>
                <w:szCs w:val="16"/>
              </w:rPr>
              <w:t>1</w:t>
            </w:r>
          </w:p>
        </w:tc>
        <w:tc>
          <w:tcPr>
            <w:tcW w:w="0" w:type="auto"/>
            <w:vAlign w:val="bottom"/>
            <w:hideMark/>
          </w:tcPr>
          <w:p w14:paraId="7C1364B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F0CC0A4" w14:textId="77777777" w:rsidR="00000000" w:rsidRDefault="00832D71">
            <w:pPr>
              <w:pStyle w:val="a3"/>
              <w:spacing w:before="0" w:beforeAutospacing="0" w:after="0" w:afterAutospacing="0"/>
              <w:jc w:val="center"/>
              <w:rPr>
                <w:sz w:val="16"/>
                <w:szCs w:val="16"/>
              </w:rPr>
            </w:pPr>
            <w:r>
              <w:rPr>
                <w:sz w:val="16"/>
                <w:szCs w:val="16"/>
              </w:rPr>
              <w:t>9 Nov 2</w:t>
            </w:r>
            <w:r>
              <w:rPr>
                <w:sz w:val="16"/>
                <w:szCs w:val="16"/>
              </w:rPr>
              <w:t>1</w:t>
            </w:r>
          </w:p>
        </w:tc>
        <w:tc>
          <w:tcPr>
            <w:tcW w:w="0" w:type="auto"/>
            <w:vAlign w:val="bottom"/>
            <w:hideMark/>
          </w:tcPr>
          <w:p w14:paraId="7747118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C78E3A6"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44C255B5"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6E5EEB13"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A6D2E70"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599B6650" w14:textId="77777777" w:rsidR="00000000" w:rsidRDefault="00832D71">
            <w:pPr>
              <w:pStyle w:val="a3"/>
              <w:spacing w:before="0" w:beforeAutospacing="0" w:after="0" w:afterAutospacing="0"/>
              <w:jc w:val="right"/>
              <w:rPr>
                <w:sz w:val="16"/>
                <w:szCs w:val="16"/>
              </w:rPr>
            </w:pPr>
            <w:r>
              <w:rPr>
                <w:sz w:val="16"/>
                <w:szCs w:val="16"/>
              </w:rPr>
              <w:t>360,00</w:t>
            </w:r>
            <w:r>
              <w:rPr>
                <w:sz w:val="16"/>
                <w:szCs w:val="16"/>
              </w:rPr>
              <w:t>0</w:t>
            </w:r>
          </w:p>
        </w:tc>
        <w:tc>
          <w:tcPr>
            <w:tcW w:w="0" w:type="auto"/>
            <w:noWrap/>
            <w:vAlign w:val="bottom"/>
            <w:hideMark/>
          </w:tcPr>
          <w:p w14:paraId="39B0ECEB"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37DD5C0"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D7E138C"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08C0B1D0" w14:textId="77777777" w:rsidR="00000000" w:rsidRDefault="00832D71">
            <w:pPr>
              <w:pStyle w:val="a3"/>
              <w:spacing w:before="0" w:beforeAutospacing="0" w:after="0" w:afterAutospacing="0"/>
              <w:jc w:val="right"/>
              <w:rPr>
                <w:sz w:val="16"/>
                <w:szCs w:val="16"/>
              </w:rPr>
            </w:pPr>
            <w:r>
              <w:rPr>
                <w:sz w:val="16"/>
                <w:szCs w:val="16"/>
              </w:rPr>
              <w:t>558,00</w:t>
            </w:r>
            <w:r>
              <w:rPr>
                <w:sz w:val="16"/>
                <w:szCs w:val="16"/>
              </w:rPr>
              <w:t>0</w:t>
            </w:r>
          </w:p>
        </w:tc>
        <w:tc>
          <w:tcPr>
            <w:tcW w:w="0" w:type="auto"/>
            <w:noWrap/>
            <w:vAlign w:val="bottom"/>
            <w:hideMark/>
          </w:tcPr>
          <w:p w14:paraId="637224C5"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CF979D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9C46354"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7E238420"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3390AE25" w14:textId="77777777" w:rsidR="00000000" w:rsidRDefault="00832D71">
            <w:pPr>
              <w:pStyle w:val="a3"/>
              <w:spacing w:before="0" w:beforeAutospacing="0" w:after="0" w:afterAutospacing="0"/>
              <w:rPr>
                <w:sz w:val="22"/>
                <w:szCs w:val="22"/>
              </w:rPr>
            </w:pPr>
            <w:r>
              <w:rPr>
                <w:sz w:val="22"/>
                <w:szCs w:val="22"/>
              </w:rPr>
              <w:t> </w:t>
            </w:r>
          </w:p>
        </w:tc>
        <w:tc>
          <w:tcPr>
            <w:tcW w:w="0" w:type="auto"/>
            <w:gridSpan w:val="2"/>
            <w:vAlign w:val="bottom"/>
            <w:hideMark/>
          </w:tcPr>
          <w:p w14:paraId="50759848"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4A5FF000"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5D8714C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234FBE6"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65B065B8"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3B3B226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6A3AC19"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300E1D64" w14:textId="77777777" w:rsidR="00000000" w:rsidRDefault="00832D71">
            <w:pPr>
              <w:pStyle w:val="a3"/>
              <w:spacing w:before="0" w:beforeAutospacing="0" w:after="0" w:afterAutospacing="0"/>
              <w:jc w:val="right"/>
              <w:rPr>
                <w:sz w:val="16"/>
                <w:szCs w:val="16"/>
              </w:rPr>
            </w:pPr>
            <w:r>
              <w:rPr>
                <w:sz w:val="16"/>
                <w:szCs w:val="16"/>
              </w:rPr>
              <w:t> </w:t>
            </w:r>
          </w:p>
        </w:tc>
      </w:tr>
      <w:tr w:rsidR="00000000" w14:paraId="56AF1D51" w14:textId="77777777">
        <w:trPr>
          <w:trHeight w:val="160"/>
          <w:tblCellSpacing w:w="15" w:type="dxa"/>
        </w:trPr>
        <w:tc>
          <w:tcPr>
            <w:tcW w:w="0" w:type="auto"/>
            <w:vAlign w:val="bottom"/>
            <w:hideMark/>
          </w:tcPr>
          <w:p w14:paraId="5B7DF3D0"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9FF6B20"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6BD6811" w14:textId="77777777" w:rsidR="00000000" w:rsidRDefault="00832D71">
            <w:pPr>
              <w:pStyle w:val="a3"/>
              <w:spacing w:before="0" w:beforeAutospacing="0" w:after="0" w:afterAutospacing="0"/>
              <w:jc w:val="center"/>
              <w:rPr>
                <w:sz w:val="16"/>
                <w:szCs w:val="16"/>
              </w:rPr>
            </w:pPr>
            <w:r>
              <w:rPr>
                <w:sz w:val="16"/>
                <w:szCs w:val="16"/>
              </w:rPr>
              <w:t>LTIP (3</w:t>
            </w:r>
            <w:r>
              <w:rPr>
                <w:sz w:val="16"/>
                <w:szCs w:val="16"/>
              </w:rPr>
              <w:t>)</w:t>
            </w:r>
          </w:p>
        </w:tc>
        <w:tc>
          <w:tcPr>
            <w:tcW w:w="0" w:type="auto"/>
            <w:vAlign w:val="bottom"/>
            <w:hideMark/>
          </w:tcPr>
          <w:p w14:paraId="4B4E2BEB"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0F7A4C0" w14:textId="77777777" w:rsidR="00000000" w:rsidRDefault="00832D71">
            <w:pPr>
              <w:pStyle w:val="a3"/>
              <w:spacing w:before="0" w:beforeAutospacing="0" w:after="0" w:afterAutospacing="0"/>
              <w:jc w:val="center"/>
              <w:rPr>
                <w:sz w:val="16"/>
                <w:szCs w:val="16"/>
              </w:rPr>
            </w:pPr>
            <w:r>
              <w:rPr>
                <w:sz w:val="16"/>
                <w:szCs w:val="16"/>
              </w:rPr>
              <w:t>27 Sep 2</w:t>
            </w:r>
            <w:r>
              <w:rPr>
                <w:sz w:val="16"/>
                <w:szCs w:val="16"/>
              </w:rPr>
              <w:t>1</w:t>
            </w:r>
          </w:p>
        </w:tc>
        <w:tc>
          <w:tcPr>
            <w:tcW w:w="0" w:type="auto"/>
            <w:vAlign w:val="bottom"/>
            <w:hideMark/>
          </w:tcPr>
          <w:p w14:paraId="07780D14"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39A7C01" w14:textId="77777777" w:rsidR="00000000" w:rsidRDefault="00832D71">
            <w:pPr>
              <w:pStyle w:val="a3"/>
              <w:spacing w:before="0" w:beforeAutospacing="0" w:after="0" w:afterAutospacing="0"/>
              <w:jc w:val="center"/>
              <w:rPr>
                <w:sz w:val="16"/>
                <w:szCs w:val="16"/>
              </w:rPr>
            </w:pPr>
            <w:r>
              <w:rPr>
                <w:sz w:val="16"/>
                <w:szCs w:val="16"/>
              </w:rPr>
              <w:t>9 Nov 2</w:t>
            </w:r>
            <w:r>
              <w:rPr>
                <w:sz w:val="16"/>
                <w:szCs w:val="16"/>
              </w:rPr>
              <w:t>1</w:t>
            </w:r>
          </w:p>
        </w:tc>
        <w:tc>
          <w:tcPr>
            <w:tcW w:w="0" w:type="auto"/>
            <w:vAlign w:val="bottom"/>
            <w:hideMark/>
          </w:tcPr>
          <w:p w14:paraId="7893EDA1"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center"/>
            <w:hideMark/>
          </w:tcPr>
          <w:p w14:paraId="5E102D53" w14:textId="77777777" w:rsidR="00000000" w:rsidRDefault="00832D71">
            <w:pPr>
              <w:pStyle w:val="a3"/>
              <w:spacing w:before="0" w:beforeAutospacing="0" w:after="0" w:afterAutospacing="0"/>
              <w:rPr>
                <w:sz w:val="16"/>
                <w:szCs w:val="16"/>
              </w:rPr>
            </w:pPr>
            <w:r>
              <w:rPr>
                <w:sz w:val="16"/>
                <w:szCs w:val="16"/>
              </w:rPr>
              <w:t> </w:t>
            </w:r>
          </w:p>
        </w:tc>
        <w:tc>
          <w:tcPr>
            <w:tcW w:w="0" w:type="auto"/>
            <w:vAlign w:val="center"/>
            <w:hideMark/>
          </w:tcPr>
          <w:p w14:paraId="2DA7C276" w14:textId="77777777" w:rsidR="00000000" w:rsidRDefault="00832D71">
            <w:pPr>
              <w:pStyle w:val="a3"/>
              <w:spacing w:before="0" w:beforeAutospacing="0" w:after="0" w:afterAutospacing="0"/>
              <w:jc w:val="right"/>
              <w:rPr>
                <w:sz w:val="16"/>
                <w:szCs w:val="16"/>
              </w:rPr>
            </w:pPr>
            <w:r>
              <w:rPr>
                <w:sz w:val="16"/>
                <w:szCs w:val="16"/>
              </w:rPr>
              <w:t>17,72</w:t>
            </w:r>
            <w:r>
              <w:rPr>
                <w:sz w:val="16"/>
                <w:szCs w:val="16"/>
              </w:rPr>
              <w:t>1</w:t>
            </w:r>
          </w:p>
        </w:tc>
        <w:tc>
          <w:tcPr>
            <w:tcW w:w="0" w:type="auto"/>
            <w:noWrap/>
            <w:vAlign w:val="center"/>
            <w:hideMark/>
          </w:tcPr>
          <w:p w14:paraId="17DC05A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ED0C66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A576FB9"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6765E90B"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BAA26D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9A193EC"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26B4A1F2"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AB59940"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3C53260"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5F2A45BE" w14:textId="77777777" w:rsidR="00000000" w:rsidRDefault="00832D71">
            <w:pPr>
              <w:pStyle w:val="a3"/>
              <w:spacing w:before="0" w:beforeAutospacing="0" w:after="0" w:afterAutospacing="0"/>
              <w:jc w:val="right"/>
              <w:rPr>
                <w:sz w:val="16"/>
                <w:szCs w:val="16"/>
              </w:rPr>
            </w:pPr>
            <w:r>
              <w:rPr>
                <w:sz w:val="16"/>
                <w:szCs w:val="16"/>
              </w:rPr>
              <w:t>339,11</w:t>
            </w:r>
            <w:r>
              <w:rPr>
                <w:sz w:val="16"/>
                <w:szCs w:val="16"/>
              </w:rPr>
              <w:t>2</w:t>
            </w:r>
          </w:p>
        </w:tc>
        <w:tc>
          <w:tcPr>
            <w:tcW w:w="0" w:type="auto"/>
            <w:noWrap/>
            <w:vAlign w:val="bottom"/>
            <w:hideMark/>
          </w:tcPr>
          <w:p w14:paraId="73C2850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8774DAB"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3EB5C08"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5736809D" w14:textId="77777777" w:rsidR="00000000" w:rsidRDefault="00832D71">
            <w:pPr>
              <w:pStyle w:val="a3"/>
              <w:spacing w:before="0" w:beforeAutospacing="0" w:after="0" w:afterAutospacing="0"/>
              <w:jc w:val="right"/>
              <w:rPr>
                <w:sz w:val="16"/>
                <w:szCs w:val="16"/>
              </w:rPr>
            </w:pPr>
            <w:r>
              <w:rPr>
                <w:sz w:val="16"/>
                <w:szCs w:val="16"/>
              </w:rPr>
              <w:t>508,66</w:t>
            </w:r>
            <w:r>
              <w:rPr>
                <w:sz w:val="16"/>
                <w:szCs w:val="16"/>
              </w:rPr>
              <w:t>8</w:t>
            </w:r>
          </w:p>
        </w:tc>
        <w:tc>
          <w:tcPr>
            <w:tcW w:w="0" w:type="auto"/>
            <w:noWrap/>
            <w:vAlign w:val="bottom"/>
            <w:hideMark/>
          </w:tcPr>
          <w:p w14:paraId="60F0DB7A"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320CC5D"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C4CB49E"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5BA1160"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E39730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CFDD31D"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098F301" w14:textId="77777777" w:rsidR="00000000" w:rsidRDefault="00832D71">
            <w:pPr>
              <w:pStyle w:val="a3"/>
              <w:spacing w:before="0" w:beforeAutospacing="0" w:after="0" w:afterAutospacing="0"/>
              <w:jc w:val="right"/>
              <w:rPr>
                <w:sz w:val="16"/>
                <w:szCs w:val="16"/>
              </w:rPr>
            </w:pPr>
            <w:r>
              <w:rPr>
                <w:sz w:val="16"/>
                <w:szCs w:val="16"/>
              </w:rPr>
              <w:t> </w:t>
            </w:r>
          </w:p>
        </w:tc>
      </w:tr>
      <w:tr w:rsidR="00000000" w14:paraId="59E3A2C7" w14:textId="77777777">
        <w:trPr>
          <w:trHeight w:val="160"/>
          <w:tblCellSpacing w:w="15" w:type="dxa"/>
        </w:trPr>
        <w:tc>
          <w:tcPr>
            <w:tcW w:w="0" w:type="auto"/>
            <w:vAlign w:val="bottom"/>
            <w:hideMark/>
          </w:tcPr>
          <w:p w14:paraId="17048FDC"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50F9FD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3731E44" w14:textId="77777777" w:rsidR="00000000" w:rsidRDefault="00832D71">
            <w:pPr>
              <w:pStyle w:val="a3"/>
              <w:spacing w:before="0" w:beforeAutospacing="0" w:after="0" w:afterAutospacing="0"/>
              <w:jc w:val="center"/>
              <w:rPr>
                <w:sz w:val="16"/>
                <w:szCs w:val="16"/>
              </w:rPr>
            </w:pPr>
            <w:r>
              <w:rPr>
                <w:sz w:val="16"/>
                <w:szCs w:val="16"/>
              </w:rPr>
              <w:t>DER (4</w:t>
            </w:r>
            <w:r>
              <w:rPr>
                <w:sz w:val="16"/>
                <w:szCs w:val="16"/>
              </w:rPr>
              <w:t>)</w:t>
            </w:r>
          </w:p>
        </w:tc>
        <w:tc>
          <w:tcPr>
            <w:tcW w:w="0" w:type="auto"/>
            <w:vAlign w:val="bottom"/>
            <w:hideMark/>
          </w:tcPr>
          <w:p w14:paraId="525D14E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7F6F772" w14:textId="77777777" w:rsidR="00000000" w:rsidRDefault="00832D71">
            <w:pPr>
              <w:pStyle w:val="a3"/>
              <w:spacing w:before="0" w:beforeAutospacing="0" w:after="0" w:afterAutospacing="0"/>
              <w:jc w:val="center"/>
              <w:rPr>
                <w:sz w:val="16"/>
                <w:szCs w:val="16"/>
              </w:rPr>
            </w:pPr>
            <w:r>
              <w:rPr>
                <w:sz w:val="16"/>
                <w:szCs w:val="16"/>
              </w:rPr>
              <w:t>17 Jan 1</w:t>
            </w:r>
            <w:r>
              <w:rPr>
                <w:sz w:val="16"/>
                <w:szCs w:val="16"/>
              </w:rPr>
              <w:t>7</w:t>
            </w:r>
          </w:p>
        </w:tc>
        <w:tc>
          <w:tcPr>
            <w:tcW w:w="0" w:type="auto"/>
            <w:vAlign w:val="bottom"/>
            <w:hideMark/>
          </w:tcPr>
          <w:p w14:paraId="387FA5FC"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40F78A9" w14:textId="77777777" w:rsidR="00000000" w:rsidRDefault="00832D71">
            <w:pPr>
              <w:pStyle w:val="a3"/>
              <w:spacing w:before="0" w:beforeAutospacing="0" w:after="0" w:afterAutospacing="0"/>
              <w:jc w:val="center"/>
              <w:rPr>
                <w:sz w:val="16"/>
                <w:szCs w:val="16"/>
              </w:rPr>
            </w:pPr>
            <w:r>
              <w:rPr>
                <w:sz w:val="16"/>
                <w:szCs w:val="16"/>
              </w:rPr>
              <w:t>17 Jan 1</w:t>
            </w:r>
            <w:r>
              <w:rPr>
                <w:sz w:val="16"/>
                <w:szCs w:val="16"/>
              </w:rPr>
              <w:t>7</w:t>
            </w:r>
          </w:p>
        </w:tc>
        <w:tc>
          <w:tcPr>
            <w:tcW w:w="0" w:type="auto"/>
            <w:vAlign w:val="bottom"/>
            <w:hideMark/>
          </w:tcPr>
          <w:p w14:paraId="3094A32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51437B50"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center"/>
            <w:hideMark/>
          </w:tcPr>
          <w:p w14:paraId="24DE80B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6FD6984"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2C5AFCA"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34F5B31F" w14:textId="77777777" w:rsidR="00000000" w:rsidRDefault="00832D71">
            <w:pPr>
              <w:pStyle w:val="a3"/>
              <w:spacing w:before="0" w:beforeAutospacing="0" w:after="0" w:afterAutospacing="0"/>
              <w:jc w:val="right"/>
              <w:rPr>
                <w:sz w:val="16"/>
                <w:szCs w:val="16"/>
              </w:rPr>
            </w:pPr>
            <w:r>
              <w:rPr>
                <w:sz w:val="16"/>
                <w:szCs w:val="16"/>
              </w:rPr>
              <w:t>114,97</w:t>
            </w:r>
            <w:r>
              <w:rPr>
                <w:sz w:val="16"/>
                <w:szCs w:val="16"/>
              </w:rPr>
              <w:t>5</w:t>
            </w:r>
          </w:p>
        </w:tc>
        <w:tc>
          <w:tcPr>
            <w:tcW w:w="0" w:type="auto"/>
            <w:noWrap/>
            <w:vAlign w:val="bottom"/>
            <w:hideMark/>
          </w:tcPr>
          <w:p w14:paraId="50E584D4"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025875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AC50126"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2C9D6A9"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43CF2A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135C1AA"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6537E29"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C1BB7D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E68C837"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34D5AB4A"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419106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096DCB7"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69E3325"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3E1CE40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565260D"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471B96F" w14:textId="77777777" w:rsidR="00000000" w:rsidRDefault="00832D71">
            <w:pPr>
              <w:pStyle w:val="a3"/>
              <w:spacing w:before="0" w:beforeAutospacing="0" w:after="0" w:afterAutospacing="0"/>
              <w:jc w:val="right"/>
              <w:rPr>
                <w:sz w:val="16"/>
                <w:szCs w:val="16"/>
              </w:rPr>
            </w:pPr>
            <w:r>
              <w:rPr>
                <w:sz w:val="16"/>
                <w:szCs w:val="16"/>
              </w:rPr>
              <w:t> </w:t>
            </w:r>
          </w:p>
        </w:tc>
      </w:tr>
      <w:tr w:rsidR="00000000" w14:paraId="4B6AEBC7" w14:textId="77777777">
        <w:trPr>
          <w:tblCellSpacing w:w="15" w:type="dxa"/>
        </w:trPr>
        <w:tc>
          <w:tcPr>
            <w:tcW w:w="0" w:type="auto"/>
            <w:vAlign w:val="bottom"/>
            <w:hideMark/>
          </w:tcPr>
          <w:p w14:paraId="0CE882C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EED3DD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E6A5A7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11E5124"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31BA2EE"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6463790"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ECE6481"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EF296D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3B92424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center"/>
            <w:hideMark/>
          </w:tcPr>
          <w:p w14:paraId="750554DD"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8958F8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CB027F3"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CF9836D"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2B33A08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6A209CC"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15EBE23"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6AB1154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6898F4C"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64B15ED"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994EB3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11110E0"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6C11E10"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69AB50F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C4DBEA9"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D985CAA"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927EEF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C06D098"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C7D3BC5" w14:textId="77777777" w:rsidR="00000000" w:rsidRDefault="00832D71">
            <w:pPr>
              <w:pStyle w:val="a3"/>
              <w:spacing w:before="0" w:beforeAutospacing="0" w:after="0" w:afterAutospacing="0"/>
              <w:jc w:val="right"/>
              <w:rPr>
                <w:sz w:val="16"/>
                <w:szCs w:val="16"/>
              </w:rPr>
            </w:pPr>
            <w:r>
              <w:rPr>
                <w:sz w:val="16"/>
                <w:szCs w:val="16"/>
              </w:rPr>
              <w:t> </w:t>
            </w:r>
          </w:p>
        </w:tc>
      </w:tr>
      <w:tr w:rsidR="00000000" w14:paraId="5503B08A" w14:textId="77777777">
        <w:trPr>
          <w:trHeight w:val="160"/>
          <w:tblCellSpacing w:w="15" w:type="dxa"/>
        </w:trPr>
        <w:tc>
          <w:tcPr>
            <w:tcW w:w="0" w:type="auto"/>
            <w:vAlign w:val="bottom"/>
            <w:hideMark/>
          </w:tcPr>
          <w:p w14:paraId="5FE40AC1" w14:textId="77777777" w:rsidR="00000000" w:rsidRDefault="00832D71">
            <w:pPr>
              <w:pStyle w:val="a3"/>
              <w:spacing w:before="0" w:beforeAutospacing="0" w:after="0" w:afterAutospacing="0"/>
              <w:rPr>
                <w:sz w:val="16"/>
                <w:szCs w:val="16"/>
              </w:rPr>
            </w:pPr>
            <w:r>
              <w:rPr>
                <w:sz w:val="16"/>
                <w:szCs w:val="16"/>
              </w:rPr>
              <w:t>Steven C. Boy</w:t>
            </w:r>
            <w:r>
              <w:rPr>
                <w:sz w:val="16"/>
                <w:szCs w:val="16"/>
              </w:rPr>
              <w:t>d</w:t>
            </w:r>
          </w:p>
        </w:tc>
        <w:tc>
          <w:tcPr>
            <w:tcW w:w="0" w:type="auto"/>
            <w:vAlign w:val="bottom"/>
            <w:hideMark/>
          </w:tcPr>
          <w:p w14:paraId="4A7D89AB"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D17531E" w14:textId="77777777" w:rsidR="00000000" w:rsidRDefault="00832D71">
            <w:pPr>
              <w:pStyle w:val="a3"/>
              <w:spacing w:before="0" w:beforeAutospacing="0" w:after="0" w:afterAutospacing="0"/>
              <w:jc w:val="center"/>
              <w:rPr>
                <w:sz w:val="16"/>
                <w:szCs w:val="16"/>
              </w:rPr>
            </w:pPr>
            <w:r>
              <w:rPr>
                <w:sz w:val="16"/>
                <w:szCs w:val="16"/>
              </w:rPr>
              <w:t>RUP (1</w:t>
            </w:r>
            <w:r>
              <w:rPr>
                <w:sz w:val="16"/>
                <w:szCs w:val="16"/>
              </w:rPr>
              <w:t>)</w:t>
            </w:r>
          </w:p>
        </w:tc>
        <w:tc>
          <w:tcPr>
            <w:tcW w:w="0" w:type="auto"/>
            <w:vAlign w:val="bottom"/>
            <w:hideMark/>
          </w:tcPr>
          <w:p w14:paraId="12DC7241"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E17DE9D" w14:textId="77777777" w:rsidR="00000000" w:rsidRDefault="00832D71">
            <w:pPr>
              <w:pStyle w:val="a3"/>
              <w:spacing w:before="0" w:beforeAutospacing="0" w:after="0" w:afterAutospacing="0"/>
              <w:jc w:val="center"/>
              <w:rPr>
                <w:sz w:val="16"/>
                <w:szCs w:val="16"/>
              </w:rPr>
            </w:pPr>
            <w:r>
              <w:rPr>
                <w:sz w:val="16"/>
                <w:szCs w:val="16"/>
              </w:rPr>
              <w:t>15 Nov 2</w:t>
            </w:r>
            <w:r>
              <w:rPr>
                <w:sz w:val="16"/>
                <w:szCs w:val="16"/>
              </w:rPr>
              <w:t>1</w:t>
            </w:r>
          </w:p>
        </w:tc>
        <w:tc>
          <w:tcPr>
            <w:tcW w:w="0" w:type="auto"/>
            <w:vAlign w:val="bottom"/>
            <w:hideMark/>
          </w:tcPr>
          <w:p w14:paraId="64C3ECF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B65FDCB" w14:textId="77777777" w:rsidR="00000000" w:rsidRDefault="00832D71">
            <w:pPr>
              <w:pStyle w:val="a3"/>
              <w:spacing w:before="0" w:beforeAutospacing="0" w:after="0" w:afterAutospacing="0"/>
              <w:jc w:val="center"/>
              <w:rPr>
                <w:sz w:val="16"/>
                <w:szCs w:val="16"/>
              </w:rPr>
            </w:pPr>
            <w:r>
              <w:rPr>
                <w:sz w:val="16"/>
                <w:szCs w:val="16"/>
              </w:rPr>
              <w:t>9 Nov 2</w:t>
            </w:r>
            <w:r>
              <w:rPr>
                <w:sz w:val="16"/>
                <w:szCs w:val="16"/>
              </w:rPr>
              <w:t>1</w:t>
            </w:r>
          </w:p>
        </w:tc>
        <w:tc>
          <w:tcPr>
            <w:tcW w:w="0" w:type="auto"/>
            <w:vAlign w:val="bottom"/>
            <w:hideMark/>
          </w:tcPr>
          <w:p w14:paraId="22C6349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28DBF7D2"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center"/>
            <w:hideMark/>
          </w:tcPr>
          <w:p w14:paraId="19BEF5E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DEC64C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0E1FEAF"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8F42662"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971814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2785F2D"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EE7FC8A"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24D0270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075285A"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99A007B"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41124D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0BFCBE9"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68FE8847"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7BEF572"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3DACE3C"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C26BA00" w14:textId="77777777" w:rsidR="00000000" w:rsidRDefault="00832D71">
            <w:pPr>
              <w:pStyle w:val="a3"/>
              <w:spacing w:before="0" w:beforeAutospacing="0" w:after="0" w:afterAutospacing="0"/>
              <w:jc w:val="right"/>
              <w:rPr>
                <w:sz w:val="16"/>
                <w:szCs w:val="16"/>
              </w:rPr>
            </w:pPr>
            <w:r>
              <w:rPr>
                <w:sz w:val="16"/>
                <w:szCs w:val="16"/>
              </w:rPr>
              <w:t>47,81</w:t>
            </w:r>
            <w:r>
              <w:rPr>
                <w:sz w:val="16"/>
                <w:szCs w:val="16"/>
              </w:rPr>
              <w:t>8</w:t>
            </w:r>
          </w:p>
        </w:tc>
        <w:tc>
          <w:tcPr>
            <w:tcW w:w="0" w:type="auto"/>
            <w:noWrap/>
            <w:vAlign w:val="bottom"/>
            <w:hideMark/>
          </w:tcPr>
          <w:p w14:paraId="34BA628D"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D6378D0"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C1EA93E"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5F4F75BB" w14:textId="77777777" w:rsidR="00000000" w:rsidRDefault="00832D71">
            <w:pPr>
              <w:pStyle w:val="a3"/>
              <w:spacing w:before="0" w:beforeAutospacing="0" w:after="0" w:afterAutospacing="0"/>
              <w:jc w:val="right"/>
              <w:rPr>
                <w:sz w:val="16"/>
                <w:szCs w:val="16"/>
              </w:rPr>
            </w:pPr>
            <w:r>
              <w:rPr>
                <w:sz w:val="16"/>
                <w:szCs w:val="16"/>
              </w:rPr>
              <w:t>620,20</w:t>
            </w:r>
            <w:r>
              <w:rPr>
                <w:sz w:val="16"/>
                <w:szCs w:val="16"/>
              </w:rPr>
              <w:t>2</w:t>
            </w:r>
          </w:p>
        </w:tc>
        <w:tc>
          <w:tcPr>
            <w:tcW w:w="0" w:type="auto"/>
            <w:noWrap/>
            <w:vAlign w:val="bottom"/>
            <w:hideMark/>
          </w:tcPr>
          <w:p w14:paraId="06646858" w14:textId="77777777" w:rsidR="00000000" w:rsidRDefault="00832D71">
            <w:pPr>
              <w:pStyle w:val="a3"/>
              <w:spacing w:before="0" w:beforeAutospacing="0" w:after="0" w:afterAutospacing="0"/>
              <w:rPr>
                <w:sz w:val="16"/>
                <w:szCs w:val="16"/>
              </w:rPr>
            </w:pPr>
            <w:r>
              <w:rPr>
                <w:sz w:val="16"/>
                <w:szCs w:val="16"/>
              </w:rPr>
              <w:t> </w:t>
            </w:r>
          </w:p>
        </w:tc>
      </w:tr>
      <w:tr w:rsidR="00000000" w14:paraId="0152935D" w14:textId="77777777">
        <w:trPr>
          <w:trHeight w:val="160"/>
          <w:tblCellSpacing w:w="15" w:type="dxa"/>
        </w:trPr>
        <w:tc>
          <w:tcPr>
            <w:tcW w:w="0" w:type="auto"/>
            <w:vAlign w:val="bottom"/>
            <w:hideMark/>
          </w:tcPr>
          <w:p w14:paraId="09987D4C"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A0B73F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46BF29D" w14:textId="77777777" w:rsidR="00000000" w:rsidRDefault="00832D71">
            <w:pPr>
              <w:pStyle w:val="a3"/>
              <w:spacing w:before="0" w:beforeAutospacing="0" w:after="0" w:afterAutospacing="0"/>
              <w:jc w:val="center"/>
              <w:rPr>
                <w:sz w:val="16"/>
                <w:szCs w:val="16"/>
              </w:rPr>
            </w:pPr>
            <w:r>
              <w:rPr>
                <w:sz w:val="16"/>
                <w:szCs w:val="16"/>
              </w:rPr>
              <w:t>Bonus (2</w:t>
            </w:r>
            <w:r>
              <w:rPr>
                <w:sz w:val="16"/>
                <w:szCs w:val="16"/>
              </w:rPr>
              <w:t>)</w:t>
            </w:r>
          </w:p>
        </w:tc>
        <w:tc>
          <w:tcPr>
            <w:tcW w:w="0" w:type="auto"/>
            <w:vAlign w:val="bottom"/>
            <w:hideMark/>
          </w:tcPr>
          <w:p w14:paraId="1C4759DD"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84F2B2E" w14:textId="77777777" w:rsidR="00000000" w:rsidRDefault="00832D71">
            <w:pPr>
              <w:pStyle w:val="a3"/>
              <w:spacing w:before="0" w:beforeAutospacing="0" w:after="0" w:afterAutospacing="0"/>
              <w:jc w:val="center"/>
              <w:rPr>
                <w:sz w:val="16"/>
                <w:szCs w:val="16"/>
              </w:rPr>
            </w:pPr>
            <w:r>
              <w:rPr>
                <w:sz w:val="16"/>
                <w:szCs w:val="16"/>
              </w:rPr>
              <w:t>27 Sep 2</w:t>
            </w:r>
            <w:r>
              <w:rPr>
                <w:sz w:val="16"/>
                <w:szCs w:val="16"/>
              </w:rPr>
              <w:t>1</w:t>
            </w:r>
          </w:p>
        </w:tc>
        <w:tc>
          <w:tcPr>
            <w:tcW w:w="0" w:type="auto"/>
            <w:vAlign w:val="bottom"/>
            <w:hideMark/>
          </w:tcPr>
          <w:p w14:paraId="103870E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04F5A9A" w14:textId="77777777" w:rsidR="00000000" w:rsidRDefault="00832D71">
            <w:pPr>
              <w:pStyle w:val="a3"/>
              <w:spacing w:before="0" w:beforeAutospacing="0" w:after="0" w:afterAutospacing="0"/>
              <w:jc w:val="center"/>
              <w:rPr>
                <w:sz w:val="16"/>
                <w:szCs w:val="16"/>
              </w:rPr>
            </w:pPr>
            <w:r>
              <w:rPr>
                <w:sz w:val="16"/>
                <w:szCs w:val="16"/>
              </w:rPr>
              <w:t>9 Nov 2</w:t>
            </w:r>
            <w:r>
              <w:rPr>
                <w:sz w:val="16"/>
                <w:szCs w:val="16"/>
              </w:rPr>
              <w:t>1</w:t>
            </w:r>
          </w:p>
        </w:tc>
        <w:tc>
          <w:tcPr>
            <w:tcW w:w="0" w:type="auto"/>
            <w:vAlign w:val="bottom"/>
            <w:hideMark/>
          </w:tcPr>
          <w:p w14:paraId="5F53B13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28C3758F"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center"/>
            <w:hideMark/>
          </w:tcPr>
          <w:p w14:paraId="6D81C73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6C461C6"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56E7A5D8"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0FD24329" w14:textId="77777777" w:rsidR="00000000" w:rsidRDefault="00832D71">
            <w:pPr>
              <w:pStyle w:val="a3"/>
              <w:spacing w:before="0" w:beforeAutospacing="0" w:after="0" w:afterAutospacing="0"/>
              <w:jc w:val="right"/>
              <w:rPr>
                <w:sz w:val="16"/>
                <w:szCs w:val="16"/>
              </w:rPr>
            </w:pPr>
            <w:r>
              <w:rPr>
                <w:sz w:val="16"/>
                <w:szCs w:val="16"/>
              </w:rPr>
              <w:t>368,00</w:t>
            </w:r>
            <w:r>
              <w:rPr>
                <w:sz w:val="16"/>
                <w:szCs w:val="16"/>
              </w:rPr>
              <w:t>0</w:t>
            </w:r>
          </w:p>
        </w:tc>
        <w:tc>
          <w:tcPr>
            <w:tcW w:w="0" w:type="auto"/>
            <w:noWrap/>
            <w:vAlign w:val="bottom"/>
            <w:hideMark/>
          </w:tcPr>
          <w:p w14:paraId="106740C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42C032E"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782D81A"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41A90F7F" w14:textId="77777777" w:rsidR="00000000" w:rsidRDefault="00832D71">
            <w:pPr>
              <w:pStyle w:val="a3"/>
              <w:spacing w:before="0" w:beforeAutospacing="0" w:after="0" w:afterAutospacing="0"/>
              <w:jc w:val="right"/>
              <w:rPr>
                <w:sz w:val="16"/>
                <w:szCs w:val="16"/>
              </w:rPr>
            </w:pPr>
            <w:r>
              <w:rPr>
                <w:sz w:val="16"/>
                <w:szCs w:val="16"/>
              </w:rPr>
              <w:t>570,40</w:t>
            </w:r>
            <w:r>
              <w:rPr>
                <w:sz w:val="16"/>
                <w:szCs w:val="16"/>
              </w:rPr>
              <w:t>0</w:t>
            </w:r>
          </w:p>
        </w:tc>
        <w:tc>
          <w:tcPr>
            <w:tcW w:w="0" w:type="auto"/>
            <w:noWrap/>
            <w:vAlign w:val="bottom"/>
            <w:hideMark/>
          </w:tcPr>
          <w:p w14:paraId="0DC461D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1EB364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78CFC5B"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6BA175B"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C1EF84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B272C6F"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8E06F1A"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512E49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0D7DB14"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23FC7BE3"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2829836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BA34C14"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22AA7B8D" w14:textId="77777777" w:rsidR="00000000" w:rsidRDefault="00832D71">
            <w:pPr>
              <w:pStyle w:val="a3"/>
              <w:spacing w:before="0" w:beforeAutospacing="0" w:after="0" w:afterAutospacing="0"/>
              <w:jc w:val="right"/>
              <w:rPr>
                <w:sz w:val="16"/>
                <w:szCs w:val="16"/>
              </w:rPr>
            </w:pPr>
            <w:r>
              <w:rPr>
                <w:sz w:val="16"/>
                <w:szCs w:val="16"/>
              </w:rPr>
              <w:t> </w:t>
            </w:r>
          </w:p>
        </w:tc>
      </w:tr>
      <w:tr w:rsidR="00000000" w14:paraId="3C65042C" w14:textId="77777777">
        <w:trPr>
          <w:trHeight w:val="160"/>
          <w:tblCellSpacing w:w="15" w:type="dxa"/>
        </w:trPr>
        <w:tc>
          <w:tcPr>
            <w:tcW w:w="0" w:type="auto"/>
            <w:vAlign w:val="bottom"/>
            <w:hideMark/>
          </w:tcPr>
          <w:p w14:paraId="57EC00AB"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3E28E9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5842BEF" w14:textId="77777777" w:rsidR="00000000" w:rsidRDefault="00832D71">
            <w:pPr>
              <w:pStyle w:val="a3"/>
              <w:spacing w:before="0" w:beforeAutospacing="0" w:after="0" w:afterAutospacing="0"/>
              <w:jc w:val="center"/>
              <w:rPr>
                <w:sz w:val="16"/>
                <w:szCs w:val="16"/>
              </w:rPr>
            </w:pPr>
            <w:r>
              <w:rPr>
                <w:sz w:val="16"/>
                <w:szCs w:val="16"/>
              </w:rPr>
              <w:t>LTIP (3</w:t>
            </w:r>
            <w:r>
              <w:rPr>
                <w:sz w:val="16"/>
                <w:szCs w:val="16"/>
              </w:rPr>
              <w:t>)</w:t>
            </w:r>
          </w:p>
        </w:tc>
        <w:tc>
          <w:tcPr>
            <w:tcW w:w="0" w:type="auto"/>
            <w:vAlign w:val="bottom"/>
            <w:hideMark/>
          </w:tcPr>
          <w:p w14:paraId="6A96792A"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9B33E83" w14:textId="77777777" w:rsidR="00000000" w:rsidRDefault="00832D71">
            <w:pPr>
              <w:pStyle w:val="a3"/>
              <w:spacing w:before="0" w:beforeAutospacing="0" w:after="0" w:afterAutospacing="0"/>
              <w:jc w:val="center"/>
              <w:rPr>
                <w:sz w:val="16"/>
                <w:szCs w:val="16"/>
              </w:rPr>
            </w:pPr>
            <w:r>
              <w:rPr>
                <w:sz w:val="16"/>
                <w:szCs w:val="16"/>
              </w:rPr>
              <w:t>27 Sep 2</w:t>
            </w:r>
            <w:r>
              <w:rPr>
                <w:sz w:val="16"/>
                <w:szCs w:val="16"/>
              </w:rPr>
              <w:t>1</w:t>
            </w:r>
          </w:p>
        </w:tc>
        <w:tc>
          <w:tcPr>
            <w:tcW w:w="0" w:type="auto"/>
            <w:vAlign w:val="bottom"/>
            <w:hideMark/>
          </w:tcPr>
          <w:p w14:paraId="5C7203E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D0C865E" w14:textId="77777777" w:rsidR="00000000" w:rsidRDefault="00832D71">
            <w:pPr>
              <w:pStyle w:val="a3"/>
              <w:spacing w:before="0" w:beforeAutospacing="0" w:after="0" w:afterAutospacing="0"/>
              <w:jc w:val="center"/>
              <w:rPr>
                <w:sz w:val="16"/>
                <w:szCs w:val="16"/>
              </w:rPr>
            </w:pPr>
            <w:r>
              <w:rPr>
                <w:sz w:val="16"/>
                <w:szCs w:val="16"/>
              </w:rPr>
              <w:t>9 Nov 2</w:t>
            </w:r>
            <w:r>
              <w:rPr>
                <w:sz w:val="16"/>
                <w:szCs w:val="16"/>
              </w:rPr>
              <w:t>1</w:t>
            </w:r>
          </w:p>
        </w:tc>
        <w:tc>
          <w:tcPr>
            <w:tcW w:w="0" w:type="auto"/>
            <w:vAlign w:val="bottom"/>
            <w:hideMark/>
          </w:tcPr>
          <w:p w14:paraId="048B88A3"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center"/>
            <w:hideMark/>
          </w:tcPr>
          <w:p w14:paraId="78058970" w14:textId="77777777" w:rsidR="00000000" w:rsidRDefault="00832D71">
            <w:pPr>
              <w:pStyle w:val="a3"/>
              <w:spacing w:before="0" w:beforeAutospacing="0" w:after="0" w:afterAutospacing="0"/>
              <w:rPr>
                <w:sz w:val="16"/>
                <w:szCs w:val="16"/>
              </w:rPr>
            </w:pPr>
            <w:r>
              <w:rPr>
                <w:sz w:val="16"/>
                <w:szCs w:val="16"/>
              </w:rPr>
              <w:t> </w:t>
            </w:r>
          </w:p>
        </w:tc>
        <w:tc>
          <w:tcPr>
            <w:tcW w:w="0" w:type="auto"/>
            <w:vAlign w:val="center"/>
            <w:hideMark/>
          </w:tcPr>
          <w:p w14:paraId="07767EAF" w14:textId="77777777" w:rsidR="00000000" w:rsidRDefault="00832D71">
            <w:pPr>
              <w:pStyle w:val="a3"/>
              <w:spacing w:before="0" w:beforeAutospacing="0" w:after="0" w:afterAutospacing="0"/>
              <w:jc w:val="right"/>
              <w:rPr>
                <w:sz w:val="16"/>
                <w:szCs w:val="16"/>
              </w:rPr>
            </w:pPr>
            <w:r>
              <w:rPr>
                <w:sz w:val="16"/>
                <w:szCs w:val="16"/>
              </w:rPr>
              <w:t>18,11</w:t>
            </w:r>
            <w:r>
              <w:rPr>
                <w:sz w:val="16"/>
                <w:szCs w:val="16"/>
              </w:rPr>
              <w:t>4</w:t>
            </w:r>
          </w:p>
        </w:tc>
        <w:tc>
          <w:tcPr>
            <w:tcW w:w="0" w:type="auto"/>
            <w:noWrap/>
            <w:vAlign w:val="center"/>
            <w:hideMark/>
          </w:tcPr>
          <w:p w14:paraId="67E6AFC0"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7F1511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FC087E5"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382A19EF"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231B31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7AFC429"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D050DB7"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5EC27DB"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FC1D880"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1A9B551C" w14:textId="77777777" w:rsidR="00000000" w:rsidRDefault="00832D71">
            <w:pPr>
              <w:pStyle w:val="a3"/>
              <w:spacing w:before="0" w:beforeAutospacing="0" w:after="0" w:afterAutospacing="0"/>
              <w:jc w:val="right"/>
              <w:rPr>
                <w:sz w:val="16"/>
                <w:szCs w:val="16"/>
              </w:rPr>
            </w:pPr>
            <w:r>
              <w:rPr>
                <w:sz w:val="16"/>
                <w:szCs w:val="16"/>
              </w:rPr>
              <w:t>346,64</w:t>
            </w:r>
            <w:r>
              <w:rPr>
                <w:sz w:val="16"/>
                <w:szCs w:val="16"/>
              </w:rPr>
              <w:t>5</w:t>
            </w:r>
          </w:p>
        </w:tc>
        <w:tc>
          <w:tcPr>
            <w:tcW w:w="0" w:type="auto"/>
            <w:noWrap/>
            <w:vAlign w:val="bottom"/>
            <w:hideMark/>
          </w:tcPr>
          <w:p w14:paraId="541CC5E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EE0E144"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42EF04E"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57C5AAE3" w14:textId="77777777" w:rsidR="00000000" w:rsidRDefault="00832D71">
            <w:pPr>
              <w:pStyle w:val="a3"/>
              <w:spacing w:before="0" w:beforeAutospacing="0" w:after="0" w:afterAutospacing="0"/>
              <w:jc w:val="right"/>
              <w:rPr>
                <w:sz w:val="16"/>
                <w:szCs w:val="16"/>
              </w:rPr>
            </w:pPr>
            <w:r>
              <w:rPr>
                <w:sz w:val="16"/>
                <w:szCs w:val="16"/>
              </w:rPr>
              <w:t>519,96</w:t>
            </w:r>
            <w:r>
              <w:rPr>
                <w:sz w:val="16"/>
                <w:szCs w:val="16"/>
              </w:rPr>
              <w:t>8</w:t>
            </w:r>
          </w:p>
        </w:tc>
        <w:tc>
          <w:tcPr>
            <w:tcW w:w="0" w:type="auto"/>
            <w:noWrap/>
            <w:vAlign w:val="bottom"/>
            <w:hideMark/>
          </w:tcPr>
          <w:p w14:paraId="5539BC67"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2FD918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4C41D1D"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229DC92A"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A3B0BD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6418700"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AE4F3AC" w14:textId="77777777" w:rsidR="00000000" w:rsidRDefault="00832D71">
            <w:pPr>
              <w:pStyle w:val="a3"/>
              <w:spacing w:before="0" w:beforeAutospacing="0" w:after="0" w:afterAutospacing="0"/>
              <w:jc w:val="right"/>
              <w:rPr>
                <w:sz w:val="16"/>
                <w:szCs w:val="16"/>
              </w:rPr>
            </w:pPr>
            <w:r>
              <w:rPr>
                <w:sz w:val="16"/>
                <w:szCs w:val="16"/>
              </w:rPr>
              <w:t> </w:t>
            </w:r>
          </w:p>
        </w:tc>
      </w:tr>
      <w:tr w:rsidR="00000000" w14:paraId="0D0CB7DA" w14:textId="77777777">
        <w:trPr>
          <w:trHeight w:val="160"/>
          <w:tblCellSpacing w:w="15" w:type="dxa"/>
        </w:trPr>
        <w:tc>
          <w:tcPr>
            <w:tcW w:w="0" w:type="auto"/>
            <w:vAlign w:val="bottom"/>
            <w:hideMark/>
          </w:tcPr>
          <w:p w14:paraId="0A5DDB0A"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DA8B3F2"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C0C3649" w14:textId="77777777" w:rsidR="00000000" w:rsidRDefault="00832D71">
            <w:pPr>
              <w:pStyle w:val="a3"/>
              <w:spacing w:before="0" w:beforeAutospacing="0" w:after="0" w:afterAutospacing="0"/>
              <w:jc w:val="center"/>
              <w:rPr>
                <w:sz w:val="16"/>
                <w:szCs w:val="16"/>
              </w:rPr>
            </w:pPr>
            <w:r>
              <w:rPr>
                <w:sz w:val="16"/>
                <w:szCs w:val="16"/>
              </w:rPr>
              <w:t>DER (4</w:t>
            </w:r>
            <w:r>
              <w:rPr>
                <w:sz w:val="16"/>
                <w:szCs w:val="16"/>
              </w:rPr>
              <w:t>)</w:t>
            </w:r>
          </w:p>
        </w:tc>
        <w:tc>
          <w:tcPr>
            <w:tcW w:w="0" w:type="auto"/>
            <w:vAlign w:val="bottom"/>
            <w:hideMark/>
          </w:tcPr>
          <w:p w14:paraId="5B8B738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FDBAFD4" w14:textId="77777777" w:rsidR="00000000" w:rsidRDefault="00832D71">
            <w:pPr>
              <w:pStyle w:val="a3"/>
              <w:spacing w:before="0" w:beforeAutospacing="0" w:after="0" w:afterAutospacing="0"/>
              <w:jc w:val="center"/>
              <w:rPr>
                <w:sz w:val="16"/>
                <w:szCs w:val="16"/>
              </w:rPr>
            </w:pPr>
            <w:r>
              <w:rPr>
                <w:sz w:val="16"/>
                <w:szCs w:val="16"/>
              </w:rPr>
              <w:t>17 Jan 1</w:t>
            </w:r>
            <w:r>
              <w:rPr>
                <w:sz w:val="16"/>
                <w:szCs w:val="16"/>
              </w:rPr>
              <w:t>7</w:t>
            </w:r>
          </w:p>
        </w:tc>
        <w:tc>
          <w:tcPr>
            <w:tcW w:w="0" w:type="auto"/>
            <w:vAlign w:val="bottom"/>
            <w:hideMark/>
          </w:tcPr>
          <w:p w14:paraId="79F50AD0"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8ACD39C" w14:textId="77777777" w:rsidR="00000000" w:rsidRDefault="00832D71">
            <w:pPr>
              <w:pStyle w:val="a3"/>
              <w:spacing w:before="0" w:beforeAutospacing="0" w:after="0" w:afterAutospacing="0"/>
              <w:jc w:val="center"/>
              <w:rPr>
                <w:sz w:val="16"/>
                <w:szCs w:val="16"/>
              </w:rPr>
            </w:pPr>
            <w:r>
              <w:rPr>
                <w:sz w:val="16"/>
                <w:szCs w:val="16"/>
              </w:rPr>
              <w:t>17 Jan 1</w:t>
            </w:r>
            <w:r>
              <w:rPr>
                <w:sz w:val="16"/>
                <w:szCs w:val="16"/>
              </w:rPr>
              <w:t>7</w:t>
            </w:r>
          </w:p>
        </w:tc>
        <w:tc>
          <w:tcPr>
            <w:tcW w:w="0" w:type="auto"/>
            <w:vAlign w:val="bottom"/>
            <w:hideMark/>
          </w:tcPr>
          <w:p w14:paraId="293EDFDD"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C1EF31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A613A22"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F0016C5" w14:textId="77777777" w:rsidR="00000000" w:rsidRDefault="00832D71">
            <w:pPr>
              <w:pStyle w:val="a3"/>
              <w:spacing w:before="0" w:beforeAutospacing="0" w:after="0" w:afterAutospacing="0"/>
              <w:jc w:val="center"/>
              <w:rPr>
                <w:sz w:val="16"/>
                <w:szCs w:val="16"/>
              </w:rPr>
            </w:pPr>
            <w:r>
              <w:rPr>
                <w:sz w:val="16"/>
                <w:szCs w:val="16"/>
              </w:rPr>
              <w:t> </w:t>
            </w:r>
          </w:p>
        </w:tc>
        <w:tc>
          <w:tcPr>
            <w:tcW w:w="0" w:type="auto"/>
            <w:noWrap/>
            <w:vAlign w:val="bottom"/>
            <w:hideMark/>
          </w:tcPr>
          <w:p w14:paraId="41767D7A"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79B8792C" w14:textId="77777777" w:rsidR="00000000" w:rsidRDefault="00832D71">
            <w:pPr>
              <w:pStyle w:val="a3"/>
              <w:spacing w:before="0" w:beforeAutospacing="0" w:after="0" w:afterAutospacing="0"/>
              <w:jc w:val="right"/>
              <w:rPr>
                <w:sz w:val="16"/>
                <w:szCs w:val="16"/>
              </w:rPr>
            </w:pPr>
            <w:r>
              <w:rPr>
                <w:sz w:val="16"/>
                <w:szCs w:val="16"/>
              </w:rPr>
              <w:t>114,97</w:t>
            </w:r>
            <w:r>
              <w:rPr>
                <w:sz w:val="16"/>
                <w:szCs w:val="16"/>
              </w:rPr>
              <w:t>5</w:t>
            </w:r>
          </w:p>
        </w:tc>
        <w:tc>
          <w:tcPr>
            <w:tcW w:w="0" w:type="auto"/>
            <w:noWrap/>
            <w:vAlign w:val="bottom"/>
            <w:hideMark/>
          </w:tcPr>
          <w:p w14:paraId="350D949B"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50ACF74"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AC58A7A"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75E5565"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8FECCE6"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20758CA"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EE610EE"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B24423E"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90E1ED0"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DC0E6AF"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C5E883E"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19D5CA3"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CF78FD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055EE8B"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BAD1041"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9556B92"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1031CC7C" w14:textId="77777777">
        <w:trPr>
          <w:tblCellSpacing w:w="15" w:type="dxa"/>
        </w:trPr>
        <w:tc>
          <w:tcPr>
            <w:tcW w:w="0" w:type="auto"/>
            <w:vAlign w:val="bottom"/>
            <w:hideMark/>
          </w:tcPr>
          <w:p w14:paraId="3BF5EAA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438EFCC"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7545619"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977F9FC"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ABE30F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D68FCF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FBCB6DD"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5C02C2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386AB55A"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center"/>
            <w:hideMark/>
          </w:tcPr>
          <w:p w14:paraId="70BC07B9"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8812FB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F10E597"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6447E71"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CB36B7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A2DEFAB"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F506B9A"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B3CF62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CBBC560"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A8FEF35"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ED89D7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71ED16D"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64551697"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2F50907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0C24D57"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91DD9F8"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93FF75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6012610"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251E2302" w14:textId="77777777" w:rsidR="00000000" w:rsidRDefault="00832D71">
            <w:pPr>
              <w:pStyle w:val="a3"/>
              <w:spacing w:before="0" w:beforeAutospacing="0" w:after="0" w:afterAutospacing="0"/>
              <w:jc w:val="right"/>
              <w:rPr>
                <w:sz w:val="16"/>
                <w:szCs w:val="16"/>
              </w:rPr>
            </w:pPr>
            <w:r>
              <w:rPr>
                <w:sz w:val="16"/>
                <w:szCs w:val="16"/>
              </w:rPr>
              <w:t> </w:t>
            </w:r>
          </w:p>
        </w:tc>
      </w:tr>
      <w:tr w:rsidR="00000000" w14:paraId="4266057E" w14:textId="77777777">
        <w:trPr>
          <w:trHeight w:val="160"/>
          <w:tblCellSpacing w:w="15" w:type="dxa"/>
        </w:trPr>
        <w:tc>
          <w:tcPr>
            <w:tcW w:w="0" w:type="auto"/>
            <w:vAlign w:val="bottom"/>
            <w:hideMark/>
          </w:tcPr>
          <w:p w14:paraId="617E72D5" w14:textId="77777777" w:rsidR="00000000" w:rsidRDefault="00832D71">
            <w:pPr>
              <w:pStyle w:val="a3"/>
              <w:spacing w:before="0" w:beforeAutospacing="0" w:after="0" w:afterAutospacing="0"/>
              <w:rPr>
                <w:sz w:val="16"/>
                <w:szCs w:val="16"/>
              </w:rPr>
            </w:pPr>
            <w:r>
              <w:rPr>
                <w:sz w:val="16"/>
                <w:szCs w:val="16"/>
              </w:rPr>
              <w:t>Douglas T. Brinkwort</w:t>
            </w:r>
            <w:r>
              <w:rPr>
                <w:sz w:val="16"/>
                <w:szCs w:val="16"/>
              </w:rPr>
              <w:t>h</w:t>
            </w:r>
          </w:p>
        </w:tc>
        <w:tc>
          <w:tcPr>
            <w:tcW w:w="0" w:type="auto"/>
            <w:vAlign w:val="bottom"/>
            <w:hideMark/>
          </w:tcPr>
          <w:p w14:paraId="4B0841A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6CB6934" w14:textId="77777777" w:rsidR="00000000" w:rsidRDefault="00832D71">
            <w:pPr>
              <w:pStyle w:val="a3"/>
              <w:spacing w:before="0" w:beforeAutospacing="0" w:after="0" w:afterAutospacing="0"/>
              <w:jc w:val="center"/>
              <w:rPr>
                <w:sz w:val="16"/>
                <w:szCs w:val="16"/>
              </w:rPr>
            </w:pPr>
            <w:r>
              <w:rPr>
                <w:sz w:val="16"/>
                <w:szCs w:val="16"/>
              </w:rPr>
              <w:t>RUP (1</w:t>
            </w:r>
            <w:r>
              <w:rPr>
                <w:sz w:val="16"/>
                <w:szCs w:val="16"/>
              </w:rPr>
              <w:t>)</w:t>
            </w:r>
          </w:p>
        </w:tc>
        <w:tc>
          <w:tcPr>
            <w:tcW w:w="0" w:type="auto"/>
            <w:vAlign w:val="bottom"/>
            <w:hideMark/>
          </w:tcPr>
          <w:p w14:paraId="148FB8F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8B6F993" w14:textId="77777777" w:rsidR="00000000" w:rsidRDefault="00832D71">
            <w:pPr>
              <w:pStyle w:val="a3"/>
              <w:spacing w:before="0" w:beforeAutospacing="0" w:after="0" w:afterAutospacing="0"/>
              <w:jc w:val="center"/>
              <w:rPr>
                <w:sz w:val="16"/>
                <w:szCs w:val="16"/>
              </w:rPr>
            </w:pPr>
            <w:r>
              <w:rPr>
                <w:sz w:val="16"/>
                <w:szCs w:val="16"/>
              </w:rPr>
              <w:t>15 Nov 2</w:t>
            </w:r>
            <w:r>
              <w:rPr>
                <w:sz w:val="16"/>
                <w:szCs w:val="16"/>
              </w:rPr>
              <w:t>1</w:t>
            </w:r>
          </w:p>
        </w:tc>
        <w:tc>
          <w:tcPr>
            <w:tcW w:w="0" w:type="auto"/>
            <w:vAlign w:val="bottom"/>
            <w:hideMark/>
          </w:tcPr>
          <w:p w14:paraId="4E915830"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8F116D5" w14:textId="77777777" w:rsidR="00000000" w:rsidRDefault="00832D71">
            <w:pPr>
              <w:pStyle w:val="a3"/>
              <w:spacing w:before="0" w:beforeAutospacing="0" w:after="0" w:afterAutospacing="0"/>
              <w:jc w:val="center"/>
              <w:rPr>
                <w:sz w:val="16"/>
                <w:szCs w:val="16"/>
              </w:rPr>
            </w:pPr>
            <w:r>
              <w:rPr>
                <w:sz w:val="16"/>
                <w:szCs w:val="16"/>
              </w:rPr>
              <w:t>9 Nov 2</w:t>
            </w:r>
            <w:r>
              <w:rPr>
                <w:sz w:val="16"/>
                <w:szCs w:val="16"/>
              </w:rPr>
              <w:t>1</w:t>
            </w:r>
          </w:p>
        </w:tc>
        <w:tc>
          <w:tcPr>
            <w:tcW w:w="0" w:type="auto"/>
            <w:vAlign w:val="bottom"/>
            <w:hideMark/>
          </w:tcPr>
          <w:p w14:paraId="1405CAB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3D3E8015"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center"/>
            <w:hideMark/>
          </w:tcPr>
          <w:p w14:paraId="21C488E9"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BC51FF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4685851"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5210F27E"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6F33A828" w14:textId="77777777" w:rsidR="00000000" w:rsidRDefault="00832D71">
            <w:pPr>
              <w:pStyle w:val="a3"/>
              <w:spacing w:before="0" w:beforeAutospacing="0" w:after="0" w:afterAutospacing="0"/>
              <w:rPr>
                <w:sz w:val="22"/>
                <w:szCs w:val="22"/>
              </w:rPr>
            </w:pPr>
            <w:r>
              <w:rPr>
                <w:sz w:val="22"/>
                <w:szCs w:val="22"/>
              </w:rPr>
              <w:t> </w:t>
            </w:r>
          </w:p>
        </w:tc>
        <w:tc>
          <w:tcPr>
            <w:tcW w:w="0" w:type="auto"/>
            <w:gridSpan w:val="2"/>
            <w:vAlign w:val="bottom"/>
            <w:hideMark/>
          </w:tcPr>
          <w:p w14:paraId="2BC70550"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0D238E6E"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281BC69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C9D496B"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916762C"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DC049D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4DD2DAB"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42DE970"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3061523E"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209CE539"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E12873C" w14:textId="77777777" w:rsidR="00000000" w:rsidRDefault="00832D71">
            <w:pPr>
              <w:pStyle w:val="a3"/>
              <w:spacing w:before="0" w:beforeAutospacing="0" w:after="0" w:afterAutospacing="0"/>
              <w:jc w:val="right"/>
              <w:rPr>
                <w:sz w:val="16"/>
                <w:szCs w:val="16"/>
              </w:rPr>
            </w:pPr>
            <w:r>
              <w:rPr>
                <w:sz w:val="16"/>
                <w:szCs w:val="16"/>
              </w:rPr>
              <w:t>47,81</w:t>
            </w:r>
            <w:r>
              <w:rPr>
                <w:sz w:val="16"/>
                <w:szCs w:val="16"/>
              </w:rPr>
              <w:t>8</w:t>
            </w:r>
          </w:p>
        </w:tc>
        <w:tc>
          <w:tcPr>
            <w:tcW w:w="0" w:type="auto"/>
            <w:noWrap/>
            <w:vAlign w:val="bottom"/>
            <w:hideMark/>
          </w:tcPr>
          <w:p w14:paraId="67DAE63B"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3BF52AE"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DD3B09B"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D2B0A84" w14:textId="77777777" w:rsidR="00000000" w:rsidRDefault="00832D71">
            <w:pPr>
              <w:pStyle w:val="a3"/>
              <w:spacing w:before="0" w:beforeAutospacing="0" w:after="0" w:afterAutospacing="0"/>
              <w:jc w:val="right"/>
              <w:rPr>
                <w:sz w:val="16"/>
                <w:szCs w:val="16"/>
              </w:rPr>
            </w:pPr>
            <w:r>
              <w:rPr>
                <w:sz w:val="16"/>
                <w:szCs w:val="16"/>
              </w:rPr>
              <w:t>620,20</w:t>
            </w:r>
            <w:r>
              <w:rPr>
                <w:sz w:val="16"/>
                <w:szCs w:val="16"/>
              </w:rPr>
              <w:t>2</w:t>
            </w:r>
          </w:p>
        </w:tc>
        <w:tc>
          <w:tcPr>
            <w:tcW w:w="0" w:type="auto"/>
            <w:noWrap/>
            <w:vAlign w:val="bottom"/>
            <w:hideMark/>
          </w:tcPr>
          <w:p w14:paraId="273F4C7C" w14:textId="77777777" w:rsidR="00000000" w:rsidRDefault="00832D71">
            <w:pPr>
              <w:pStyle w:val="a3"/>
              <w:spacing w:before="0" w:beforeAutospacing="0" w:after="0" w:afterAutospacing="0"/>
              <w:rPr>
                <w:sz w:val="16"/>
                <w:szCs w:val="16"/>
              </w:rPr>
            </w:pPr>
            <w:r>
              <w:rPr>
                <w:sz w:val="16"/>
                <w:szCs w:val="16"/>
              </w:rPr>
              <w:t> </w:t>
            </w:r>
          </w:p>
        </w:tc>
      </w:tr>
      <w:tr w:rsidR="00000000" w14:paraId="660AD237" w14:textId="77777777">
        <w:trPr>
          <w:trHeight w:val="160"/>
          <w:tblCellSpacing w:w="15" w:type="dxa"/>
        </w:trPr>
        <w:tc>
          <w:tcPr>
            <w:tcW w:w="0" w:type="auto"/>
            <w:vAlign w:val="bottom"/>
            <w:hideMark/>
          </w:tcPr>
          <w:p w14:paraId="5EED817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88BE7FA"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A4F3B70" w14:textId="77777777" w:rsidR="00000000" w:rsidRDefault="00832D71">
            <w:pPr>
              <w:pStyle w:val="a3"/>
              <w:spacing w:before="0" w:beforeAutospacing="0" w:after="0" w:afterAutospacing="0"/>
              <w:jc w:val="center"/>
              <w:rPr>
                <w:sz w:val="16"/>
                <w:szCs w:val="16"/>
              </w:rPr>
            </w:pPr>
            <w:r>
              <w:rPr>
                <w:sz w:val="16"/>
                <w:szCs w:val="16"/>
              </w:rPr>
              <w:t>Bonus (2</w:t>
            </w:r>
            <w:r>
              <w:rPr>
                <w:sz w:val="16"/>
                <w:szCs w:val="16"/>
              </w:rPr>
              <w:t>)</w:t>
            </w:r>
          </w:p>
        </w:tc>
        <w:tc>
          <w:tcPr>
            <w:tcW w:w="0" w:type="auto"/>
            <w:vAlign w:val="bottom"/>
            <w:hideMark/>
          </w:tcPr>
          <w:p w14:paraId="1CA7F475"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259EBE4" w14:textId="77777777" w:rsidR="00000000" w:rsidRDefault="00832D71">
            <w:pPr>
              <w:pStyle w:val="a3"/>
              <w:spacing w:before="0" w:beforeAutospacing="0" w:after="0" w:afterAutospacing="0"/>
              <w:jc w:val="center"/>
              <w:rPr>
                <w:sz w:val="16"/>
                <w:szCs w:val="16"/>
              </w:rPr>
            </w:pPr>
            <w:r>
              <w:rPr>
                <w:sz w:val="16"/>
                <w:szCs w:val="16"/>
              </w:rPr>
              <w:t>27 Sep 2</w:t>
            </w:r>
            <w:r>
              <w:rPr>
                <w:sz w:val="16"/>
                <w:szCs w:val="16"/>
              </w:rPr>
              <w:t>1</w:t>
            </w:r>
          </w:p>
        </w:tc>
        <w:tc>
          <w:tcPr>
            <w:tcW w:w="0" w:type="auto"/>
            <w:vAlign w:val="bottom"/>
            <w:hideMark/>
          </w:tcPr>
          <w:p w14:paraId="7EBB7D4A"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9C27CA3" w14:textId="77777777" w:rsidR="00000000" w:rsidRDefault="00832D71">
            <w:pPr>
              <w:pStyle w:val="a3"/>
              <w:spacing w:before="0" w:beforeAutospacing="0" w:after="0" w:afterAutospacing="0"/>
              <w:jc w:val="center"/>
              <w:rPr>
                <w:sz w:val="16"/>
                <w:szCs w:val="16"/>
              </w:rPr>
            </w:pPr>
            <w:r>
              <w:rPr>
                <w:sz w:val="16"/>
                <w:szCs w:val="16"/>
              </w:rPr>
              <w:t>9 Nov 2</w:t>
            </w:r>
            <w:r>
              <w:rPr>
                <w:sz w:val="16"/>
                <w:szCs w:val="16"/>
              </w:rPr>
              <w:t>1</w:t>
            </w:r>
          </w:p>
        </w:tc>
        <w:tc>
          <w:tcPr>
            <w:tcW w:w="0" w:type="auto"/>
            <w:vAlign w:val="bottom"/>
            <w:hideMark/>
          </w:tcPr>
          <w:p w14:paraId="353463B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5E13520"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1BBFCC77"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2813C1C8"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8FDD340"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5C9DFD90" w14:textId="77777777" w:rsidR="00000000" w:rsidRDefault="00832D71">
            <w:pPr>
              <w:pStyle w:val="a3"/>
              <w:spacing w:before="0" w:beforeAutospacing="0" w:after="0" w:afterAutospacing="0"/>
              <w:jc w:val="right"/>
              <w:rPr>
                <w:sz w:val="16"/>
                <w:szCs w:val="16"/>
              </w:rPr>
            </w:pPr>
            <w:r>
              <w:rPr>
                <w:sz w:val="16"/>
                <w:szCs w:val="16"/>
              </w:rPr>
              <w:t>320,00</w:t>
            </w:r>
            <w:r>
              <w:rPr>
                <w:sz w:val="16"/>
                <w:szCs w:val="16"/>
              </w:rPr>
              <w:t>0</w:t>
            </w:r>
          </w:p>
        </w:tc>
        <w:tc>
          <w:tcPr>
            <w:tcW w:w="0" w:type="auto"/>
            <w:noWrap/>
            <w:vAlign w:val="bottom"/>
            <w:hideMark/>
          </w:tcPr>
          <w:p w14:paraId="341569CF"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48904A4"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0783C446"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50D69D9" w14:textId="77777777" w:rsidR="00000000" w:rsidRDefault="00832D71">
            <w:pPr>
              <w:pStyle w:val="a3"/>
              <w:spacing w:before="0" w:beforeAutospacing="0" w:after="0" w:afterAutospacing="0"/>
              <w:jc w:val="right"/>
              <w:rPr>
                <w:sz w:val="16"/>
                <w:szCs w:val="16"/>
              </w:rPr>
            </w:pPr>
            <w:r>
              <w:rPr>
                <w:sz w:val="16"/>
                <w:szCs w:val="16"/>
              </w:rPr>
              <w:t>496,00</w:t>
            </w:r>
            <w:r>
              <w:rPr>
                <w:sz w:val="16"/>
                <w:szCs w:val="16"/>
              </w:rPr>
              <w:t>0</w:t>
            </w:r>
          </w:p>
        </w:tc>
        <w:tc>
          <w:tcPr>
            <w:tcW w:w="0" w:type="auto"/>
            <w:noWrap/>
            <w:vAlign w:val="bottom"/>
            <w:hideMark/>
          </w:tcPr>
          <w:p w14:paraId="4EA2A16B"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0175BD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B2A2184"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0A548E76"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68E9FF9C" w14:textId="77777777" w:rsidR="00000000" w:rsidRDefault="00832D71">
            <w:pPr>
              <w:pStyle w:val="a3"/>
              <w:spacing w:before="0" w:beforeAutospacing="0" w:after="0" w:afterAutospacing="0"/>
              <w:rPr>
                <w:sz w:val="22"/>
                <w:szCs w:val="22"/>
              </w:rPr>
            </w:pPr>
            <w:r>
              <w:rPr>
                <w:sz w:val="22"/>
                <w:szCs w:val="22"/>
              </w:rPr>
              <w:t> </w:t>
            </w:r>
          </w:p>
        </w:tc>
        <w:tc>
          <w:tcPr>
            <w:tcW w:w="0" w:type="auto"/>
            <w:gridSpan w:val="2"/>
            <w:vAlign w:val="bottom"/>
            <w:hideMark/>
          </w:tcPr>
          <w:p w14:paraId="73FFED18"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3C37A15D"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3D36392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43AD113"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3F73AC2E"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3A1383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AF6E8E7"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D51CBF9" w14:textId="77777777" w:rsidR="00000000" w:rsidRDefault="00832D71">
            <w:pPr>
              <w:pStyle w:val="a3"/>
              <w:spacing w:before="0" w:beforeAutospacing="0" w:after="0" w:afterAutospacing="0"/>
              <w:jc w:val="right"/>
              <w:rPr>
                <w:sz w:val="16"/>
                <w:szCs w:val="16"/>
              </w:rPr>
            </w:pPr>
            <w:r>
              <w:rPr>
                <w:sz w:val="16"/>
                <w:szCs w:val="16"/>
              </w:rPr>
              <w:t> </w:t>
            </w:r>
          </w:p>
        </w:tc>
      </w:tr>
      <w:tr w:rsidR="00000000" w14:paraId="6C18A781" w14:textId="77777777">
        <w:trPr>
          <w:trHeight w:val="160"/>
          <w:tblCellSpacing w:w="15" w:type="dxa"/>
        </w:trPr>
        <w:tc>
          <w:tcPr>
            <w:tcW w:w="0" w:type="auto"/>
            <w:vAlign w:val="bottom"/>
            <w:hideMark/>
          </w:tcPr>
          <w:p w14:paraId="482F821D"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19F6F3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C7AABA2" w14:textId="77777777" w:rsidR="00000000" w:rsidRDefault="00832D71">
            <w:pPr>
              <w:pStyle w:val="a3"/>
              <w:spacing w:before="0" w:beforeAutospacing="0" w:after="0" w:afterAutospacing="0"/>
              <w:jc w:val="center"/>
              <w:rPr>
                <w:sz w:val="16"/>
                <w:szCs w:val="16"/>
              </w:rPr>
            </w:pPr>
            <w:r>
              <w:rPr>
                <w:sz w:val="16"/>
                <w:szCs w:val="16"/>
              </w:rPr>
              <w:t>LTIP (3</w:t>
            </w:r>
            <w:r>
              <w:rPr>
                <w:sz w:val="16"/>
                <w:szCs w:val="16"/>
              </w:rPr>
              <w:t>)</w:t>
            </w:r>
          </w:p>
        </w:tc>
        <w:tc>
          <w:tcPr>
            <w:tcW w:w="0" w:type="auto"/>
            <w:vAlign w:val="bottom"/>
            <w:hideMark/>
          </w:tcPr>
          <w:p w14:paraId="49173C1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B69412F" w14:textId="77777777" w:rsidR="00000000" w:rsidRDefault="00832D71">
            <w:pPr>
              <w:pStyle w:val="a3"/>
              <w:spacing w:before="0" w:beforeAutospacing="0" w:after="0" w:afterAutospacing="0"/>
              <w:jc w:val="center"/>
              <w:rPr>
                <w:sz w:val="16"/>
                <w:szCs w:val="16"/>
              </w:rPr>
            </w:pPr>
            <w:r>
              <w:rPr>
                <w:sz w:val="16"/>
                <w:szCs w:val="16"/>
              </w:rPr>
              <w:t>27 Sep 2</w:t>
            </w:r>
            <w:r>
              <w:rPr>
                <w:sz w:val="16"/>
                <w:szCs w:val="16"/>
              </w:rPr>
              <w:t>1</w:t>
            </w:r>
          </w:p>
        </w:tc>
        <w:tc>
          <w:tcPr>
            <w:tcW w:w="0" w:type="auto"/>
            <w:vAlign w:val="bottom"/>
            <w:hideMark/>
          </w:tcPr>
          <w:p w14:paraId="2FF66119"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9F7B854" w14:textId="77777777" w:rsidR="00000000" w:rsidRDefault="00832D71">
            <w:pPr>
              <w:pStyle w:val="a3"/>
              <w:spacing w:before="0" w:beforeAutospacing="0" w:after="0" w:afterAutospacing="0"/>
              <w:jc w:val="center"/>
              <w:rPr>
                <w:sz w:val="16"/>
                <w:szCs w:val="16"/>
              </w:rPr>
            </w:pPr>
            <w:r>
              <w:rPr>
                <w:sz w:val="16"/>
                <w:szCs w:val="16"/>
              </w:rPr>
              <w:t>9 Nov 2</w:t>
            </w:r>
            <w:r>
              <w:rPr>
                <w:sz w:val="16"/>
                <w:szCs w:val="16"/>
              </w:rPr>
              <w:t>1</w:t>
            </w:r>
          </w:p>
        </w:tc>
        <w:tc>
          <w:tcPr>
            <w:tcW w:w="0" w:type="auto"/>
            <w:vAlign w:val="bottom"/>
            <w:hideMark/>
          </w:tcPr>
          <w:p w14:paraId="4F67237D"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center"/>
            <w:hideMark/>
          </w:tcPr>
          <w:p w14:paraId="42C95C5C" w14:textId="77777777" w:rsidR="00000000" w:rsidRDefault="00832D71">
            <w:pPr>
              <w:pStyle w:val="a3"/>
              <w:spacing w:before="0" w:beforeAutospacing="0" w:after="0" w:afterAutospacing="0"/>
              <w:rPr>
                <w:sz w:val="16"/>
                <w:szCs w:val="16"/>
              </w:rPr>
            </w:pPr>
            <w:r>
              <w:rPr>
                <w:sz w:val="16"/>
                <w:szCs w:val="16"/>
              </w:rPr>
              <w:t> </w:t>
            </w:r>
          </w:p>
        </w:tc>
        <w:tc>
          <w:tcPr>
            <w:tcW w:w="0" w:type="auto"/>
            <w:vAlign w:val="center"/>
            <w:hideMark/>
          </w:tcPr>
          <w:p w14:paraId="41E9091E" w14:textId="77777777" w:rsidR="00000000" w:rsidRDefault="00832D71">
            <w:pPr>
              <w:pStyle w:val="a3"/>
              <w:spacing w:before="0" w:beforeAutospacing="0" w:after="0" w:afterAutospacing="0"/>
              <w:jc w:val="right"/>
              <w:rPr>
                <w:sz w:val="16"/>
                <w:szCs w:val="16"/>
              </w:rPr>
            </w:pPr>
            <w:r>
              <w:rPr>
                <w:sz w:val="16"/>
                <w:szCs w:val="16"/>
              </w:rPr>
              <w:t>15,75</w:t>
            </w:r>
            <w:r>
              <w:rPr>
                <w:sz w:val="16"/>
                <w:szCs w:val="16"/>
              </w:rPr>
              <w:t>2</w:t>
            </w:r>
          </w:p>
        </w:tc>
        <w:tc>
          <w:tcPr>
            <w:tcW w:w="0" w:type="auto"/>
            <w:noWrap/>
            <w:vAlign w:val="center"/>
            <w:hideMark/>
          </w:tcPr>
          <w:p w14:paraId="240F999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585147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D6E2F48"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6718BD23"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3B1CDBB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D25691F"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F3EB734"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24074A24"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46B4117B"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050F83B0" w14:textId="77777777" w:rsidR="00000000" w:rsidRDefault="00832D71">
            <w:pPr>
              <w:pStyle w:val="a3"/>
              <w:spacing w:before="0" w:beforeAutospacing="0" w:after="0" w:afterAutospacing="0"/>
              <w:jc w:val="right"/>
              <w:rPr>
                <w:sz w:val="16"/>
                <w:szCs w:val="16"/>
              </w:rPr>
            </w:pPr>
            <w:r>
              <w:rPr>
                <w:sz w:val="16"/>
                <w:szCs w:val="16"/>
              </w:rPr>
              <w:t>301,43</w:t>
            </w:r>
            <w:r>
              <w:rPr>
                <w:sz w:val="16"/>
                <w:szCs w:val="16"/>
              </w:rPr>
              <w:t>3</w:t>
            </w:r>
          </w:p>
        </w:tc>
        <w:tc>
          <w:tcPr>
            <w:tcW w:w="0" w:type="auto"/>
            <w:noWrap/>
            <w:vAlign w:val="bottom"/>
            <w:hideMark/>
          </w:tcPr>
          <w:p w14:paraId="3F3BAEE9"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FB1EE6B"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8146D8B"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2BB2BE9" w14:textId="77777777" w:rsidR="00000000" w:rsidRDefault="00832D71">
            <w:pPr>
              <w:pStyle w:val="a3"/>
              <w:spacing w:before="0" w:beforeAutospacing="0" w:after="0" w:afterAutospacing="0"/>
              <w:jc w:val="right"/>
              <w:rPr>
                <w:sz w:val="16"/>
                <w:szCs w:val="16"/>
              </w:rPr>
            </w:pPr>
            <w:r>
              <w:rPr>
                <w:sz w:val="16"/>
                <w:szCs w:val="16"/>
              </w:rPr>
              <w:t>452,15</w:t>
            </w:r>
            <w:r>
              <w:rPr>
                <w:sz w:val="16"/>
                <w:szCs w:val="16"/>
              </w:rPr>
              <w:t>0</w:t>
            </w:r>
          </w:p>
        </w:tc>
        <w:tc>
          <w:tcPr>
            <w:tcW w:w="0" w:type="auto"/>
            <w:noWrap/>
            <w:vAlign w:val="bottom"/>
            <w:hideMark/>
          </w:tcPr>
          <w:p w14:paraId="41906F3F"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D08A96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0582612"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0B93CDB"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D607FD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A16271E"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EE7579A" w14:textId="77777777" w:rsidR="00000000" w:rsidRDefault="00832D71">
            <w:pPr>
              <w:pStyle w:val="a3"/>
              <w:spacing w:before="0" w:beforeAutospacing="0" w:after="0" w:afterAutospacing="0"/>
              <w:jc w:val="right"/>
              <w:rPr>
                <w:sz w:val="16"/>
                <w:szCs w:val="16"/>
              </w:rPr>
            </w:pPr>
            <w:r>
              <w:rPr>
                <w:sz w:val="16"/>
                <w:szCs w:val="16"/>
              </w:rPr>
              <w:t> </w:t>
            </w:r>
          </w:p>
        </w:tc>
      </w:tr>
      <w:tr w:rsidR="00000000" w14:paraId="4F8494AC" w14:textId="77777777">
        <w:trPr>
          <w:trHeight w:val="160"/>
          <w:tblCellSpacing w:w="15" w:type="dxa"/>
        </w:trPr>
        <w:tc>
          <w:tcPr>
            <w:tcW w:w="0" w:type="auto"/>
            <w:vAlign w:val="bottom"/>
            <w:hideMark/>
          </w:tcPr>
          <w:p w14:paraId="08DEE3AC"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9D0EEDC"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F6862AA" w14:textId="77777777" w:rsidR="00000000" w:rsidRDefault="00832D71">
            <w:pPr>
              <w:pStyle w:val="a3"/>
              <w:spacing w:before="0" w:beforeAutospacing="0" w:after="0" w:afterAutospacing="0"/>
              <w:jc w:val="center"/>
              <w:rPr>
                <w:sz w:val="16"/>
                <w:szCs w:val="16"/>
              </w:rPr>
            </w:pPr>
            <w:r>
              <w:rPr>
                <w:sz w:val="16"/>
                <w:szCs w:val="16"/>
              </w:rPr>
              <w:t>DER (4</w:t>
            </w:r>
            <w:r>
              <w:rPr>
                <w:sz w:val="16"/>
                <w:szCs w:val="16"/>
              </w:rPr>
              <w:t>)</w:t>
            </w:r>
          </w:p>
        </w:tc>
        <w:tc>
          <w:tcPr>
            <w:tcW w:w="0" w:type="auto"/>
            <w:vAlign w:val="bottom"/>
            <w:hideMark/>
          </w:tcPr>
          <w:p w14:paraId="329DC71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9EB5ABA" w14:textId="77777777" w:rsidR="00000000" w:rsidRDefault="00832D71">
            <w:pPr>
              <w:pStyle w:val="a3"/>
              <w:spacing w:before="0" w:beforeAutospacing="0" w:after="0" w:afterAutospacing="0"/>
              <w:jc w:val="center"/>
              <w:rPr>
                <w:sz w:val="16"/>
                <w:szCs w:val="16"/>
              </w:rPr>
            </w:pPr>
            <w:r>
              <w:rPr>
                <w:sz w:val="16"/>
                <w:szCs w:val="16"/>
              </w:rPr>
              <w:t>17 Jan 1</w:t>
            </w:r>
            <w:r>
              <w:rPr>
                <w:sz w:val="16"/>
                <w:szCs w:val="16"/>
              </w:rPr>
              <w:t>7</w:t>
            </w:r>
          </w:p>
        </w:tc>
        <w:tc>
          <w:tcPr>
            <w:tcW w:w="0" w:type="auto"/>
            <w:vAlign w:val="bottom"/>
            <w:hideMark/>
          </w:tcPr>
          <w:p w14:paraId="05047335"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6C45F5F" w14:textId="77777777" w:rsidR="00000000" w:rsidRDefault="00832D71">
            <w:pPr>
              <w:pStyle w:val="a3"/>
              <w:spacing w:before="0" w:beforeAutospacing="0" w:after="0" w:afterAutospacing="0"/>
              <w:jc w:val="center"/>
              <w:rPr>
                <w:sz w:val="16"/>
                <w:szCs w:val="16"/>
              </w:rPr>
            </w:pPr>
            <w:r>
              <w:rPr>
                <w:sz w:val="16"/>
                <w:szCs w:val="16"/>
              </w:rPr>
              <w:t>17 Jan 1</w:t>
            </w:r>
            <w:r>
              <w:rPr>
                <w:sz w:val="16"/>
                <w:szCs w:val="16"/>
              </w:rPr>
              <w:t>7</w:t>
            </w:r>
          </w:p>
        </w:tc>
        <w:tc>
          <w:tcPr>
            <w:tcW w:w="0" w:type="auto"/>
            <w:vAlign w:val="bottom"/>
            <w:hideMark/>
          </w:tcPr>
          <w:p w14:paraId="068B6BF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2DB8F1BD"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center"/>
            <w:hideMark/>
          </w:tcPr>
          <w:p w14:paraId="2B1EBCC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53DAF7B"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A81E590"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2450A406" w14:textId="77777777" w:rsidR="00000000" w:rsidRDefault="00832D71">
            <w:pPr>
              <w:pStyle w:val="a3"/>
              <w:spacing w:before="0" w:beforeAutospacing="0" w:after="0" w:afterAutospacing="0"/>
              <w:jc w:val="right"/>
              <w:rPr>
                <w:sz w:val="16"/>
                <w:szCs w:val="16"/>
              </w:rPr>
            </w:pPr>
            <w:r>
              <w:rPr>
                <w:sz w:val="16"/>
                <w:szCs w:val="16"/>
              </w:rPr>
              <w:t>111,45</w:t>
            </w:r>
            <w:r>
              <w:rPr>
                <w:sz w:val="16"/>
                <w:szCs w:val="16"/>
              </w:rPr>
              <w:t>3</w:t>
            </w:r>
          </w:p>
        </w:tc>
        <w:tc>
          <w:tcPr>
            <w:tcW w:w="0" w:type="auto"/>
            <w:noWrap/>
            <w:vAlign w:val="bottom"/>
            <w:hideMark/>
          </w:tcPr>
          <w:p w14:paraId="44B1446F"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F9B306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F9C2C8A"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5659D87"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2658ED0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C8A0D18"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7252C9C"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82D1CD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5B71D9F"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CF8303C"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85F2E9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68BF514"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245FB5F"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1C9562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3FA427A"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2D4F9EB" w14:textId="77777777" w:rsidR="00000000" w:rsidRDefault="00832D71">
            <w:pPr>
              <w:pStyle w:val="a3"/>
              <w:spacing w:before="0" w:beforeAutospacing="0" w:after="0" w:afterAutospacing="0"/>
              <w:jc w:val="right"/>
              <w:rPr>
                <w:sz w:val="16"/>
                <w:szCs w:val="16"/>
              </w:rPr>
            </w:pPr>
            <w:r>
              <w:rPr>
                <w:sz w:val="16"/>
                <w:szCs w:val="16"/>
              </w:rPr>
              <w:t> </w:t>
            </w:r>
          </w:p>
        </w:tc>
      </w:tr>
      <w:tr w:rsidR="00000000" w14:paraId="15D79EBF" w14:textId="77777777">
        <w:trPr>
          <w:tblCellSpacing w:w="15" w:type="dxa"/>
        </w:trPr>
        <w:tc>
          <w:tcPr>
            <w:tcW w:w="0" w:type="auto"/>
            <w:vAlign w:val="bottom"/>
            <w:hideMark/>
          </w:tcPr>
          <w:p w14:paraId="2C485E55"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F57A02B"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FA881C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E87F91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16B2DCF"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7C94B39"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0578833"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910D2B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757157B3"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center"/>
            <w:hideMark/>
          </w:tcPr>
          <w:p w14:paraId="183E735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EDB166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5F6A8A3"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2B0326F"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3C8B8F2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0FFF2A2"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60C206C"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A44947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4009323"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351993DC"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314A393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781A1BD"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3269054"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97B90A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468271D"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AB146F8"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DFC843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B690FF1"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89561D8" w14:textId="77777777" w:rsidR="00000000" w:rsidRDefault="00832D71">
            <w:pPr>
              <w:pStyle w:val="a3"/>
              <w:spacing w:before="0" w:beforeAutospacing="0" w:after="0" w:afterAutospacing="0"/>
              <w:jc w:val="right"/>
              <w:rPr>
                <w:sz w:val="16"/>
                <w:szCs w:val="16"/>
              </w:rPr>
            </w:pPr>
            <w:r>
              <w:rPr>
                <w:sz w:val="16"/>
                <w:szCs w:val="16"/>
              </w:rPr>
              <w:t> </w:t>
            </w:r>
          </w:p>
        </w:tc>
      </w:tr>
      <w:tr w:rsidR="00000000" w14:paraId="2D970664" w14:textId="77777777">
        <w:trPr>
          <w:trHeight w:val="160"/>
          <w:tblCellSpacing w:w="15" w:type="dxa"/>
        </w:trPr>
        <w:tc>
          <w:tcPr>
            <w:tcW w:w="0" w:type="auto"/>
            <w:vAlign w:val="bottom"/>
            <w:hideMark/>
          </w:tcPr>
          <w:p w14:paraId="0BF1C1DB" w14:textId="77777777" w:rsidR="00000000" w:rsidRDefault="00832D71">
            <w:pPr>
              <w:pStyle w:val="a3"/>
              <w:spacing w:before="0" w:beforeAutospacing="0" w:after="0" w:afterAutospacing="0"/>
              <w:rPr>
                <w:sz w:val="16"/>
                <w:szCs w:val="16"/>
              </w:rPr>
            </w:pPr>
            <w:r>
              <w:rPr>
                <w:sz w:val="16"/>
                <w:szCs w:val="16"/>
              </w:rPr>
              <w:t>Neil E. Scanlo</w:t>
            </w:r>
            <w:r>
              <w:rPr>
                <w:sz w:val="16"/>
                <w:szCs w:val="16"/>
              </w:rPr>
              <w:t>n</w:t>
            </w:r>
          </w:p>
        </w:tc>
        <w:tc>
          <w:tcPr>
            <w:tcW w:w="0" w:type="auto"/>
            <w:vAlign w:val="bottom"/>
            <w:hideMark/>
          </w:tcPr>
          <w:p w14:paraId="54A6B870"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AFE7E47" w14:textId="77777777" w:rsidR="00000000" w:rsidRDefault="00832D71">
            <w:pPr>
              <w:pStyle w:val="a3"/>
              <w:spacing w:before="0" w:beforeAutospacing="0" w:after="0" w:afterAutospacing="0"/>
              <w:jc w:val="center"/>
              <w:rPr>
                <w:sz w:val="16"/>
                <w:szCs w:val="16"/>
              </w:rPr>
            </w:pPr>
            <w:r>
              <w:rPr>
                <w:sz w:val="16"/>
                <w:szCs w:val="16"/>
              </w:rPr>
              <w:t>RUP (1</w:t>
            </w:r>
            <w:r>
              <w:rPr>
                <w:sz w:val="16"/>
                <w:szCs w:val="16"/>
              </w:rPr>
              <w:t>)</w:t>
            </w:r>
          </w:p>
        </w:tc>
        <w:tc>
          <w:tcPr>
            <w:tcW w:w="0" w:type="auto"/>
            <w:vAlign w:val="bottom"/>
            <w:hideMark/>
          </w:tcPr>
          <w:p w14:paraId="303F1840"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F921A66" w14:textId="77777777" w:rsidR="00000000" w:rsidRDefault="00832D71">
            <w:pPr>
              <w:pStyle w:val="a3"/>
              <w:spacing w:before="0" w:beforeAutospacing="0" w:after="0" w:afterAutospacing="0"/>
              <w:jc w:val="center"/>
              <w:rPr>
                <w:sz w:val="16"/>
                <w:szCs w:val="16"/>
              </w:rPr>
            </w:pPr>
            <w:r>
              <w:rPr>
                <w:sz w:val="16"/>
                <w:szCs w:val="16"/>
              </w:rPr>
              <w:t>15 Nov 2</w:t>
            </w:r>
            <w:r>
              <w:rPr>
                <w:sz w:val="16"/>
                <w:szCs w:val="16"/>
              </w:rPr>
              <w:t>1</w:t>
            </w:r>
          </w:p>
        </w:tc>
        <w:tc>
          <w:tcPr>
            <w:tcW w:w="0" w:type="auto"/>
            <w:vAlign w:val="bottom"/>
            <w:hideMark/>
          </w:tcPr>
          <w:p w14:paraId="230BC261"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52CB884" w14:textId="77777777" w:rsidR="00000000" w:rsidRDefault="00832D71">
            <w:pPr>
              <w:pStyle w:val="a3"/>
              <w:spacing w:before="0" w:beforeAutospacing="0" w:after="0" w:afterAutospacing="0"/>
              <w:jc w:val="center"/>
              <w:rPr>
                <w:sz w:val="16"/>
                <w:szCs w:val="16"/>
              </w:rPr>
            </w:pPr>
            <w:r>
              <w:rPr>
                <w:sz w:val="16"/>
                <w:szCs w:val="16"/>
              </w:rPr>
              <w:t>9 Nov 2</w:t>
            </w:r>
            <w:r>
              <w:rPr>
                <w:sz w:val="16"/>
                <w:szCs w:val="16"/>
              </w:rPr>
              <w:t>1</w:t>
            </w:r>
          </w:p>
        </w:tc>
        <w:tc>
          <w:tcPr>
            <w:tcW w:w="0" w:type="auto"/>
            <w:vAlign w:val="bottom"/>
            <w:hideMark/>
          </w:tcPr>
          <w:p w14:paraId="6FAF590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34F80AEF"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center"/>
            <w:hideMark/>
          </w:tcPr>
          <w:p w14:paraId="2AC84A1E"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0D02BD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D2E3012"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FF6E406"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D96B0F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90EE392"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B3D1F99"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2F1F5F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775E636"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610D8B85"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FAE485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C1A9922"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63719187"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6E8E2A1"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F4AF441"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9896389" w14:textId="77777777" w:rsidR="00000000" w:rsidRDefault="00832D71">
            <w:pPr>
              <w:pStyle w:val="a3"/>
              <w:spacing w:before="0" w:beforeAutospacing="0" w:after="0" w:afterAutospacing="0"/>
              <w:jc w:val="right"/>
              <w:rPr>
                <w:sz w:val="16"/>
                <w:szCs w:val="16"/>
              </w:rPr>
            </w:pPr>
            <w:r>
              <w:rPr>
                <w:sz w:val="16"/>
                <w:szCs w:val="16"/>
              </w:rPr>
              <w:t>44,63</w:t>
            </w:r>
            <w:r>
              <w:rPr>
                <w:sz w:val="16"/>
                <w:szCs w:val="16"/>
              </w:rPr>
              <w:t>1</w:t>
            </w:r>
          </w:p>
        </w:tc>
        <w:tc>
          <w:tcPr>
            <w:tcW w:w="0" w:type="auto"/>
            <w:noWrap/>
            <w:vAlign w:val="bottom"/>
            <w:hideMark/>
          </w:tcPr>
          <w:p w14:paraId="26BC7DC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831EA46"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1DF55500"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67CAA51C" w14:textId="77777777" w:rsidR="00000000" w:rsidRDefault="00832D71">
            <w:pPr>
              <w:pStyle w:val="a3"/>
              <w:spacing w:before="0" w:beforeAutospacing="0" w:after="0" w:afterAutospacing="0"/>
              <w:jc w:val="right"/>
              <w:rPr>
                <w:sz w:val="16"/>
                <w:szCs w:val="16"/>
              </w:rPr>
            </w:pPr>
            <w:r>
              <w:rPr>
                <w:sz w:val="16"/>
                <w:szCs w:val="16"/>
              </w:rPr>
              <w:t>578,86</w:t>
            </w:r>
            <w:r>
              <w:rPr>
                <w:sz w:val="16"/>
                <w:szCs w:val="16"/>
              </w:rPr>
              <w:t>4</w:t>
            </w:r>
          </w:p>
        </w:tc>
        <w:tc>
          <w:tcPr>
            <w:tcW w:w="0" w:type="auto"/>
            <w:noWrap/>
            <w:vAlign w:val="bottom"/>
            <w:hideMark/>
          </w:tcPr>
          <w:p w14:paraId="642D0148" w14:textId="77777777" w:rsidR="00000000" w:rsidRDefault="00832D71">
            <w:pPr>
              <w:pStyle w:val="a3"/>
              <w:spacing w:before="0" w:beforeAutospacing="0" w:after="0" w:afterAutospacing="0"/>
              <w:rPr>
                <w:sz w:val="16"/>
                <w:szCs w:val="16"/>
              </w:rPr>
            </w:pPr>
            <w:r>
              <w:rPr>
                <w:sz w:val="16"/>
                <w:szCs w:val="16"/>
              </w:rPr>
              <w:t> </w:t>
            </w:r>
          </w:p>
        </w:tc>
      </w:tr>
      <w:tr w:rsidR="00000000" w14:paraId="78321BCC" w14:textId="77777777">
        <w:trPr>
          <w:trHeight w:val="160"/>
          <w:tblCellSpacing w:w="15" w:type="dxa"/>
        </w:trPr>
        <w:tc>
          <w:tcPr>
            <w:tcW w:w="0" w:type="auto"/>
            <w:vAlign w:val="bottom"/>
            <w:hideMark/>
          </w:tcPr>
          <w:p w14:paraId="15DCFF00"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A2F6037"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68B072E" w14:textId="77777777" w:rsidR="00000000" w:rsidRDefault="00832D71">
            <w:pPr>
              <w:pStyle w:val="a3"/>
              <w:spacing w:before="0" w:beforeAutospacing="0" w:after="0" w:afterAutospacing="0"/>
              <w:jc w:val="center"/>
              <w:rPr>
                <w:sz w:val="16"/>
                <w:szCs w:val="16"/>
              </w:rPr>
            </w:pPr>
            <w:r>
              <w:rPr>
                <w:sz w:val="16"/>
                <w:szCs w:val="16"/>
              </w:rPr>
              <w:t>Bonus (2</w:t>
            </w:r>
            <w:r>
              <w:rPr>
                <w:sz w:val="16"/>
                <w:szCs w:val="16"/>
              </w:rPr>
              <w:t>)</w:t>
            </w:r>
          </w:p>
        </w:tc>
        <w:tc>
          <w:tcPr>
            <w:tcW w:w="0" w:type="auto"/>
            <w:vAlign w:val="bottom"/>
            <w:hideMark/>
          </w:tcPr>
          <w:p w14:paraId="7E9F4A7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FF7F658" w14:textId="77777777" w:rsidR="00000000" w:rsidRDefault="00832D71">
            <w:pPr>
              <w:pStyle w:val="a3"/>
              <w:spacing w:before="0" w:beforeAutospacing="0" w:after="0" w:afterAutospacing="0"/>
              <w:jc w:val="center"/>
              <w:rPr>
                <w:sz w:val="16"/>
                <w:szCs w:val="16"/>
              </w:rPr>
            </w:pPr>
            <w:r>
              <w:rPr>
                <w:sz w:val="16"/>
                <w:szCs w:val="16"/>
              </w:rPr>
              <w:t>27 Sep 2</w:t>
            </w:r>
            <w:r>
              <w:rPr>
                <w:sz w:val="16"/>
                <w:szCs w:val="16"/>
              </w:rPr>
              <w:t>1</w:t>
            </w:r>
          </w:p>
        </w:tc>
        <w:tc>
          <w:tcPr>
            <w:tcW w:w="0" w:type="auto"/>
            <w:vAlign w:val="bottom"/>
            <w:hideMark/>
          </w:tcPr>
          <w:p w14:paraId="26B25C6C"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3905588" w14:textId="77777777" w:rsidR="00000000" w:rsidRDefault="00832D71">
            <w:pPr>
              <w:pStyle w:val="a3"/>
              <w:spacing w:before="0" w:beforeAutospacing="0" w:after="0" w:afterAutospacing="0"/>
              <w:jc w:val="center"/>
              <w:rPr>
                <w:sz w:val="16"/>
                <w:szCs w:val="16"/>
              </w:rPr>
            </w:pPr>
            <w:r>
              <w:rPr>
                <w:sz w:val="16"/>
                <w:szCs w:val="16"/>
              </w:rPr>
              <w:t>9 Nov 2</w:t>
            </w:r>
            <w:r>
              <w:rPr>
                <w:sz w:val="16"/>
                <w:szCs w:val="16"/>
              </w:rPr>
              <w:t>1</w:t>
            </w:r>
          </w:p>
        </w:tc>
        <w:tc>
          <w:tcPr>
            <w:tcW w:w="0" w:type="auto"/>
            <w:vAlign w:val="bottom"/>
            <w:hideMark/>
          </w:tcPr>
          <w:p w14:paraId="732E020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center"/>
            <w:hideMark/>
          </w:tcPr>
          <w:p w14:paraId="47105BD3"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center"/>
            <w:hideMark/>
          </w:tcPr>
          <w:p w14:paraId="599F779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5BC59DD"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5D043FC"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11CCE614" w14:textId="77777777" w:rsidR="00000000" w:rsidRDefault="00832D71">
            <w:pPr>
              <w:pStyle w:val="a3"/>
              <w:spacing w:before="0" w:beforeAutospacing="0" w:after="0" w:afterAutospacing="0"/>
              <w:jc w:val="right"/>
              <w:rPr>
                <w:sz w:val="16"/>
                <w:szCs w:val="16"/>
              </w:rPr>
            </w:pPr>
            <w:r>
              <w:rPr>
                <w:sz w:val="16"/>
                <w:szCs w:val="16"/>
              </w:rPr>
              <w:t>280,00</w:t>
            </w:r>
            <w:r>
              <w:rPr>
                <w:sz w:val="16"/>
                <w:szCs w:val="16"/>
              </w:rPr>
              <w:t>0</w:t>
            </w:r>
          </w:p>
        </w:tc>
        <w:tc>
          <w:tcPr>
            <w:tcW w:w="0" w:type="auto"/>
            <w:noWrap/>
            <w:vAlign w:val="bottom"/>
            <w:hideMark/>
          </w:tcPr>
          <w:p w14:paraId="7CA3445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E81847D"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69C482F4"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32E0B8C9" w14:textId="77777777" w:rsidR="00000000" w:rsidRDefault="00832D71">
            <w:pPr>
              <w:pStyle w:val="a3"/>
              <w:spacing w:before="0" w:beforeAutospacing="0" w:after="0" w:afterAutospacing="0"/>
              <w:jc w:val="right"/>
              <w:rPr>
                <w:sz w:val="16"/>
                <w:szCs w:val="16"/>
              </w:rPr>
            </w:pPr>
            <w:r>
              <w:rPr>
                <w:sz w:val="16"/>
                <w:szCs w:val="16"/>
              </w:rPr>
              <w:t>434,00</w:t>
            </w:r>
            <w:r>
              <w:rPr>
                <w:sz w:val="16"/>
                <w:szCs w:val="16"/>
              </w:rPr>
              <w:t>0</w:t>
            </w:r>
          </w:p>
        </w:tc>
        <w:tc>
          <w:tcPr>
            <w:tcW w:w="0" w:type="auto"/>
            <w:noWrap/>
            <w:vAlign w:val="bottom"/>
            <w:hideMark/>
          </w:tcPr>
          <w:p w14:paraId="721DD14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CF398D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83A70F4"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650C1130"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AFC426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A8BDC01"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4283FEDC"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5CD5185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6146479"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75F7B1C"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5028C1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DC5C4B7"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2718A9AD" w14:textId="77777777" w:rsidR="00000000" w:rsidRDefault="00832D71">
            <w:pPr>
              <w:pStyle w:val="a3"/>
              <w:spacing w:before="0" w:beforeAutospacing="0" w:after="0" w:afterAutospacing="0"/>
              <w:jc w:val="right"/>
              <w:rPr>
                <w:sz w:val="16"/>
                <w:szCs w:val="16"/>
              </w:rPr>
            </w:pPr>
            <w:r>
              <w:rPr>
                <w:sz w:val="16"/>
                <w:szCs w:val="16"/>
              </w:rPr>
              <w:t> </w:t>
            </w:r>
          </w:p>
        </w:tc>
      </w:tr>
      <w:tr w:rsidR="00000000" w14:paraId="1E22C0B2" w14:textId="77777777">
        <w:trPr>
          <w:trHeight w:val="160"/>
          <w:tblCellSpacing w:w="15" w:type="dxa"/>
        </w:trPr>
        <w:tc>
          <w:tcPr>
            <w:tcW w:w="0" w:type="auto"/>
            <w:vAlign w:val="bottom"/>
            <w:hideMark/>
          </w:tcPr>
          <w:p w14:paraId="35616C07"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57A196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82CEACA" w14:textId="77777777" w:rsidR="00000000" w:rsidRDefault="00832D71">
            <w:pPr>
              <w:pStyle w:val="a3"/>
              <w:spacing w:before="0" w:beforeAutospacing="0" w:after="0" w:afterAutospacing="0"/>
              <w:jc w:val="center"/>
              <w:rPr>
                <w:sz w:val="16"/>
                <w:szCs w:val="16"/>
              </w:rPr>
            </w:pPr>
            <w:r>
              <w:rPr>
                <w:sz w:val="16"/>
                <w:szCs w:val="16"/>
              </w:rPr>
              <w:t>LTIP (3</w:t>
            </w:r>
            <w:r>
              <w:rPr>
                <w:sz w:val="16"/>
                <w:szCs w:val="16"/>
              </w:rPr>
              <w:t>)</w:t>
            </w:r>
          </w:p>
        </w:tc>
        <w:tc>
          <w:tcPr>
            <w:tcW w:w="0" w:type="auto"/>
            <w:vAlign w:val="bottom"/>
            <w:hideMark/>
          </w:tcPr>
          <w:p w14:paraId="1E38431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F729EEC" w14:textId="77777777" w:rsidR="00000000" w:rsidRDefault="00832D71">
            <w:pPr>
              <w:pStyle w:val="a3"/>
              <w:spacing w:before="0" w:beforeAutospacing="0" w:after="0" w:afterAutospacing="0"/>
              <w:jc w:val="center"/>
              <w:rPr>
                <w:sz w:val="16"/>
                <w:szCs w:val="16"/>
              </w:rPr>
            </w:pPr>
            <w:r>
              <w:rPr>
                <w:sz w:val="16"/>
                <w:szCs w:val="16"/>
              </w:rPr>
              <w:t>27 Sep 2</w:t>
            </w:r>
            <w:r>
              <w:rPr>
                <w:sz w:val="16"/>
                <w:szCs w:val="16"/>
              </w:rPr>
              <w:t>1</w:t>
            </w:r>
          </w:p>
        </w:tc>
        <w:tc>
          <w:tcPr>
            <w:tcW w:w="0" w:type="auto"/>
            <w:vAlign w:val="bottom"/>
            <w:hideMark/>
          </w:tcPr>
          <w:p w14:paraId="1B47AE3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7F30571" w14:textId="77777777" w:rsidR="00000000" w:rsidRDefault="00832D71">
            <w:pPr>
              <w:pStyle w:val="a3"/>
              <w:spacing w:before="0" w:beforeAutospacing="0" w:after="0" w:afterAutospacing="0"/>
              <w:jc w:val="center"/>
              <w:rPr>
                <w:sz w:val="16"/>
                <w:szCs w:val="16"/>
              </w:rPr>
            </w:pPr>
            <w:r>
              <w:rPr>
                <w:sz w:val="16"/>
                <w:szCs w:val="16"/>
              </w:rPr>
              <w:t>9 Nov 2</w:t>
            </w:r>
            <w:r>
              <w:rPr>
                <w:sz w:val="16"/>
                <w:szCs w:val="16"/>
              </w:rPr>
              <w:t>1</w:t>
            </w:r>
          </w:p>
        </w:tc>
        <w:tc>
          <w:tcPr>
            <w:tcW w:w="0" w:type="auto"/>
            <w:vAlign w:val="bottom"/>
            <w:hideMark/>
          </w:tcPr>
          <w:p w14:paraId="31247FE4"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center"/>
            <w:hideMark/>
          </w:tcPr>
          <w:p w14:paraId="604B1E60" w14:textId="77777777" w:rsidR="00000000" w:rsidRDefault="00832D71">
            <w:pPr>
              <w:pStyle w:val="a3"/>
              <w:spacing w:before="0" w:beforeAutospacing="0" w:after="0" w:afterAutospacing="0"/>
              <w:rPr>
                <w:sz w:val="16"/>
                <w:szCs w:val="16"/>
              </w:rPr>
            </w:pPr>
            <w:r>
              <w:rPr>
                <w:sz w:val="16"/>
                <w:szCs w:val="16"/>
              </w:rPr>
              <w:t> </w:t>
            </w:r>
          </w:p>
        </w:tc>
        <w:tc>
          <w:tcPr>
            <w:tcW w:w="0" w:type="auto"/>
            <w:vAlign w:val="center"/>
            <w:hideMark/>
          </w:tcPr>
          <w:p w14:paraId="3CD92CD4" w14:textId="77777777" w:rsidR="00000000" w:rsidRDefault="00832D71">
            <w:pPr>
              <w:pStyle w:val="a3"/>
              <w:spacing w:before="0" w:beforeAutospacing="0" w:after="0" w:afterAutospacing="0"/>
              <w:jc w:val="right"/>
              <w:rPr>
                <w:sz w:val="16"/>
                <w:szCs w:val="16"/>
              </w:rPr>
            </w:pPr>
            <w:r>
              <w:rPr>
                <w:sz w:val="16"/>
                <w:szCs w:val="16"/>
              </w:rPr>
              <w:t>13,78</w:t>
            </w:r>
            <w:r>
              <w:rPr>
                <w:sz w:val="16"/>
                <w:szCs w:val="16"/>
              </w:rPr>
              <w:t>3</w:t>
            </w:r>
          </w:p>
        </w:tc>
        <w:tc>
          <w:tcPr>
            <w:tcW w:w="0" w:type="auto"/>
            <w:noWrap/>
            <w:vAlign w:val="center"/>
            <w:hideMark/>
          </w:tcPr>
          <w:p w14:paraId="7299A6B1"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B9CC0CD"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79D2C8D"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03C2D9EB"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652EC4C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E4070F8"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193AB00A"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B803038"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7FC6C435"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07622CCE" w14:textId="77777777" w:rsidR="00000000" w:rsidRDefault="00832D71">
            <w:pPr>
              <w:pStyle w:val="a3"/>
              <w:spacing w:before="0" w:beforeAutospacing="0" w:after="0" w:afterAutospacing="0"/>
              <w:jc w:val="right"/>
              <w:rPr>
                <w:sz w:val="16"/>
                <w:szCs w:val="16"/>
              </w:rPr>
            </w:pPr>
            <w:r>
              <w:rPr>
                <w:sz w:val="16"/>
                <w:szCs w:val="16"/>
              </w:rPr>
              <w:t>263,75</w:t>
            </w:r>
            <w:r>
              <w:rPr>
                <w:sz w:val="16"/>
                <w:szCs w:val="16"/>
              </w:rPr>
              <w:t>4</w:t>
            </w:r>
          </w:p>
        </w:tc>
        <w:tc>
          <w:tcPr>
            <w:tcW w:w="0" w:type="auto"/>
            <w:noWrap/>
            <w:vAlign w:val="bottom"/>
            <w:hideMark/>
          </w:tcPr>
          <w:p w14:paraId="5C5D7E9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9CDBFE5" w14:textId="77777777" w:rsidR="00000000" w:rsidRDefault="00832D71">
            <w:pPr>
              <w:pStyle w:val="a3"/>
              <w:spacing w:before="0" w:beforeAutospacing="0" w:after="0" w:afterAutospacing="0"/>
              <w:rPr>
                <w:sz w:val="16"/>
                <w:szCs w:val="16"/>
              </w:rPr>
            </w:pPr>
            <w:r>
              <w:rPr>
                <w:sz w:val="16"/>
                <w:szCs w:val="16"/>
              </w:rPr>
              <w:t> </w:t>
            </w:r>
          </w:p>
        </w:tc>
        <w:tc>
          <w:tcPr>
            <w:tcW w:w="0" w:type="auto"/>
            <w:noWrap/>
            <w:vAlign w:val="bottom"/>
            <w:hideMark/>
          </w:tcPr>
          <w:p w14:paraId="35477CA6"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1285B896" w14:textId="77777777" w:rsidR="00000000" w:rsidRDefault="00832D71">
            <w:pPr>
              <w:pStyle w:val="a3"/>
              <w:spacing w:before="0" w:beforeAutospacing="0" w:after="0" w:afterAutospacing="0"/>
              <w:jc w:val="right"/>
              <w:rPr>
                <w:sz w:val="16"/>
                <w:szCs w:val="16"/>
              </w:rPr>
            </w:pPr>
            <w:r>
              <w:rPr>
                <w:sz w:val="16"/>
                <w:szCs w:val="16"/>
              </w:rPr>
              <w:t>395,63</w:t>
            </w:r>
            <w:r>
              <w:rPr>
                <w:sz w:val="16"/>
                <w:szCs w:val="16"/>
              </w:rPr>
              <w:t>1</w:t>
            </w:r>
          </w:p>
        </w:tc>
        <w:tc>
          <w:tcPr>
            <w:tcW w:w="0" w:type="auto"/>
            <w:noWrap/>
            <w:vAlign w:val="bottom"/>
            <w:hideMark/>
          </w:tcPr>
          <w:p w14:paraId="2F07028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AF892B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D214D9F"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31ABB01E"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2290435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37455A6" w14:textId="77777777" w:rsidR="00000000" w:rsidRDefault="00832D71">
            <w:pPr>
              <w:pStyle w:val="a3"/>
              <w:spacing w:before="0" w:beforeAutospacing="0" w:after="0" w:afterAutospacing="0"/>
              <w:jc w:val="right"/>
              <w:rPr>
                <w:sz w:val="16"/>
                <w:szCs w:val="16"/>
              </w:rPr>
            </w:pPr>
            <w:r>
              <w:rPr>
                <w:sz w:val="16"/>
                <w:szCs w:val="16"/>
              </w:rPr>
              <w:t> </w:t>
            </w:r>
          </w:p>
        </w:tc>
        <w:tc>
          <w:tcPr>
            <w:tcW w:w="0" w:type="auto"/>
            <w:vAlign w:val="bottom"/>
            <w:hideMark/>
          </w:tcPr>
          <w:p w14:paraId="71066A23" w14:textId="77777777" w:rsidR="00000000" w:rsidRDefault="00832D71">
            <w:pPr>
              <w:pStyle w:val="a3"/>
              <w:spacing w:before="0" w:beforeAutospacing="0" w:after="0" w:afterAutospacing="0"/>
              <w:jc w:val="right"/>
              <w:rPr>
                <w:sz w:val="16"/>
                <w:szCs w:val="16"/>
              </w:rPr>
            </w:pPr>
            <w:r>
              <w:rPr>
                <w:sz w:val="16"/>
                <w:szCs w:val="16"/>
              </w:rPr>
              <w:t> </w:t>
            </w:r>
          </w:p>
        </w:tc>
      </w:tr>
      <w:tr w:rsidR="00000000" w14:paraId="160F96D9" w14:textId="77777777">
        <w:trPr>
          <w:trHeight w:val="160"/>
          <w:tblCellSpacing w:w="15" w:type="dxa"/>
        </w:trPr>
        <w:tc>
          <w:tcPr>
            <w:tcW w:w="0" w:type="auto"/>
            <w:vAlign w:val="bottom"/>
            <w:hideMark/>
          </w:tcPr>
          <w:p w14:paraId="3647296F"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30D46B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F5EA796" w14:textId="77777777" w:rsidR="00000000" w:rsidRDefault="00832D71">
            <w:pPr>
              <w:pStyle w:val="a3"/>
              <w:spacing w:before="0" w:beforeAutospacing="0" w:after="0" w:afterAutospacing="0"/>
              <w:jc w:val="center"/>
              <w:rPr>
                <w:sz w:val="16"/>
                <w:szCs w:val="16"/>
              </w:rPr>
            </w:pPr>
            <w:r>
              <w:rPr>
                <w:sz w:val="16"/>
                <w:szCs w:val="16"/>
              </w:rPr>
              <w:t>DER (4</w:t>
            </w:r>
            <w:r>
              <w:rPr>
                <w:sz w:val="16"/>
                <w:szCs w:val="16"/>
              </w:rPr>
              <w:t>)</w:t>
            </w:r>
          </w:p>
        </w:tc>
        <w:tc>
          <w:tcPr>
            <w:tcW w:w="0" w:type="auto"/>
            <w:vAlign w:val="bottom"/>
            <w:hideMark/>
          </w:tcPr>
          <w:p w14:paraId="3D4FD572"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ABC59D8" w14:textId="77777777" w:rsidR="00000000" w:rsidRDefault="00832D71">
            <w:pPr>
              <w:pStyle w:val="a3"/>
              <w:spacing w:before="0" w:beforeAutospacing="0" w:after="0" w:afterAutospacing="0"/>
              <w:jc w:val="center"/>
              <w:rPr>
                <w:sz w:val="16"/>
                <w:szCs w:val="16"/>
              </w:rPr>
            </w:pPr>
            <w:r>
              <w:rPr>
                <w:sz w:val="16"/>
                <w:szCs w:val="16"/>
              </w:rPr>
              <w:t>17 Jan 1</w:t>
            </w:r>
            <w:r>
              <w:rPr>
                <w:sz w:val="16"/>
                <w:szCs w:val="16"/>
              </w:rPr>
              <w:t>7</w:t>
            </w:r>
          </w:p>
        </w:tc>
        <w:tc>
          <w:tcPr>
            <w:tcW w:w="0" w:type="auto"/>
            <w:vAlign w:val="bottom"/>
            <w:hideMark/>
          </w:tcPr>
          <w:p w14:paraId="66CF8EB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3A37EEA" w14:textId="77777777" w:rsidR="00000000" w:rsidRDefault="00832D71">
            <w:pPr>
              <w:pStyle w:val="a3"/>
              <w:spacing w:before="0" w:beforeAutospacing="0" w:after="0" w:afterAutospacing="0"/>
              <w:jc w:val="center"/>
              <w:rPr>
                <w:sz w:val="16"/>
                <w:szCs w:val="16"/>
              </w:rPr>
            </w:pPr>
            <w:r>
              <w:rPr>
                <w:sz w:val="16"/>
                <w:szCs w:val="16"/>
              </w:rPr>
              <w:t>17 Jan 1</w:t>
            </w:r>
            <w:r>
              <w:rPr>
                <w:sz w:val="16"/>
                <w:szCs w:val="16"/>
              </w:rPr>
              <w:t>7</w:t>
            </w:r>
          </w:p>
        </w:tc>
        <w:tc>
          <w:tcPr>
            <w:tcW w:w="0" w:type="auto"/>
            <w:vAlign w:val="bottom"/>
            <w:hideMark/>
          </w:tcPr>
          <w:p w14:paraId="7248AED2"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967A9FE"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8F17148"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193A23B" w14:textId="77777777" w:rsidR="00000000" w:rsidRDefault="00832D71">
            <w:pPr>
              <w:pStyle w:val="a3"/>
              <w:spacing w:before="0" w:beforeAutospacing="0" w:after="0" w:afterAutospacing="0"/>
              <w:jc w:val="center"/>
              <w:rPr>
                <w:sz w:val="16"/>
                <w:szCs w:val="16"/>
              </w:rPr>
            </w:pPr>
            <w:r>
              <w:rPr>
                <w:sz w:val="16"/>
                <w:szCs w:val="16"/>
              </w:rPr>
              <w:t> </w:t>
            </w:r>
          </w:p>
        </w:tc>
        <w:tc>
          <w:tcPr>
            <w:tcW w:w="0" w:type="auto"/>
            <w:noWrap/>
            <w:vAlign w:val="bottom"/>
            <w:hideMark/>
          </w:tcPr>
          <w:p w14:paraId="47C3B1C9" w14:textId="77777777" w:rsidR="00000000" w:rsidRDefault="00832D71">
            <w:pPr>
              <w:pStyle w:val="a3"/>
              <w:spacing w:before="0" w:beforeAutospacing="0" w:after="0" w:afterAutospacing="0"/>
              <w:rPr>
                <w:sz w:val="16"/>
                <w:szCs w:val="16"/>
              </w:rPr>
            </w:pPr>
            <w:r>
              <w:rPr>
                <w:sz w:val="16"/>
                <w:szCs w:val="16"/>
              </w:rPr>
              <w:t>$</w:t>
            </w:r>
          </w:p>
        </w:tc>
        <w:tc>
          <w:tcPr>
            <w:tcW w:w="0" w:type="auto"/>
            <w:vAlign w:val="bottom"/>
            <w:hideMark/>
          </w:tcPr>
          <w:p w14:paraId="39884BB4" w14:textId="77777777" w:rsidR="00000000" w:rsidRDefault="00832D71">
            <w:pPr>
              <w:pStyle w:val="a3"/>
              <w:spacing w:before="0" w:beforeAutospacing="0" w:after="0" w:afterAutospacing="0"/>
              <w:jc w:val="right"/>
              <w:rPr>
                <w:sz w:val="16"/>
                <w:szCs w:val="16"/>
              </w:rPr>
            </w:pPr>
            <w:r>
              <w:rPr>
                <w:sz w:val="16"/>
                <w:szCs w:val="16"/>
              </w:rPr>
              <w:t>106,85</w:t>
            </w:r>
            <w:r>
              <w:rPr>
                <w:sz w:val="16"/>
                <w:szCs w:val="16"/>
              </w:rPr>
              <w:t>5</w:t>
            </w:r>
          </w:p>
        </w:tc>
        <w:tc>
          <w:tcPr>
            <w:tcW w:w="0" w:type="auto"/>
            <w:noWrap/>
            <w:vAlign w:val="bottom"/>
            <w:hideMark/>
          </w:tcPr>
          <w:p w14:paraId="3CCD108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1FF1615"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1FEE8B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B327A1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A829462"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E8326C8"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8737C75"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17A5803"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D8F5E2D"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01CE48E"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F78C6F8"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775F875"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3C952A1"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D73D82E"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03959E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33B53EF" w14:textId="77777777" w:rsidR="00000000" w:rsidRDefault="00832D71">
            <w:pPr>
              <w:pStyle w:val="a3"/>
              <w:spacing w:before="0" w:beforeAutospacing="0" w:after="0" w:afterAutospacing="0"/>
              <w:jc w:val="center"/>
              <w:rPr>
                <w:sz w:val="16"/>
                <w:szCs w:val="16"/>
              </w:rPr>
            </w:pPr>
            <w:r>
              <w:rPr>
                <w:sz w:val="16"/>
                <w:szCs w:val="16"/>
              </w:rPr>
              <w:t> </w:t>
            </w:r>
          </w:p>
        </w:tc>
      </w:tr>
    </w:tbl>
    <w:p w14:paraId="6F1ABDF3" w14:textId="77777777" w:rsidR="00000000" w:rsidRDefault="00832D71">
      <w:pPr>
        <w:pStyle w:val="a3"/>
        <w:spacing w:before="0" w:beforeAutospacing="0" w:after="0" w:afterAutospacing="0"/>
        <w:rPr>
          <w:sz w:val="20"/>
          <w:szCs w:val="20"/>
        </w:rPr>
      </w:pPr>
      <w:r>
        <w:rPr>
          <w:sz w:val="20"/>
          <w:szCs w:val="20"/>
        </w:rPr>
        <w:t> </w:t>
      </w:r>
    </w:p>
    <w:p w14:paraId="6FF6102E" w14:textId="77777777" w:rsidR="00000000" w:rsidRDefault="00832D71">
      <w:pPr>
        <w:jc w:val="both"/>
        <w:divId w:val="1954940283"/>
        <w:rPr>
          <w:rFonts w:eastAsia="Times New Roman"/>
        </w:rPr>
      </w:pPr>
      <w:r>
        <w:rPr>
          <w:rFonts w:eastAsia="Times New Roman"/>
          <w:sz w:val="16"/>
          <w:szCs w:val="16"/>
        </w:rPr>
        <w:t>(1</w:t>
      </w:r>
      <w:r>
        <w:rPr>
          <w:rFonts w:eastAsia="Times New Roman"/>
          <w:sz w:val="16"/>
          <w:szCs w:val="16"/>
        </w:rPr>
        <w:t>)</w:t>
      </w:r>
    </w:p>
    <w:p w14:paraId="4DD7AD1F" w14:textId="77777777" w:rsidR="00000000" w:rsidRDefault="00832D71">
      <w:pPr>
        <w:jc w:val="both"/>
        <w:divId w:val="2041777399"/>
        <w:rPr>
          <w:rFonts w:eastAsia="Times New Roman"/>
        </w:rPr>
      </w:pPr>
      <w:r>
        <w:rPr>
          <w:rFonts w:eastAsia="Times New Roman"/>
          <w:sz w:val="16"/>
          <w:szCs w:val="16"/>
        </w:rPr>
        <w:t>The quantity reported on these lines represents awards granted under 2018 RUP. 2018 RUP awards vest as follows: one third of the award on the first anniversary of the grant date, one third of the award on the second anniversary of the grant date, and one t</w:t>
      </w:r>
      <w:r>
        <w:rPr>
          <w:rFonts w:eastAsia="Times New Roman"/>
          <w:sz w:val="16"/>
          <w:szCs w:val="16"/>
        </w:rPr>
        <w:t>hird of the award on the third anniversary of the grant date (subject in each case to continued service through each such date). Under 2018 RUP, if a recipient has held an unvested award for at least one year, is 55 years or older, and has worked for the P</w:t>
      </w:r>
      <w:r>
        <w:rPr>
          <w:rFonts w:eastAsia="Times New Roman"/>
          <w:sz w:val="16"/>
          <w:szCs w:val="16"/>
        </w:rPr>
        <w:t xml:space="preserve">artnership for at least ten years, an award held by such participant will vest six months and one day following such participant’s retirement if the participant retires prior to the conclusion of the normal vesting schedule, unless the Committee exercises </w:t>
      </w:r>
      <w:r>
        <w:rPr>
          <w:rFonts w:eastAsia="Times New Roman"/>
          <w:sz w:val="16"/>
          <w:szCs w:val="16"/>
        </w:rPr>
        <w:t>its authority to alter the applicability of the plan’s retirement provisions in regard to a particular award. Mr. Boyd, Mr. Brinkworth and Mr. Scanlon are the only named executive officers who satisfy the age and tenure criteria of the 2018 RUP. A discussi</w:t>
      </w:r>
      <w:r>
        <w:rPr>
          <w:rFonts w:eastAsia="Times New Roman"/>
          <w:sz w:val="16"/>
          <w:szCs w:val="16"/>
        </w:rPr>
        <w:t>on of the general terms of the 2018 RUP, and the facts and circumstances considered by the Committee in authorizing these fiscal 2022 awards to our named executive officers, is included in the “Compensation Discussion and Analysis” under the subheading “Re</w:t>
      </w:r>
      <w:r>
        <w:rPr>
          <w:rFonts w:eastAsia="Times New Roman"/>
          <w:sz w:val="16"/>
          <w:szCs w:val="16"/>
        </w:rPr>
        <w:t>stricted Unit Plans.”</w:t>
      </w:r>
      <w:r>
        <w:rPr>
          <w:rFonts w:eastAsia="Times New Roman"/>
          <w:sz w:val="16"/>
          <w:szCs w:val="16"/>
        </w:rPr>
        <w:t xml:space="preserve"> </w:t>
      </w:r>
    </w:p>
    <w:p w14:paraId="66195434" w14:textId="77777777" w:rsidR="00000000" w:rsidRDefault="00832D71">
      <w:pPr>
        <w:jc w:val="both"/>
        <w:divId w:val="1173446538"/>
        <w:rPr>
          <w:rFonts w:eastAsia="Times New Roman"/>
        </w:rPr>
      </w:pPr>
      <w:r>
        <w:rPr>
          <w:rFonts w:eastAsia="Times New Roman"/>
          <w:sz w:val="16"/>
          <w:szCs w:val="16"/>
        </w:rPr>
        <w:t>(2</w:t>
      </w:r>
      <w:r>
        <w:rPr>
          <w:rFonts w:eastAsia="Times New Roman"/>
          <w:sz w:val="16"/>
          <w:szCs w:val="16"/>
        </w:rPr>
        <w:t>)</w:t>
      </w:r>
    </w:p>
    <w:p w14:paraId="74C035D7" w14:textId="77777777" w:rsidR="00000000" w:rsidRDefault="00832D71">
      <w:pPr>
        <w:jc w:val="both"/>
        <w:divId w:val="987517162"/>
        <w:rPr>
          <w:rFonts w:eastAsia="Times New Roman"/>
        </w:rPr>
      </w:pPr>
      <w:r>
        <w:rPr>
          <w:rFonts w:eastAsia="Times New Roman"/>
          <w:sz w:val="16"/>
          <w:szCs w:val="16"/>
        </w:rPr>
        <w:t>Amounts reported on these lines are the targeted and maximum annual cash bonus compensation potential for each named executive officer under the annual cash bonus plan as described in the “Compensation Discussion and Analysis” un</w:t>
      </w:r>
      <w:r>
        <w:rPr>
          <w:rFonts w:eastAsia="Times New Roman"/>
          <w:sz w:val="16"/>
          <w:szCs w:val="16"/>
        </w:rPr>
        <w:t>der the subheading “Annual Cash Bonus Plan.” Actual amounts earned by the named executive officers for fiscal 2022 were equal to 130% of the “Target” amounts reported on this line. Column (c) (“Threshold $”) was omitted because the annual cash bonus plan d</w:t>
      </w:r>
      <w:r>
        <w:rPr>
          <w:rFonts w:eastAsia="Times New Roman"/>
          <w:sz w:val="16"/>
          <w:szCs w:val="16"/>
        </w:rPr>
        <w:t>oes not provide for a guaranteed minimum cash payment. Because 130% of the “Target” awards were earned by our named executive officers during fiscal 2022, 130% of the “Target” amounts reported under column (d) have been reported in the Summary Compensation</w:t>
      </w:r>
      <w:r>
        <w:rPr>
          <w:rFonts w:eastAsia="Times New Roman"/>
          <w:sz w:val="16"/>
          <w:szCs w:val="16"/>
        </w:rPr>
        <w:t xml:space="preserve"> Table above</w:t>
      </w:r>
      <w:r>
        <w:rPr>
          <w:rFonts w:eastAsia="Times New Roman"/>
          <w:sz w:val="16"/>
          <w:szCs w:val="16"/>
        </w:rPr>
        <w:t>.</w:t>
      </w:r>
    </w:p>
    <w:p w14:paraId="0CDE68FA" w14:textId="77777777" w:rsidR="00000000" w:rsidRDefault="00832D71">
      <w:pPr>
        <w:jc w:val="both"/>
        <w:divId w:val="1775518769"/>
        <w:rPr>
          <w:rFonts w:eastAsia="Times New Roman"/>
        </w:rPr>
      </w:pPr>
      <w:r>
        <w:rPr>
          <w:rFonts w:eastAsia="Times New Roman"/>
          <w:sz w:val="16"/>
          <w:szCs w:val="16"/>
        </w:rPr>
        <w:t>(3</w:t>
      </w:r>
      <w:r>
        <w:rPr>
          <w:rFonts w:eastAsia="Times New Roman"/>
          <w:sz w:val="16"/>
          <w:szCs w:val="16"/>
        </w:rPr>
        <w:t>)</w:t>
      </w:r>
    </w:p>
    <w:p w14:paraId="4B6DF9A3" w14:textId="77777777" w:rsidR="00000000" w:rsidRDefault="00832D71">
      <w:pPr>
        <w:jc w:val="both"/>
        <w:divId w:val="1347441352"/>
        <w:rPr>
          <w:rFonts w:eastAsia="Times New Roman"/>
        </w:rPr>
      </w:pPr>
      <w:r>
        <w:rPr>
          <w:rFonts w:eastAsia="Times New Roman"/>
          <w:sz w:val="16"/>
          <w:szCs w:val="16"/>
        </w:rPr>
        <w:t>The LTIP is a phantom unit plan. Payments, if earned, are based on a combination of (i) the fair market value of our Common Units at the end of a three-year measurement period, which, for purposes of the LTIP, is the average of the closin</w:t>
      </w:r>
      <w:r>
        <w:rPr>
          <w:rFonts w:eastAsia="Times New Roman"/>
          <w:sz w:val="16"/>
          <w:szCs w:val="16"/>
        </w:rPr>
        <w:t>g prices for the twenty business days preceding the conclusion of the three-year measurement period, and (ii) cash equal to the distributions that would have inured to the same quantity of outstanding Common Units during the same three-year measurement per</w:t>
      </w:r>
      <w:r>
        <w:rPr>
          <w:rFonts w:eastAsia="Times New Roman"/>
          <w:sz w:val="16"/>
          <w:szCs w:val="16"/>
        </w:rPr>
        <w:t xml:space="preserve">iod. The fiscal 2022 award “Target” and “Maximum” amounts are estimates based upon (i) the fair market value (the average of the closing prices of our Common Units for the twenty business days preceding the first day of fiscal 2021) of our Common Units at </w:t>
      </w:r>
      <w:r>
        <w:rPr>
          <w:rFonts w:eastAsia="Times New Roman"/>
          <w:sz w:val="16"/>
          <w:szCs w:val="16"/>
        </w:rPr>
        <w:t>the beginning of fiscal 2022, and (ii) the estimated distributions over the course of the award’s three-year measurement period at the then current annualized distribution rate of $1.20 per Common Unit. Column (f) (“Threshold”) was omitted because the LTIP</w:t>
      </w:r>
      <w:r>
        <w:rPr>
          <w:rFonts w:eastAsia="Times New Roman"/>
          <w:sz w:val="16"/>
          <w:szCs w:val="16"/>
        </w:rPr>
        <w:t xml:space="preserve"> does not provide for a guaranteed minimum cash payment. The “Target” amount represents a hypothetical payment at 100% of target and the “Maximum” amount represents a hypothetical payment at 150% of target. Detailed descriptions of the plan and the calcula</w:t>
      </w:r>
      <w:r>
        <w:rPr>
          <w:rFonts w:eastAsia="Times New Roman"/>
          <w:sz w:val="16"/>
          <w:szCs w:val="16"/>
        </w:rPr>
        <w:t>tion of awards are included in the “Compensation Discussion and Analysis” under the subheading “Long-Term Incentive Plan.</w:t>
      </w:r>
      <w:r>
        <w:rPr>
          <w:rFonts w:eastAsia="Times New Roman"/>
          <w:sz w:val="16"/>
          <w:szCs w:val="16"/>
        </w:rPr>
        <w:t>”</w:t>
      </w:r>
    </w:p>
    <w:p w14:paraId="550ED29B" w14:textId="77777777" w:rsidR="00000000" w:rsidRDefault="00832D71">
      <w:pPr>
        <w:jc w:val="both"/>
        <w:divId w:val="947614875"/>
        <w:rPr>
          <w:rFonts w:eastAsia="Times New Roman"/>
        </w:rPr>
      </w:pPr>
      <w:r>
        <w:rPr>
          <w:rFonts w:eastAsia="Times New Roman"/>
          <w:sz w:val="16"/>
          <w:szCs w:val="16"/>
        </w:rPr>
        <w:t>(4</w:t>
      </w:r>
      <w:r>
        <w:rPr>
          <w:rFonts w:eastAsia="Times New Roman"/>
          <w:sz w:val="16"/>
          <w:szCs w:val="16"/>
        </w:rPr>
        <w:t>)</w:t>
      </w:r>
    </w:p>
    <w:p w14:paraId="34B26FD5" w14:textId="77777777" w:rsidR="00000000" w:rsidRDefault="00832D71">
      <w:pPr>
        <w:jc w:val="both"/>
        <w:divId w:val="496960524"/>
        <w:rPr>
          <w:rFonts w:eastAsia="Times New Roman"/>
        </w:rPr>
      </w:pPr>
      <w:r>
        <w:rPr>
          <w:rFonts w:eastAsia="Times New Roman"/>
          <w:sz w:val="16"/>
          <w:szCs w:val="16"/>
        </w:rPr>
        <w:t>Amounts reported on these lines represent DER Plan payments made during the fiscal year. Detailed descriptions of the DER Plan an</w:t>
      </w:r>
      <w:r>
        <w:rPr>
          <w:rFonts w:eastAsia="Times New Roman"/>
          <w:sz w:val="16"/>
          <w:szCs w:val="16"/>
        </w:rPr>
        <w:t>d the calculation of the payments are included in the “Compensation Discussion and Analysis” under the subheading “Distribution Equivalent Rights Plan.</w:t>
      </w:r>
      <w:r>
        <w:rPr>
          <w:rFonts w:eastAsia="Times New Roman"/>
          <w:sz w:val="16"/>
          <w:szCs w:val="16"/>
        </w:rPr>
        <w:t>”</w:t>
      </w:r>
    </w:p>
    <w:p w14:paraId="3C790AF5" w14:textId="77777777" w:rsidR="00000000" w:rsidRDefault="00832D71">
      <w:pPr>
        <w:pStyle w:val="a3"/>
        <w:spacing w:before="0" w:beforeAutospacing="0" w:after="0" w:afterAutospacing="0"/>
        <w:jc w:val="center"/>
        <w:rPr>
          <w:sz w:val="20"/>
          <w:szCs w:val="20"/>
        </w:rPr>
      </w:pPr>
      <w:r>
        <w:rPr>
          <w:sz w:val="20"/>
          <w:szCs w:val="20"/>
        </w:rPr>
        <w:t> </w:t>
      </w:r>
    </w:p>
    <w:p w14:paraId="0AA624E9" w14:textId="77777777" w:rsidR="00000000" w:rsidRDefault="00832D71">
      <w:pPr>
        <w:pStyle w:val="a3"/>
        <w:spacing w:before="0" w:beforeAutospacing="0" w:after="0" w:afterAutospacing="0"/>
        <w:jc w:val="center"/>
        <w:rPr>
          <w:sz w:val="20"/>
          <w:szCs w:val="20"/>
        </w:rPr>
      </w:pPr>
      <w:r>
        <w:rPr>
          <w:sz w:val="20"/>
          <w:szCs w:val="20"/>
        </w:rPr>
        <w:t>7</w:t>
      </w:r>
      <w:r>
        <w:rPr>
          <w:sz w:val="20"/>
          <w:szCs w:val="20"/>
        </w:rPr>
        <w:t>7</w:t>
      </w:r>
    </w:p>
    <w:p w14:paraId="22E2B233" w14:textId="77777777" w:rsidR="00000000" w:rsidRDefault="00832D71">
      <w:pPr>
        <w:rPr>
          <w:rFonts w:eastAsia="Times New Roman"/>
        </w:rPr>
      </w:pPr>
      <w:r>
        <w:rPr>
          <w:rFonts w:eastAsia="Times New Roman"/>
        </w:rPr>
        <w:pict w14:anchorId="6CC98E21">
          <v:rect id="_x0000_i1104" style="width:0;height:1.5pt" o:hralign="center" o:hrstd="t" o:hr="t" fillcolor="#a0a0a0" stroked="f"/>
        </w:pict>
      </w:r>
    </w:p>
    <w:p w14:paraId="6DDB00CD"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05BAB41C" w14:textId="77777777" w:rsidR="00000000" w:rsidRDefault="00832D71">
      <w:pPr>
        <w:jc w:val="both"/>
        <w:divId w:val="373850069"/>
        <w:rPr>
          <w:rFonts w:eastAsia="Times New Roman"/>
        </w:rPr>
      </w:pPr>
      <w:r>
        <w:rPr>
          <w:rFonts w:eastAsia="Times New Roman"/>
          <w:sz w:val="16"/>
          <w:szCs w:val="16"/>
        </w:rPr>
        <w:t>(5</w:t>
      </w:r>
      <w:r>
        <w:rPr>
          <w:rFonts w:eastAsia="Times New Roman"/>
          <w:sz w:val="16"/>
          <w:szCs w:val="16"/>
        </w:rPr>
        <w:t>)</w:t>
      </w:r>
    </w:p>
    <w:p w14:paraId="669C3E8E" w14:textId="77777777" w:rsidR="00000000" w:rsidRDefault="00832D71">
      <w:pPr>
        <w:jc w:val="both"/>
        <w:divId w:val="444543120"/>
        <w:rPr>
          <w:rFonts w:eastAsia="Times New Roman"/>
        </w:rPr>
      </w:pPr>
      <w:r>
        <w:rPr>
          <w:rFonts w:eastAsia="Times New Roman"/>
          <w:sz w:val="16"/>
          <w:szCs w:val="16"/>
        </w:rPr>
        <w:t>This column is frequently used when non-equity incentive plan awards are denominated in units; however, in this case, the numbers reported represent the LTIP phantom units each named executive o</w:t>
      </w:r>
      <w:r>
        <w:rPr>
          <w:rFonts w:eastAsia="Times New Roman"/>
          <w:sz w:val="16"/>
          <w:szCs w:val="16"/>
        </w:rPr>
        <w:t>fficer was awarded under the LTIP during fiscal 2021. The amounts in the “Estimated Future Payments Under Equity Incentive Plan Awards” column were based on the probable outcome with respect to satisfaction of the performance conditions and calculated in a</w:t>
      </w:r>
      <w:r>
        <w:rPr>
          <w:rFonts w:eastAsia="Times New Roman"/>
          <w:sz w:val="16"/>
          <w:szCs w:val="16"/>
        </w:rPr>
        <w:t>ccordance with GAAP for financial reporting purposes based on the assumptions described in Note 11 of the Notes to Consolidated Financial Statements included in this Annual Report, but disregarding estimates of forfeiture</w:t>
      </w:r>
      <w:r>
        <w:rPr>
          <w:rFonts w:eastAsia="Times New Roman"/>
          <w:sz w:val="16"/>
          <w:szCs w:val="16"/>
        </w:rPr>
        <w:t>.</w:t>
      </w:r>
    </w:p>
    <w:p w14:paraId="1318CA1F" w14:textId="77777777" w:rsidR="00000000" w:rsidRDefault="00832D71">
      <w:pPr>
        <w:jc w:val="both"/>
        <w:divId w:val="214395682"/>
        <w:rPr>
          <w:rFonts w:eastAsia="Times New Roman"/>
        </w:rPr>
      </w:pPr>
      <w:r>
        <w:rPr>
          <w:rFonts w:eastAsia="Times New Roman"/>
          <w:sz w:val="16"/>
          <w:szCs w:val="16"/>
        </w:rPr>
        <w:t>(6</w:t>
      </w:r>
      <w:r>
        <w:rPr>
          <w:rFonts w:eastAsia="Times New Roman"/>
          <w:sz w:val="16"/>
          <w:szCs w:val="16"/>
        </w:rPr>
        <w:t>)</w:t>
      </w:r>
    </w:p>
    <w:p w14:paraId="390EB664" w14:textId="77777777" w:rsidR="00000000" w:rsidRDefault="00832D71">
      <w:pPr>
        <w:jc w:val="both"/>
        <w:divId w:val="945428956"/>
        <w:rPr>
          <w:rFonts w:eastAsia="Times New Roman"/>
        </w:rPr>
      </w:pPr>
      <w:r>
        <w:rPr>
          <w:rFonts w:eastAsia="Times New Roman"/>
          <w:sz w:val="16"/>
          <w:szCs w:val="16"/>
        </w:rPr>
        <w:t>The dollar amounts reported i</w:t>
      </w:r>
      <w:r>
        <w:rPr>
          <w:rFonts w:eastAsia="Times New Roman"/>
          <w:sz w:val="16"/>
          <w:szCs w:val="16"/>
        </w:rPr>
        <w:t>n this column represent the aggregate fair value of 2018 RUP awards on the grant date, based on the assumptions described in Note 11 of the Notes to Consolidated Financial Statements included in this Annual Report, but disregarding estimates of forfeiture.</w:t>
      </w:r>
      <w:r>
        <w:rPr>
          <w:rFonts w:eastAsia="Times New Roman"/>
          <w:sz w:val="16"/>
          <w:szCs w:val="16"/>
        </w:rPr>
        <w:t xml:space="preserve"> The fair value shown may not be indicative of the value realized in the future upon vesting because of the variability in the trading price of our Common Units</w:t>
      </w:r>
      <w:r>
        <w:rPr>
          <w:rFonts w:eastAsia="Times New Roman"/>
          <w:sz w:val="16"/>
          <w:szCs w:val="16"/>
        </w:rPr>
        <w:t>.</w:t>
      </w:r>
    </w:p>
    <w:p w14:paraId="0477FDD6" w14:textId="77777777" w:rsidR="00000000" w:rsidRDefault="00832D71">
      <w:pPr>
        <w:pStyle w:val="a3"/>
        <w:spacing w:before="240" w:beforeAutospacing="0" w:after="0" w:afterAutospacing="0"/>
        <w:jc w:val="both"/>
        <w:rPr>
          <w:sz w:val="20"/>
          <w:szCs w:val="20"/>
        </w:rPr>
      </w:pPr>
      <w:r>
        <w:rPr>
          <w:sz w:val="16"/>
          <w:szCs w:val="16"/>
        </w:rPr>
        <w:t>Note: Columns (j) and (k) were omitted from the Grants of Plan Based Awards Table because we d</w:t>
      </w:r>
      <w:r>
        <w:rPr>
          <w:sz w:val="16"/>
          <w:szCs w:val="16"/>
        </w:rPr>
        <w:t>o not award options to our employees</w:t>
      </w:r>
      <w:r>
        <w:rPr>
          <w:sz w:val="16"/>
          <w:szCs w:val="16"/>
        </w:rPr>
        <w:t>.</w:t>
      </w:r>
    </w:p>
    <w:p w14:paraId="0A51B69D" w14:textId="77777777" w:rsidR="00000000" w:rsidRDefault="00832D71">
      <w:pPr>
        <w:pStyle w:val="a3"/>
        <w:spacing w:before="360" w:beforeAutospacing="0" w:after="0" w:afterAutospacing="0"/>
        <w:jc w:val="both"/>
        <w:rPr>
          <w:sz w:val="20"/>
          <w:szCs w:val="20"/>
        </w:rPr>
      </w:pPr>
      <w:r>
        <w:rPr>
          <w:b/>
          <w:bCs/>
          <w:sz w:val="20"/>
          <w:szCs w:val="20"/>
        </w:rPr>
        <w:t>Outstanding Equity Awards at Fiscal Year End 2022 Tabl</w:t>
      </w:r>
      <w:r>
        <w:rPr>
          <w:b/>
          <w:bCs/>
          <w:sz w:val="20"/>
          <w:szCs w:val="20"/>
        </w:rPr>
        <w:t>e</w:t>
      </w:r>
    </w:p>
    <w:p w14:paraId="7BD75D87" w14:textId="77777777" w:rsidR="00000000" w:rsidRDefault="00832D71">
      <w:pPr>
        <w:pStyle w:val="a3"/>
        <w:spacing w:before="120" w:beforeAutospacing="0" w:after="0" w:afterAutospacing="0"/>
        <w:ind w:firstLine="555"/>
        <w:jc w:val="both"/>
        <w:rPr>
          <w:sz w:val="20"/>
          <w:szCs w:val="20"/>
        </w:rPr>
      </w:pPr>
      <w:r>
        <w:rPr>
          <w:sz w:val="20"/>
          <w:szCs w:val="20"/>
        </w:rPr>
        <w:t>The following table sets forth certain information concerning outstanding equity awards under our 2018 RUP and LTIP unit awards for each named executive officer as of September 24, 2022</w:t>
      </w:r>
      <w:r>
        <w:rPr>
          <w:sz w:val="20"/>
          <w:szCs w:val="20"/>
        </w:rPr>
        <w:t>:</w:t>
      </w:r>
    </w:p>
    <w:p w14:paraId="102C029A" w14:textId="77777777" w:rsidR="00000000" w:rsidRDefault="00832D71">
      <w:pPr>
        <w:pStyle w:val="a3"/>
        <w:spacing w:before="0" w:beforeAutospacing="0" w:after="0" w:afterAutospacing="0"/>
        <w:ind w:firstLine="555"/>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817"/>
        <w:gridCol w:w="110"/>
        <w:gridCol w:w="110"/>
        <w:gridCol w:w="710"/>
        <w:gridCol w:w="110"/>
        <w:gridCol w:w="110"/>
        <w:gridCol w:w="160"/>
        <w:gridCol w:w="860"/>
        <w:gridCol w:w="110"/>
        <w:gridCol w:w="110"/>
        <w:gridCol w:w="111"/>
        <w:gridCol w:w="792"/>
        <w:gridCol w:w="110"/>
        <w:gridCol w:w="110"/>
        <w:gridCol w:w="160"/>
        <w:gridCol w:w="860"/>
        <w:gridCol w:w="125"/>
      </w:tblGrid>
      <w:tr w:rsidR="00000000" w14:paraId="4E7A8BEF" w14:textId="77777777">
        <w:trPr>
          <w:tblCellSpacing w:w="15" w:type="dxa"/>
        </w:trPr>
        <w:tc>
          <w:tcPr>
            <w:tcW w:w="2074" w:type="pct"/>
            <w:vAlign w:val="center"/>
            <w:hideMark/>
          </w:tcPr>
          <w:p w14:paraId="036C797C" w14:textId="77777777" w:rsidR="00000000" w:rsidRDefault="00832D71">
            <w:pPr>
              <w:rPr>
                <w:sz w:val="20"/>
                <w:szCs w:val="20"/>
              </w:rPr>
            </w:pPr>
          </w:p>
        </w:tc>
        <w:tc>
          <w:tcPr>
            <w:tcW w:w="67" w:type="pct"/>
            <w:vAlign w:val="center"/>
            <w:hideMark/>
          </w:tcPr>
          <w:p w14:paraId="737D2B9D" w14:textId="77777777" w:rsidR="00000000" w:rsidRDefault="00832D71">
            <w:pPr>
              <w:rPr>
                <w:rFonts w:eastAsia="Times New Roman"/>
                <w:sz w:val="20"/>
                <w:szCs w:val="20"/>
              </w:rPr>
            </w:pPr>
          </w:p>
        </w:tc>
        <w:tc>
          <w:tcPr>
            <w:tcW w:w="50" w:type="pct"/>
            <w:vAlign w:val="center"/>
            <w:hideMark/>
          </w:tcPr>
          <w:p w14:paraId="23FF0E43" w14:textId="77777777" w:rsidR="00000000" w:rsidRDefault="00832D71">
            <w:pPr>
              <w:rPr>
                <w:rFonts w:eastAsia="Times New Roman"/>
                <w:sz w:val="20"/>
                <w:szCs w:val="20"/>
              </w:rPr>
            </w:pPr>
          </w:p>
        </w:tc>
        <w:tc>
          <w:tcPr>
            <w:tcW w:w="449" w:type="pct"/>
            <w:vAlign w:val="center"/>
            <w:hideMark/>
          </w:tcPr>
          <w:p w14:paraId="0AD2ED4B" w14:textId="77777777" w:rsidR="00000000" w:rsidRDefault="00832D71">
            <w:pPr>
              <w:rPr>
                <w:rFonts w:eastAsia="Times New Roman"/>
                <w:sz w:val="20"/>
                <w:szCs w:val="20"/>
              </w:rPr>
            </w:pPr>
          </w:p>
        </w:tc>
        <w:tc>
          <w:tcPr>
            <w:tcW w:w="50" w:type="pct"/>
            <w:vAlign w:val="center"/>
            <w:hideMark/>
          </w:tcPr>
          <w:p w14:paraId="58E61EA0" w14:textId="77777777" w:rsidR="00000000" w:rsidRDefault="00832D71">
            <w:pPr>
              <w:rPr>
                <w:rFonts w:eastAsia="Times New Roman"/>
                <w:sz w:val="20"/>
                <w:szCs w:val="20"/>
              </w:rPr>
            </w:pPr>
          </w:p>
        </w:tc>
        <w:tc>
          <w:tcPr>
            <w:tcW w:w="68" w:type="pct"/>
            <w:vAlign w:val="center"/>
            <w:hideMark/>
          </w:tcPr>
          <w:p w14:paraId="0F31CBCD" w14:textId="77777777" w:rsidR="00000000" w:rsidRDefault="00832D71">
            <w:pPr>
              <w:rPr>
                <w:rFonts w:eastAsia="Times New Roman"/>
                <w:sz w:val="20"/>
                <w:szCs w:val="20"/>
              </w:rPr>
            </w:pPr>
          </w:p>
        </w:tc>
        <w:tc>
          <w:tcPr>
            <w:tcW w:w="50" w:type="pct"/>
            <w:vAlign w:val="center"/>
            <w:hideMark/>
          </w:tcPr>
          <w:p w14:paraId="04642BA0" w14:textId="77777777" w:rsidR="00000000" w:rsidRDefault="00832D71">
            <w:pPr>
              <w:rPr>
                <w:rFonts w:eastAsia="Times New Roman"/>
                <w:sz w:val="20"/>
                <w:szCs w:val="20"/>
              </w:rPr>
            </w:pPr>
          </w:p>
        </w:tc>
        <w:tc>
          <w:tcPr>
            <w:tcW w:w="496" w:type="pct"/>
            <w:vAlign w:val="center"/>
            <w:hideMark/>
          </w:tcPr>
          <w:p w14:paraId="11EA5CCA" w14:textId="77777777" w:rsidR="00000000" w:rsidRDefault="00832D71">
            <w:pPr>
              <w:rPr>
                <w:rFonts w:eastAsia="Times New Roman"/>
                <w:sz w:val="20"/>
                <w:szCs w:val="20"/>
              </w:rPr>
            </w:pPr>
          </w:p>
        </w:tc>
        <w:tc>
          <w:tcPr>
            <w:tcW w:w="50" w:type="pct"/>
            <w:vAlign w:val="center"/>
            <w:hideMark/>
          </w:tcPr>
          <w:p w14:paraId="66F665AE" w14:textId="77777777" w:rsidR="00000000" w:rsidRDefault="00832D71">
            <w:pPr>
              <w:rPr>
                <w:rFonts w:eastAsia="Times New Roman"/>
                <w:sz w:val="20"/>
                <w:szCs w:val="20"/>
              </w:rPr>
            </w:pPr>
          </w:p>
        </w:tc>
        <w:tc>
          <w:tcPr>
            <w:tcW w:w="67" w:type="pct"/>
            <w:vAlign w:val="center"/>
            <w:hideMark/>
          </w:tcPr>
          <w:p w14:paraId="15A7BC2D" w14:textId="77777777" w:rsidR="00000000" w:rsidRDefault="00832D71">
            <w:pPr>
              <w:rPr>
                <w:rFonts w:eastAsia="Times New Roman"/>
                <w:sz w:val="20"/>
                <w:szCs w:val="20"/>
              </w:rPr>
            </w:pPr>
          </w:p>
        </w:tc>
        <w:tc>
          <w:tcPr>
            <w:tcW w:w="50" w:type="pct"/>
            <w:vAlign w:val="center"/>
            <w:hideMark/>
          </w:tcPr>
          <w:p w14:paraId="5EEAB667" w14:textId="77777777" w:rsidR="00000000" w:rsidRDefault="00832D71">
            <w:pPr>
              <w:rPr>
                <w:rFonts w:eastAsia="Times New Roman"/>
                <w:sz w:val="20"/>
                <w:szCs w:val="20"/>
              </w:rPr>
            </w:pPr>
          </w:p>
        </w:tc>
        <w:tc>
          <w:tcPr>
            <w:tcW w:w="761" w:type="pct"/>
            <w:vAlign w:val="center"/>
            <w:hideMark/>
          </w:tcPr>
          <w:p w14:paraId="6D648620" w14:textId="77777777" w:rsidR="00000000" w:rsidRDefault="00832D71">
            <w:pPr>
              <w:rPr>
                <w:rFonts w:eastAsia="Times New Roman"/>
                <w:sz w:val="20"/>
                <w:szCs w:val="20"/>
              </w:rPr>
            </w:pPr>
          </w:p>
        </w:tc>
        <w:tc>
          <w:tcPr>
            <w:tcW w:w="50" w:type="pct"/>
            <w:vAlign w:val="center"/>
            <w:hideMark/>
          </w:tcPr>
          <w:p w14:paraId="447A6B5E" w14:textId="77777777" w:rsidR="00000000" w:rsidRDefault="00832D71">
            <w:pPr>
              <w:rPr>
                <w:rFonts w:eastAsia="Times New Roman"/>
                <w:sz w:val="20"/>
                <w:szCs w:val="20"/>
              </w:rPr>
            </w:pPr>
          </w:p>
        </w:tc>
        <w:tc>
          <w:tcPr>
            <w:tcW w:w="68" w:type="pct"/>
            <w:vAlign w:val="center"/>
            <w:hideMark/>
          </w:tcPr>
          <w:p w14:paraId="2775C4CD" w14:textId="77777777" w:rsidR="00000000" w:rsidRDefault="00832D71">
            <w:pPr>
              <w:rPr>
                <w:rFonts w:eastAsia="Times New Roman"/>
                <w:sz w:val="20"/>
                <w:szCs w:val="20"/>
              </w:rPr>
            </w:pPr>
          </w:p>
        </w:tc>
        <w:tc>
          <w:tcPr>
            <w:tcW w:w="50" w:type="pct"/>
            <w:vAlign w:val="center"/>
            <w:hideMark/>
          </w:tcPr>
          <w:p w14:paraId="6C0BA32B" w14:textId="77777777" w:rsidR="00000000" w:rsidRDefault="00832D71">
            <w:pPr>
              <w:rPr>
                <w:rFonts w:eastAsia="Times New Roman"/>
                <w:sz w:val="20"/>
                <w:szCs w:val="20"/>
              </w:rPr>
            </w:pPr>
          </w:p>
        </w:tc>
        <w:tc>
          <w:tcPr>
            <w:tcW w:w="545" w:type="pct"/>
            <w:vAlign w:val="center"/>
            <w:hideMark/>
          </w:tcPr>
          <w:p w14:paraId="157F9964" w14:textId="77777777" w:rsidR="00000000" w:rsidRDefault="00832D71">
            <w:pPr>
              <w:rPr>
                <w:rFonts w:eastAsia="Times New Roman"/>
                <w:sz w:val="20"/>
                <w:szCs w:val="20"/>
              </w:rPr>
            </w:pPr>
          </w:p>
        </w:tc>
        <w:tc>
          <w:tcPr>
            <w:tcW w:w="50" w:type="pct"/>
            <w:vAlign w:val="center"/>
            <w:hideMark/>
          </w:tcPr>
          <w:p w14:paraId="5B2C530A" w14:textId="77777777" w:rsidR="00000000" w:rsidRDefault="00832D71">
            <w:pPr>
              <w:rPr>
                <w:rFonts w:eastAsia="Times New Roman"/>
                <w:sz w:val="20"/>
                <w:szCs w:val="20"/>
              </w:rPr>
            </w:pPr>
          </w:p>
        </w:tc>
      </w:tr>
      <w:tr w:rsidR="00000000" w14:paraId="1B4734FD" w14:textId="77777777">
        <w:trPr>
          <w:trHeight w:val="160"/>
          <w:tblCellSpacing w:w="15" w:type="dxa"/>
        </w:trPr>
        <w:tc>
          <w:tcPr>
            <w:tcW w:w="0" w:type="auto"/>
            <w:gridSpan w:val="16"/>
            <w:vAlign w:val="bottom"/>
            <w:hideMark/>
          </w:tcPr>
          <w:p w14:paraId="4E573FD7" w14:textId="77777777" w:rsidR="00000000" w:rsidRDefault="00832D71">
            <w:pPr>
              <w:pStyle w:val="a3"/>
              <w:spacing w:before="0" w:beforeAutospacing="0" w:after="0" w:afterAutospacing="0"/>
              <w:jc w:val="center"/>
              <w:rPr>
                <w:sz w:val="16"/>
                <w:szCs w:val="16"/>
              </w:rPr>
            </w:pPr>
            <w:r>
              <w:rPr>
                <w:b/>
                <w:bCs/>
                <w:sz w:val="16"/>
                <w:szCs w:val="16"/>
              </w:rPr>
              <w:t>Stock Award</w:t>
            </w:r>
            <w:r>
              <w:rPr>
                <w:b/>
                <w:bCs/>
                <w:sz w:val="16"/>
                <w:szCs w:val="16"/>
              </w:rPr>
              <w:t>s</w:t>
            </w:r>
          </w:p>
        </w:tc>
        <w:tc>
          <w:tcPr>
            <w:tcW w:w="0" w:type="auto"/>
            <w:vAlign w:val="bottom"/>
            <w:hideMark/>
          </w:tcPr>
          <w:p w14:paraId="04390A27"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39C151D" w14:textId="77777777">
        <w:trPr>
          <w:trHeight w:val="160"/>
          <w:tblCellSpacing w:w="15" w:type="dxa"/>
        </w:trPr>
        <w:tc>
          <w:tcPr>
            <w:tcW w:w="0" w:type="auto"/>
            <w:vAlign w:val="bottom"/>
            <w:hideMark/>
          </w:tcPr>
          <w:p w14:paraId="15C897F1"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4B79BDB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86FBBB2" w14:textId="77777777" w:rsidR="00000000" w:rsidRDefault="00832D71">
            <w:pPr>
              <w:pStyle w:val="a3"/>
              <w:spacing w:before="0" w:beforeAutospacing="0" w:after="0" w:afterAutospacing="0"/>
              <w:jc w:val="center"/>
              <w:rPr>
                <w:sz w:val="16"/>
                <w:szCs w:val="16"/>
              </w:rPr>
            </w:pPr>
            <w:r>
              <w:rPr>
                <w:b/>
                <w:bCs/>
                <w:sz w:val="16"/>
                <w:szCs w:val="16"/>
              </w:rPr>
              <w:t>Number of</w:t>
            </w:r>
            <w:r>
              <w:rPr>
                <w:b/>
                <w:bCs/>
                <w:sz w:val="16"/>
                <w:szCs w:val="16"/>
              </w:rPr>
              <w:br/>
              <w:t>Shares or Units</w:t>
            </w:r>
            <w:r>
              <w:rPr>
                <w:b/>
                <w:bCs/>
                <w:sz w:val="16"/>
                <w:szCs w:val="16"/>
              </w:rPr>
              <w:br/>
              <w:t>of Stock That</w:t>
            </w:r>
            <w:r>
              <w:rPr>
                <w:b/>
                <w:bCs/>
                <w:sz w:val="16"/>
                <w:szCs w:val="16"/>
              </w:rPr>
              <w:br/>
              <w:t>Have Not</w:t>
            </w:r>
            <w:r>
              <w:rPr>
                <w:b/>
                <w:bCs/>
                <w:sz w:val="16"/>
                <w:szCs w:val="16"/>
              </w:rPr>
              <w:br/>
              <w:t>Vested (1</w:t>
            </w:r>
            <w:r>
              <w:rPr>
                <w:b/>
                <w:bCs/>
                <w:sz w:val="16"/>
                <w:szCs w:val="16"/>
              </w:rPr>
              <w:t>)</w:t>
            </w:r>
          </w:p>
        </w:tc>
        <w:tc>
          <w:tcPr>
            <w:tcW w:w="0" w:type="auto"/>
            <w:vAlign w:val="bottom"/>
            <w:hideMark/>
          </w:tcPr>
          <w:p w14:paraId="11806792"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611FF9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B871C7E" w14:textId="77777777" w:rsidR="00000000" w:rsidRDefault="00832D71">
            <w:pPr>
              <w:pStyle w:val="a3"/>
              <w:spacing w:before="0" w:beforeAutospacing="0" w:after="0" w:afterAutospacing="0"/>
              <w:jc w:val="center"/>
              <w:rPr>
                <w:sz w:val="16"/>
                <w:szCs w:val="16"/>
              </w:rPr>
            </w:pPr>
            <w:r>
              <w:rPr>
                <w:b/>
                <w:bCs/>
                <w:sz w:val="16"/>
                <w:szCs w:val="16"/>
              </w:rPr>
              <w:t>Market Value of</w:t>
            </w:r>
            <w:r>
              <w:rPr>
                <w:b/>
                <w:bCs/>
                <w:sz w:val="16"/>
                <w:szCs w:val="16"/>
              </w:rPr>
              <w:br/>
              <w:t>Shares or Units</w:t>
            </w:r>
            <w:r>
              <w:rPr>
                <w:b/>
                <w:bCs/>
                <w:sz w:val="16"/>
                <w:szCs w:val="16"/>
              </w:rPr>
              <w:br/>
              <w:t>of Stock That</w:t>
            </w:r>
            <w:r>
              <w:rPr>
                <w:b/>
                <w:bCs/>
                <w:sz w:val="16"/>
                <w:szCs w:val="16"/>
              </w:rPr>
              <w:br/>
              <w:t>Have Not</w:t>
            </w:r>
            <w:r>
              <w:rPr>
                <w:b/>
                <w:bCs/>
                <w:sz w:val="16"/>
                <w:szCs w:val="16"/>
              </w:rPr>
              <w:br/>
              <w:t>Vested (2</w:t>
            </w:r>
            <w:r>
              <w:rPr>
                <w:b/>
                <w:bCs/>
                <w:sz w:val="16"/>
                <w:szCs w:val="16"/>
              </w:rPr>
              <w:t>)</w:t>
            </w:r>
          </w:p>
        </w:tc>
        <w:tc>
          <w:tcPr>
            <w:tcW w:w="0" w:type="auto"/>
            <w:vAlign w:val="bottom"/>
            <w:hideMark/>
          </w:tcPr>
          <w:p w14:paraId="095D0969"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13EA98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BFA9C92" w14:textId="77777777" w:rsidR="00000000" w:rsidRDefault="00832D71">
            <w:pPr>
              <w:pStyle w:val="a3"/>
              <w:spacing w:before="0" w:beforeAutospacing="0" w:after="0" w:afterAutospacing="0"/>
              <w:jc w:val="center"/>
              <w:rPr>
                <w:sz w:val="16"/>
                <w:szCs w:val="16"/>
              </w:rPr>
            </w:pPr>
            <w:r>
              <w:rPr>
                <w:b/>
                <w:bCs/>
                <w:sz w:val="16"/>
                <w:szCs w:val="16"/>
              </w:rPr>
              <w:t>Equity Incentive</w:t>
            </w:r>
            <w:r>
              <w:rPr>
                <w:b/>
                <w:bCs/>
                <w:sz w:val="16"/>
                <w:szCs w:val="16"/>
              </w:rPr>
              <w:br/>
              <w:t xml:space="preserve">Plan Awards: </w:t>
            </w:r>
            <w:r>
              <w:rPr>
                <w:b/>
                <w:bCs/>
                <w:sz w:val="16"/>
                <w:szCs w:val="16"/>
              </w:rPr>
              <w:br/>
              <w:t>Number of</w:t>
            </w:r>
            <w:r>
              <w:rPr>
                <w:b/>
                <w:bCs/>
                <w:sz w:val="16"/>
                <w:szCs w:val="16"/>
              </w:rPr>
              <w:br/>
              <w:t>Unearned</w:t>
            </w:r>
            <w:r>
              <w:rPr>
                <w:b/>
                <w:bCs/>
                <w:sz w:val="16"/>
                <w:szCs w:val="16"/>
              </w:rPr>
              <w:br/>
              <w:t>Shares, Units or</w:t>
            </w:r>
            <w:r>
              <w:rPr>
                <w:b/>
                <w:bCs/>
                <w:sz w:val="16"/>
                <w:szCs w:val="16"/>
              </w:rPr>
              <w:br/>
              <w:t>Other Rights</w:t>
            </w:r>
            <w:r>
              <w:rPr>
                <w:b/>
                <w:bCs/>
                <w:sz w:val="16"/>
                <w:szCs w:val="16"/>
              </w:rPr>
              <w:br/>
              <w:t>that Have Not</w:t>
            </w:r>
            <w:r>
              <w:rPr>
                <w:b/>
                <w:bCs/>
                <w:sz w:val="16"/>
                <w:szCs w:val="16"/>
              </w:rPr>
              <w:br/>
              <w:t>Vested (3</w:t>
            </w:r>
            <w:r>
              <w:rPr>
                <w:b/>
                <w:bCs/>
                <w:sz w:val="16"/>
                <w:szCs w:val="16"/>
              </w:rPr>
              <w:t>)</w:t>
            </w:r>
          </w:p>
        </w:tc>
        <w:tc>
          <w:tcPr>
            <w:tcW w:w="0" w:type="auto"/>
            <w:vAlign w:val="bottom"/>
            <w:hideMark/>
          </w:tcPr>
          <w:p w14:paraId="085588E6"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4719CC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5981AC5" w14:textId="77777777" w:rsidR="00000000" w:rsidRDefault="00832D71">
            <w:pPr>
              <w:pStyle w:val="a3"/>
              <w:spacing w:before="0" w:beforeAutospacing="0" w:after="0" w:afterAutospacing="0"/>
              <w:jc w:val="center"/>
              <w:rPr>
                <w:sz w:val="16"/>
                <w:szCs w:val="16"/>
              </w:rPr>
            </w:pPr>
            <w:r>
              <w:rPr>
                <w:b/>
                <w:bCs/>
                <w:sz w:val="16"/>
                <w:szCs w:val="16"/>
              </w:rPr>
              <w:t>Equity Inc</w:t>
            </w:r>
            <w:r>
              <w:rPr>
                <w:b/>
                <w:bCs/>
                <w:sz w:val="16"/>
                <w:szCs w:val="16"/>
              </w:rPr>
              <w:t>entive</w:t>
            </w:r>
            <w:r>
              <w:rPr>
                <w:b/>
                <w:bCs/>
                <w:sz w:val="16"/>
                <w:szCs w:val="16"/>
              </w:rPr>
              <w:br/>
              <w:t>Plan Awards:</w:t>
            </w:r>
            <w:r>
              <w:rPr>
                <w:b/>
                <w:bCs/>
                <w:sz w:val="16"/>
                <w:szCs w:val="16"/>
              </w:rPr>
              <w:br/>
              <w:t>Market or</w:t>
            </w:r>
            <w:r>
              <w:rPr>
                <w:b/>
                <w:bCs/>
                <w:sz w:val="16"/>
                <w:szCs w:val="16"/>
              </w:rPr>
              <w:br/>
              <w:t>Payout Value of</w:t>
            </w:r>
            <w:r>
              <w:rPr>
                <w:b/>
                <w:bCs/>
                <w:sz w:val="16"/>
                <w:szCs w:val="16"/>
              </w:rPr>
              <w:br/>
              <w:t>Unearned</w:t>
            </w:r>
            <w:r>
              <w:rPr>
                <w:b/>
                <w:bCs/>
                <w:sz w:val="16"/>
                <w:szCs w:val="16"/>
              </w:rPr>
              <w:br/>
              <w:t>Shares, Units or</w:t>
            </w:r>
            <w:r>
              <w:rPr>
                <w:b/>
                <w:bCs/>
                <w:sz w:val="16"/>
                <w:szCs w:val="16"/>
              </w:rPr>
              <w:br/>
              <w:t>Other Rights</w:t>
            </w:r>
            <w:r>
              <w:rPr>
                <w:b/>
                <w:bCs/>
                <w:sz w:val="16"/>
                <w:szCs w:val="16"/>
              </w:rPr>
              <w:br/>
              <w:t>That Have Not</w:t>
            </w:r>
            <w:r>
              <w:rPr>
                <w:b/>
                <w:bCs/>
                <w:sz w:val="16"/>
                <w:szCs w:val="16"/>
              </w:rPr>
              <w:br/>
              <w:t>Vested (4</w:t>
            </w:r>
            <w:r>
              <w:rPr>
                <w:b/>
                <w:bCs/>
                <w:sz w:val="16"/>
                <w:szCs w:val="16"/>
              </w:rPr>
              <w:t>)</w:t>
            </w:r>
          </w:p>
        </w:tc>
        <w:tc>
          <w:tcPr>
            <w:tcW w:w="0" w:type="auto"/>
            <w:vAlign w:val="bottom"/>
            <w:hideMark/>
          </w:tcPr>
          <w:p w14:paraId="5747ABF1"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5BB9E3D9" w14:textId="77777777">
        <w:trPr>
          <w:trHeight w:val="160"/>
          <w:tblCellSpacing w:w="15" w:type="dxa"/>
        </w:trPr>
        <w:tc>
          <w:tcPr>
            <w:tcW w:w="0" w:type="auto"/>
            <w:hideMark/>
          </w:tcPr>
          <w:p w14:paraId="45E2EE33" w14:textId="77777777" w:rsidR="00000000" w:rsidRDefault="00832D71">
            <w:pPr>
              <w:pStyle w:val="a3"/>
              <w:spacing w:before="0" w:beforeAutospacing="0" w:after="0" w:afterAutospacing="0"/>
              <w:jc w:val="center"/>
              <w:rPr>
                <w:sz w:val="16"/>
                <w:szCs w:val="16"/>
              </w:rPr>
            </w:pPr>
            <w:r>
              <w:rPr>
                <w:sz w:val="16"/>
                <w:szCs w:val="16"/>
              </w:rPr>
              <w:t>(a</w:t>
            </w:r>
            <w:r>
              <w:rPr>
                <w:sz w:val="16"/>
                <w:szCs w:val="16"/>
              </w:rPr>
              <w:t>)</w:t>
            </w:r>
          </w:p>
        </w:tc>
        <w:tc>
          <w:tcPr>
            <w:tcW w:w="0" w:type="auto"/>
            <w:hideMark/>
          </w:tcPr>
          <w:p w14:paraId="2DD8ED5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761557F9" w14:textId="77777777" w:rsidR="00000000" w:rsidRDefault="00832D71">
            <w:pPr>
              <w:pStyle w:val="a3"/>
              <w:spacing w:before="0" w:beforeAutospacing="0" w:after="0" w:afterAutospacing="0"/>
              <w:jc w:val="center"/>
              <w:rPr>
                <w:sz w:val="16"/>
                <w:szCs w:val="16"/>
              </w:rPr>
            </w:pPr>
            <w:r>
              <w:rPr>
                <w:sz w:val="16"/>
                <w:szCs w:val="16"/>
              </w:rPr>
              <w:t>(g</w:t>
            </w:r>
            <w:r>
              <w:rPr>
                <w:sz w:val="16"/>
                <w:szCs w:val="16"/>
              </w:rPr>
              <w:t>)</w:t>
            </w:r>
          </w:p>
        </w:tc>
        <w:tc>
          <w:tcPr>
            <w:tcW w:w="0" w:type="auto"/>
            <w:hideMark/>
          </w:tcPr>
          <w:p w14:paraId="2BDCEEF5"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5C7FE7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74796C9F" w14:textId="77777777" w:rsidR="00000000" w:rsidRDefault="00832D71">
            <w:pPr>
              <w:pStyle w:val="a3"/>
              <w:spacing w:before="0" w:beforeAutospacing="0" w:after="0" w:afterAutospacing="0"/>
              <w:jc w:val="center"/>
              <w:rPr>
                <w:sz w:val="16"/>
                <w:szCs w:val="16"/>
              </w:rPr>
            </w:pPr>
            <w:r>
              <w:rPr>
                <w:sz w:val="16"/>
                <w:szCs w:val="16"/>
              </w:rPr>
              <w:t>(h</w:t>
            </w:r>
            <w:r>
              <w:rPr>
                <w:sz w:val="16"/>
                <w:szCs w:val="16"/>
              </w:rPr>
              <w:t>)</w:t>
            </w:r>
          </w:p>
        </w:tc>
        <w:tc>
          <w:tcPr>
            <w:tcW w:w="0" w:type="auto"/>
            <w:hideMark/>
          </w:tcPr>
          <w:p w14:paraId="714910B6"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B13073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440773A9" w14:textId="77777777" w:rsidR="00000000" w:rsidRDefault="00832D71">
            <w:pPr>
              <w:pStyle w:val="a3"/>
              <w:spacing w:before="0" w:beforeAutospacing="0" w:after="0" w:afterAutospacing="0"/>
              <w:jc w:val="center"/>
              <w:rPr>
                <w:sz w:val="16"/>
                <w:szCs w:val="16"/>
              </w:rPr>
            </w:pPr>
            <w:r>
              <w:rPr>
                <w:sz w:val="16"/>
                <w:szCs w:val="16"/>
              </w:rPr>
              <w:t>(i</w:t>
            </w:r>
            <w:r>
              <w:rPr>
                <w:sz w:val="16"/>
                <w:szCs w:val="16"/>
              </w:rPr>
              <w:t>)</w:t>
            </w:r>
          </w:p>
        </w:tc>
        <w:tc>
          <w:tcPr>
            <w:tcW w:w="0" w:type="auto"/>
            <w:hideMark/>
          </w:tcPr>
          <w:p w14:paraId="6CECEF36"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8A1DC2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5486E562" w14:textId="77777777" w:rsidR="00000000" w:rsidRDefault="00832D71">
            <w:pPr>
              <w:pStyle w:val="a3"/>
              <w:spacing w:before="0" w:beforeAutospacing="0" w:after="0" w:afterAutospacing="0"/>
              <w:jc w:val="center"/>
              <w:rPr>
                <w:sz w:val="16"/>
                <w:szCs w:val="16"/>
              </w:rPr>
            </w:pPr>
            <w:r>
              <w:rPr>
                <w:sz w:val="16"/>
                <w:szCs w:val="16"/>
              </w:rPr>
              <w:t>(j</w:t>
            </w:r>
            <w:r>
              <w:rPr>
                <w:sz w:val="16"/>
                <w:szCs w:val="16"/>
              </w:rPr>
              <w:t>)</w:t>
            </w:r>
          </w:p>
        </w:tc>
        <w:tc>
          <w:tcPr>
            <w:tcW w:w="0" w:type="auto"/>
            <w:hideMark/>
          </w:tcPr>
          <w:p w14:paraId="561AC30E"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5E001654" w14:textId="77777777">
        <w:trPr>
          <w:trHeight w:val="200"/>
          <w:tblCellSpacing w:w="15" w:type="dxa"/>
        </w:trPr>
        <w:tc>
          <w:tcPr>
            <w:tcW w:w="0" w:type="auto"/>
            <w:hideMark/>
          </w:tcPr>
          <w:p w14:paraId="0566EE07" w14:textId="77777777" w:rsidR="00000000" w:rsidRDefault="00832D71">
            <w:pPr>
              <w:pStyle w:val="a3"/>
              <w:spacing w:before="0" w:beforeAutospacing="0" w:after="0" w:afterAutospacing="0"/>
              <w:rPr>
                <w:sz w:val="20"/>
                <w:szCs w:val="20"/>
              </w:rPr>
            </w:pPr>
            <w:r>
              <w:rPr>
                <w:sz w:val="20"/>
                <w:szCs w:val="20"/>
              </w:rPr>
              <w:t>Michael A. Stival</w:t>
            </w:r>
            <w:r>
              <w:rPr>
                <w:sz w:val="20"/>
                <w:szCs w:val="20"/>
              </w:rPr>
              <w:t>a</w:t>
            </w:r>
          </w:p>
        </w:tc>
        <w:tc>
          <w:tcPr>
            <w:tcW w:w="0" w:type="auto"/>
            <w:hideMark/>
          </w:tcPr>
          <w:p w14:paraId="58C62F20"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460ABB6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4C399DC" w14:textId="77777777" w:rsidR="00000000" w:rsidRDefault="00832D71">
            <w:pPr>
              <w:pStyle w:val="a3"/>
              <w:spacing w:before="0" w:beforeAutospacing="0" w:after="0" w:afterAutospacing="0"/>
              <w:jc w:val="right"/>
              <w:rPr>
                <w:sz w:val="20"/>
                <w:szCs w:val="20"/>
              </w:rPr>
            </w:pPr>
            <w:r>
              <w:rPr>
                <w:sz w:val="20"/>
                <w:szCs w:val="20"/>
              </w:rPr>
              <w:t>122,37</w:t>
            </w:r>
            <w:r>
              <w:rPr>
                <w:sz w:val="20"/>
                <w:szCs w:val="20"/>
              </w:rPr>
              <w:t>8</w:t>
            </w:r>
          </w:p>
        </w:tc>
        <w:tc>
          <w:tcPr>
            <w:tcW w:w="0" w:type="auto"/>
            <w:noWrap/>
            <w:hideMark/>
          </w:tcPr>
          <w:p w14:paraId="7EF25F0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33505D5"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142D9852"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4393065" w14:textId="77777777" w:rsidR="00000000" w:rsidRDefault="00832D71">
            <w:pPr>
              <w:pStyle w:val="a3"/>
              <w:spacing w:before="0" w:beforeAutospacing="0" w:after="0" w:afterAutospacing="0"/>
              <w:jc w:val="right"/>
              <w:rPr>
                <w:sz w:val="20"/>
                <w:szCs w:val="20"/>
              </w:rPr>
            </w:pPr>
            <w:r>
              <w:rPr>
                <w:sz w:val="20"/>
                <w:szCs w:val="20"/>
              </w:rPr>
              <w:t>1,962,33</w:t>
            </w:r>
            <w:r>
              <w:rPr>
                <w:sz w:val="20"/>
                <w:szCs w:val="20"/>
              </w:rPr>
              <w:t>1</w:t>
            </w:r>
          </w:p>
        </w:tc>
        <w:tc>
          <w:tcPr>
            <w:tcW w:w="0" w:type="auto"/>
            <w:noWrap/>
            <w:hideMark/>
          </w:tcPr>
          <w:p w14:paraId="11026BC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4EDB060"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4D9408B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320783B" w14:textId="77777777" w:rsidR="00000000" w:rsidRDefault="00832D71">
            <w:pPr>
              <w:pStyle w:val="a3"/>
              <w:spacing w:before="0" w:beforeAutospacing="0" w:after="0" w:afterAutospacing="0"/>
              <w:jc w:val="right"/>
              <w:rPr>
                <w:sz w:val="20"/>
                <w:szCs w:val="20"/>
              </w:rPr>
            </w:pPr>
            <w:r>
              <w:rPr>
                <w:sz w:val="20"/>
                <w:szCs w:val="20"/>
              </w:rPr>
              <w:t>70,47</w:t>
            </w:r>
            <w:r>
              <w:rPr>
                <w:sz w:val="20"/>
                <w:szCs w:val="20"/>
              </w:rPr>
              <w:t>2</w:t>
            </w:r>
          </w:p>
        </w:tc>
        <w:tc>
          <w:tcPr>
            <w:tcW w:w="0" w:type="auto"/>
            <w:noWrap/>
            <w:hideMark/>
          </w:tcPr>
          <w:p w14:paraId="4FB1380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CBFB1D8"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41169FFC"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1C044B55" w14:textId="77777777" w:rsidR="00000000" w:rsidRDefault="00832D71">
            <w:pPr>
              <w:pStyle w:val="a3"/>
              <w:spacing w:before="0" w:beforeAutospacing="0" w:after="0" w:afterAutospacing="0"/>
              <w:jc w:val="right"/>
              <w:rPr>
                <w:sz w:val="20"/>
                <w:szCs w:val="20"/>
              </w:rPr>
            </w:pPr>
            <w:r>
              <w:rPr>
                <w:sz w:val="20"/>
                <w:szCs w:val="20"/>
              </w:rPr>
              <w:t>1,436,85</w:t>
            </w:r>
            <w:r>
              <w:rPr>
                <w:sz w:val="20"/>
                <w:szCs w:val="20"/>
              </w:rPr>
              <w:t>6</w:t>
            </w:r>
          </w:p>
        </w:tc>
        <w:tc>
          <w:tcPr>
            <w:tcW w:w="0" w:type="auto"/>
            <w:noWrap/>
            <w:hideMark/>
          </w:tcPr>
          <w:p w14:paraId="6BCACBFA" w14:textId="77777777" w:rsidR="00000000" w:rsidRDefault="00832D71">
            <w:pPr>
              <w:pStyle w:val="a3"/>
              <w:spacing w:before="0" w:beforeAutospacing="0" w:after="0" w:afterAutospacing="0"/>
              <w:rPr>
                <w:sz w:val="20"/>
                <w:szCs w:val="20"/>
              </w:rPr>
            </w:pPr>
            <w:r>
              <w:rPr>
                <w:sz w:val="20"/>
                <w:szCs w:val="20"/>
              </w:rPr>
              <w:t> </w:t>
            </w:r>
          </w:p>
        </w:tc>
      </w:tr>
      <w:tr w:rsidR="00000000" w14:paraId="7F26FE13" w14:textId="77777777">
        <w:trPr>
          <w:trHeight w:val="200"/>
          <w:tblCellSpacing w:w="15" w:type="dxa"/>
        </w:trPr>
        <w:tc>
          <w:tcPr>
            <w:tcW w:w="0" w:type="auto"/>
            <w:hideMark/>
          </w:tcPr>
          <w:p w14:paraId="44656C8E" w14:textId="77777777" w:rsidR="00000000" w:rsidRDefault="00832D71">
            <w:pPr>
              <w:pStyle w:val="a3"/>
              <w:spacing w:before="0" w:beforeAutospacing="0" w:after="0" w:afterAutospacing="0"/>
              <w:rPr>
                <w:sz w:val="20"/>
                <w:szCs w:val="20"/>
              </w:rPr>
            </w:pPr>
            <w:r>
              <w:rPr>
                <w:sz w:val="20"/>
                <w:szCs w:val="20"/>
              </w:rPr>
              <w:t>Michael A. Kugli</w:t>
            </w:r>
            <w:r>
              <w:rPr>
                <w:sz w:val="20"/>
                <w:szCs w:val="20"/>
              </w:rPr>
              <w:t>n</w:t>
            </w:r>
          </w:p>
        </w:tc>
        <w:tc>
          <w:tcPr>
            <w:tcW w:w="0" w:type="auto"/>
            <w:hideMark/>
          </w:tcPr>
          <w:p w14:paraId="02026DD7"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323C73F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438F683" w14:textId="77777777" w:rsidR="00000000" w:rsidRDefault="00832D71">
            <w:pPr>
              <w:pStyle w:val="a3"/>
              <w:spacing w:before="0" w:beforeAutospacing="0" w:after="0" w:afterAutospacing="0"/>
              <w:jc w:val="right"/>
              <w:rPr>
                <w:sz w:val="20"/>
                <w:szCs w:val="20"/>
              </w:rPr>
            </w:pPr>
            <w:r>
              <w:rPr>
                <w:sz w:val="20"/>
                <w:szCs w:val="20"/>
              </w:rPr>
              <w:t>88,44</w:t>
            </w:r>
            <w:r>
              <w:rPr>
                <w:sz w:val="20"/>
                <w:szCs w:val="20"/>
              </w:rPr>
              <w:t>2</w:t>
            </w:r>
          </w:p>
        </w:tc>
        <w:tc>
          <w:tcPr>
            <w:tcW w:w="0" w:type="auto"/>
            <w:noWrap/>
            <w:hideMark/>
          </w:tcPr>
          <w:p w14:paraId="2855EA2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30425CC"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12AB7DC"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6EDC47F7" w14:textId="77777777" w:rsidR="00000000" w:rsidRDefault="00832D71">
            <w:pPr>
              <w:pStyle w:val="a3"/>
              <w:spacing w:before="0" w:beforeAutospacing="0" w:after="0" w:afterAutospacing="0"/>
              <w:jc w:val="right"/>
              <w:rPr>
                <w:sz w:val="20"/>
                <w:szCs w:val="20"/>
              </w:rPr>
            </w:pPr>
            <w:r>
              <w:rPr>
                <w:sz w:val="20"/>
                <w:szCs w:val="20"/>
              </w:rPr>
              <w:t>1,418,16</w:t>
            </w:r>
            <w:r>
              <w:rPr>
                <w:sz w:val="20"/>
                <w:szCs w:val="20"/>
              </w:rPr>
              <w:t>7</w:t>
            </w:r>
          </w:p>
        </w:tc>
        <w:tc>
          <w:tcPr>
            <w:tcW w:w="0" w:type="auto"/>
            <w:noWrap/>
            <w:hideMark/>
          </w:tcPr>
          <w:p w14:paraId="13C1C5C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BCDC85A"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08BE2B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1862F6C" w14:textId="77777777" w:rsidR="00000000" w:rsidRDefault="00832D71">
            <w:pPr>
              <w:pStyle w:val="a3"/>
              <w:spacing w:before="0" w:beforeAutospacing="0" w:after="0" w:afterAutospacing="0"/>
              <w:jc w:val="right"/>
              <w:rPr>
                <w:sz w:val="20"/>
                <w:szCs w:val="20"/>
              </w:rPr>
            </w:pPr>
            <w:r>
              <w:rPr>
                <w:sz w:val="20"/>
                <w:szCs w:val="20"/>
              </w:rPr>
              <w:t>29,47</w:t>
            </w:r>
            <w:r>
              <w:rPr>
                <w:sz w:val="20"/>
                <w:szCs w:val="20"/>
              </w:rPr>
              <w:t>4</w:t>
            </w:r>
          </w:p>
        </w:tc>
        <w:tc>
          <w:tcPr>
            <w:tcW w:w="0" w:type="auto"/>
            <w:noWrap/>
            <w:hideMark/>
          </w:tcPr>
          <w:p w14:paraId="53D6161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719E0EB"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16D6878B"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F1A8FC0" w14:textId="77777777" w:rsidR="00000000" w:rsidRDefault="00832D71">
            <w:pPr>
              <w:pStyle w:val="a3"/>
              <w:spacing w:before="0" w:beforeAutospacing="0" w:after="0" w:afterAutospacing="0"/>
              <w:jc w:val="right"/>
              <w:rPr>
                <w:sz w:val="20"/>
                <w:szCs w:val="20"/>
              </w:rPr>
            </w:pPr>
            <w:r>
              <w:rPr>
                <w:sz w:val="20"/>
                <w:szCs w:val="20"/>
              </w:rPr>
              <w:t>600,75</w:t>
            </w:r>
            <w:r>
              <w:rPr>
                <w:sz w:val="20"/>
                <w:szCs w:val="20"/>
              </w:rPr>
              <w:t>6</w:t>
            </w:r>
          </w:p>
        </w:tc>
        <w:tc>
          <w:tcPr>
            <w:tcW w:w="0" w:type="auto"/>
            <w:noWrap/>
            <w:hideMark/>
          </w:tcPr>
          <w:p w14:paraId="790991B0" w14:textId="77777777" w:rsidR="00000000" w:rsidRDefault="00832D71">
            <w:pPr>
              <w:pStyle w:val="a3"/>
              <w:spacing w:before="0" w:beforeAutospacing="0" w:after="0" w:afterAutospacing="0"/>
              <w:rPr>
                <w:sz w:val="20"/>
                <w:szCs w:val="20"/>
              </w:rPr>
            </w:pPr>
            <w:r>
              <w:rPr>
                <w:sz w:val="20"/>
                <w:szCs w:val="20"/>
              </w:rPr>
              <w:t> </w:t>
            </w:r>
          </w:p>
        </w:tc>
      </w:tr>
      <w:tr w:rsidR="00000000" w14:paraId="229B7F2E" w14:textId="77777777">
        <w:trPr>
          <w:trHeight w:val="200"/>
          <w:tblCellSpacing w:w="15" w:type="dxa"/>
        </w:trPr>
        <w:tc>
          <w:tcPr>
            <w:tcW w:w="0" w:type="auto"/>
            <w:hideMark/>
          </w:tcPr>
          <w:p w14:paraId="15EE29E6" w14:textId="77777777" w:rsidR="00000000" w:rsidRDefault="00832D71">
            <w:pPr>
              <w:pStyle w:val="a3"/>
              <w:spacing w:before="0" w:beforeAutospacing="0" w:after="0" w:afterAutospacing="0"/>
              <w:rPr>
                <w:sz w:val="20"/>
                <w:szCs w:val="20"/>
              </w:rPr>
            </w:pPr>
            <w:r>
              <w:rPr>
                <w:sz w:val="20"/>
                <w:szCs w:val="20"/>
              </w:rPr>
              <w:t>Steven C. Boy</w:t>
            </w:r>
            <w:r>
              <w:rPr>
                <w:sz w:val="20"/>
                <w:szCs w:val="20"/>
              </w:rPr>
              <w:t>d</w:t>
            </w:r>
          </w:p>
        </w:tc>
        <w:tc>
          <w:tcPr>
            <w:tcW w:w="0" w:type="auto"/>
            <w:hideMark/>
          </w:tcPr>
          <w:p w14:paraId="6CCA0DEE"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1E85583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C95765D" w14:textId="77777777" w:rsidR="00000000" w:rsidRDefault="00832D71">
            <w:pPr>
              <w:pStyle w:val="a3"/>
              <w:spacing w:before="0" w:beforeAutospacing="0" w:after="0" w:afterAutospacing="0"/>
              <w:jc w:val="right"/>
              <w:rPr>
                <w:sz w:val="20"/>
                <w:szCs w:val="20"/>
              </w:rPr>
            </w:pPr>
            <w:r>
              <w:rPr>
                <w:sz w:val="20"/>
                <w:szCs w:val="20"/>
              </w:rPr>
              <w:t>88,44</w:t>
            </w:r>
            <w:r>
              <w:rPr>
                <w:sz w:val="20"/>
                <w:szCs w:val="20"/>
              </w:rPr>
              <w:t>2</w:t>
            </w:r>
          </w:p>
        </w:tc>
        <w:tc>
          <w:tcPr>
            <w:tcW w:w="0" w:type="auto"/>
            <w:noWrap/>
            <w:hideMark/>
          </w:tcPr>
          <w:p w14:paraId="0CEAC5D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5B3E2D5"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0111BB2E"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0469739" w14:textId="77777777" w:rsidR="00000000" w:rsidRDefault="00832D71">
            <w:pPr>
              <w:pStyle w:val="a3"/>
              <w:spacing w:before="0" w:beforeAutospacing="0" w:after="0" w:afterAutospacing="0"/>
              <w:jc w:val="right"/>
              <w:rPr>
                <w:sz w:val="20"/>
                <w:szCs w:val="20"/>
              </w:rPr>
            </w:pPr>
            <w:r>
              <w:rPr>
                <w:sz w:val="20"/>
                <w:szCs w:val="20"/>
              </w:rPr>
              <w:t>1,418,16</w:t>
            </w:r>
            <w:r>
              <w:rPr>
                <w:sz w:val="20"/>
                <w:szCs w:val="20"/>
              </w:rPr>
              <w:t>7</w:t>
            </w:r>
          </w:p>
        </w:tc>
        <w:tc>
          <w:tcPr>
            <w:tcW w:w="0" w:type="auto"/>
            <w:noWrap/>
            <w:hideMark/>
          </w:tcPr>
          <w:p w14:paraId="4F24326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AAFB1AA"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013FA71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1FAF402" w14:textId="77777777" w:rsidR="00000000" w:rsidRDefault="00832D71">
            <w:pPr>
              <w:pStyle w:val="a3"/>
              <w:spacing w:before="0" w:beforeAutospacing="0" w:after="0" w:afterAutospacing="0"/>
              <w:jc w:val="right"/>
              <w:rPr>
                <w:sz w:val="20"/>
                <w:szCs w:val="20"/>
              </w:rPr>
            </w:pPr>
            <w:r>
              <w:rPr>
                <w:sz w:val="20"/>
                <w:szCs w:val="20"/>
              </w:rPr>
              <w:t>29,86</w:t>
            </w:r>
            <w:r>
              <w:rPr>
                <w:sz w:val="20"/>
                <w:szCs w:val="20"/>
              </w:rPr>
              <w:t>7</w:t>
            </w:r>
          </w:p>
        </w:tc>
        <w:tc>
          <w:tcPr>
            <w:tcW w:w="0" w:type="auto"/>
            <w:noWrap/>
            <w:hideMark/>
          </w:tcPr>
          <w:p w14:paraId="136F967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AED33BB"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38E650DB"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76B8C177" w14:textId="77777777" w:rsidR="00000000" w:rsidRDefault="00832D71">
            <w:pPr>
              <w:pStyle w:val="a3"/>
              <w:spacing w:before="0" w:beforeAutospacing="0" w:after="0" w:afterAutospacing="0"/>
              <w:jc w:val="right"/>
              <w:rPr>
                <w:sz w:val="20"/>
                <w:szCs w:val="20"/>
              </w:rPr>
            </w:pPr>
            <w:r>
              <w:rPr>
                <w:sz w:val="20"/>
                <w:szCs w:val="20"/>
              </w:rPr>
              <w:t>608,77</w:t>
            </w:r>
            <w:r>
              <w:rPr>
                <w:sz w:val="20"/>
                <w:szCs w:val="20"/>
              </w:rPr>
              <w:t>8</w:t>
            </w:r>
          </w:p>
        </w:tc>
        <w:tc>
          <w:tcPr>
            <w:tcW w:w="0" w:type="auto"/>
            <w:noWrap/>
            <w:hideMark/>
          </w:tcPr>
          <w:p w14:paraId="28E2DF41" w14:textId="77777777" w:rsidR="00000000" w:rsidRDefault="00832D71">
            <w:pPr>
              <w:pStyle w:val="a3"/>
              <w:spacing w:before="0" w:beforeAutospacing="0" w:after="0" w:afterAutospacing="0"/>
              <w:rPr>
                <w:sz w:val="20"/>
                <w:szCs w:val="20"/>
              </w:rPr>
            </w:pPr>
            <w:r>
              <w:rPr>
                <w:sz w:val="20"/>
                <w:szCs w:val="20"/>
              </w:rPr>
              <w:t> </w:t>
            </w:r>
          </w:p>
        </w:tc>
      </w:tr>
      <w:tr w:rsidR="00000000" w14:paraId="742A5BBC" w14:textId="77777777">
        <w:trPr>
          <w:trHeight w:val="200"/>
          <w:tblCellSpacing w:w="15" w:type="dxa"/>
        </w:trPr>
        <w:tc>
          <w:tcPr>
            <w:tcW w:w="0" w:type="auto"/>
            <w:hideMark/>
          </w:tcPr>
          <w:p w14:paraId="426AD4E3" w14:textId="77777777" w:rsidR="00000000" w:rsidRDefault="00832D71">
            <w:pPr>
              <w:pStyle w:val="a3"/>
              <w:spacing w:before="0" w:beforeAutospacing="0" w:after="0" w:afterAutospacing="0"/>
              <w:rPr>
                <w:sz w:val="20"/>
                <w:szCs w:val="20"/>
              </w:rPr>
            </w:pPr>
            <w:r>
              <w:rPr>
                <w:sz w:val="20"/>
                <w:szCs w:val="20"/>
              </w:rPr>
              <w:t>Douglas T. Brinkwort</w:t>
            </w:r>
            <w:r>
              <w:rPr>
                <w:sz w:val="20"/>
                <w:szCs w:val="20"/>
              </w:rPr>
              <w:t>h</w:t>
            </w:r>
          </w:p>
        </w:tc>
        <w:tc>
          <w:tcPr>
            <w:tcW w:w="0" w:type="auto"/>
            <w:hideMark/>
          </w:tcPr>
          <w:p w14:paraId="1775E5C1"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20FBD61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84FD915" w14:textId="77777777" w:rsidR="00000000" w:rsidRDefault="00832D71">
            <w:pPr>
              <w:pStyle w:val="a3"/>
              <w:spacing w:before="0" w:beforeAutospacing="0" w:after="0" w:afterAutospacing="0"/>
              <w:jc w:val="right"/>
              <w:rPr>
                <w:sz w:val="20"/>
                <w:szCs w:val="20"/>
              </w:rPr>
            </w:pPr>
            <w:r>
              <w:rPr>
                <w:sz w:val="20"/>
                <w:szCs w:val="20"/>
              </w:rPr>
              <w:t>85,73</w:t>
            </w:r>
            <w:r>
              <w:rPr>
                <w:sz w:val="20"/>
                <w:szCs w:val="20"/>
              </w:rPr>
              <w:t>3</w:t>
            </w:r>
          </w:p>
        </w:tc>
        <w:tc>
          <w:tcPr>
            <w:tcW w:w="0" w:type="auto"/>
            <w:noWrap/>
            <w:hideMark/>
          </w:tcPr>
          <w:p w14:paraId="2A48007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7462581"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491984A7"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7302DCBF" w14:textId="77777777" w:rsidR="00000000" w:rsidRDefault="00832D71">
            <w:pPr>
              <w:pStyle w:val="a3"/>
              <w:spacing w:before="0" w:beforeAutospacing="0" w:after="0" w:afterAutospacing="0"/>
              <w:jc w:val="right"/>
              <w:rPr>
                <w:sz w:val="20"/>
                <w:szCs w:val="20"/>
              </w:rPr>
            </w:pPr>
            <w:r>
              <w:rPr>
                <w:sz w:val="20"/>
                <w:szCs w:val="20"/>
              </w:rPr>
              <w:t>1,374,72</w:t>
            </w:r>
            <w:r>
              <w:rPr>
                <w:sz w:val="20"/>
                <w:szCs w:val="20"/>
              </w:rPr>
              <w:t>9</w:t>
            </w:r>
          </w:p>
        </w:tc>
        <w:tc>
          <w:tcPr>
            <w:tcW w:w="0" w:type="auto"/>
            <w:noWrap/>
            <w:hideMark/>
          </w:tcPr>
          <w:p w14:paraId="4FDB82A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330E0EB"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531687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380A56D" w14:textId="77777777" w:rsidR="00000000" w:rsidRDefault="00832D71">
            <w:pPr>
              <w:pStyle w:val="a3"/>
              <w:spacing w:before="0" w:beforeAutospacing="0" w:after="0" w:afterAutospacing="0"/>
              <w:jc w:val="right"/>
              <w:rPr>
                <w:sz w:val="20"/>
                <w:szCs w:val="20"/>
              </w:rPr>
            </w:pPr>
            <w:r>
              <w:rPr>
                <w:sz w:val="20"/>
                <w:szCs w:val="20"/>
              </w:rPr>
              <w:t>26,32</w:t>
            </w:r>
            <w:r>
              <w:rPr>
                <w:sz w:val="20"/>
                <w:szCs w:val="20"/>
              </w:rPr>
              <w:t>9</w:t>
            </w:r>
          </w:p>
        </w:tc>
        <w:tc>
          <w:tcPr>
            <w:tcW w:w="0" w:type="auto"/>
            <w:noWrap/>
            <w:hideMark/>
          </w:tcPr>
          <w:p w14:paraId="7956E92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63AD9CE"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6AC27180"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0892825" w14:textId="77777777" w:rsidR="00000000" w:rsidRDefault="00832D71">
            <w:pPr>
              <w:pStyle w:val="a3"/>
              <w:spacing w:before="0" w:beforeAutospacing="0" w:after="0" w:afterAutospacing="0"/>
              <w:jc w:val="right"/>
              <w:rPr>
                <w:sz w:val="20"/>
                <w:szCs w:val="20"/>
              </w:rPr>
            </w:pPr>
            <w:r>
              <w:rPr>
                <w:sz w:val="20"/>
                <w:szCs w:val="20"/>
              </w:rPr>
              <w:t>536,64</w:t>
            </w:r>
            <w:r>
              <w:rPr>
                <w:sz w:val="20"/>
                <w:szCs w:val="20"/>
              </w:rPr>
              <w:t>8</w:t>
            </w:r>
          </w:p>
        </w:tc>
        <w:tc>
          <w:tcPr>
            <w:tcW w:w="0" w:type="auto"/>
            <w:noWrap/>
            <w:hideMark/>
          </w:tcPr>
          <w:p w14:paraId="68D5FBD0" w14:textId="77777777" w:rsidR="00000000" w:rsidRDefault="00832D71">
            <w:pPr>
              <w:pStyle w:val="a3"/>
              <w:spacing w:before="0" w:beforeAutospacing="0" w:after="0" w:afterAutospacing="0"/>
              <w:rPr>
                <w:sz w:val="20"/>
                <w:szCs w:val="20"/>
              </w:rPr>
            </w:pPr>
            <w:r>
              <w:rPr>
                <w:sz w:val="20"/>
                <w:szCs w:val="20"/>
              </w:rPr>
              <w:t> </w:t>
            </w:r>
          </w:p>
        </w:tc>
      </w:tr>
      <w:tr w:rsidR="00000000" w14:paraId="2721EE81" w14:textId="77777777">
        <w:trPr>
          <w:trHeight w:val="200"/>
          <w:tblCellSpacing w:w="15" w:type="dxa"/>
        </w:trPr>
        <w:tc>
          <w:tcPr>
            <w:tcW w:w="0" w:type="auto"/>
            <w:hideMark/>
          </w:tcPr>
          <w:p w14:paraId="180E4132" w14:textId="77777777" w:rsidR="00000000" w:rsidRDefault="00832D71">
            <w:pPr>
              <w:pStyle w:val="a3"/>
              <w:spacing w:before="0" w:beforeAutospacing="0" w:after="0" w:afterAutospacing="0"/>
              <w:rPr>
                <w:sz w:val="20"/>
                <w:szCs w:val="20"/>
              </w:rPr>
            </w:pPr>
            <w:r>
              <w:rPr>
                <w:sz w:val="20"/>
                <w:szCs w:val="20"/>
              </w:rPr>
              <w:t>Neil E. Scanlo</w:t>
            </w:r>
            <w:r>
              <w:rPr>
                <w:sz w:val="20"/>
                <w:szCs w:val="20"/>
              </w:rPr>
              <w:t>n</w:t>
            </w:r>
          </w:p>
        </w:tc>
        <w:tc>
          <w:tcPr>
            <w:tcW w:w="0" w:type="auto"/>
            <w:hideMark/>
          </w:tcPr>
          <w:p w14:paraId="75E7E56A"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C5913E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05E9E8D" w14:textId="77777777" w:rsidR="00000000" w:rsidRDefault="00832D71">
            <w:pPr>
              <w:pStyle w:val="a3"/>
              <w:spacing w:before="0" w:beforeAutospacing="0" w:after="0" w:afterAutospacing="0"/>
              <w:jc w:val="right"/>
              <w:rPr>
                <w:sz w:val="20"/>
                <w:szCs w:val="20"/>
              </w:rPr>
            </w:pPr>
            <w:r>
              <w:rPr>
                <w:sz w:val="20"/>
                <w:szCs w:val="20"/>
              </w:rPr>
              <w:t>82,19</w:t>
            </w:r>
            <w:r>
              <w:rPr>
                <w:sz w:val="20"/>
                <w:szCs w:val="20"/>
              </w:rPr>
              <w:t>6</w:t>
            </w:r>
          </w:p>
        </w:tc>
        <w:tc>
          <w:tcPr>
            <w:tcW w:w="0" w:type="auto"/>
            <w:noWrap/>
            <w:hideMark/>
          </w:tcPr>
          <w:p w14:paraId="28F5623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8C4928B"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836C6CC"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87553F4" w14:textId="77777777" w:rsidR="00000000" w:rsidRDefault="00832D71">
            <w:pPr>
              <w:pStyle w:val="a3"/>
              <w:spacing w:before="0" w:beforeAutospacing="0" w:after="0" w:afterAutospacing="0"/>
              <w:jc w:val="right"/>
              <w:rPr>
                <w:sz w:val="20"/>
                <w:szCs w:val="20"/>
              </w:rPr>
            </w:pPr>
            <w:r>
              <w:rPr>
                <w:sz w:val="20"/>
                <w:szCs w:val="20"/>
              </w:rPr>
              <w:t>1,318,01</w:t>
            </w:r>
            <w:r>
              <w:rPr>
                <w:sz w:val="20"/>
                <w:szCs w:val="20"/>
              </w:rPr>
              <w:t>3</w:t>
            </w:r>
          </w:p>
        </w:tc>
        <w:tc>
          <w:tcPr>
            <w:tcW w:w="0" w:type="auto"/>
            <w:noWrap/>
            <w:hideMark/>
          </w:tcPr>
          <w:p w14:paraId="58229B4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2AC7C6A"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6E2DC51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CF03590" w14:textId="77777777" w:rsidR="00000000" w:rsidRDefault="00832D71">
            <w:pPr>
              <w:pStyle w:val="a3"/>
              <w:spacing w:before="0" w:beforeAutospacing="0" w:after="0" w:afterAutospacing="0"/>
              <w:jc w:val="right"/>
              <w:rPr>
                <w:sz w:val="20"/>
                <w:szCs w:val="20"/>
              </w:rPr>
            </w:pPr>
            <w:r>
              <w:rPr>
                <w:sz w:val="20"/>
                <w:szCs w:val="20"/>
              </w:rPr>
              <w:t>23,18</w:t>
            </w:r>
            <w:r>
              <w:rPr>
                <w:sz w:val="20"/>
                <w:szCs w:val="20"/>
              </w:rPr>
              <w:t>5</w:t>
            </w:r>
          </w:p>
        </w:tc>
        <w:tc>
          <w:tcPr>
            <w:tcW w:w="0" w:type="auto"/>
            <w:noWrap/>
            <w:hideMark/>
          </w:tcPr>
          <w:p w14:paraId="5643C68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1241492"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6035CB40"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0AC34885" w14:textId="77777777" w:rsidR="00000000" w:rsidRDefault="00832D71">
            <w:pPr>
              <w:pStyle w:val="a3"/>
              <w:spacing w:before="0" w:beforeAutospacing="0" w:after="0" w:afterAutospacing="0"/>
              <w:jc w:val="right"/>
              <w:rPr>
                <w:sz w:val="20"/>
                <w:szCs w:val="20"/>
              </w:rPr>
            </w:pPr>
            <w:r>
              <w:rPr>
                <w:sz w:val="20"/>
                <w:szCs w:val="20"/>
              </w:rPr>
              <w:t>472,56</w:t>
            </w:r>
            <w:r>
              <w:rPr>
                <w:sz w:val="20"/>
                <w:szCs w:val="20"/>
              </w:rPr>
              <w:t>0</w:t>
            </w:r>
          </w:p>
        </w:tc>
        <w:tc>
          <w:tcPr>
            <w:tcW w:w="0" w:type="auto"/>
            <w:noWrap/>
            <w:hideMark/>
          </w:tcPr>
          <w:p w14:paraId="00C1D556" w14:textId="77777777" w:rsidR="00000000" w:rsidRDefault="00832D71">
            <w:pPr>
              <w:pStyle w:val="a3"/>
              <w:spacing w:before="0" w:beforeAutospacing="0" w:after="0" w:afterAutospacing="0"/>
              <w:rPr>
                <w:sz w:val="20"/>
                <w:szCs w:val="20"/>
              </w:rPr>
            </w:pPr>
            <w:r>
              <w:rPr>
                <w:sz w:val="20"/>
                <w:szCs w:val="20"/>
              </w:rPr>
              <w:t> </w:t>
            </w:r>
          </w:p>
        </w:tc>
      </w:tr>
    </w:tbl>
    <w:p w14:paraId="5BC78F6C" w14:textId="77777777" w:rsidR="00000000" w:rsidRDefault="00832D71">
      <w:pPr>
        <w:pStyle w:val="a3"/>
        <w:spacing w:before="0" w:beforeAutospacing="0" w:after="0" w:afterAutospacing="0"/>
        <w:ind w:hanging="581"/>
        <w:jc w:val="both"/>
        <w:rPr>
          <w:sz w:val="20"/>
          <w:szCs w:val="20"/>
        </w:rPr>
      </w:pPr>
      <w:r>
        <w:rPr>
          <w:sz w:val="20"/>
          <w:szCs w:val="20"/>
        </w:rPr>
        <w:t> </w:t>
      </w:r>
    </w:p>
    <w:p w14:paraId="11D60F4C" w14:textId="77777777" w:rsidR="00000000" w:rsidRDefault="00832D71">
      <w:pPr>
        <w:jc w:val="both"/>
        <w:divId w:val="1444030741"/>
        <w:rPr>
          <w:rFonts w:eastAsia="Times New Roman"/>
        </w:rPr>
      </w:pPr>
      <w:r>
        <w:rPr>
          <w:rFonts w:eastAsia="Times New Roman"/>
          <w:sz w:val="20"/>
          <w:szCs w:val="20"/>
        </w:rPr>
        <w:t>(1</w:t>
      </w:r>
      <w:r>
        <w:rPr>
          <w:rFonts w:eastAsia="Times New Roman"/>
          <w:sz w:val="20"/>
          <w:szCs w:val="20"/>
        </w:rPr>
        <w:t>)</w:t>
      </w:r>
    </w:p>
    <w:p w14:paraId="5C15855D" w14:textId="77777777" w:rsidR="00000000" w:rsidRDefault="00832D71">
      <w:pPr>
        <w:jc w:val="both"/>
        <w:divId w:val="294336078"/>
        <w:rPr>
          <w:rFonts w:eastAsia="Times New Roman"/>
        </w:rPr>
      </w:pPr>
      <w:r>
        <w:rPr>
          <w:rFonts w:eastAsia="Times New Roman"/>
          <w:sz w:val="20"/>
          <w:szCs w:val="20"/>
        </w:rPr>
        <w:t>The figures reported in this column represent the total quantity of each of our named executive officer’s unvested 2018 RUP awards</w:t>
      </w:r>
      <w:r>
        <w:rPr>
          <w:rFonts w:eastAsia="Times New Roman"/>
          <w:sz w:val="20"/>
          <w:szCs w:val="20"/>
        </w:rPr>
        <w:t>.</w:t>
      </w:r>
    </w:p>
    <w:p w14:paraId="40AA27D0" w14:textId="77777777" w:rsidR="00000000" w:rsidRDefault="00832D71">
      <w:pPr>
        <w:pStyle w:val="a3"/>
        <w:spacing w:before="240" w:beforeAutospacing="0" w:after="0" w:afterAutospacing="0"/>
        <w:ind w:firstLine="555"/>
        <w:jc w:val="both"/>
        <w:rPr>
          <w:sz w:val="20"/>
          <w:szCs w:val="20"/>
        </w:rPr>
      </w:pPr>
      <w:r>
        <w:rPr>
          <w:sz w:val="20"/>
          <w:szCs w:val="20"/>
        </w:rPr>
        <w:t>The following is a schedule of when the 2018 RUP awards reported above will vest</w:t>
      </w:r>
      <w:r>
        <w:rPr>
          <w:sz w:val="20"/>
          <w:szCs w:val="20"/>
        </w:rPr>
        <w:t>:</w:t>
      </w:r>
    </w:p>
    <w:p w14:paraId="5AC62709" w14:textId="77777777" w:rsidR="00000000" w:rsidRDefault="00832D71">
      <w:pPr>
        <w:pStyle w:val="a3"/>
        <w:spacing w:before="0" w:beforeAutospacing="0" w:after="0" w:afterAutospacing="0"/>
        <w:ind w:hanging="581"/>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468"/>
        <w:gridCol w:w="110"/>
        <w:gridCol w:w="110"/>
        <w:gridCol w:w="710"/>
        <w:gridCol w:w="110"/>
        <w:gridCol w:w="110"/>
        <w:gridCol w:w="111"/>
        <w:gridCol w:w="969"/>
        <w:gridCol w:w="110"/>
        <w:gridCol w:w="110"/>
        <w:gridCol w:w="111"/>
        <w:gridCol w:w="995"/>
        <w:gridCol w:w="110"/>
        <w:gridCol w:w="110"/>
        <w:gridCol w:w="111"/>
        <w:gridCol w:w="995"/>
        <w:gridCol w:w="125"/>
      </w:tblGrid>
      <w:tr w:rsidR="00000000" w14:paraId="1411DFA4" w14:textId="77777777">
        <w:trPr>
          <w:tblCellSpacing w:w="15" w:type="dxa"/>
        </w:trPr>
        <w:tc>
          <w:tcPr>
            <w:tcW w:w="1765" w:type="pct"/>
            <w:vAlign w:val="center"/>
            <w:hideMark/>
          </w:tcPr>
          <w:p w14:paraId="7ED46141" w14:textId="77777777" w:rsidR="00000000" w:rsidRDefault="00832D71">
            <w:pPr>
              <w:rPr>
                <w:sz w:val="20"/>
                <w:szCs w:val="20"/>
              </w:rPr>
            </w:pPr>
          </w:p>
        </w:tc>
        <w:tc>
          <w:tcPr>
            <w:tcW w:w="59" w:type="pct"/>
            <w:vAlign w:val="center"/>
            <w:hideMark/>
          </w:tcPr>
          <w:p w14:paraId="34A3E46A" w14:textId="77777777" w:rsidR="00000000" w:rsidRDefault="00832D71">
            <w:pPr>
              <w:rPr>
                <w:rFonts w:eastAsia="Times New Roman"/>
                <w:sz w:val="20"/>
                <w:szCs w:val="20"/>
              </w:rPr>
            </w:pPr>
          </w:p>
        </w:tc>
        <w:tc>
          <w:tcPr>
            <w:tcW w:w="50" w:type="pct"/>
            <w:vAlign w:val="center"/>
            <w:hideMark/>
          </w:tcPr>
          <w:p w14:paraId="0E7E7C45" w14:textId="77777777" w:rsidR="00000000" w:rsidRDefault="00832D71">
            <w:pPr>
              <w:rPr>
                <w:rFonts w:eastAsia="Times New Roman"/>
                <w:sz w:val="20"/>
                <w:szCs w:val="20"/>
              </w:rPr>
            </w:pPr>
          </w:p>
        </w:tc>
        <w:tc>
          <w:tcPr>
            <w:tcW w:w="408" w:type="pct"/>
            <w:vAlign w:val="center"/>
            <w:hideMark/>
          </w:tcPr>
          <w:p w14:paraId="25721AAA" w14:textId="77777777" w:rsidR="00000000" w:rsidRDefault="00832D71">
            <w:pPr>
              <w:rPr>
                <w:rFonts w:eastAsia="Times New Roman"/>
                <w:sz w:val="20"/>
                <w:szCs w:val="20"/>
              </w:rPr>
            </w:pPr>
          </w:p>
        </w:tc>
        <w:tc>
          <w:tcPr>
            <w:tcW w:w="50" w:type="pct"/>
            <w:vAlign w:val="center"/>
            <w:hideMark/>
          </w:tcPr>
          <w:p w14:paraId="2575BD0F" w14:textId="77777777" w:rsidR="00000000" w:rsidRDefault="00832D71">
            <w:pPr>
              <w:rPr>
                <w:rFonts w:eastAsia="Times New Roman"/>
                <w:sz w:val="20"/>
                <w:szCs w:val="20"/>
              </w:rPr>
            </w:pPr>
          </w:p>
        </w:tc>
        <w:tc>
          <w:tcPr>
            <w:tcW w:w="59" w:type="pct"/>
            <w:vAlign w:val="center"/>
            <w:hideMark/>
          </w:tcPr>
          <w:p w14:paraId="30E29F00" w14:textId="77777777" w:rsidR="00000000" w:rsidRDefault="00832D71">
            <w:pPr>
              <w:rPr>
                <w:rFonts w:eastAsia="Times New Roman"/>
                <w:sz w:val="20"/>
                <w:szCs w:val="20"/>
              </w:rPr>
            </w:pPr>
          </w:p>
        </w:tc>
        <w:tc>
          <w:tcPr>
            <w:tcW w:w="50" w:type="pct"/>
            <w:vAlign w:val="center"/>
            <w:hideMark/>
          </w:tcPr>
          <w:p w14:paraId="00FA7F79" w14:textId="77777777" w:rsidR="00000000" w:rsidRDefault="00832D71">
            <w:pPr>
              <w:rPr>
                <w:rFonts w:eastAsia="Times New Roman"/>
                <w:sz w:val="20"/>
                <w:szCs w:val="20"/>
              </w:rPr>
            </w:pPr>
          </w:p>
        </w:tc>
        <w:tc>
          <w:tcPr>
            <w:tcW w:w="729" w:type="pct"/>
            <w:vAlign w:val="center"/>
            <w:hideMark/>
          </w:tcPr>
          <w:p w14:paraId="24F8E87A" w14:textId="77777777" w:rsidR="00000000" w:rsidRDefault="00832D71">
            <w:pPr>
              <w:rPr>
                <w:rFonts w:eastAsia="Times New Roman"/>
                <w:sz w:val="20"/>
                <w:szCs w:val="20"/>
              </w:rPr>
            </w:pPr>
          </w:p>
        </w:tc>
        <w:tc>
          <w:tcPr>
            <w:tcW w:w="50" w:type="pct"/>
            <w:vAlign w:val="center"/>
            <w:hideMark/>
          </w:tcPr>
          <w:p w14:paraId="7BFB478A" w14:textId="77777777" w:rsidR="00000000" w:rsidRDefault="00832D71">
            <w:pPr>
              <w:rPr>
                <w:rFonts w:eastAsia="Times New Roman"/>
                <w:sz w:val="20"/>
                <w:szCs w:val="20"/>
              </w:rPr>
            </w:pPr>
          </w:p>
        </w:tc>
        <w:tc>
          <w:tcPr>
            <w:tcW w:w="59" w:type="pct"/>
            <w:vAlign w:val="center"/>
            <w:hideMark/>
          </w:tcPr>
          <w:p w14:paraId="71F47FD0" w14:textId="77777777" w:rsidR="00000000" w:rsidRDefault="00832D71">
            <w:pPr>
              <w:rPr>
                <w:rFonts w:eastAsia="Times New Roman"/>
                <w:sz w:val="20"/>
                <w:szCs w:val="20"/>
              </w:rPr>
            </w:pPr>
          </w:p>
        </w:tc>
        <w:tc>
          <w:tcPr>
            <w:tcW w:w="50" w:type="pct"/>
            <w:vAlign w:val="center"/>
            <w:hideMark/>
          </w:tcPr>
          <w:p w14:paraId="4BD84EC4" w14:textId="77777777" w:rsidR="00000000" w:rsidRDefault="00832D71">
            <w:pPr>
              <w:rPr>
                <w:rFonts w:eastAsia="Times New Roman"/>
                <w:sz w:val="20"/>
                <w:szCs w:val="20"/>
              </w:rPr>
            </w:pPr>
          </w:p>
        </w:tc>
        <w:tc>
          <w:tcPr>
            <w:tcW w:w="729" w:type="pct"/>
            <w:vAlign w:val="center"/>
            <w:hideMark/>
          </w:tcPr>
          <w:p w14:paraId="445286F3" w14:textId="77777777" w:rsidR="00000000" w:rsidRDefault="00832D71">
            <w:pPr>
              <w:rPr>
                <w:rFonts w:eastAsia="Times New Roman"/>
                <w:sz w:val="20"/>
                <w:szCs w:val="20"/>
              </w:rPr>
            </w:pPr>
          </w:p>
        </w:tc>
        <w:tc>
          <w:tcPr>
            <w:tcW w:w="50" w:type="pct"/>
            <w:vAlign w:val="center"/>
            <w:hideMark/>
          </w:tcPr>
          <w:p w14:paraId="2D0FF8A3" w14:textId="77777777" w:rsidR="00000000" w:rsidRDefault="00832D71">
            <w:pPr>
              <w:rPr>
                <w:rFonts w:eastAsia="Times New Roman"/>
                <w:sz w:val="20"/>
                <w:szCs w:val="20"/>
              </w:rPr>
            </w:pPr>
          </w:p>
        </w:tc>
        <w:tc>
          <w:tcPr>
            <w:tcW w:w="59" w:type="pct"/>
            <w:vAlign w:val="center"/>
            <w:hideMark/>
          </w:tcPr>
          <w:p w14:paraId="58C24F51" w14:textId="77777777" w:rsidR="00000000" w:rsidRDefault="00832D71">
            <w:pPr>
              <w:rPr>
                <w:rFonts w:eastAsia="Times New Roman"/>
                <w:sz w:val="20"/>
                <w:szCs w:val="20"/>
              </w:rPr>
            </w:pPr>
          </w:p>
        </w:tc>
        <w:tc>
          <w:tcPr>
            <w:tcW w:w="50" w:type="pct"/>
            <w:vAlign w:val="center"/>
            <w:hideMark/>
          </w:tcPr>
          <w:p w14:paraId="3169C8EB" w14:textId="77777777" w:rsidR="00000000" w:rsidRDefault="00832D71">
            <w:pPr>
              <w:rPr>
                <w:rFonts w:eastAsia="Times New Roman"/>
                <w:sz w:val="20"/>
                <w:szCs w:val="20"/>
              </w:rPr>
            </w:pPr>
          </w:p>
        </w:tc>
        <w:tc>
          <w:tcPr>
            <w:tcW w:w="729" w:type="pct"/>
            <w:vAlign w:val="center"/>
            <w:hideMark/>
          </w:tcPr>
          <w:p w14:paraId="424DA7D4" w14:textId="77777777" w:rsidR="00000000" w:rsidRDefault="00832D71">
            <w:pPr>
              <w:rPr>
                <w:rFonts w:eastAsia="Times New Roman"/>
                <w:sz w:val="20"/>
                <w:szCs w:val="20"/>
              </w:rPr>
            </w:pPr>
          </w:p>
        </w:tc>
        <w:tc>
          <w:tcPr>
            <w:tcW w:w="50" w:type="pct"/>
            <w:vAlign w:val="center"/>
            <w:hideMark/>
          </w:tcPr>
          <w:p w14:paraId="382C3C4B" w14:textId="77777777" w:rsidR="00000000" w:rsidRDefault="00832D71">
            <w:pPr>
              <w:rPr>
                <w:rFonts w:eastAsia="Times New Roman"/>
                <w:sz w:val="20"/>
                <w:szCs w:val="20"/>
              </w:rPr>
            </w:pPr>
          </w:p>
        </w:tc>
      </w:tr>
      <w:tr w:rsidR="00000000" w14:paraId="10B83850" w14:textId="77777777">
        <w:trPr>
          <w:trHeight w:val="160"/>
          <w:tblCellSpacing w:w="15" w:type="dxa"/>
        </w:trPr>
        <w:tc>
          <w:tcPr>
            <w:tcW w:w="0" w:type="auto"/>
            <w:vAlign w:val="bottom"/>
            <w:hideMark/>
          </w:tcPr>
          <w:p w14:paraId="0CBD5A9E"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574A102D"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F5B71B4" w14:textId="77777777" w:rsidR="00000000" w:rsidRDefault="00832D71">
            <w:pPr>
              <w:pStyle w:val="a3"/>
              <w:spacing w:before="0" w:beforeAutospacing="0" w:after="0" w:afterAutospacing="0"/>
              <w:jc w:val="center"/>
              <w:rPr>
                <w:sz w:val="16"/>
                <w:szCs w:val="16"/>
              </w:rPr>
            </w:pPr>
            <w:r>
              <w:rPr>
                <w:b/>
                <w:bCs/>
                <w:sz w:val="16"/>
                <w:szCs w:val="16"/>
              </w:rPr>
              <w:t>Number of 2018 RUP</w:t>
            </w:r>
            <w:r>
              <w:rPr>
                <w:b/>
                <w:bCs/>
                <w:sz w:val="16"/>
                <w:szCs w:val="16"/>
              </w:rPr>
              <w:br/>
              <w:t>Awards That</w:t>
            </w:r>
            <w:r>
              <w:rPr>
                <w:b/>
                <w:bCs/>
                <w:sz w:val="16"/>
                <w:szCs w:val="16"/>
              </w:rPr>
              <w:br/>
              <w:t>Have Not Veste</w:t>
            </w:r>
            <w:r>
              <w:rPr>
                <w:b/>
                <w:bCs/>
                <w:sz w:val="16"/>
                <w:szCs w:val="16"/>
              </w:rPr>
              <w:t>d</w:t>
            </w:r>
          </w:p>
        </w:tc>
        <w:tc>
          <w:tcPr>
            <w:tcW w:w="0" w:type="auto"/>
            <w:vAlign w:val="bottom"/>
            <w:hideMark/>
          </w:tcPr>
          <w:p w14:paraId="0225DAB0"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14352A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EC78E4B" w14:textId="77777777" w:rsidR="00000000" w:rsidRDefault="00832D71">
            <w:pPr>
              <w:pStyle w:val="a3"/>
              <w:spacing w:before="0" w:beforeAutospacing="0" w:after="0" w:afterAutospacing="0"/>
              <w:jc w:val="center"/>
              <w:rPr>
                <w:sz w:val="16"/>
                <w:szCs w:val="16"/>
              </w:rPr>
            </w:pPr>
            <w:r>
              <w:rPr>
                <w:b/>
                <w:bCs/>
                <w:sz w:val="16"/>
                <w:szCs w:val="16"/>
              </w:rPr>
              <w:t>Number That</w:t>
            </w:r>
            <w:r>
              <w:rPr>
                <w:b/>
                <w:bCs/>
                <w:sz w:val="16"/>
                <w:szCs w:val="16"/>
              </w:rPr>
              <w:br/>
              <w:t>Will Vest on</w:t>
            </w:r>
            <w:r>
              <w:rPr>
                <w:b/>
                <w:bCs/>
                <w:sz w:val="16"/>
                <w:szCs w:val="16"/>
              </w:rPr>
              <w:br/>
              <w:t>November 15,</w:t>
            </w:r>
            <w:r>
              <w:rPr>
                <w:b/>
                <w:bCs/>
                <w:sz w:val="16"/>
                <w:szCs w:val="16"/>
              </w:rPr>
              <w:br/>
              <w:t>202</w:t>
            </w:r>
            <w:r>
              <w:rPr>
                <w:b/>
                <w:bCs/>
                <w:sz w:val="16"/>
                <w:szCs w:val="16"/>
              </w:rPr>
              <w:t>2</w:t>
            </w:r>
          </w:p>
        </w:tc>
        <w:tc>
          <w:tcPr>
            <w:tcW w:w="0" w:type="auto"/>
            <w:vAlign w:val="bottom"/>
            <w:hideMark/>
          </w:tcPr>
          <w:p w14:paraId="18AA9CBF"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44C195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6761035" w14:textId="77777777" w:rsidR="00000000" w:rsidRDefault="00832D71">
            <w:pPr>
              <w:pStyle w:val="a3"/>
              <w:spacing w:before="0" w:beforeAutospacing="0" w:after="0" w:afterAutospacing="0"/>
              <w:jc w:val="center"/>
              <w:rPr>
                <w:sz w:val="16"/>
                <w:szCs w:val="16"/>
              </w:rPr>
            </w:pPr>
            <w:r>
              <w:rPr>
                <w:b/>
                <w:bCs/>
                <w:sz w:val="16"/>
                <w:szCs w:val="16"/>
              </w:rPr>
              <w:t>Number That</w:t>
            </w:r>
            <w:r>
              <w:rPr>
                <w:b/>
                <w:bCs/>
                <w:sz w:val="16"/>
                <w:szCs w:val="16"/>
              </w:rPr>
              <w:br/>
              <w:t>Will Vest on</w:t>
            </w:r>
            <w:r>
              <w:rPr>
                <w:b/>
                <w:bCs/>
                <w:sz w:val="16"/>
                <w:szCs w:val="16"/>
              </w:rPr>
              <w:br/>
              <w:t>November 15,</w:t>
            </w:r>
            <w:r>
              <w:rPr>
                <w:b/>
                <w:bCs/>
                <w:sz w:val="16"/>
                <w:szCs w:val="16"/>
              </w:rPr>
              <w:br/>
              <w:t>202</w:t>
            </w:r>
            <w:r>
              <w:rPr>
                <w:b/>
                <w:bCs/>
                <w:sz w:val="16"/>
                <w:szCs w:val="16"/>
              </w:rPr>
              <w:t>3</w:t>
            </w:r>
          </w:p>
        </w:tc>
        <w:tc>
          <w:tcPr>
            <w:tcW w:w="0" w:type="auto"/>
            <w:vAlign w:val="bottom"/>
            <w:hideMark/>
          </w:tcPr>
          <w:p w14:paraId="0A58A43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5A1699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C5D8162" w14:textId="77777777" w:rsidR="00000000" w:rsidRDefault="00832D71">
            <w:pPr>
              <w:pStyle w:val="a3"/>
              <w:spacing w:before="0" w:beforeAutospacing="0" w:after="0" w:afterAutospacing="0"/>
              <w:jc w:val="center"/>
              <w:rPr>
                <w:sz w:val="16"/>
                <w:szCs w:val="16"/>
              </w:rPr>
            </w:pPr>
            <w:r>
              <w:rPr>
                <w:b/>
                <w:bCs/>
                <w:sz w:val="16"/>
                <w:szCs w:val="16"/>
              </w:rPr>
              <w:t>Number That</w:t>
            </w:r>
            <w:r>
              <w:rPr>
                <w:b/>
                <w:bCs/>
                <w:sz w:val="16"/>
                <w:szCs w:val="16"/>
              </w:rPr>
              <w:br/>
              <w:t>Will Vest on</w:t>
            </w:r>
            <w:r>
              <w:rPr>
                <w:b/>
                <w:bCs/>
                <w:sz w:val="16"/>
                <w:szCs w:val="16"/>
              </w:rPr>
              <w:br/>
              <w:t>November 15,</w:t>
            </w:r>
            <w:r>
              <w:rPr>
                <w:b/>
                <w:bCs/>
                <w:sz w:val="16"/>
                <w:szCs w:val="16"/>
              </w:rPr>
              <w:br/>
              <w:t>202</w:t>
            </w:r>
            <w:r>
              <w:rPr>
                <w:b/>
                <w:bCs/>
                <w:sz w:val="16"/>
                <w:szCs w:val="16"/>
              </w:rPr>
              <w:t>4</w:t>
            </w:r>
          </w:p>
        </w:tc>
        <w:tc>
          <w:tcPr>
            <w:tcW w:w="0" w:type="auto"/>
            <w:vAlign w:val="bottom"/>
            <w:hideMark/>
          </w:tcPr>
          <w:p w14:paraId="4A393BCE"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E135888" w14:textId="77777777">
        <w:trPr>
          <w:trHeight w:val="160"/>
          <w:tblCellSpacing w:w="15" w:type="dxa"/>
        </w:trPr>
        <w:tc>
          <w:tcPr>
            <w:tcW w:w="0" w:type="auto"/>
            <w:hideMark/>
          </w:tcPr>
          <w:p w14:paraId="06550CD0" w14:textId="77777777" w:rsidR="00000000" w:rsidRDefault="00832D71">
            <w:pPr>
              <w:pStyle w:val="a3"/>
              <w:spacing w:before="0" w:beforeAutospacing="0" w:after="0" w:afterAutospacing="0"/>
              <w:jc w:val="center"/>
              <w:rPr>
                <w:sz w:val="16"/>
                <w:szCs w:val="16"/>
              </w:rPr>
            </w:pPr>
            <w:r>
              <w:rPr>
                <w:sz w:val="16"/>
                <w:szCs w:val="16"/>
              </w:rPr>
              <w:t>(a</w:t>
            </w:r>
            <w:r>
              <w:rPr>
                <w:sz w:val="16"/>
                <w:szCs w:val="16"/>
              </w:rPr>
              <w:t>)</w:t>
            </w:r>
          </w:p>
        </w:tc>
        <w:tc>
          <w:tcPr>
            <w:tcW w:w="0" w:type="auto"/>
            <w:hideMark/>
          </w:tcPr>
          <w:p w14:paraId="07D9407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3489B6FF" w14:textId="77777777" w:rsidR="00000000" w:rsidRDefault="00832D71">
            <w:pPr>
              <w:pStyle w:val="a3"/>
              <w:spacing w:before="0" w:beforeAutospacing="0" w:after="0" w:afterAutospacing="0"/>
              <w:jc w:val="center"/>
              <w:rPr>
                <w:sz w:val="16"/>
                <w:szCs w:val="16"/>
              </w:rPr>
            </w:pPr>
            <w:r>
              <w:rPr>
                <w:sz w:val="16"/>
                <w:szCs w:val="16"/>
              </w:rPr>
              <w:t>(g</w:t>
            </w:r>
            <w:r>
              <w:rPr>
                <w:sz w:val="16"/>
                <w:szCs w:val="16"/>
              </w:rPr>
              <w:t>)</w:t>
            </w:r>
          </w:p>
        </w:tc>
        <w:tc>
          <w:tcPr>
            <w:tcW w:w="0" w:type="auto"/>
            <w:hideMark/>
          </w:tcPr>
          <w:p w14:paraId="223E11DB"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23FC16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22EB1A6F" w14:textId="77777777" w:rsidR="00000000" w:rsidRDefault="00832D71">
            <w:pPr>
              <w:pStyle w:val="a3"/>
              <w:spacing w:before="0" w:beforeAutospacing="0" w:after="0" w:afterAutospacing="0"/>
              <w:jc w:val="center"/>
              <w:rPr>
                <w:sz w:val="16"/>
                <w:szCs w:val="16"/>
              </w:rPr>
            </w:pPr>
            <w:r>
              <w:rPr>
                <w:sz w:val="16"/>
                <w:szCs w:val="16"/>
              </w:rPr>
              <w:t>(h</w:t>
            </w:r>
            <w:r>
              <w:rPr>
                <w:sz w:val="16"/>
                <w:szCs w:val="16"/>
              </w:rPr>
              <w:t>)</w:t>
            </w:r>
          </w:p>
        </w:tc>
        <w:tc>
          <w:tcPr>
            <w:tcW w:w="0" w:type="auto"/>
            <w:hideMark/>
          </w:tcPr>
          <w:p w14:paraId="3061C687"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209F75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4362BDB1" w14:textId="77777777" w:rsidR="00000000" w:rsidRDefault="00832D71">
            <w:pPr>
              <w:pStyle w:val="a3"/>
              <w:spacing w:before="0" w:beforeAutospacing="0" w:after="0" w:afterAutospacing="0"/>
              <w:jc w:val="center"/>
              <w:rPr>
                <w:sz w:val="16"/>
                <w:szCs w:val="16"/>
              </w:rPr>
            </w:pPr>
            <w:r>
              <w:rPr>
                <w:sz w:val="16"/>
                <w:szCs w:val="16"/>
              </w:rPr>
              <w:t>(i</w:t>
            </w:r>
            <w:r>
              <w:rPr>
                <w:sz w:val="16"/>
                <w:szCs w:val="16"/>
              </w:rPr>
              <w:t>)</w:t>
            </w:r>
          </w:p>
        </w:tc>
        <w:tc>
          <w:tcPr>
            <w:tcW w:w="0" w:type="auto"/>
            <w:hideMark/>
          </w:tcPr>
          <w:p w14:paraId="3E13F728"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EFD9AC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hideMark/>
          </w:tcPr>
          <w:p w14:paraId="02280862" w14:textId="77777777" w:rsidR="00000000" w:rsidRDefault="00832D71">
            <w:pPr>
              <w:pStyle w:val="a3"/>
              <w:spacing w:before="0" w:beforeAutospacing="0" w:after="0" w:afterAutospacing="0"/>
              <w:jc w:val="center"/>
              <w:rPr>
                <w:sz w:val="16"/>
                <w:szCs w:val="16"/>
              </w:rPr>
            </w:pPr>
            <w:r>
              <w:rPr>
                <w:sz w:val="16"/>
                <w:szCs w:val="16"/>
              </w:rPr>
              <w:t>(j</w:t>
            </w:r>
            <w:r>
              <w:rPr>
                <w:sz w:val="16"/>
                <w:szCs w:val="16"/>
              </w:rPr>
              <w:t>)</w:t>
            </w:r>
          </w:p>
        </w:tc>
        <w:tc>
          <w:tcPr>
            <w:tcW w:w="0" w:type="auto"/>
            <w:hideMark/>
          </w:tcPr>
          <w:p w14:paraId="54D658A3"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541D34A" w14:textId="77777777">
        <w:trPr>
          <w:trHeight w:val="200"/>
          <w:tblCellSpacing w:w="15" w:type="dxa"/>
        </w:trPr>
        <w:tc>
          <w:tcPr>
            <w:tcW w:w="0" w:type="auto"/>
            <w:hideMark/>
          </w:tcPr>
          <w:p w14:paraId="073838CB" w14:textId="77777777" w:rsidR="00000000" w:rsidRDefault="00832D71">
            <w:pPr>
              <w:pStyle w:val="a3"/>
              <w:spacing w:before="0" w:beforeAutospacing="0" w:after="0" w:afterAutospacing="0"/>
              <w:rPr>
                <w:sz w:val="20"/>
                <w:szCs w:val="20"/>
              </w:rPr>
            </w:pPr>
            <w:r>
              <w:rPr>
                <w:sz w:val="20"/>
                <w:szCs w:val="20"/>
              </w:rPr>
              <w:t>Michael A. Stival</w:t>
            </w:r>
            <w:r>
              <w:rPr>
                <w:sz w:val="20"/>
                <w:szCs w:val="20"/>
              </w:rPr>
              <w:t>a</w:t>
            </w:r>
          </w:p>
        </w:tc>
        <w:tc>
          <w:tcPr>
            <w:tcW w:w="0" w:type="auto"/>
            <w:hideMark/>
          </w:tcPr>
          <w:p w14:paraId="12E77FFE"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625E83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74BA2D7" w14:textId="77777777" w:rsidR="00000000" w:rsidRDefault="00832D71">
            <w:pPr>
              <w:pStyle w:val="a3"/>
              <w:spacing w:before="0" w:beforeAutospacing="0" w:after="0" w:afterAutospacing="0"/>
              <w:jc w:val="right"/>
              <w:rPr>
                <w:sz w:val="20"/>
                <w:szCs w:val="20"/>
              </w:rPr>
            </w:pPr>
            <w:r>
              <w:rPr>
                <w:sz w:val="20"/>
                <w:szCs w:val="20"/>
              </w:rPr>
              <w:t>122,37</w:t>
            </w:r>
            <w:r>
              <w:rPr>
                <w:sz w:val="20"/>
                <w:szCs w:val="20"/>
              </w:rPr>
              <w:t>8</w:t>
            </w:r>
          </w:p>
        </w:tc>
        <w:tc>
          <w:tcPr>
            <w:tcW w:w="0" w:type="auto"/>
            <w:noWrap/>
            <w:hideMark/>
          </w:tcPr>
          <w:p w14:paraId="7BB2BF6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3670169"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1ADC4D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264CEE2" w14:textId="77777777" w:rsidR="00000000" w:rsidRDefault="00832D71">
            <w:pPr>
              <w:pStyle w:val="a3"/>
              <w:spacing w:before="0" w:beforeAutospacing="0" w:after="0" w:afterAutospacing="0"/>
              <w:jc w:val="right"/>
              <w:rPr>
                <w:sz w:val="20"/>
                <w:szCs w:val="20"/>
              </w:rPr>
            </w:pPr>
            <w:r>
              <w:rPr>
                <w:sz w:val="20"/>
                <w:szCs w:val="20"/>
              </w:rPr>
              <w:t>60,02</w:t>
            </w:r>
            <w:r>
              <w:rPr>
                <w:sz w:val="20"/>
                <w:szCs w:val="20"/>
              </w:rPr>
              <w:t>9</w:t>
            </w:r>
          </w:p>
        </w:tc>
        <w:tc>
          <w:tcPr>
            <w:tcW w:w="0" w:type="auto"/>
            <w:noWrap/>
            <w:hideMark/>
          </w:tcPr>
          <w:p w14:paraId="6061943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A809D5D"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321AAE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DA69A57" w14:textId="77777777" w:rsidR="00000000" w:rsidRDefault="00832D71">
            <w:pPr>
              <w:pStyle w:val="a3"/>
              <w:spacing w:before="0" w:beforeAutospacing="0" w:after="0" w:afterAutospacing="0"/>
              <w:jc w:val="right"/>
              <w:rPr>
                <w:sz w:val="20"/>
                <w:szCs w:val="20"/>
              </w:rPr>
            </w:pPr>
            <w:r>
              <w:rPr>
                <w:sz w:val="20"/>
                <w:szCs w:val="20"/>
              </w:rPr>
              <w:t>43,22</w:t>
            </w:r>
            <w:r>
              <w:rPr>
                <w:sz w:val="20"/>
                <w:szCs w:val="20"/>
              </w:rPr>
              <w:t>3</w:t>
            </w:r>
          </w:p>
        </w:tc>
        <w:tc>
          <w:tcPr>
            <w:tcW w:w="0" w:type="auto"/>
            <w:noWrap/>
            <w:hideMark/>
          </w:tcPr>
          <w:p w14:paraId="0B7BD27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8454D43"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05B1C1C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F62EEB8" w14:textId="77777777" w:rsidR="00000000" w:rsidRDefault="00832D71">
            <w:pPr>
              <w:pStyle w:val="a3"/>
              <w:spacing w:before="0" w:beforeAutospacing="0" w:after="0" w:afterAutospacing="0"/>
              <w:jc w:val="right"/>
              <w:rPr>
                <w:sz w:val="20"/>
                <w:szCs w:val="20"/>
              </w:rPr>
            </w:pPr>
            <w:r>
              <w:rPr>
                <w:sz w:val="20"/>
                <w:szCs w:val="20"/>
              </w:rPr>
              <w:t>19,12</w:t>
            </w:r>
            <w:r>
              <w:rPr>
                <w:sz w:val="20"/>
                <w:szCs w:val="20"/>
              </w:rPr>
              <w:t>6</w:t>
            </w:r>
          </w:p>
        </w:tc>
        <w:tc>
          <w:tcPr>
            <w:tcW w:w="0" w:type="auto"/>
            <w:noWrap/>
            <w:hideMark/>
          </w:tcPr>
          <w:p w14:paraId="616CC802" w14:textId="77777777" w:rsidR="00000000" w:rsidRDefault="00832D71">
            <w:pPr>
              <w:pStyle w:val="a3"/>
              <w:spacing w:before="0" w:beforeAutospacing="0" w:after="0" w:afterAutospacing="0"/>
              <w:rPr>
                <w:sz w:val="20"/>
                <w:szCs w:val="20"/>
              </w:rPr>
            </w:pPr>
            <w:r>
              <w:rPr>
                <w:sz w:val="20"/>
                <w:szCs w:val="20"/>
              </w:rPr>
              <w:t> </w:t>
            </w:r>
          </w:p>
        </w:tc>
      </w:tr>
      <w:tr w:rsidR="00000000" w14:paraId="28BC1DEE" w14:textId="77777777">
        <w:trPr>
          <w:trHeight w:val="200"/>
          <w:tblCellSpacing w:w="15" w:type="dxa"/>
        </w:trPr>
        <w:tc>
          <w:tcPr>
            <w:tcW w:w="0" w:type="auto"/>
            <w:hideMark/>
          </w:tcPr>
          <w:p w14:paraId="69537A33" w14:textId="77777777" w:rsidR="00000000" w:rsidRDefault="00832D71">
            <w:pPr>
              <w:pStyle w:val="a3"/>
              <w:spacing w:before="0" w:beforeAutospacing="0" w:after="0" w:afterAutospacing="0"/>
              <w:rPr>
                <w:sz w:val="20"/>
                <w:szCs w:val="20"/>
              </w:rPr>
            </w:pPr>
            <w:r>
              <w:rPr>
                <w:sz w:val="20"/>
                <w:szCs w:val="20"/>
              </w:rPr>
              <w:t>Michael A. Kugli</w:t>
            </w:r>
            <w:r>
              <w:rPr>
                <w:sz w:val="20"/>
                <w:szCs w:val="20"/>
              </w:rPr>
              <w:t>n</w:t>
            </w:r>
          </w:p>
        </w:tc>
        <w:tc>
          <w:tcPr>
            <w:tcW w:w="0" w:type="auto"/>
            <w:hideMark/>
          </w:tcPr>
          <w:p w14:paraId="4283D8D5"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722493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95F4A52" w14:textId="77777777" w:rsidR="00000000" w:rsidRDefault="00832D71">
            <w:pPr>
              <w:pStyle w:val="a3"/>
              <w:spacing w:before="0" w:beforeAutospacing="0" w:after="0" w:afterAutospacing="0"/>
              <w:jc w:val="right"/>
              <w:rPr>
                <w:sz w:val="20"/>
                <w:szCs w:val="20"/>
              </w:rPr>
            </w:pPr>
            <w:r>
              <w:rPr>
                <w:sz w:val="20"/>
                <w:szCs w:val="20"/>
              </w:rPr>
              <w:t>88,44</w:t>
            </w:r>
            <w:r>
              <w:rPr>
                <w:sz w:val="20"/>
                <w:szCs w:val="20"/>
              </w:rPr>
              <w:t>2</w:t>
            </w:r>
          </w:p>
        </w:tc>
        <w:tc>
          <w:tcPr>
            <w:tcW w:w="0" w:type="auto"/>
            <w:noWrap/>
            <w:hideMark/>
          </w:tcPr>
          <w:p w14:paraId="37B3245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E864E22"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31706C7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0FD92F4" w14:textId="77777777" w:rsidR="00000000" w:rsidRDefault="00832D71">
            <w:pPr>
              <w:pStyle w:val="a3"/>
              <w:spacing w:before="0" w:beforeAutospacing="0" w:after="0" w:afterAutospacing="0"/>
              <w:jc w:val="right"/>
              <w:rPr>
                <w:sz w:val="20"/>
                <w:szCs w:val="20"/>
              </w:rPr>
            </w:pPr>
            <w:r>
              <w:rPr>
                <w:sz w:val="20"/>
                <w:szCs w:val="20"/>
              </w:rPr>
              <w:t>41,50</w:t>
            </w:r>
            <w:r>
              <w:rPr>
                <w:sz w:val="20"/>
                <w:szCs w:val="20"/>
              </w:rPr>
              <w:t>4</w:t>
            </w:r>
          </w:p>
        </w:tc>
        <w:tc>
          <w:tcPr>
            <w:tcW w:w="0" w:type="auto"/>
            <w:noWrap/>
            <w:hideMark/>
          </w:tcPr>
          <w:p w14:paraId="5AFB7B4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CB5F895"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6C0E747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1981C75" w14:textId="77777777" w:rsidR="00000000" w:rsidRDefault="00832D71">
            <w:pPr>
              <w:pStyle w:val="a3"/>
              <w:spacing w:before="0" w:beforeAutospacing="0" w:after="0" w:afterAutospacing="0"/>
              <w:jc w:val="right"/>
              <w:rPr>
                <w:sz w:val="20"/>
                <w:szCs w:val="20"/>
              </w:rPr>
            </w:pPr>
            <w:r>
              <w:rPr>
                <w:sz w:val="20"/>
                <w:szCs w:val="20"/>
              </w:rPr>
              <w:t>31,00</w:t>
            </w:r>
            <w:r>
              <w:rPr>
                <w:sz w:val="20"/>
                <w:szCs w:val="20"/>
              </w:rPr>
              <w:t>0</w:t>
            </w:r>
          </w:p>
        </w:tc>
        <w:tc>
          <w:tcPr>
            <w:tcW w:w="0" w:type="auto"/>
            <w:noWrap/>
            <w:hideMark/>
          </w:tcPr>
          <w:p w14:paraId="438872C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4A7C73B"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13931BA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D9944EB" w14:textId="77777777" w:rsidR="00000000" w:rsidRDefault="00832D71">
            <w:pPr>
              <w:pStyle w:val="a3"/>
              <w:spacing w:before="0" w:beforeAutospacing="0" w:after="0" w:afterAutospacing="0"/>
              <w:jc w:val="right"/>
              <w:rPr>
                <w:sz w:val="20"/>
                <w:szCs w:val="20"/>
              </w:rPr>
            </w:pPr>
            <w:r>
              <w:rPr>
                <w:sz w:val="20"/>
                <w:szCs w:val="20"/>
              </w:rPr>
              <w:t>15,93</w:t>
            </w:r>
            <w:r>
              <w:rPr>
                <w:sz w:val="20"/>
                <w:szCs w:val="20"/>
              </w:rPr>
              <w:t>8</w:t>
            </w:r>
          </w:p>
        </w:tc>
        <w:tc>
          <w:tcPr>
            <w:tcW w:w="0" w:type="auto"/>
            <w:noWrap/>
            <w:hideMark/>
          </w:tcPr>
          <w:p w14:paraId="4BF59E06" w14:textId="77777777" w:rsidR="00000000" w:rsidRDefault="00832D71">
            <w:pPr>
              <w:pStyle w:val="a3"/>
              <w:spacing w:before="0" w:beforeAutospacing="0" w:after="0" w:afterAutospacing="0"/>
              <w:rPr>
                <w:sz w:val="20"/>
                <w:szCs w:val="20"/>
              </w:rPr>
            </w:pPr>
            <w:r>
              <w:rPr>
                <w:sz w:val="20"/>
                <w:szCs w:val="20"/>
              </w:rPr>
              <w:t> </w:t>
            </w:r>
          </w:p>
        </w:tc>
      </w:tr>
      <w:tr w:rsidR="00000000" w14:paraId="75181246" w14:textId="77777777">
        <w:trPr>
          <w:trHeight w:val="200"/>
          <w:tblCellSpacing w:w="15" w:type="dxa"/>
        </w:trPr>
        <w:tc>
          <w:tcPr>
            <w:tcW w:w="0" w:type="auto"/>
            <w:hideMark/>
          </w:tcPr>
          <w:p w14:paraId="53D4ED74" w14:textId="77777777" w:rsidR="00000000" w:rsidRDefault="00832D71">
            <w:pPr>
              <w:pStyle w:val="a3"/>
              <w:spacing w:before="0" w:beforeAutospacing="0" w:after="0" w:afterAutospacing="0"/>
              <w:rPr>
                <w:sz w:val="20"/>
                <w:szCs w:val="20"/>
              </w:rPr>
            </w:pPr>
            <w:r>
              <w:rPr>
                <w:sz w:val="20"/>
                <w:szCs w:val="20"/>
              </w:rPr>
              <w:t>Steven C. Boy</w:t>
            </w:r>
            <w:r>
              <w:rPr>
                <w:sz w:val="20"/>
                <w:szCs w:val="20"/>
              </w:rPr>
              <w:t>d</w:t>
            </w:r>
          </w:p>
        </w:tc>
        <w:tc>
          <w:tcPr>
            <w:tcW w:w="0" w:type="auto"/>
            <w:hideMark/>
          </w:tcPr>
          <w:p w14:paraId="2AA66B9C"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4D7B0BC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4807FEF" w14:textId="77777777" w:rsidR="00000000" w:rsidRDefault="00832D71">
            <w:pPr>
              <w:pStyle w:val="a3"/>
              <w:spacing w:before="0" w:beforeAutospacing="0" w:after="0" w:afterAutospacing="0"/>
              <w:jc w:val="right"/>
              <w:rPr>
                <w:sz w:val="20"/>
                <w:szCs w:val="20"/>
              </w:rPr>
            </w:pPr>
            <w:r>
              <w:rPr>
                <w:sz w:val="20"/>
                <w:szCs w:val="20"/>
              </w:rPr>
              <w:t>88,44</w:t>
            </w:r>
            <w:r>
              <w:rPr>
                <w:sz w:val="20"/>
                <w:szCs w:val="20"/>
              </w:rPr>
              <w:t>2</w:t>
            </w:r>
          </w:p>
        </w:tc>
        <w:tc>
          <w:tcPr>
            <w:tcW w:w="0" w:type="auto"/>
            <w:noWrap/>
            <w:hideMark/>
          </w:tcPr>
          <w:p w14:paraId="50B899B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4EEBE0D"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65FDE31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7FEF367" w14:textId="77777777" w:rsidR="00000000" w:rsidRDefault="00832D71">
            <w:pPr>
              <w:pStyle w:val="a3"/>
              <w:spacing w:before="0" w:beforeAutospacing="0" w:after="0" w:afterAutospacing="0"/>
              <w:jc w:val="right"/>
              <w:rPr>
                <w:sz w:val="20"/>
                <w:szCs w:val="20"/>
              </w:rPr>
            </w:pPr>
            <w:r>
              <w:rPr>
                <w:sz w:val="20"/>
                <w:szCs w:val="20"/>
              </w:rPr>
              <w:t>41,50</w:t>
            </w:r>
            <w:r>
              <w:rPr>
                <w:sz w:val="20"/>
                <w:szCs w:val="20"/>
              </w:rPr>
              <w:t>4</w:t>
            </w:r>
          </w:p>
        </w:tc>
        <w:tc>
          <w:tcPr>
            <w:tcW w:w="0" w:type="auto"/>
            <w:noWrap/>
            <w:hideMark/>
          </w:tcPr>
          <w:p w14:paraId="6ACC99C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6341539"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71F12E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E244682" w14:textId="77777777" w:rsidR="00000000" w:rsidRDefault="00832D71">
            <w:pPr>
              <w:pStyle w:val="a3"/>
              <w:spacing w:before="0" w:beforeAutospacing="0" w:after="0" w:afterAutospacing="0"/>
              <w:jc w:val="right"/>
              <w:rPr>
                <w:sz w:val="20"/>
                <w:szCs w:val="20"/>
              </w:rPr>
            </w:pPr>
            <w:r>
              <w:rPr>
                <w:sz w:val="20"/>
                <w:szCs w:val="20"/>
              </w:rPr>
              <w:t>31,00</w:t>
            </w:r>
            <w:r>
              <w:rPr>
                <w:sz w:val="20"/>
                <w:szCs w:val="20"/>
              </w:rPr>
              <w:t>0</w:t>
            </w:r>
          </w:p>
        </w:tc>
        <w:tc>
          <w:tcPr>
            <w:tcW w:w="0" w:type="auto"/>
            <w:noWrap/>
            <w:hideMark/>
          </w:tcPr>
          <w:p w14:paraId="30B1E45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3917B6E"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6F38E9A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5696CF5" w14:textId="77777777" w:rsidR="00000000" w:rsidRDefault="00832D71">
            <w:pPr>
              <w:pStyle w:val="a3"/>
              <w:spacing w:before="0" w:beforeAutospacing="0" w:after="0" w:afterAutospacing="0"/>
              <w:jc w:val="right"/>
              <w:rPr>
                <w:sz w:val="20"/>
                <w:szCs w:val="20"/>
              </w:rPr>
            </w:pPr>
            <w:r>
              <w:rPr>
                <w:sz w:val="20"/>
                <w:szCs w:val="20"/>
              </w:rPr>
              <w:t>15,93</w:t>
            </w:r>
            <w:r>
              <w:rPr>
                <w:sz w:val="20"/>
                <w:szCs w:val="20"/>
              </w:rPr>
              <w:t>8</w:t>
            </w:r>
          </w:p>
        </w:tc>
        <w:tc>
          <w:tcPr>
            <w:tcW w:w="0" w:type="auto"/>
            <w:noWrap/>
            <w:hideMark/>
          </w:tcPr>
          <w:p w14:paraId="6885EE69" w14:textId="77777777" w:rsidR="00000000" w:rsidRDefault="00832D71">
            <w:pPr>
              <w:pStyle w:val="a3"/>
              <w:spacing w:before="0" w:beforeAutospacing="0" w:after="0" w:afterAutospacing="0"/>
              <w:rPr>
                <w:sz w:val="20"/>
                <w:szCs w:val="20"/>
              </w:rPr>
            </w:pPr>
            <w:r>
              <w:rPr>
                <w:sz w:val="20"/>
                <w:szCs w:val="20"/>
              </w:rPr>
              <w:t> </w:t>
            </w:r>
          </w:p>
        </w:tc>
      </w:tr>
      <w:tr w:rsidR="00000000" w14:paraId="60E55365" w14:textId="77777777">
        <w:trPr>
          <w:trHeight w:val="200"/>
          <w:tblCellSpacing w:w="15" w:type="dxa"/>
        </w:trPr>
        <w:tc>
          <w:tcPr>
            <w:tcW w:w="0" w:type="auto"/>
            <w:hideMark/>
          </w:tcPr>
          <w:p w14:paraId="3782095B" w14:textId="77777777" w:rsidR="00000000" w:rsidRDefault="00832D71">
            <w:pPr>
              <w:pStyle w:val="a3"/>
              <w:spacing w:before="0" w:beforeAutospacing="0" w:after="0" w:afterAutospacing="0"/>
              <w:rPr>
                <w:sz w:val="20"/>
                <w:szCs w:val="20"/>
              </w:rPr>
            </w:pPr>
            <w:r>
              <w:rPr>
                <w:sz w:val="20"/>
                <w:szCs w:val="20"/>
              </w:rPr>
              <w:t>Douglas T. Brinkwort</w:t>
            </w:r>
            <w:r>
              <w:rPr>
                <w:sz w:val="20"/>
                <w:szCs w:val="20"/>
              </w:rPr>
              <w:t>h</w:t>
            </w:r>
          </w:p>
        </w:tc>
        <w:tc>
          <w:tcPr>
            <w:tcW w:w="0" w:type="auto"/>
            <w:hideMark/>
          </w:tcPr>
          <w:p w14:paraId="12ADC0B4"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2EC6684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C9BFA36" w14:textId="77777777" w:rsidR="00000000" w:rsidRDefault="00832D71">
            <w:pPr>
              <w:pStyle w:val="a3"/>
              <w:spacing w:before="0" w:beforeAutospacing="0" w:after="0" w:afterAutospacing="0"/>
              <w:jc w:val="right"/>
              <w:rPr>
                <w:sz w:val="20"/>
                <w:szCs w:val="20"/>
              </w:rPr>
            </w:pPr>
            <w:r>
              <w:rPr>
                <w:sz w:val="20"/>
                <w:szCs w:val="20"/>
              </w:rPr>
              <w:t>85,73</w:t>
            </w:r>
            <w:r>
              <w:rPr>
                <w:sz w:val="20"/>
                <w:szCs w:val="20"/>
              </w:rPr>
              <w:t>3</w:t>
            </w:r>
          </w:p>
        </w:tc>
        <w:tc>
          <w:tcPr>
            <w:tcW w:w="0" w:type="auto"/>
            <w:noWrap/>
            <w:hideMark/>
          </w:tcPr>
          <w:p w14:paraId="56DAB1D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EE5AF92"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6C8D306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F87D53B" w14:textId="77777777" w:rsidR="00000000" w:rsidRDefault="00832D71">
            <w:pPr>
              <w:pStyle w:val="a3"/>
              <w:spacing w:before="0" w:beforeAutospacing="0" w:after="0" w:afterAutospacing="0"/>
              <w:jc w:val="right"/>
              <w:rPr>
                <w:sz w:val="20"/>
                <w:szCs w:val="20"/>
              </w:rPr>
            </w:pPr>
            <w:r>
              <w:rPr>
                <w:sz w:val="20"/>
                <w:szCs w:val="20"/>
              </w:rPr>
              <w:t>39,79</w:t>
            </w:r>
            <w:r>
              <w:rPr>
                <w:sz w:val="20"/>
                <w:szCs w:val="20"/>
              </w:rPr>
              <w:t>9</w:t>
            </w:r>
          </w:p>
        </w:tc>
        <w:tc>
          <w:tcPr>
            <w:tcW w:w="0" w:type="auto"/>
            <w:noWrap/>
            <w:hideMark/>
          </w:tcPr>
          <w:p w14:paraId="190C409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6164942"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2005142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DE24E2A" w14:textId="77777777" w:rsidR="00000000" w:rsidRDefault="00832D71">
            <w:pPr>
              <w:pStyle w:val="a3"/>
              <w:spacing w:before="0" w:beforeAutospacing="0" w:after="0" w:afterAutospacing="0"/>
              <w:jc w:val="right"/>
              <w:rPr>
                <w:sz w:val="20"/>
                <w:szCs w:val="20"/>
              </w:rPr>
            </w:pPr>
            <w:r>
              <w:rPr>
                <w:sz w:val="20"/>
                <w:szCs w:val="20"/>
              </w:rPr>
              <w:t>29,99</w:t>
            </w:r>
            <w:r>
              <w:rPr>
                <w:sz w:val="20"/>
                <w:szCs w:val="20"/>
              </w:rPr>
              <w:t>6</w:t>
            </w:r>
          </w:p>
        </w:tc>
        <w:tc>
          <w:tcPr>
            <w:tcW w:w="0" w:type="auto"/>
            <w:noWrap/>
            <w:hideMark/>
          </w:tcPr>
          <w:p w14:paraId="6DDD9E1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A06A382"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1BBB934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60D2D70" w14:textId="77777777" w:rsidR="00000000" w:rsidRDefault="00832D71">
            <w:pPr>
              <w:pStyle w:val="a3"/>
              <w:spacing w:before="0" w:beforeAutospacing="0" w:after="0" w:afterAutospacing="0"/>
              <w:jc w:val="right"/>
              <w:rPr>
                <w:sz w:val="20"/>
                <w:szCs w:val="20"/>
              </w:rPr>
            </w:pPr>
            <w:r>
              <w:rPr>
                <w:sz w:val="20"/>
                <w:szCs w:val="20"/>
              </w:rPr>
              <w:t>15,93</w:t>
            </w:r>
            <w:r>
              <w:rPr>
                <w:sz w:val="20"/>
                <w:szCs w:val="20"/>
              </w:rPr>
              <w:t>8</w:t>
            </w:r>
          </w:p>
        </w:tc>
        <w:tc>
          <w:tcPr>
            <w:tcW w:w="0" w:type="auto"/>
            <w:noWrap/>
            <w:hideMark/>
          </w:tcPr>
          <w:p w14:paraId="4294C8BA" w14:textId="77777777" w:rsidR="00000000" w:rsidRDefault="00832D71">
            <w:pPr>
              <w:pStyle w:val="a3"/>
              <w:spacing w:before="0" w:beforeAutospacing="0" w:after="0" w:afterAutospacing="0"/>
              <w:rPr>
                <w:sz w:val="20"/>
                <w:szCs w:val="20"/>
              </w:rPr>
            </w:pPr>
            <w:r>
              <w:rPr>
                <w:sz w:val="20"/>
                <w:szCs w:val="20"/>
              </w:rPr>
              <w:t> </w:t>
            </w:r>
          </w:p>
        </w:tc>
      </w:tr>
      <w:tr w:rsidR="00000000" w14:paraId="1880D25D" w14:textId="77777777">
        <w:trPr>
          <w:trHeight w:val="200"/>
          <w:tblCellSpacing w:w="15" w:type="dxa"/>
        </w:trPr>
        <w:tc>
          <w:tcPr>
            <w:tcW w:w="0" w:type="auto"/>
            <w:hideMark/>
          </w:tcPr>
          <w:p w14:paraId="58BD4300" w14:textId="77777777" w:rsidR="00000000" w:rsidRDefault="00832D71">
            <w:pPr>
              <w:pStyle w:val="a3"/>
              <w:spacing w:before="0" w:beforeAutospacing="0" w:after="0" w:afterAutospacing="0"/>
              <w:rPr>
                <w:sz w:val="20"/>
                <w:szCs w:val="20"/>
              </w:rPr>
            </w:pPr>
            <w:r>
              <w:rPr>
                <w:sz w:val="20"/>
                <w:szCs w:val="20"/>
              </w:rPr>
              <w:t>Neil E. Scanlo</w:t>
            </w:r>
            <w:r>
              <w:rPr>
                <w:sz w:val="20"/>
                <w:szCs w:val="20"/>
              </w:rPr>
              <w:t>n</w:t>
            </w:r>
          </w:p>
        </w:tc>
        <w:tc>
          <w:tcPr>
            <w:tcW w:w="0" w:type="auto"/>
            <w:hideMark/>
          </w:tcPr>
          <w:p w14:paraId="6FC033C2"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3B8E94B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7ECC27E" w14:textId="77777777" w:rsidR="00000000" w:rsidRDefault="00832D71">
            <w:pPr>
              <w:pStyle w:val="a3"/>
              <w:spacing w:before="0" w:beforeAutospacing="0" w:after="0" w:afterAutospacing="0"/>
              <w:jc w:val="right"/>
              <w:rPr>
                <w:sz w:val="20"/>
                <w:szCs w:val="20"/>
              </w:rPr>
            </w:pPr>
            <w:r>
              <w:rPr>
                <w:sz w:val="20"/>
                <w:szCs w:val="20"/>
              </w:rPr>
              <w:t>82,19</w:t>
            </w:r>
            <w:r>
              <w:rPr>
                <w:sz w:val="20"/>
                <w:szCs w:val="20"/>
              </w:rPr>
              <w:t>6</w:t>
            </w:r>
          </w:p>
        </w:tc>
        <w:tc>
          <w:tcPr>
            <w:tcW w:w="0" w:type="auto"/>
            <w:noWrap/>
            <w:hideMark/>
          </w:tcPr>
          <w:p w14:paraId="00EE3F9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F09E882"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4A29919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7C3A619" w14:textId="77777777" w:rsidR="00000000" w:rsidRDefault="00832D71">
            <w:pPr>
              <w:pStyle w:val="a3"/>
              <w:spacing w:before="0" w:beforeAutospacing="0" w:after="0" w:afterAutospacing="0"/>
              <w:jc w:val="right"/>
              <w:rPr>
                <w:sz w:val="20"/>
                <w:szCs w:val="20"/>
              </w:rPr>
            </w:pPr>
            <w:r>
              <w:rPr>
                <w:sz w:val="20"/>
                <w:szCs w:val="20"/>
              </w:rPr>
              <w:t>38,38</w:t>
            </w:r>
            <w:r>
              <w:rPr>
                <w:sz w:val="20"/>
                <w:szCs w:val="20"/>
              </w:rPr>
              <w:t>6</w:t>
            </w:r>
          </w:p>
        </w:tc>
        <w:tc>
          <w:tcPr>
            <w:tcW w:w="0" w:type="auto"/>
            <w:noWrap/>
            <w:hideMark/>
          </w:tcPr>
          <w:p w14:paraId="67C7EF2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C2EEF2D"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2F9A982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8CB9496" w14:textId="77777777" w:rsidR="00000000" w:rsidRDefault="00832D71">
            <w:pPr>
              <w:pStyle w:val="a3"/>
              <w:spacing w:before="0" w:beforeAutospacing="0" w:after="0" w:afterAutospacing="0"/>
              <w:jc w:val="right"/>
              <w:rPr>
                <w:sz w:val="20"/>
                <w:szCs w:val="20"/>
              </w:rPr>
            </w:pPr>
            <w:r>
              <w:rPr>
                <w:sz w:val="20"/>
                <w:szCs w:val="20"/>
              </w:rPr>
              <w:t>28,93</w:t>
            </w:r>
            <w:r>
              <w:rPr>
                <w:sz w:val="20"/>
                <w:szCs w:val="20"/>
              </w:rPr>
              <w:t>3</w:t>
            </w:r>
          </w:p>
        </w:tc>
        <w:tc>
          <w:tcPr>
            <w:tcW w:w="0" w:type="auto"/>
            <w:noWrap/>
            <w:hideMark/>
          </w:tcPr>
          <w:p w14:paraId="151033D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9A13717"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28CB367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6F617AE" w14:textId="77777777" w:rsidR="00000000" w:rsidRDefault="00832D71">
            <w:pPr>
              <w:pStyle w:val="a3"/>
              <w:spacing w:before="0" w:beforeAutospacing="0" w:after="0" w:afterAutospacing="0"/>
              <w:jc w:val="right"/>
              <w:rPr>
                <w:sz w:val="20"/>
                <w:szCs w:val="20"/>
              </w:rPr>
            </w:pPr>
            <w:r>
              <w:rPr>
                <w:sz w:val="20"/>
                <w:szCs w:val="20"/>
              </w:rPr>
              <w:t>14,87</w:t>
            </w:r>
            <w:r>
              <w:rPr>
                <w:sz w:val="20"/>
                <w:szCs w:val="20"/>
              </w:rPr>
              <w:t>7</w:t>
            </w:r>
          </w:p>
        </w:tc>
        <w:tc>
          <w:tcPr>
            <w:tcW w:w="0" w:type="auto"/>
            <w:noWrap/>
            <w:hideMark/>
          </w:tcPr>
          <w:p w14:paraId="79F71F83" w14:textId="77777777" w:rsidR="00000000" w:rsidRDefault="00832D71">
            <w:pPr>
              <w:pStyle w:val="a3"/>
              <w:spacing w:before="0" w:beforeAutospacing="0" w:after="0" w:afterAutospacing="0"/>
              <w:rPr>
                <w:sz w:val="20"/>
                <w:szCs w:val="20"/>
              </w:rPr>
            </w:pPr>
            <w:r>
              <w:rPr>
                <w:sz w:val="20"/>
                <w:szCs w:val="20"/>
              </w:rPr>
              <w:t> </w:t>
            </w:r>
          </w:p>
        </w:tc>
      </w:tr>
    </w:tbl>
    <w:p w14:paraId="2112F14F" w14:textId="77777777" w:rsidR="00000000" w:rsidRDefault="00832D71">
      <w:pPr>
        <w:pStyle w:val="a3"/>
        <w:spacing w:before="0" w:beforeAutospacing="0" w:after="0" w:afterAutospacing="0"/>
        <w:jc w:val="both"/>
        <w:rPr>
          <w:sz w:val="20"/>
          <w:szCs w:val="20"/>
        </w:rPr>
      </w:pPr>
      <w:r>
        <w:rPr>
          <w:sz w:val="20"/>
          <w:szCs w:val="20"/>
        </w:rPr>
        <w:t> </w:t>
      </w:r>
    </w:p>
    <w:p w14:paraId="6EC02E07" w14:textId="77777777" w:rsidR="00000000" w:rsidRDefault="00832D71">
      <w:pPr>
        <w:jc w:val="both"/>
        <w:divId w:val="1952319338"/>
        <w:rPr>
          <w:rFonts w:eastAsia="Times New Roman"/>
        </w:rPr>
      </w:pPr>
      <w:r>
        <w:rPr>
          <w:rFonts w:eastAsia="Times New Roman"/>
          <w:sz w:val="20"/>
          <w:szCs w:val="20"/>
        </w:rPr>
        <w:t>(2</w:t>
      </w:r>
      <w:r>
        <w:rPr>
          <w:rFonts w:eastAsia="Times New Roman"/>
          <w:sz w:val="20"/>
          <w:szCs w:val="20"/>
        </w:rPr>
        <w:t>)</w:t>
      </w:r>
    </w:p>
    <w:p w14:paraId="5DB2A393" w14:textId="77777777" w:rsidR="00000000" w:rsidRDefault="00832D71">
      <w:pPr>
        <w:jc w:val="both"/>
        <w:divId w:val="1895117147"/>
        <w:rPr>
          <w:rFonts w:eastAsia="Times New Roman"/>
        </w:rPr>
      </w:pPr>
      <w:r>
        <w:rPr>
          <w:rFonts w:eastAsia="Times New Roman"/>
          <w:sz w:val="20"/>
          <w:szCs w:val="20"/>
        </w:rPr>
        <w:t>The figures reported in this column represent the figures reported in column (g) multiplied by the average of the highest and the lowest trading prices of our Common Units on September 23, 2022, the last trading day of fiscal 2022</w:t>
      </w:r>
      <w:r>
        <w:rPr>
          <w:rFonts w:eastAsia="Times New Roman"/>
          <w:sz w:val="20"/>
          <w:szCs w:val="20"/>
        </w:rPr>
        <w:t>.</w:t>
      </w:r>
    </w:p>
    <w:p w14:paraId="293A20EF" w14:textId="77777777" w:rsidR="00000000" w:rsidRDefault="00832D71">
      <w:pPr>
        <w:jc w:val="both"/>
        <w:divId w:val="1871259945"/>
        <w:rPr>
          <w:rFonts w:eastAsia="Times New Roman"/>
        </w:rPr>
      </w:pPr>
      <w:r>
        <w:rPr>
          <w:rFonts w:eastAsia="Times New Roman"/>
          <w:sz w:val="20"/>
          <w:szCs w:val="20"/>
        </w:rPr>
        <w:t>(3</w:t>
      </w:r>
      <w:r>
        <w:rPr>
          <w:rFonts w:eastAsia="Times New Roman"/>
          <w:sz w:val="20"/>
          <w:szCs w:val="20"/>
        </w:rPr>
        <w:t>)</w:t>
      </w:r>
    </w:p>
    <w:p w14:paraId="360E4532" w14:textId="77777777" w:rsidR="00000000" w:rsidRDefault="00832D71">
      <w:pPr>
        <w:jc w:val="both"/>
        <w:divId w:val="1871718022"/>
        <w:rPr>
          <w:rFonts w:eastAsia="Times New Roman"/>
        </w:rPr>
      </w:pPr>
      <w:r>
        <w:rPr>
          <w:rFonts w:eastAsia="Times New Roman"/>
          <w:sz w:val="20"/>
          <w:szCs w:val="20"/>
        </w:rPr>
        <w:t>The amounts reported</w:t>
      </w:r>
      <w:r>
        <w:rPr>
          <w:rFonts w:eastAsia="Times New Roman"/>
          <w:sz w:val="20"/>
          <w:szCs w:val="20"/>
        </w:rPr>
        <w:t xml:space="preserve"> in this column represent the quantities of phantom units that underlie the outstanding and unvested fiscal 2022 and fiscal 2021 awards under the LTIP. Payments, if earned, will be made to participants at the end of a three-year measurement period in accor</w:t>
      </w:r>
      <w:r>
        <w:rPr>
          <w:rFonts w:eastAsia="Times New Roman"/>
          <w:sz w:val="20"/>
          <w:szCs w:val="20"/>
        </w:rPr>
        <w:t>dance with the performance criteria set forth by the Compensation Committee at the time an unvested award was approved. For more information on the LTIP, refer to the subheading “Long-Term Incentive Plan” in the “Compensation Discussion and Analysis.</w:t>
      </w:r>
      <w:r>
        <w:rPr>
          <w:rFonts w:eastAsia="Times New Roman"/>
          <w:sz w:val="20"/>
          <w:szCs w:val="20"/>
        </w:rPr>
        <w:t>”</w:t>
      </w:r>
    </w:p>
    <w:p w14:paraId="5C8156DE" w14:textId="77777777" w:rsidR="00000000" w:rsidRDefault="00832D71">
      <w:pPr>
        <w:jc w:val="both"/>
        <w:divId w:val="999233798"/>
        <w:rPr>
          <w:rFonts w:eastAsia="Times New Roman"/>
        </w:rPr>
      </w:pPr>
      <w:r>
        <w:rPr>
          <w:rFonts w:eastAsia="Times New Roman"/>
          <w:sz w:val="20"/>
          <w:szCs w:val="20"/>
        </w:rPr>
        <w:t>(4</w:t>
      </w:r>
      <w:r>
        <w:rPr>
          <w:rFonts w:eastAsia="Times New Roman"/>
          <w:sz w:val="20"/>
          <w:szCs w:val="20"/>
        </w:rPr>
        <w:t>)</w:t>
      </w:r>
    </w:p>
    <w:p w14:paraId="68EE7C54" w14:textId="77777777" w:rsidR="00000000" w:rsidRDefault="00832D71">
      <w:pPr>
        <w:jc w:val="both"/>
        <w:divId w:val="664864660"/>
        <w:rPr>
          <w:rFonts w:eastAsia="Times New Roman"/>
        </w:rPr>
      </w:pPr>
      <w:r>
        <w:rPr>
          <w:rFonts w:eastAsia="Times New Roman"/>
          <w:sz w:val="20"/>
          <w:szCs w:val="20"/>
        </w:rPr>
        <w:t>The amounts reported in this column represent the estimated future target payouts of the fiscal 2022 and fiscal 2021 awards granted under the LTIP. These amounts were computed by multiplying the quantities of the unvested phantom units in column (i) by the</w:t>
      </w:r>
      <w:r>
        <w:rPr>
          <w:rFonts w:eastAsia="Times New Roman"/>
          <w:sz w:val="20"/>
          <w:szCs w:val="20"/>
        </w:rPr>
        <w:t xml:space="preserve"> average of the closing prices of our Common Units for the twenty business days preceding September 24, 2022 (in accordance with the LTIP’s valuation methodology), and by adding to the product of that calculation the product of each year’s underlying phant</w:t>
      </w:r>
      <w:r>
        <w:rPr>
          <w:rFonts w:eastAsia="Times New Roman"/>
          <w:sz w:val="20"/>
          <w:szCs w:val="20"/>
        </w:rPr>
        <w:t>om units times the sum of the distributions that are estimated to inure to an outstanding Common Unit during each award’s three-year measurement period. Because of the variability of the trading prices of our Common Units, actual payments, if any, at the e</w:t>
      </w:r>
      <w:r>
        <w:rPr>
          <w:rFonts w:eastAsia="Times New Roman"/>
          <w:sz w:val="20"/>
          <w:szCs w:val="20"/>
        </w:rPr>
        <w:t>nd of the three-year measurement period may differ. The following chart provides a breakdown of each year’s awards</w:t>
      </w:r>
      <w:r>
        <w:rPr>
          <w:rFonts w:eastAsia="Times New Roman"/>
          <w:sz w:val="20"/>
          <w:szCs w:val="20"/>
        </w:rPr>
        <w:t>:</w:t>
      </w:r>
    </w:p>
    <w:p w14:paraId="2024A21F" w14:textId="77777777" w:rsidR="00000000" w:rsidRDefault="00832D71">
      <w:pPr>
        <w:pStyle w:val="a3"/>
        <w:spacing w:before="0" w:beforeAutospacing="0" w:after="0" w:afterAutospacing="0"/>
        <w:jc w:val="center"/>
        <w:rPr>
          <w:sz w:val="20"/>
          <w:szCs w:val="20"/>
        </w:rPr>
      </w:pPr>
      <w:r>
        <w:rPr>
          <w:sz w:val="20"/>
          <w:szCs w:val="20"/>
        </w:rPr>
        <w:t> </w:t>
      </w:r>
    </w:p>
    <w:p w14:paraId="386C3F8D" w14:textId="77777777" w:rsidR="00000000" w:rsidRDefault="00832D71">
      <w:pPr>
        <w:pStyle w:val="a3"/>
        <w:spacing w:before="0" w:beforeAutospacing="0" w:after="0" w:afterAutospacing="0"/>
        <w:jc w:val="center"/>
        <w:rPr>
          <w:sz w:val="20"/>
          <w:szCs w:val="20"/>
        </w:rPr>
      </w:pPr>
      <w:r>
        <w:rPr>
          <w:sz w:val="20"/>
          <w:szCs w:val="20"/>
        </w:rPr>
        <w:t>7</w:t>
      </w:r>
      <w:r>
        <w:rPr>
          <w:sz w:val="20"/>
          <w:szCs w:val="20"/>
        </w:rPr>
        <w:t>8</w:t>
      </w:r>
    </w:p>
    <w:p w14:paraId="2BCED838" w14:textId="77777777" w:rsidR="00000000" w:rsidRDefault="00832D71">
      <w:pPr>
        <w:rPr>
          <w:rFonts w:eastAsia="Times New Roman"/>
        </w:rPr>
      </w:pPr>
      <w:r>
        <w:rPr>
          <w:rFonts w:eastAsia="Times New Roman"/>
        </w:rPr>
        <w:pict w14:anchorId="0B5E78C2">
          <v:rect id="_x0000_i1105" style="width:0;height:1.5pt" o:hralign="center" o:hrstd="t" o:hr="t" fillcolor="#a0a0a0" stroked="f"/>
        </w:pict>
      </w:r>
    </w:p>
    <w:p w14:paraId="3949A793"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59AE73F7" w14:textId="77777777" w:rsidR="00000000" w:rsidRDefault="00832D71">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36"/>
        <w:gridCol w:w="110"/>
        <w:gridCol w:w="160"/>
        <w:gridCol w:w="710"/>
        <w:gridCol w:w="110"/>
        <w:gridCol w:w="110"/>
        <w:gridCol w:w="160"/>
        <w:gridCol w:w="710"/>
        <w:gridCol w:w="110"/>
        <w:gridCol w:w="110"/>
        <w:gridCol w:w="160"/>
        <w:gridCol w:w="710"/>
        <w:gridCol w:w="110"/>
        <w:gridCol w:w="110"/>
        <w:gridCol w:w="160"/>
        <w:gridCol w:w="915"/>
        <w:gridCol w:w="110"/>
        <w:gridCol w:w="110"/>
        <w:gridCol w:w="160"/>
        <w:gridCol w:w="710"/>
        <w:gridCol w:w="125"/>
      </w:tblGrid>
      <w:tr w:rsidR="00000000" w14:paraId="6F20135C" w14:textId="77777777">
        <w:trPr>
          <w:tblCellSpacing w:w="15" w:type="dxa"/>
        </w:trPr>
        <w:tc>
          <w:tcPr>
            <w:tcW w:w="1738" w:type="pct"/>
            <w:vAlign w:val="center"/>
            <w:hideMark/>
          </w:tcPr>
          <w:p w14:paraId="14A3A21A" w14:textId="77777777" w:rsidR="00000000" w:rsidRDefault="00832D71">
            <w:pPr>
              <w:rPr>
                <w:sz w:val="20"/>
                <w:szCs w:val="20"/>
              </w:rPr>
            </w:pPr>
          </w:p>
        </w:tc>
        <w:tc>
          <w:tcPr>
            <w:tcW w:w="59" w:type="pct"/>
            <w:vAlign w:val="center"/>
            <w:hideMark/>
          </w:tcPr>
          <w:p w14:paraId="648E6AFA" w14:textId="77777777" w:rsidR="00000000" w:rsidRDefault="00832D71">
            <w:pPr>
              <w:rPr>
                <w:rFonts w:eastAsia="Times New Roman"/>
                <w:sz w:val="20"/>
                <w:szCs w:val="20"/>
              </w:rPr>
            </w:pPr>
          </w:p>
        </w:tc>
        <w:tc>
          <w:tcPr>
            <w:tcW w:w="50" w:type="pct"/>
            <w:vAlign w:val="center"/>
            <w:hideMark/>
          </w:tcPr>
          <w:p w14:paraId="46AAE71D" w14:textId="77777777" w:rsidR="00000000" w:rsidRDefault="00832D71">
            <w:pPr>
              <w:rPr>
                <w:rFonts w:eastAsia="Times New Roman"/>
                <w:sz w:val="20"/>
                <w:szCs w:val="20"/>
              </w:rPr>
            </w:pPr>
          </w:p>
        </w:tc>
        <w:tc>
          <w:tcPr>
            <w:tcW w:w="434" w:type="pct"/>
            <w:vAlign w:val="center"/>
            <w:hideMark/>
          </w:tcPr>
          <w:p w14:paraId="25712BC3" w14:textId="77777777" w:rsidR="00000000" w:rsidRDefault="00832D71">
            <w:pPr>
              <w:rPr>
                <w:rFonts w:eastAsia="Times New Roman"/>
                <w:sz w:val="20"/>
                <w:szCs w:val="20"/>
              </w:rPr>
            </w:pPr>
          </w:p>
        </w:tc>
        <w:tc>
          <w:tcPr>
            <w:tcW w:w="50" w:type="pct"/>
            <w:vAlign w:val="center"/>
            <w:hideMark/>
          </w:tcPr>
          <w:p w14:paraId="01A8A4B8" w14:textId="77777777" w:rsidR="00000000" w:rsidRDefault="00832D71">
            <w:pPr>
              <w:rPr>
                <w:rFonts w:eastAsia="Times New Roman"/>
                <w:sz w:val="20"/>
                <w:szCs w:val="20"/>
              </w:rPr>
            </w:pPr>
          </w:p>
        </w:tc>
        <w:tc>
          <w:tcPr>
            <w:tcW w:w="58" w:type="pct"/>
            <w:vAlign w:val="center"/>
            <w:hideMark/>
          </w:tcPr>
          <w:p w14:paraId="3DC3E842" w14:textId="77777777" w:rsidR="00000000" w:rsidRDefault="00832D71">
            <w:pPr>
              <w:rPr>
                <w:rFonts w:eastAsia="Times New Roman"/>
                <w:sz w:val="20"/>
                <w:szCs w:val="20"/>
              </w:rPr>
            </w:pPr>
          </w:p>
        </w:tc>
        <w:tc>
          <w:tcPr>
            <w:tcW w:w="50" w:type="pct"/>
            <w:vAlign w:val="center"/>
            <w:hideMark/>
          </w:tcPr>
          <w:p w14:paraId="1FB1F569" w14:textId="77777777" w:rsidR="00000000" w:rsidRDefault="00832D71">
            <w:pPr>
              <w:rPr>
                <w:rFonts w:eastAsia="Times New Roman"/>
                <w:sz w:val="20"/>
                <w:szCs w:val="20"/>
              </w:rPr>
            </w:pPr>
          </w:p>
        </w:tc>
        <w:tc>
          <w:tcPr>
            <w:tcW w:w="434" w:type="pct"/>
            <w:vAlign w:val="center"/>
            <w:hideMark/>
          </w:tcPr>
          <w:p w14:paraId="09207C63" w14:textId="77777777" w:rsidR="00000000" w:rsidRDefault="00832D71">
            <w:pPr>
              <w:rPr>
                <w:rFonts w:eastAsia="Times New Roman"/>
                <w:sz w:val="20"/>
                <w:szCs w:val="20"/>
              </w:rPr>
            </w:pPr>
          </w:p>
        </w:tc>
        <w:tc>
          <w:tcPr>
            <w:tcW w:w="50" w:type="pct"/>
            <w:vAlign w:val="center"/>
            <w:hideMark/>
          </w:tcPr>
          <w:p w14:paraId="3E50A121" w14:textId="77777777" w:rsidR="00000000" w:rsidRDefault="00832D71">
            <w:pPr>
              <w:rPr>
                <w:rFonts w:eastAsia="Times New Roman"/>
                <w:sz w:val="20"/>
                <w:szCs w:val="20"/>
              </w:rPr>
            </w:pPr>
          </w:p>
        </w:tc>
        <w:tc>
          <w:tcPr>
            <w:tcW w:w="58" w:type="pct"/>
            <w:vAlign w:val="center"/>
            <w:hideMark/>
          </w:tcPr>
          <w:p w14:paraId="36424D8C" w14:textId="77777777" w:rsidR="00000000" w:rsidRDefault="00832D71">
            <w:pPr>
              <w:rPr>
                <w:rFonts w:eastAsia="Times New Roman"/>
                <w:sz w:val="20"/>
                <w:szCs w:val="20"/>
              </w:rPr>
            </w:pPr>
          </w:p>
        </w:tc>
        <w:tc>
          <w:tcPr>
            <w:tcW w:w="50" w:type="pct"/>
            <w:vAlign w:val="center"/>
            <w:hideMark/>
          </w:tcPr>
          <w:p w14:paraId="28A5D68B" w14:textId="77777777" w:rsidR="00000000" w:rsidRDefault="00832D71">
            <w:pPr>
              <w:rPr>
                <w:rFonts w:eastAsia="Times New Roman"/>
                <w:sz w:val="20"/>
                <w:szCs w:val="20"/>
              </w:rPr>
            </w:pPr>
          </w:p>
        </w:tc>
        <w:tc>
          <w:tcPr>
            <w:tcW w:w="434" w:type="pct"/>
            <w:vAlign w:val="center"/>
            <w:hideMark/>
          </w:tcPr>
          <w:p w14:paraId="7D244E6F" w14:textId="77777777" w:rsidR="00000000" w:rsidRDefault="00832D71">
            <w:pPr>
              <w:rPr>
                <w:rFonts w:eastAsia="Times New Roman"/>
                <w:sz w:val="20"/>
                <w:szCs w:val="20"/>
              </w:rPr>
            </w:pPr>
          </w:p>
        </w:tc>
        <w:tc>
          <w:tcPr>
            <w:tcW w:w="50" w:type="pct"/>
            <w:vAlign w:val="center"/>
            <w:hideMark/>
          </w:tcPr>
          <w:p w14:paraId="74E20483" w14:textId="77777777" w:rsidR="00000000" w:rsidRDefault="00832D71">
            <w:pPr>
              <w:rPr>
                <w:rFonts w:eastAsia="Times New Roman"/>
                <w:sz w:val="20"/>
                <w:szCs w:val="20"/>
              </w:rPr>
            </w:pPr>
          </w:p>
        </w:tc>
        <w:tc>
          <w:tcPr>
            <w:tcW w:w="58" w:type="pct"/>
            <w:vAlign w:val="center"/>
            <w:hideMark/>
          </w:tcPr>
          <w:p w14:paraId="1DD4101A" w14:textId="77777777" w:rsidR="00000000" w:rsidRDefault="00832D71">
            <w:pPr>
              <w:rPr>
                <w:rFonts w:eastAsia="Times New Roman"/>
                <w:sz w:val="20"/>
                <w:szCs w:val="20"/>
              </w:rPr>
            </w:pPr>
          </w:p>
        </w:tc>
        <w:tc>
          <w:tcPr>
            <w:tcW w:w="50" w:type="pct"/>
            <w:vAlign w:val="center"/>
            <w:hideMark/>
          </w:tcPr>
          <w:p w14:paraId="6B7A6852" w14:textId="77777777" w:rsidR="00000000" w:rsidRDefault="00832D71">
            <w:pPr>
              <w:rPr>
                <w:rFonts w:eastAsia="Times New Roman"/>
                <w:sz w:val="20"/>
                <w:szCs w:val="20"/>
              </w:rPr>
            </w:pPr>
          </w:p>
        </w:tc>
        <w:tc>
          <w:tcPr>
            <w:tcW w:w="728" w:type="pct"/>
            <w:vAlign w:val="center"/>
            <w:hideMark/>
          </w:tcPr>
          <w:p w14:paraId="5200F871" w14:textId="77777777" w:rsidR="00000000" w:rsidRDefault="00832D71">
            <w:pPr>
              <w:rPr>
                <w:rFonts w:eastAsia="Times New Roman"/>
                <w:sz w:val="20"/>
                <w:szCs w:val="20"/>
              </w:rPr>
            </w:pPr>
          </w:p>
        </w:tc>
        <w:tc>
          <w:tcPr>
            <w:tcW w:w="50" w:type="pct"/>
            <w:vAlign w:val="center"/>
            <w:hideMark/>
          </w:tcPr>
          <w:p w14:paraId="0A47DB33" w14:textId="77777777" w:rsidR="00000000" w:rsidRDefault="00832D71">
            <w:pPr>
              <w:rPr>
                <w:rFonts w:eastAsia="Times New Roman"/>
                <w:sz w:val="20"/>
                <w:szCs w:val="20"/>
              </w:rPr>
            </w:pPr>
          </w:p>
        </w:tc>
        <w:tc>
          <w:tcPr>
            <w:tcW w:w="58" w:type="pct"/>
            <w:vAlign w:val="center"/>
            <w:hideMark/>
          </w:tcPr>
          <w:p w14:paraId="01B0E655" w14:textId="77777777" w:rsidR="00000000" w:rsidRDefault="00832D71">
            <w:pPr>
              <w:rPr>
                <w:rFonts w:eastAsia="Times New Roman"/>
                <w:sz w:val="20"/>
                <w:szCs w:val="20"/>
              </w:rPr>
            </w:pPr>
          </w:p>
        </w:tc>
        <w:tc>
          <w:tcPr>
            <w:tcW w:w="50" w:type="pct"/>
            <w:vAlign w:val="center"/>
            <w:hideMark/>
          </w:tcPr>
          <w:p w14:paraId="7A810432" w14:textId="77777777" w:rsidR="00000000" w:rsidRDefault="00832D71">
            <w:pPr>
              <w:rPr>
                <w:rFonts w:eastAsia="Times New Roman"/>
                <w:sz w:val="20"/>
                <w:szCs w:val="20"/>
              </w:rPr>
            </w:pPr>
          </w:p>
        </w:tc>
        <w:tc>
          <w:tcPr>
            <w:tcW w:w="434" w:type="pct"/>
            <w:vAlign w:val="center"/>
            <w:hideMark/>
          </w:tcPr>
          <w:p w14:paraId="428AF0A5" w14:textId="77777777" w:rsidR="00000000" w:rsidRDefault="00832D71">
            <w:pPr>
              <w:rPr>
                <w:rFonts w:eastAsia="Times New Roman"/>
                <w:sz w:val="20"/>
                <w:szCs w:val="20"/>
              </w:rPr>
            </w:pPr>
          </w:p>
        </w:tc>
        <w:tc>
          <w:tcPr>
            <w:tcW w:w="50" w:type="pct"/>
            <w:vAlign w:val="center"/>
            <w:hideMark/>
          </w:tcPr>
          <w:p w14:paraId="673ECBDF" w14:textId="77777777" w:rsidR="00000000" w:rsidRDefault="00832D71">
            <w:pPr>
              <w:rPr>
                <w:rFonts w:eastAsia="Times New Roman"/>
                <w:sz w:val="20"/>
                <w:szCs w:val="20"/>
              </w:rPr>
            </w:pPr>
          </w:p>
        </w:tc>
      </w:tr>
      <w:tr w:rsidR="00000000" w14:paraId="7A340E61" w14:textId="77777777">
        <w:trPr>
          <w:trHeight w:val="160"/>
          <w:tblCellSpacing w:w="15" w:type="dxa"/>
        </w:trPr>
        <w:tc>
          <w:tcPr>
            <w:tcW w:w="0" w:type="auto"/>
            <w:vAlign w:val="bottom"/>
            <w:hideMark/>
          </w:tcPr>
          <w:p w14:paraId="3C939919"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565247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43558B4" w14:textId="77777777" w:rsidR="00000000" w:rsidRDefault="00832D71">
            <w:pPr>
              <w:pStyle w:val="a3"/>
              <w:spacing w:before="0" w:beforeAutospacing="0" w:after="0" w:afterAutospacing="0"/>
              <w:jc w:val="center"/>
              <w:rPr>
                <w:sz w:val="16"/>
                <w:szCs w:val="16"/>
              </w:rPr>
            </w:pPr>
            <w:r>
              <w:rPr>
                <w:b/>
                <w:bCs/>
                <w:sz w:val="16"/>
                <w:szCs w:val="16"/>
              </w:rPr>
              <w:t>Mr. Stival</w:t>
            </w:r>
            <w:r>
              <w:rPr>
                <w:b/>
                <w:bCs/>
                <w:sz w:val="16"/>
                <w:szCs w:val="16"/>
              </w:rPr>
              <w:t>a</w:t>
            </w:r>
          </w:p>
        </w:tc>
        <w:tc>
          <w:tcPr>
            <w:tcW w:w="0" w:type="auto"/>
            <w:vAlign w:val="bottom"/>
            <w:hideMark/>
          </w:tcPr>
          <w:p w14:paraId="5D98B8F2"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6FC07A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DBEBFE0" w14:textId="77777777" w:rsidR="00000000" w:rsidRDefault="00832D71">
            <w:pPr>
              <w:pStyle w:val="a3"/>
              <w:spacing w:before="0" w:beforeAutospacing="0" w:after="0" w:afterAutospacing="0"/>
              <w:jc w:val="center"/>
              <w:rPr>
                <w:sz w:val="16"/>
                <w:szCs w:val="16"/>
              </w:rPr>
            </w:pPr>
            <w:r>
              <w:rPr>
                <w:b/>
                <w:bCs/>
                <w:sz w:val="16"/>
                <w:szCs w:val="16"/>
              </w:rPr>
              <w:t>Mr. Kugli</w:t>
            </w:r>
            <w:r>
              <w:rPr>
                <w:b/>
                <w:bCs/>
                <w:sz w:val="16"/>
                <w:szCs w:val="16"/>
              </w:rPr>
              <w:t>n</w:t>
            </w:r>
          </w:p>
        </w:tc>
        <w:tc>
          <w:tcPr>
            <w:tcW w:w="0" w:type="auto"/>
            <w:vAlign w:val="bottom"/>
            <w:hideMark/>
          </w:tcPr>
          <w:p w14:paraId="29D3DA47"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F69B0D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4B1A974" w14:textId="77777777" w:rsidR="00000000" w:rsidRDefault="00832D71">
            <w:pPr>
              <w:pStyle w:val="a3"/>
              <w:spacing w:before="0" w:beforeAutospacing="0" w:after="0" w:afterAutospacing="0"/>
              <w:jc w:val="center"/>
              <w:rPr>
                <w:sz w:val="16"/>
                <w:szCs w:val="16"/>
              </w:rPr>
            </w:pPr>
            <w:r>
              <w:rPr>
                <w:b/>
                <w:bCs/>
                <w:sz w:val="16"/>
                <w:szCs w:val="16"/>
              </w:rPr>
              <w:t>Mr. Boy</w:t>
            </w:r>
            <w:r>
              <w:rPr>
                <w:b/>
                <w:bCs/>
                <w:sz w:val="16"/>
                <w:szCs w:val="16"/>
              </w:rPr>
              <w:t>d</w:t>
            </w:r>
          </w:p>
        </w:tc>
        <w:tc>
          <w:tcPr>
            <w:tcW w:w="0" w:type="auto"/>
            <w:vAlign w:val="bottom"/>
            <w:hideMark/>
          </w:tcPr>
          <w:p w14:paraId="3EBEAB52"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3BF3D0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A9455DC" w14:textId="77777777" w:rsidR="00000000" w:rsidRDefault="00832D71">
            <w:pPr>
              <w:pStyle w:val="a3"/>
              <w:spacing w:before="0" w:beforeAutospacing="0" w:after="0" w:afterAutospacing="0"/>
              <w:jc w:val="center"/>
              <w:rPr>
                <w:sz w:val="16"/>
                <w:szCs w:val="16"/>
              </w:rPr>
            </w:pPr>
            <w:r>
              <w:rPr>
                <w:b/>
                <w:bCs/>
                <w:sz w:val="16"/>
                <w:szCs w:val="16"/>
              </w:rPr>
              <w:t>Mr. Brinkwort</w:t>
            </w:r>
            <w:r>
              <w:rPr>
                <w:b/>
                <w:bCs/>
                <w:sz w:val="16"/>
                <w:szCs w:val="16"/>
              </w:rPr>
              <w:t>h</w:t>
            </w:r>
          </w:p>
        </w:tc>
        <w:tc>
          <w:tcPr>
            <w:tcW w:w="0" w:type="auto"/>
            <w:vAlign w:val="bottom"/>
            <w:hideMark/>
          </w:tcPr>
          <w:p w14:paraId="37AEB47C"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44ED18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EC96278" w14:textId="77777777" w:rsidR="00000000" w:rsidRDefault="00832D71">
            <w:pPr>
              <w:pStyle w:val="a3"/>
              <w:spacing w:before="0" w:beforeAutospacing="0" w:after="0" w:afterAutospacing="0"/>
              <w:jc w:val="center"/>
              <w:rPr>
                <w:sz w:val="16"/>
                <w:szCs w:val="16"/>
              </w:rPr>
            </w:pPr>
            <w:r>
              <w:rPr>
                <w:b/>
                <w:bCs/>
                <w:sz w:val="16"/>
                <w:szCs w:val="16"/>
              </w:rPr>
              <w:t>Mr. Scanlo</w:t>
            </w:r>
            <w:r>
              <w:rPr>
                <w:b/>
                <w:bCs/>
                <w:sz w:val="16"/>
                <w:szCs w:val="16"/>
              </w:rPr>
              <w:t>n</w:t>
            </w:r>
          </w:p>
        </w:tc>
        <w:tc>
          <w:tcPr>
            <w:tcW w:w="0" w:type="auto"/>
            <w:vAlign w:val="bottom"/>
            <w:hideMark/>
          </w:tcPr>
          <w:p w14:paraId="2ED34613"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8EC3D9E" w14:textId="77777777">
        <w:trPr>
          <w:trHeight w:val="200"/>
          <w:tblCellSpacing w:w="15" w:type="dxa"/>
        </w:trPr>
        <w:tc>
          <w:tcPr>
            <w:tcW w:w="0" w:type="auto"/>
            <w:hideMark/>
          </w:tcPr>
          <w:p w14:paraId="3A18AA61" w14:textId="77777777" w:rsidR="00000000" w:rsidRDefault="00832D71">
            <w:pPr>
              <w:pStyle w:val="a3"/>
              <w:spacing w:before="0" w:beforeAutospacing="0" w:after="0" w:afterAutospacing="0"/>
              <w:rPr>
                <w:sz w:val="20"/>
                <w:szCs w:val="20"/>
              </w:rPr>
            </w:pPr>
            <w:r>
              <w:rPr>
                <w:sz w:val="20"/>
                <w:szCs w:val="20"/>
              </w:rPr>
              <w:t>Fiscal 2022 Phantom Unit</w:t>
            </w:r>
            <w:r>
              <w:rPr>
                <w:sz w:val="20"/>
                <w:szCs w:val="20"/>
              </w:rPr>
              <w:t>s</w:t>
            </w:r>
          </w:p>
        </w:tc>
        <w:tc>
          <w:tcPr>
            <w:tcW w:w="0" w:type="auto"/>
            <w:hideMark/>
          </w:tcPr>
          <w:p w14:paraId="5F4D30EA"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2F5A6D8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B27C84D" w14:textId="77777777" w:rsidR="00000000" w:rsidRDefault="00832D71">
            <w:pPr>
              <w:pStyle w:val="a3"/>
              <w:spacing w:before="0" w:beforeAutospacing="0" w:after="0" w:afterAutospacing="0"/>
              <w:jc w:val="right"/>
              <w:rPr>
                <w:sz w:val="20"/>
                <w:szCs w:val="20"/>
              </w:rPr>
            </w:pPr>
            <w:r>
              <w:rPr>
                <w:sz w:val="20"/>
                <w:szCs w:val="20"/>
              </w:rPr>
              <w:t>48,43</w:t>
            </w:r>
            <w:r>
              <w:rPr>
                <w:sz w:val="20"/>
                <w:szCs w:val="20"/>
              </w:rPr>
              <w:t>6</w:t>
            </w:r>
          </w:p>
        </w:tc>
        <w:tc>
          <w:tcPr>
            <w:tcW w:w="0" w:type="auto"/>
            <w:noWrap/>
            <w:hideMark/>
          </w:tcPr>
          <w:p w14:paraId="003C150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BFF8C54"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35B743B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2AE8DFD" w14:textId="77777777" w:rsidR="00000000" w:rsidRDefault="00832D71">
            <w:pPr>
              <w:pStyle w:val="a3"/>
              <w:spacing w:before="0" w:beforeAutospacing="0" w:after="0" w:afterAutospacing="0"/>
              <w:jc w:val="right"/>
              <w:rPr>
                <w:sz w:val="20"/>
                <w:szCs w:val="20"/>
              </w:rPr>
            </w:pPr>
            <w:r>
              <w:rPr>
                <w:sz w:val="20"/>
                <w:szCs w:val="20"/>
              </w:rPr>
              <w:t>17,72</w:t>
            </w:r>
            <w:r>
              <w:rPr>
                <w:sz w:val="20"/>
                <w:szCs w:val="20"/>
              </w:rPr>
              <w:t>1</w:t>
            </w:r>
          </w:p>
        </w:tc>
        <w:tc>
          <w:tcPr>
            <w:tcW w:w="0" w:type="auto"/>
            <w:noWrap/>
            <w:hideMark/>
          </w:tcPr>
          <w:p w14:paraId="0D8A051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2F13512"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A8DA97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7ABF1DD" w14:textId="77777777" w:rsidR="00000000" w:rsidRDefault="00832D71">
            <w:pPr>
              <w:pStyle w:val="a3"/>
              <w:spacing w:before="0" w:beforeAutospacing="0" w:after="0" w:afterAutospacing="0"/>
              <w:jc w:val="right"/>
              <w:rPr>
                <w:sz w:val="20"/>
                <w:szCs w:val="20"/>
              </w:rPr>
            </w:pPr>
            <w:r>
              <w:rPr>
                <w:sz w:val="20"/>
                <w:szCs w:val="20"/>
              </w:rPr>
              <w:t>18,11</w:t>
            </w:r>
            <w:r>
              <w:rPr>
                <w:sz w:val="20"/>
                <w:szCs w:val="20"/>
              </w:rPr>
              <w:t>4</w:t>
            </w:r>
          </w:p>
        </w:tc>
        <w:tc>
          <w:tcPr>
            <w:tcW w:w="0" w:type="auto"/>
            <w:noWrap/>
            <w:hideMark/>
          </w:tcPr>
          <w:p w14:paraId="0A6A606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E016DAB"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07D9049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B9151DF" w14:textId="77777777" w:rsidR="00000000" w:rsidRDefault="00832D71">
            <w:pPr>
              <w:pStyle w:val="a3"/>
              <w:spacing w:before="0" w:beforeAutospacing="0" w:after="0" w:afterAutospacing="0"/>
              <w:jc w:val="right"/>
              <w:rPr>
                <w:sz w:val="20"/>
                <w:szCs w:val="20"/>
              </w:rPr>
            </w:pPr>
            <w:r>
              <w:rPr>
                <w:sz w:val="20"/>
                <w:szCs w:val="20"/>
              </w:rPr>
              <w:t>15,75</w:t>
            </w:r>
            <w:r>
              <w:rPr>
                <w:sz w:val="20"/>
                <w:szCs w:val="20"/>
              </w:rPr>
              <w:t>2</w:t>
            </w:r>
          </w:p>
        </w:tc>
        <w:tc>
          <w:tcPr>
            <w:tcW w:w="0" w:type="auto"/>
            <w:noWrap/>
            <w:hideMark/>
          </w:tcPr>
          <w:p w14:paraId="00FEA30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3C0A379"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04C3CB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7C1082D" w14:textId="77777777" w:rsidR="00000000" w:rsidRDefault="00832D71">
            <w:pPr>
              <w:pStyle w:val="a3"/>
              <w:spacing w:before="0" w:beforeAutospacing="0" w:after="0" w:afterAutospacing="0"/>
              <w:jc w:val="right"/>
              <w:rPr>
                <w:sz w:val="20"/>
                <w:szCs w:val="20"/>
              </w:rPr>
            </w:pPr>
            <w:r>
              <w:rPr>
                <w:sz w:val="20"/>
                <w:szCs w:val="20"/>
              </w:rPr>
              <w:t>13,78</w:t>
            </w:r>
            <w:r>
              <w:rPr>
                <w:sz w:val="20"/>
                <w:szCs w:val="20"/>
              </w:rPr>
              <w:t>3</w:t>
            </w:r>
          </w:p>
        </w:tc>
        <w:tc>
          <w:tcPr>
            <w:tcW w:w="0" w:type="auto"/>
            <w:noWrap/>
            <w:hideMark/>
          </w:tcPr>
          <w:p w14:paraId="636370D3" w14:textId="77777777" w:rsidR="00000000" w:rsidRDefault="00832D71">
            <w:pPr>
              <w:pStyle w:val="a3"/>
              <w:spacing w:before="0" w:beforeAutospacing="0" w:after="0" w:afterAutospacing="0"/>
              <w:rPr>
                <w:sz w:val="20"/>
                <w:szCs w:val="20"/>
              </w:rPr>
            </w:pPr>
            <w:r>
              <w:rPr>
                <w:sz w:val="20"/>
                <w:szCs w:val="20"/>
              </w:rPr>
              <w:t> </w:t>
            </w:r>
          </w:p>
        </w:tc>
      </w:tr>
      <w:tr w:rsidR="00000000" w14:paraId="27A788E5" w14:textId="77777777">
        <w:trPr>
          <w:trHeight w:val="200"/>
          <w:tblCellSpacing w:w="15" w:type="dxa"/>
        </w:trPr>
        <w:tc>
          <w:tcPr>
            <w:tcW w:w="0" w:type="auto"/>
            <w:hideMark/>
          </w:tcPr>
          <w:p w14:paraId="1A04D6FA" w14:textId="77777777" w:rsidR="00000000" w:rsidRDefault="00832D71">
            <w:pPr>
              <w:pStyle w:val="a3"/>
              <w:spacing w:before="0" w:beforeAutospacing="0" w:after="0" w:afterAutospacing="0"/>
              <w:rPr>
                <w:sz w:val="20"/>
                <w:szCs w:val="20"/>
              </w:rPr>
            </w:pPr>
            <w:r>
              <w:rPr>
                <w:sz w:val="20"/>
                <w:szCs w:val="20"/>
              </w:rPr>
              <w:t>Value of Fiscal 2022 Phantom Unit</w:t>
            </w:r>
            <w:r>
              <w:rPr>
                <w:sz w:val="20"/>
                <w:szCs w:val="20"/>
              </w:rPr>
              <w:t>s</w:t>
            </w:r>
          </w:p>
        </w:tc>
        <w:tc>
          <w:tcPr>
            <w:tcW w:w="0" w:type="auto"/>
            <w:hideMark/>
          </w:tcPr>
          <w:p w14:paraId="46B802F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C56CF3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9594D9F" w14:textId="77777777" w:rsidR="00000000" w:rsidRDefault="00832D71">
            <w:pPr>
              <w:pStyle w:val="a3"/>
              <w:spacing w:before="0" w:beforeAutospacing="0" w:after="0" w:afterAutospacing="0"/>
              <w:jc w:val="right"/>
              <w:rPr>
                <w:sz w:val="20"/>
                <w:szCs w:val="20"/>
              </w:rPr>
            </w:pPr>
            <w:r>
              <w:rPr>
                <w:sz w:val="20"/>
                <w:szCs w:val="20"/>
              </w:rPr>
              <w:t>799,79</w:t>
            </w:r>
            <w:r>
              <w:rPr>
                <w:sz w:val="20"/>
                <w:szCs w:val="20"/>
              </w:rPr>
              <w:t>9</w:t>
            </w:r>
          </w:p>
        </w:tc>
        <w:tc>
          <w:tcPr>
            <w:tcW w:w="0" w:type="auto"/>
            <w:noWrap/>
            <w:vAlign w:val="bottom"/>
            <w:hideMark/>
          </w:tcPr>
          <w:p w14:paraId="0203AD4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21B081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212DE0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8DDC5A8" w14:textId="77777777" w:rsidR="00000000" w:rsidRDefault="00832D71">
            <w:pPr>
              <w:pStyle w:val="a3"/>
              <w:spacing w:before="0" w:beforeAutospacing="0" w:after="0" w:afterAutospacing="0"/>
              <w:jc w:val="right"/>
              <w:rPr>
                <w:sz w:val="20"/>
                <w:szCs w:val="20"/>
              </w:rPr>
            </w:pPr>
            <w:r>
              <w:rPr>
                <w:sz w:val="20"/>
                <w:szCs w:val="20"/>
              </w:rPr>
              <w:t>292,61</w:t>
            </w:r>
            <w:r>
              <w:rPr>
                <w:sz w:val="20"/>
                <w:szCs w:val="20"/>
              </w:rPr>
              <w:t>8</w:t>
            </w:r>
          </w:p>
        </w:tc>
        <w:tc>
          <w:tcPr>
            <w:tcW w:w="0" w:type="auto"/>
            <w:noWrap/>
            <w:vAlign w:val="bottom"/>
            <w:hideMark/>
          </w:tcPr>
          <w:p w14:paraId="1EF4A09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9C088A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A48694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6FBC27A" w14:textId="77777777" w:rsidR="00000000" w:rsidRDefault="00832D71">
            <w:pPr>
              <w:pStyle w:val="a3"/>
              <w:spacing w:before="0" w:beforeAutospacing="0" w:after="0" w:afterAutospacing="0"/>
              <w:jc w:val="right"/>
              <w:rPr>
                <w:sz w:val="20"/>
                <w:szCs w:val="20"/>
              </w:rPr>
            </w:pPr>
            <w:r>
              <w:rPr>
                <w:sz w:val="20"/>
                <w:szCs w:val="20"/>
              </w:rPr>
              <w:t>299,10</w:t>
            </w:r>
            <w:r>
              <w:rPr>
                <w:sz w:val="20"/>
                <w:szCs w:val="20"/>
              </w:rPr>
              <w:t>7</w:t>
            </w:r>
          </w:p>
        </w:tc>
        <w:tc>
          <w:tcPr>
            <w:tcW w:w="0" w:type="auto"/>
            <w:noWrap/>
            <w:vAlign w:val="bottom"/>
            <w:hideMark/>
          </w:tcPr>
          <w:p w14:paraId="23609B9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C3CA39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D5D1EF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878CEC8" w14:textId="77777777" w:rsidR="00000000" w:rsidRDefault="00832D71">
            <w:pPr>
              <w:pStyle w:val="a3"/>
              <w:spacing w:before="0" w:beforeAutospacing="0" w:after="0" w:afterAutospacing="0"/>
              <w:jc w:val="right"/>
              <w:rPr>
                <w:sz w:val="20"/>
                <w:szCs w:val="20"/>
              </w:rPr>
            </w:pPr>
            <w:r>
              <w:rPr>
                <w:sz w:val="20"/>
                <w:szCs w:val="20"/>
              </w:rPr>
              <w:t>260,10</w:t>
            </w:r>
            <w:r>
              <w:rPr>
                <w:sz w:val="20"/>
                <w:szCs w:val="20"/>
              </w:rPr>
              <w:t>5</w:t>
            </w:r>
          </w:p>
        </w:tc>
        <w:tc>
          <w:tcPr>
            <w:tcW w:w="0" w:type="auto"/>
            <w:noWrap/>
            <w:vAlign w:val="bottom"/>
            <w:hideMark/>
          </w:tcPr>
          <w:p w14:paraId="1DA1903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A268BB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3CA970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E103C62" w14:textId="77777777" w:rsidR="00000000" w:rsidRDefault="00832D71">
            <w:pPr>
              <w:pStyle w:val="a3"/>
              <w:spacing w:before="0" w:beforeAutospacing="0" w:after="0" w:afterAutospacing="0"/>
              <w:jc w:val="right"/>
              <w:rPr>
                <w:sz w:val="20"/>
                <w:szCs w:val="20"/>
              </w:rPr>
            </w:pPr>
            <w:r>
              <w:rPr>
                <w:sz w:val="20"/>
                <w:szCs w:val="20"/>
              </w:rPr>
              <w:t>227,59</w:t>
            </w:r>
            <w:r>
              <w:rPr>
                <w:sz w:val="20"/>
                <w:szCs w:val="20"/>
              </w:rPr>
              <w:t>2</w:t>
            </w:r>
          </w:p>
        </w:tc>
        <w:tc>
          <w:tcPr>
            <w:tcW w:w="0" w:type="auto"/>
            <w:noWrap/>
            <w:vAlign w:val="bottom"/>
            <w:hideMark/>
          </w:tcPr>
          <w:p w14:paraId="2FE963D4" w14:textId="77777777" w:rsidR="00000000" w:rsidRDefault="00832D71">
            <w:pPr>
              <w:pStyle w:val="a3"/>
              <w:spacing w:before="0" w:beforeAutospacing="0" w:after="0" w:afterAutospacing="0"/>
              <w:rPr>
                <w:sz w:val="20"/>
                <w:szCs w:val="20"/>
              </w:rPr>
            </w:pPr>
            <w:r>
              <w:rPr>
                <w:sz w:val="20"/>
                <w:szCs w:val="20"/>
              </w:rPr>
              <w:t> </w:t>
            </w:r>
          </w:p>
        </w:tc>
      </w:tr>
      <w:tr w:rsidR="00000000" w14:paraId="2DDDA2F7" w14:textId="77777777">
        <w:trPr>
          <w:trHeight w:val="200"/>
          <w:tblCellSpacing w:w="15" w:type="dxa"/>
        </w:trPr>
        <w:tc>
          <w:tcPr>
            <w:tcW w:w="0" w:type="auto"/>
            <w:hideMark/>
          </w:tcPr>
          <w:p w14:paraId="613B7A9A" w14:textId="77777777" w:rsidR="00000000" w:rsidRDefault="00832D71">
            <w:pPr>
              <w:pStyle w:val="a3"/>
              <w:spacing w:before="0" w:beforeAutospacing="0" w:after="0" w:afterAutospacing="0"/>
              <w:rPr>
                <w:sz w:val="20"/>
                <w:szCs w:val="20"/>
              </w:rPr>
            </w:pPr>
            <w:r>
              <w:rPr>
                <w:sz w:val="20"/>
                <w:szCs w:val="20"/>
              </w:rPr>
              <w:t>Estimated Distributions over Measurement</w:t>
            </w:r>
            <w:r>
              <w:rPr>
                <w:sz w:val="20"/>
                <w:szCs w:val="20"/>
              </w:rPr>
              <w:br/>
              <w:t>   Perio</w:t>
            </w:r>
            <w:r>
              <w:rPr>
                <w:sz w:val="20"/>
                <w:szCs w:val="20"/>
              </w:rPr>
              <w:t>d</w:t>
            </w:r>
          </w:p>
        </w:tc>
        <w:tc>
          <w:tcPr>
            <w:tcW w:w="0" w:type="auto"/>
            <w:hideMark/>
          </w:tcPr>
          <w:p w14:paraId="41DB55B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6750DC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39F38A8" w14:textId="77777777" w:rsidR="00000000" w:rsidRDefault="00832D71">
            <w:pPr>
              <w:pStyle w:val="a3"/>
              <w:spacing w:before="0" w:beforeAutospacing="0" w:after="0" w:afterAutospacing="0"/>
              <w:jc w:val="right"/>
              <w:rPr>
                <w:sz w:val="20"/>
                <w:szCs w:val="20"/>
              </w:rPr>
            </w:pPr>
            <w:r>
              <w:rPr>
                <w:sz w:val="20"/>
                <w:szCs w:val="20"/>
              </w:rPr>
              <w:t>188,90</w:t>
            </w:r>
            <w:r>
              <w:rPr>
                <w:sz w:val="20"/>
                <w:szCs w:val="20"/>
              </w:rPr>
              <w:t>0</w:t>
            </w:r>
          </w:p>
        </w:tc>
        <w:tc>
          <w:tcPr>
            <w:tcW w:w="0" w:type="auto"/>
            <w:noWrap/>
            <w:vAlign w:val="bottom"/>
            <w:hideMark/>
          </w:tcPr>
          <w:p w14:paraId="2E4D4DF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6B3BFE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8D631A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C3C8021" w14:textId="77777777" w:rsidR="00000000" w:rsidRDefault="00832D71">
            <w:pPr>
              <w:pStyle w:val="a3"/>
              <w:spacing w:before="0" w:beforeAutospacing="0" w:after="0" w:afterAutospacing="0"/>
              <w:jc w:val="right"/>
              <w:rPr>
                <w:sz w:val="20"/>
                <w:szCs w:val="20"/>
              </w:rPr>
            </w:pPr>
            <w:r>
              <w:rPr>
                <w:sz w:val="20"/>
                <w:szCs w:val="20"/>
              </w:rPr>
              <w:t>69,11</w:t>
            </w:r>
            <w:r>
              <w:rPr>
                <w:sz w:val="20"/>
                <w:szCs w:val="20"/>
              </w:rPr>
              <w:t>2</w:t>
            </w:r>
          </w:p>
        </w:tc>
        <w:tc>
          <w:tcPr>
            <w:tcW w:w="0" w:type="auto"/>
            <w:noWrap/>
            <w:vAlign w:val="bottom"/>
            <w:hideMark/>
          </w:tcPr>
          <w:p w14:paraId="680C5A5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CF37CA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402B8F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77F87F8" w14:textId="77777777" w:rsidR="00000000" w:rsidRDefault="00832D71">
            <w:pPr>
              <w:pStyle w:val="a3"/>
              <w:spacing w:before="0" w:beforeAutospacing="0" w:after="0" w:afterAutospacing="0"/>
              <w:jc w:val="right"/>
              <w:rPr>
                <w:sz w:val="20"/>
                <w:szCs w:val="20"/>
              </w:rPr>
            </w:pPr>
            <w:r>
              <w:rPr>
                <w:sz w:val="20"/>
                <w:szCs w:val="20"/>
              </w:rPr>
              <w:t>70,64</w:t>
            </w:r>
            <w:r>
              <w:rPr>
                <w:sz w:val="20"/>
                <w:szCs w:val="20"/>
              </w:rPr>
              <w:t>5</w:t>
            </w:r>
          </w:p>
        </w:tc>
        <w:tc>
          <w:tcPr>
            <w:tcW w:w="0" w:type="auto"/>
            <w:noWrap/>
            <w:vAlign w:val="bottom"/>
            <w:hideMark/>
          </w:tcPr>
          <w:p w14:paraId="5290089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AA5637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5E690D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94E9D08" w14:textId="77777777" w:rsidR="00000000" w:rsidRDefault="00832D71">
            <w:pPr>
              <w:pStyle w:val="a3"/>
              <w:spacing w:before="0" w:beforeAutospacing="0" w:after="0" w:afterAutospacing="0"/>
              <w:jc w:val="right"/>
              <w:rPr>
                <w:sz w:val="20"/>
                <w:szCs w:val="20"/>
              </w:rPr>
            </w:pPr>
            <w:r>
              <w:rPr>
                <w:sz w:val="20"/>
                <w:szCs w:val="20"/>
              </w:rPr>
              <w:t>61,43</w:t>
            </w:r>
            <w:r>
              <w:rPr>
                <w:sz w:val="20"/>
                <w:szCs w:val="20"/>
              </w:rPr>
              <w:t>3</w:t>
            </w:r>
          </w:p>
        </w:tc>
        <w:tc>
          <w:tcPr>
            <w:tcW w:w="0" w:type="auto"/>
            <w:noWrap/>
            <w:vAlign w:val="bottom"/>
            <w:hideMark/>
          </w:tcPr>
          <w:p w14:paraId="07EB267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32F153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04DE07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6A8BD8C" w14:textId="77777777" w:rsidR="00000000" w:rsidRDefault="00832D71">
            <w:pPr>
              <w:pStyle w:val="a3"/>
              <w:spacing w:before="0" w:beforeAutospacing="0" w:after="0" w:afterAutospacing="0"/>
              <w:jc w:val="right"/>
              <w:rPr>
                <w:sz w:val="20"/>
                <w:szCs w:val="20"/>
              </w:rPr>
            </w:pPr>
            <w:r>
              <w:rPr>
                <w:sz w:val="20"/>
                <w:szCs w:val="20"/>
              </w:rPr>
              <w:t>53,75</w:t>
            </w:r>
            <w:r>
              <w:rPr>
                <w:sz w:val="20"/>
                <w:szCs w:val="20"/>
              </w:rPr>
              <w:t>4</w:t>
            </w:r>
          </w:p>
        </w:tc>
        <w:tc>
          <w:tcPr>
            <w:tcW w:w="0" w:type="auto"/>
            <w:noWrap/>
            <w:vAlign w:val="bottom"/>
            <w:hideMark/>
          </w:tcPr>
          <w:p w14:paraId="727C83EA" w14:textId="77777777" w:rsidR="00000000" w:rsidRDefault="00832D71">
            <w:pPr>
              <w:pStyle w:val="a3"/>
              <w:spacing w:before="0" w:beforeAutospacing="0" w:after="0" w:afterAutospacing="0"/>
              <w:rPr>
                <w:sz w:val="20"/>
                <w:szCs w:val="20"/>
              </w:rPr>
            </w:pPr>
            <w:r>
              <w:rPr>
                <w:sz w:val="20"/>
                <w:szCs w:val="20"/>
              </w:rPr>
              <w:t> </w:t>
            </w:r>
          </w:p>
        </w:tc>
      </w:tr>
      <w:tr w:rsidR="00000000" w14:paraId="57CE1012" w14:textId="77777777">
        <w:trPr>
          <w:tblCellSpacing w:w="15" w:type="dxa"/>
        </w:trPr>
        <w:tc>
          <w:tcPr>
            <w:tcW w:w="0" w:type="auto"/>
            <w:hideMark/>
          </w:tcPr>
          <w:p w14:paraId="2AC1BA6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51968CB"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AD6305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609C929"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6076E2EA"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BEC0D9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9D31B60"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2CDF575"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24E838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91A011A"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5A941D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94F0D6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8C1E27C"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11AA68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6748AE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0026AF5" w14:textId="77777777" w:rsidR="00000000" w:rsidRDefault="00832D71">
            <w:pPr>
              <w:pStyle w:val="a3"/>
              <w:spacing w:before="0" w:beforeAutospacing="0" w:after="0" w:afterAutospacing="0"/>
              <w:jc w:val="right"/>
              <w:rPr>
                <w:sz w:val="20"/>
                <w:szCs w:val="20"/>
              </w:rPr>
            </w:pPr>
            <w:r>
              <w:rPr>
                <w:sz w:val="20"/>
                <w:szCs w:val="20"/>
              </w:rPr>
              <w:t> </w:t>
            </w:r>
          </w:p>
        </w:tc>
      </w:tr>
      <w:tr w:rsidR="00000000" w14:paraId="74846B21" w14:textId="77777777">
        <w:trPr>
          <w:trHeight w:val="200"/>
          <w:tblCellSpacing w:w="15" w:type="dxa"/>
        </w:trPr>
        <w:tc>
          <w:tcPr>
            <w:tcW w:w="0" w:type="auto"/>
            <w:hideMark/>
          </w:tcPr>
          <w:p w14:paraId="174B5EEE" w14:textId="77777777" w:rsidR="00000000" w:rsidRDefault="00832D71">
            <w:pPr>
              <w:pStyle w:val="a3"/>
              <w:spacing w:before="0" w:beforeAutospacing="0" w:after="0" w:afterAutospacing="0"/>
              <w:rPr>
                <w:sz w:val="20"/>
                <w:szCs w:val="20"/>
              </w:rPr>
            </w:pPr>
            <w:r>
              <w:rPr>
                <w:sz w:val="20"/>
                <w:szCs w:val="20"/>
              </w:rPr>
              <w:t>Fiscal 2021 Phantom Unit</w:t>
            </w:r>
            <w:r>
              <w:rPr>
                <w:sz w:val="20"/>
                <w:szCs w:val="20"/>
              </w:rPr>
              <w:t>s</w:t>
            </w:r>
          </w:p>
        </w:tc>
        <w:tc>
          <w:tcPr>
            <w:tcW w:w="0" w:type="auto"/>
            <w:hideMark/>
          </w:tcPr>
          <w:p w14:paraId="41858283"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39ECC25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AE77863" w14:textId="77777777" w:rsidR="00000000" w:rsidRDefault="00832D71">
            <w:pPr>
              <w:pStyle w:val="a3"/>
              <w:spacing w:before="0" w:beforeAutospacing="0" w:after="0" w:afterAutospacing="0"/>
              <w:jc w:val="right"/>
              <w:rPr>
                <w:sz w:val="20"/>
                <w:szCs w:val="20"/>
              </w:rPr>
            </w:pPr>
            <w:r>
              <w:rPr>
                <w:sz w:val="20"/>
                <w:szCs w:val="20"/>
              </w:rPr>
              <w:t>22,03</w:t>
            </w:r>
            <w:r>
              <w:rPr>
                <w:sz w:val="20"/>
                <w:szCs w:val="20"/>
              </w:rPr>
              <w:t>6</w:t>
            </w:r>
          </w:p>
        </w:tc>
        <w:tc>
          <w:tcPr>
            <w:tcW w:w="0" w:type="auto"/>
            <w:noWrap/>
            <w:hideMark/>
          </w:tcPr>
          <w:p w14:paraId="2D025B7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E7A99A0"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06462F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635A7C0" w14:textId="77777777" w:rsidR="00000000" w:rsidRDefault="00832D71">
            <w:pPr>
              <w:pStyle w:val="a3"/>
              <w:spacing w:before="0" w:beforeAutospacing="0" w:after="0" w:afterAutospacing="0"/>
              <w:jc w:val="right"/>
              <w:rPr>
                <w:sz w:val="20"/>
                <w:szCs w:val="20"/>
              </w:rPr>
            </w:pPr>
            <w:r>
              <w:rPr>
                <w:sz w:val="20"/>
                <w:szCs w:val="20"/>
              </w:rPr>
              <w:t>11,75</w:t>
            </w:r>
            <w:r>
              <w:rPr>
                <w:sz w:val="20"/>
                <w:szCs w:val="20"/>
              </w:rPr>
              <w:t>3</w:t>
            </w:r>
          </w:p>
        </w:tc>
        <w:tc>
          <w:tcPr>
            <w:tcW w:w="0" w:type="auto"/>
            <w:noWrap/>
            <w:hideMark/>
          </w:tcPr>
          <w:p w14:paraId="43713A8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9E03033"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8A613D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6539D28" w14:textId="77777777" w:rsidR="00000000" w:rsidRDefault="00832D71">
            <w:pPr>
              <w:pStyle w:val="a3"/>
              <w:spacing w:before="0" w:beforeAutospacing="0" w:after="0" w:afterAutospacing="0"/>
              <w:jc w:val="right"/>
              <w:rPr>
                <w:sz w:val="20"/>
                <w:szCs w:val="20"/>
              </w:rPr>
            </w:pPr>
            <w:r>
              <w:rPr>
                <w:sz w:val="20"/>
                <w:szCs w:val="20"/>
              </w:rPr>
              <w:t>11,75</w:t>
            </w:r>
            <w:r>
              <w:rPr>
                <w:sz w:val="20"/>
                <w:szCs w:val="20"/>
              </w:rPr>
              <w:t>3</w:t>
            </w:r>
          </w:p>
        </w:tc>
        <w:tc>
          <w:tcPr>
            <w:tcW w:w="0" w:type="auto"/>
            <w:noWrap/>
            <w:hideMark/>
          </w:tcPr>
          <w:p w14:paraId="00C0EC0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42AF8E6"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F9B3FC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1EBCCA4" w14:textId="77777777" w:rsidR="00000000" w:rsidRDefault="00832D71">
            <w:pPr>
              <w:pStyle w:val="a3"/>
              <w:spacing w:before="0" w:beforeAutospacing="0" w:after="0" w:afterAutospacing="0"/>
              <w:jc w:val="right"/>
              <w:rPr>
                <w:sz w:val="20"/>
                <w:szCs w:val="20"/>
              </w:rPr>
            </w:pPr>
            <w:r>
              <w:rPr>
                <w:sz w:val="20"/>
                <w:szCs w:val="20"/>
              </w:rPr>
              <w:t>10,57</w:t>
            </w:r>
            <w:r>
              <w:rPr>
                <w:sz w:val="20"/>
                <w:szCs w:val="20"/>
              </w:rPr>
              <w:t>7</w:t>
            </w:r>
          </w:p>
        </w:tc>
        <w:tc>
          <w:tcPr>
            <w:tcW w:w="0" w:type="auto"/>
            <w:noWrap/>
            <w:hideMark/>
          </w:tcPr>
          <w:p w14:paraId="4E165B1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AB22F78"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30D3E77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C635DAD" w14:textId="77777777" w:rsidR="00000000" w:rsidRDefault="00832D71">
            <w:pPr>
              <w:pStyle w:val="a3"/>
              <w:spacing w:before="0" w:beforeAutospacing="0" w:after="0" w:afterAutospacing="0"/>
              <w:jc w:val="right"/>
              <w:rPr>
                <w:sz w:val="20"/>
                <w:szCs w:val="20"/>
              </w:rPr>
            </w:pPr>
            <w:r>
              <w:rPr>
                <w:sz w:val="20"/>
                <w:szCs w:val="20"/>
              </w:rPr>
              <w:t>9,40</w:t>
            </w:r>
            <w:r>
              <w:rPr>
                <w:sz w:val="20"/>
                <w:szCs w:val="20"/>
              </w:rPr>
              <w:t>2</w:t>
            </w:r>
          </w:p>
        </w:tc>
        <w:tc>
          <w:tcPr>
            <w:tcW w:w="0" w:type="auto"/>
            <w:noWrap/>
            <w:hideMark/>
          </w:tcPr>
          <w:p w14:paraId="1B0D9E73" w14:textId="77777777" w:rsidR="00000000" w:rsidRDefault="00832D71">
            <w:pPr>
              <w:pStyle w:val="a3"/>
              <w:spacing w:before="0" w:beforeAutospacing="0" w:after="0" w:afterAutospacing="0"/>
              <w:rPr>
                <w:sz w:val="20"/>
                <w:szCs w:val="20"/>
              </w:rPr>
            </w:pPr>
            <w:r>
              <w:rPr>
                <w:sz w:val="20"/>
                <w:szCs w:val="20"/>
              </w:rPr>
              <w:t> </w:t>
            </w:r>
          </w:p>
        </w:tc>
      </w:tr>
      <w:tr w:rsidR="00000000" w14:paraId="7BB32BCD" w14:textId="77777777">
        <w:trPr>
          <w:trHeight w:val="200"/>
          <w:tblCellSpacing w:w="15" w:type="dxa"/>
        </w:trPr>
        <w:tc>
          <w:tcPr>
            <w:tcW w:w="0" w:type="auto"/>
            <w:hideMark/>
          </w:tcPr>
          <w:p w14:paraId="170ECA86" w14:textId="77777777" w:rsidR="00000000" w:rsidRDefault="00832D71">
            <w:pPr>
              <w:pStyle w:val="a3"/>
              <w:spacing w:before="0" w:beforeAutospacing="0" w:after="0" w:afterAutospacing="0"/>
              <w:rPr>
                <w:sz w:val="20"/>
                <w:szCs w:val="20"/>
              </w:rPr>
            </w:pPr>
            <w:r>
              <w:rPr>
                <w:sz w:val="20"/>
                <w:szCs w:val="20"/>
              </w:rPr>
              <w:t>Value of Fiscal 2021 Phantom Unit</w:t>
            </w:r>
            <w:r>
              <w:rPr>
                <w:sz w:val="20"/>
                <w:szCs w:val="20"/>
              </w:rPr>
              <w:t>s</w:t>
            </w:r>
          </w:p>
        </w:tc>
        <w:tc>
          <w:tcPr>
            <w:tcW w:w="0" w:type="auto"/>
            <w:hideMark/>
          </w:tcPr>
          <w:p w14:paraId="2D7C422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301E8D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B4D8B4B" w14:textId="77777777" w:rsidR="00000000" w:rsidRDefault="00832D71">
            <w:pPr>
              <w:pStyle w:val="a3"/>
              <w:spacing w:before="0" w:beforeAutospacing="0" w:after="0" w:afterAutospacing="0"/>
              <w:jc w:val="right"/>
              <w:rPr>
                <w:sz w:val="20"/>
                <w:szCs w:val="20"/>
              </w:rPr>
            </w:pPr>
            <w:r>
              <w:rPr>
                <w:sz w:val="20"/>
                <w:szCs w:val="20"/>
              </w:rPr>
              <w:t>363,86</w:t>
            </w:r>
            <w:r>
              <w:rPr>
                <w:sz w:val="20"/>
                <w:szCs w:val="20"/>
              </w:rPr>
              <w:t>9</w:t>
            </w:r>
          </w:p>
        </w:tc>
        <w:tc>
          <w:tcPr>
            <w:tcW w:w="0" w:type="auto"/>
            <w:noWrap/>
            <w:vAlign w:val="bottom"/>
            <w:hideMark/>
          </w:tcPr>
          <w:p w14:paraId="78E58F4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9B6076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747FE2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FEEB773" w14:textId="77777777" w:rsidR="00000000" w:rsidRDefault="00832D71">
            <w:pPr>
              <w:pStyle w:val="a3"/>
              <w:spacing w:before="0" w:beforeAutospacing="0" w:after="0" w:afterAutospacing="0"/>
              <w:jc w:val="right"/>
              <w:rPr>
                <w:sz w:val="20"/>
                <w:szCs w:val="20"/>
              </w:rPr>
            </w:pPr>
            <w:r>
              <w:rPr>
                <w:sz w:val="20"/>
                <w:szCs w:val="20"/>
              </w:rPr>
              <w:t>194,07</w:t>
            </w:r>
            <w:r>
              <w:rPr>
                <w:sz w:val="20"/>
                <w:szCs w:val="20"/>
              </w:rPr>
              <w:t>1</w:t>
            </w:r>
          </w:p>
        </w:tc>
        <w:tc>
          <w:tcPr>
            <w:tcW w:w="0" w:type="auto"/>
            <w:noWrap/>
            <w:vAlign w:val="bottom"/>
            <w:hideMark/>
          </w:tcPr>
          <w:p w14:paraId="24008C1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40C56D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86BED7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F82B285" w14:textId="77777777" w:rsidR="00000000" w:rsidRDefault="00832D71">
            <w:pPr>
              <w:pStyle w:val="a3"/>
              <w:spacing w:before="0" w:beforeAutospacing="0" w:after="0" w:afterAutospacing="0"/>
              <w:jc w:val="right"/>
              <w:rPr>
                <w:sz w:val="20"/>
                <w:szCs w:val="20"/>
              </w:rPr>
            </w:pPr>
            <w:r>
              <w:rPr>
                <w:sz w:val="20"/>
                <w:szCs w:val="20"/>
              </w:rPr>
              <w:t>194,07</w:t>
            </w:r>
            <w:r>
              <w:rPr>
                <w:sz w:val="20"/>
                <w:szCs w:val="20"/>
              </w:rPr>
              <w:t>1</w:t>
            </w:r>
          </w:p>
        </w:tc>
        <w:tc>
          <w:tcPr>
            <w:tcW w:w="0" w:type="auto"/>
            <w:noWrap/>
            <w:vAlign w:val="bottom"/>
            <w:hideMark/>
          </w:tcPr>
          <w:p w14:paraId="6407778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D8230E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69A7E6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FF044FA" w14:textId="77777777" w:rsidR="00000000" w:rsidRDefault="00832D71">
            <w:pPr>
              <w:pStyle w:val="a3"/>
              <w:spacing w:before="0" w:beforeAutospacing="0" w:after="0" w:afterAutospacing="0"/>
              <w:jc w:val="right"/>
              <w:rPr>
                <w:sz w:val="20"/>
                <w:szCs w:val="20"/>
              </w:rPr>
            </w:pPr>
            <w:r>
              <w:rPr>
                <w:sz w:val="20"/>
                <w:szCs w:val="20"/>
              </w:rPr>
              <w:t>174,65</w:t>
            </w:r>
            <w:r>
              <w:rPr>
                <w:sz w:val="20"/>
                <w:szCs w:val="20"/>
              </w:rPr>
              <w:t>3</w:t>
            </w:r>
          </w:p>
        </w:tc>
        <w:tc>
          <w:tcPr>
            <w:tcW w:w="0" w:type="auto"/>
            <w:noWrap/>
            <w:vAlign w:val="bottom"/>
            <w:hideMark/>
          </w:tcPr>
          <w:p w14:paraId="3F932BE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C08D56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9EE992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175EF0A" w14:textId="77777777" w:rsidR="00000000" w:rsidRDefault="00832D71">
            <w:pPr>
              <w:pStyle w:val="a3"/>
              <w:spacing w:before="0" w:beforeAutospacing="0" w:after="0" w:afterAutospacing="0"/>
              <w:jc w:val="right"/>
              <w:rPr>
                <w:sz w:val="20"/>
                <w:szCs w:val="20"/>
              </w:rPr>
            </w:pPr>
            <w:r>
              <w:rPr>
                <w:sz w:val="20"/>
                <w:szCs w:val="20"/>
              </w:rPr>
              <w:t>155,25</w:t>
            </w:r>
            <w:r>
              <w:rPr>
                <w:sz w:val="20"/>
                <w:szCs w:val="20"/>
              </w:rPr>
              <w:t>1</w:t>
            </w:r>
          </w:p>
        </w:tc>
        <w:tc>
          <w:tcPr>
            <w:tcW w:w="0" w:type="auto"/>
            <w:noWrap/>
            <w:vAlign w:val="bottom"/>
            <w:hideMark/>
          </w:tcPr>
          <w:p w14:paraId="0460413B" w14:textId="77777777" w:rsidR="00000000" w:rsidRDefault="00832D71">
            <w:pPr>
              <w:pStyle w:val="a3"/>
              <w:spacing w:before="0" w:beforeAutospacing="0" w:after="0" w:afterAutospacing="0"/>
              <w:rPr>
                <w:sz w:val="20"/>
                <w:szCs w:val="20"/>
              </w:rPr>
            </w:pPr>
            <w:r>
              <w:rPr>
                <w:sz w:val="20"/>
                <w:szCs w:val="20"/>
              </w:rPr>
              <w:t> </w:t>
            </w:r>
          </w:p>
        </w:tc>
      </w:tr>
      <w:tr w:rsidR="00000000" w14:paraId="71742CE6" w14:textId="77777777">
        <w:trPr>
          <w:trHeight w:val="200"/>
          <w:tblCellSpacing w:w="15" w:type="dxa"/>
        </w:trPr>
        <w:tc>
          <w:tcPr>
            <w:tcW w:w="0" w:type="auto"/>
            <w:hideMark/>
          </w:tcPr>
          <w:p w14:paraId="23A46098" w14:textId="77777777" w:rsidR="00000000" w:rsidRDefault="00832D71">
            <w:pPr>
              <w:pStyle w:val="a3"/>
              <w:spacing w:before="0" w:beforeAutospacing="0" w:after="0" w:afterAutospacing="0"/>
              <w:rPr>
                <w:sz w:val="20"/>
                <w:szCs w:val="20"/>
              </w:rPr>
            </w:pPr>
            <w:r>
              <w:rPr>
                <w:sz w:val="20"/>
                <w:szCs w:val="20"/>
              </w:rPr>
              <w:t>Estimated Distributions over Measurement</w:t>
            </w:r>
            <w:r>
              <w:rPr>
                <w:sz w:val="20"/>
                <w:szCs w:val="20"/>
              </w:rPr>
              <w:br/>
              <w:t>   Perio</w:t>
            </w:r>
            <w:r>
              <w:rPr>
                <w:sz w:val="20"/>
                <w:szCs w:val="20"/>
              </w:rPr>
              <w:t>d</w:t>
            </w:r>
          </w:p>
        </w:tc>
        <w:tc>
          <w:tcPr>
            <w:tcW w:w="0" w:type="auto"/>
            <w:hideMark/>
          </w:tcPr>
          <w:p w14:paraId="741A6A4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46C157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17F360A" w14:textId="77777777" w:rsidR="00000000" w:rsidRDefault="00832D71">
            <w:pPr>
              <w:pStyle w:val="a3"/>
              <w:spacing w:before="0" w:beforeAutospacing="0" w:after="0" w:afterAutospacing="0"/>
              <w:jc w:val="right"/>
              <w:rPr>
                <w:sz w:val="20"/>
                <w:szCs w:val="20"/>
              </w:rPr>
            </w:pPr>
            <w:r>
              <w:rPr>
                <w:sz w:val="20"/>
                <w:szCs w:val="20"/>
              </w:rPr>
              <w:t>84,28</w:t>
            </w:r>
            <w:r>
              <w:rPr>
                <w:sz w:val="20"/>
                <w:szCs w:val="20"/>
              </w:rPr>
              <w:t>8</w:t>
            </w:r>
          </w:p>
        </w:tc>
        <w:tc>
          <w:tcPr>
            <w:tcW w:w="0" w:type="auto"/>
            <w:noWrap/>
            <w:vAlign w:val="bottom"/>
            <w:hideMark/>
          </w:tcPr>
          <w:p w14:paraId="7848FAF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2D1C88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507A0D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0B1325D" w14:textId="77777777" w:rsidR="00000000" w:rsidRDefault="00832D71">
            <w:pPr>
              <w:pStyle w:val="a3"/>
              <w:spacing w:before="0" w:beforeAutospacing="0" w:after="0" w:afterAutospacing="0"/>
              <w:jc w:val="right"/>
              <w:rPr>
                <w:sz w:val="20"/>
                <w:szCs w:val="20"/>
              </w:rPr>
            </w:pPr>
            <w:r>
              <w:rPr>
                <w:sz w:val="20"/>
                <w:szCs w:val="20"/>
              </w:rPr>
              <w:t>44,95</w:t>
            </w:r>
            <w:r>
              <w:rPr>
                <w:sz w:val="20"/>
                <w:szCs w:val="20"/>
              </w:rPr>
              <w:t>5</w:t>
            </w:r>
          </w:p>
        </w:tc>
        <w:tc>
          <w:tcPr>
            <w:tcW w:w="0" w:type="auto"/>
            <w:noWrap/>
            <w:vAlign w:val="bottom"/>
            <w:hideMark/>
          </w:tcPr>
          <w:p w14:paraId="58E5FBB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9F684E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155818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8583D83" w14:textId="77777777" w:rsidR="00000000" w:rsidRDefault="00832D71">
            <w:pPr>
              <w:pStyle w:val="a3"/>
              <w:spacing w:before="0" w:beforeAutospacing="0" w:after="0" w:afterAutospacing="0"/>
              <w:jc w:val="right"/>
              <w:rPr>
                <w:sz w:val="20"/>
                <w:szCs w:val="20"/>
              </w:rPr>
            </w:pPr>
            <w:r>
              <w:rPr>
                <w:sz w:val="20"/>
                <w:szCs w:val="20"/>
              </w:rPr>
              <w:t>44,95</w:t>
            </w:r>
            <w:r>
              <w:rPr>
                <w:sz w:val="20"/>
                <w:szCs w:val="20"/>
              </w:rPr>
              <w:t>5</w:t>
            </w:r>
          </w:p>
        </w:tc>
        <w:tc>
          <w:tcPr>
            <w:tcW w:w="0" w:type="auto"/>
            <w:noWrap/>
            <w:vAlign w:val="bottom"/>
            <w:hideMark/>
          </w:tcPr>
          <w:p w14:paraId="4C3CC06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1AD116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781267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0AD3D62" w14:textId="77777777" w:rsidR="00000000" w:rsidRDefault="00832D71">
            <w:pPr>
              <w:pStyle w:val="a3"/>
              <w:spacing w:before="0" w:beforeAutospacing="0" w:after="0" w:afterAutospacing="0"/>
              <w:jc w:val="right"/>
              <w:rPr>
                <w:sz w:val="20"/>
                <w:szCs w:val="20"/>
              </w:rPr>
            </w:pPr>
            <w:r>
              <w:rPr>
                <w:sz w:val="20"/>
                <w:szCs w:val="20"/>
              </w:rPr>
              <w:t>40,45</w:t>
            </w:r>
            <w:r>
              <w:rPr>
                <w:sz w:val="20"/>
                <w:szCs w:val="20"/>
              </w:rPr>
              <w:t>7</w:t>
            </w:r>
          </w:p>
        </w:tc>
        <w:tc>
          <w:tcPr>
            <w:tcW w:w="0" w:type="auto"/>
            <w:noWrap/>
            <w:vAlign w:val="bottom"/>
            <w:hideMark/>
          </w:tcPr>
          <w:p w14:paraId="01189B3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80752D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C00DA7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7CAEC74" w14:textId="77777777" w:rsidR="00000000" w:rsidRDefault="00832D71">
            <w:pPr>
              <w:pStyle w:val="a3"/>
              <w:spacing w:before="0" w:beforeAutospacing="0" w:after="0" w:afterAutospacing="0"/>
              <w:jc w:val="right"/>
              <w:rPr>
                <w:sz w:val="20"/>
                <w:szCs w:val="20"/>
              </w:rPr>
            </w:pPr>
            <w:r>
              <w:rPr>
                <w:sz w:val="20"/>
                <w:szCs w:val="20"/>
              </w:rPr>
              <w:t>35,96</w:t>
            </w:r>
            <w:r>
              <w:rPr>
                <w:sz w:val="20"/>
                <w:szCs w:val="20"/>
              </w:rPr>
              <w:t>3</w:t>
            </w:r>
          </w:p>
        </w:tc>
        <w:tc>
          <w:tcPr>
            <w:tcW w:w="0" w:type="auto"/>
            <w:noWrap/>
            <w:vAlign w:val="bottom"/>
            <w:hideMark/>
          </w:tcPr>
          <w:p w14:paraId="0EDDE3AD" w14:textId="77777777" w:rsidR="00000000" w:rsidRDefault="00832D71">
            <w:pPr>
              <w:pStyle w:val="a3"/>
              <w:spacing w:before="0" w:beforeAutospacing="0" w:after="0" w:afterAutospacing="0"/>
              <w:rPr>
                <w:sz w:val="20"/>
                <w:szCs w:val="20"/>
              </w:rPr>
            </w:pPr>
            <w:r>
              <w:rPr>
                <w:sz w:val="20"/>
                <w:szCs w:val="20"/>
              </w:rPr>
              <w:t> </w:t>
            </w:r>
          </w:p>
        </w:tc>
      </w:tr>
    </w:tbl>
    <w:p w14:paraId="10EB7795" w14:textId="77777777" w:rsidR="00000000" w:rsidRDefault="00832D71">
      <w:pPr>
        <w:pStyle w:val="a3"/>
        <w:spacing w:before="0" w:beforeAutospacing="0" w:after="0" w:afterAutospacing="0"/>
        <w:rPr>
          <w:sz w:val="20"/>
          <w:szCs w:val="20"/>
        </w:rPr>
      </w:pPr>
      <w:r>
        <w:rPr>
          <w:sz w:val="20"/>
          <w:szCs w:val="20"/>
        </w:rPr>
        <w:t> </w:t>
      </w:r>
    </w:p>
    <w:p w14:paraId="345744B4" w14:textId="77777777" w:rsidR="00000000" w:rsidRDefault="00832D71">
      <w:pPr>
        <w:pStyle w:val="a3"/>
        <w:spacing w:before="0" w:beforeAutospacing="0" w:after="0" w:afterAutospacing="0"/>
        <w:jc w:val="both"/>
        <w:rPr>
          <w:sz w:val="20"/>
          <w:szCs w:val="20"/>
        </w:rPr>
      </w:pPr>
      <w:r>
        <w:rPr>
          <w:sz w:val="20"/>
          <w:szCs w:val="20"/>
        </w:rPr>
        <w:t>Note: Columns (b), (c), (d), (e) and (f), all of which are for the reporting of option-related compensation, have been omitted from the “Outstanding Equity Awards At Fiscal Year End 2022 Table” because we do not grant options to our employees</w:t>
      </w:r>
      <w:r>
        <w:rPr>
          <w:sz w:val="20"/>
          <w:szCs w:val="20"/>
        </w:rPr>
        <w:t>.</w:t>
      </w:r>
    </w:p>
    <w:p w14:paraId="12F3825D" w14:textId="77777777" w:rsidR="00000000" w:rsidRDefault="00832D71">
      <w:pPr>
        <w:pStyle w:val="a3"/>
        <w:spacing w:before="360" w:beforeAutospacing="0" w:after="0" w:afterAutospacing="0"/>
        <w:jc w:val="both"/>
        <w:rPr>
          <w:sz w:val="20"/>
          <w:szCs w:val="20"/>
        </w:rPr>
      </w:pPr>
      <w:r>
        <w:rPr>
          <w:b/>
          <w:bCs/>
          <w:sz w:val="20"/>
          <w:szCs w:val="20"/>
        </w:rPr>
        <w:t>Equity Veste</w:t>
      </w:r>
      <w:r>
        <w:rPr>
          <w:b/>
          <w:bCs/>
          <w:sz w:val="20"/>
          <w:szCs w:val="20"/>
        </w:rPr>
        <w:t>d Table for Fiscal 202</w:t>
      </w:r>
      <w:r>
        <w:rPr>
          <w:b/>
          <w:bCs/>
          <w:sz w:val="20"/>
          <w:szCs w:val="20"/>
        </w:rPr>
        <w:t>2</w:t>
      </w:r>
    </w:p>
    <w:p w14:paraId="22DCDC84" w14:textId="77777777" w:rsidR="00000000" w:rsidRDefault="00832D71">
      <w:pPr>
        <w:pStyle w:val="a3"/>
        <w:spacing w:before="120" w:beforeAutospacing="0" w:after="0" w:afterAutospacing="0"/>
        <w:ind w:firstLine="555"/>
        <w:jc w:val="both"/>
        <w:rPr>
          <w:sz w:val="20"/>
          <w:szCs w:val="20"/>
        </w:rPr>
      </w:pPr>
      <w:r>
        <w:rPr>
          <w:sz w:val="20"/>
          <w:szCs w:val="20"/>
        </w:rPr>
        <w:t xml:space="preserve">Awards under the 2009 RUP and RUP-2 are settled in Common Units upon vesting. </w:t>
      </w:r>
      <w:r>
        <w:rPr>
          <w:sz w:val="20"/>
          <w:szCs w:val="20"/>
        </w:rPr>
        <w:t>Awards under the LTIP, a phantom unit plan, are settled in cash. The following two tables set forth certain information concerning the vesting of awards under our 2009 RUP (the last of the 2009 RUP awards to vest), 2018 RUP and the vesting of the fiscal 20</w:t>
      </w:r>
      <w:r>
        <w:rPr>
          <w:sz w:val="20"/>
          <w:szCs w:val="20"/>
        </w:rPr>
        <w:t>20 award under our LTIP for each named executive officer during the fiscal year ended September 24, 2022</w:t>
      </w:r>
      <w:r>
        <w:rPr>
          <w:sz w:val="20"/>
          <w:szCs w:val="20"/>
        </w:rPr>
        <w:t>:</w:t>
      </w:r>
    </w:p>
    <w:p w14:paraId="0E04664F" w14:textId="77777777" w:rsidR="00000000" w:rsidRDefault="00832D71">
      <w:pPr>
        <w:pStyle w:val="a3"/>
        <w:spacing w:before="0" w:beforeAutospacing="0" w:after="0" w:afterAutospacing="0"/>
        <w:ind w:firstLine="555"/>
        <w:jc w:val="both"/>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81"/>
        <w:gridCol w:w="110"/>
        <w:gridCol w:w="110"/>
        <w:gridCol w:w="895"/>
        <w:gridCol w:w="110"/>
        <w:gridCol w:w="110"/>
        <w:gridCol w:w="160"/>
        <w:gridCol w:w="913"/>
        <w:gridCol w:w="125"/>
      </w:tblGrid>
      <w:tr w:rsidR="00000000" w14:paraId="0501AA05" w14:textId="77777777">
        <w:trPr>
          <w:tblCellSpacing w:w="15" w:type="dxa"/>
        </w:trPr>
        <w:tc>
          <w:tcPr>
            <w:tcW w:w="2961" w:type="pct"/>
            <w:vAlign w:val="center"/>
            <w:hideMark/>
          </w:tcPr>
          <w:p w14:paraId="59D59A92" w14:textId="77777777" w:rsidR="00000000" w:rsidRDefault="00832D71">
            <w:pPr>
              <w:rPr>
                <w:sz w:val="20"/>
                <w:szCs w:val="20"/>
              </w:rPr>
            </w:pPr>
          </w:p>
        </w:tc>
        <w:tc>
          <w:tcPr>
            <w:tcW w:w="74" w:type="pct"/>
            <w:vAlign w:val="center"/>
            <w:hideMark/>
          </w:tcPr>
          <w:p w14:paraId="7297C3E1" w14:textId="77777777" w:rsidR="00000000" w:rsidRDefault="00832D71">
            <w:pPr>
              <w:rPr>
                <w:rFonts w:eastAsia="Times New Roman"/>
                <w:sz w:val="20"/>
                <w:szCs w:val="20"/>
              </w:rPr>
            </w:pPr>
          </w:p>
        </w:tc>
        <w:tc>
          <w:tcPr>
            <w:tcW w:w="50" w:type="pct"/>
            <w:vAlign w:val="center"/>
            <w:hideMark/>
          </w:tcPr>
          <w:p w14:paraId="43427DB5" w14:textId="77777777" w:rsidR="00000000" w:rsidRDefault="00832D71">
            <w:pPr>
              <w:rPr>
                <w:rFonts w:eastAsia="Times New Roman"/>
                <w:sz w:val="20"/>
                <w:szCs w:val="20"/>
              </w:rPr>
            </w:pPr>
          </w:p>
        </w:tc>
        <w:tc>
          <w:tcPr>
            <w:tcW w:w="837" w:type="pct"/>
            <w:vAlign w:val="center"/>
            <w:hideMark/>
          </w:tcPr>
          <w:p w14:paraId="68DD630A" w14:textId="77777777" w:rsidR="00000000" w:rsidRDefault="00832D71">
            <w:pPr>
              <w:rPr>
                <w:rFonts w:eastAsia="Times New Roman"/>
                <w:sz w:val="20"/>
                <w:szCs w:val="20"/>
              </w:rPr>
            </w:pPr>
          </w:p>
        </w:tc>
        <w:tc>
          <w:tcPr>
            <w:tcW w:w="50" w:type="pct"/>
            <w:vAlign w:val="center"/>
            <w:hideMark/>
          </w:tcPr>
          <w:p w14:paraId="102D721E" w14:textId="77777777" w:rsidR="00000000" w:rsidRDefault="00832D71">
            <w:pPr>
              <w:rPr>
                <w:rFonts w:eastAsia="Times New Roman"/>
                <w:sz w:val="20"/>
                <w:szCs w:val="20"/>
              </w:rPr>
            </w:pPr>
          </w:p>
        </w:tc>
        <w:tc>
          <w:tcPr>
            <w:tcW w:w="98" w:type="pct"/>
            <w:vAlign w:val="center"/>
            <w:hideMark/>
          </w:tcPr>
          <w:p w14:paraId="3A7FA990" w14:textId="77777777" w:rsidR="00000000" w:rsidRDefault="00832D71">
            <w:pPr>
              <w:rPr>
                <w:rFonts w:eastAsia="Times New Roman"/>
                <w:sz w:val="20"/>
                <w:szCs w:val="20"/>
              </w:rPr>
            </w:pPr>
          </w:p>
        </w:tc>
        <w:tc>
          <w:tcPr>
            <w:tcW w:w="50" w:type="pct"/>
            <w:vAlign w:val="center"/>
            <w:hideMark/>
          </w:tcPr>
          <w:p w14:paraId="4E98C9C9" w14:textId="77777777" w:rsidR="00000000" w:rsidRDefault="00832D71">
            <w:pPr>
              <w:rPr>
                <w:rFonts w:eastAsia="Times New Roman"/>
                <w:sz w:val="20"/>
                <w:szCs w:val="20"/>
              </w:rPr>
            </w:pPr>
          </w:p>
        </w:tc>
        <w:tc>
          <w:tcPr>
            <w:tcW w:w="828" w:type="pct"/>
            <w:vAlign w:val="center"/>
            <w:hideMark/>
          </w:tcPr>
          <w:p w14:paraId="56820101" w14:textId="77777777" w:rsidR="00000000" w:rsidRDefault="00832D71">
            <w:pPr>
              <w:rPr>
                <w:rFonts w:eastAsia="Times New Roman"/>
                <w:sz w:val="20"/>
                <w:szCs w:val="20"/>
              </w:rPr>
            </w:pPr>
          </w:p>
        </w:tc>
        <w:tc>
          <w:tcPr>
            <w:tcW w:w="50" w:type="pct"/>
            <w:vAlign w:val="center"/>
            <w:hideMark/>
          </w:tcPr>
          <w:p w14:paraId="546D6D29" w14:textId="77777777" w:rsidR="00000000" w:rsidRDefault="00832D71">
            <w:pPr>
              <w:rPr>
                <w:rFonts w:eastAsia="Times New Roman"/>
                <w:sz w:val="20"/>
                <w:szCs w:val="20"/>
              </w:rPr>
            </w:pPr>
          </w:p>
        </w:tc>
      </w:tr>
      <w:tr w:rsidR="00000000" w14:paraId="327083C0" w14:textId="77777777">
        <w:trPr>
          <w:trHeight w:val="160"/>
          <w:tblCellSpacing w:w="15" w:type="dxa"/>
        </w:trPr>
        <w:tc>
          <w:tcPr>
            <w:tcW w:w="0" w:type="auto"/>
            <w:gridSpan w:val="8"/>
            <w:vAlign w:val="bottom"/>
            <w:hideMark/>
          </w:tcPr>
          <w:p w14:paraId="2BE4396A" w14:textId="77777777" w:rsidR="00000000" w:rsidRDefault="00832D71">
            <w:pPr>
              <w:pStyle w:val="a3"/>
              <w:spacing w:before="0" w:beforeAutospacing="0" w:after="0" w:afterAutospacing="0"/>
              <w:jc w:val="center"/>
              <w:rPr>
                <w:sz w:val="16"/>
                <w:szCs w:val="16"/>
              </w:rPr>
            </w:pPr>
            <w:r>
              <w:rPr>
                <w:b/>
                <w:bCs/>
                <w:sz w:val="16"/>
                <w:szCs w:val="16"/>
              </w:rPr>
              <w:t>Restricted Unit Pla</w:t>
            </w:r>
            <w:r>
              <w:rPr>
                <w:b/>
                <w:bCs/>
                <w:sz w:val="16"/>
                <w:szCs w:val="16"/>
              </w:rPr>
              <w:t>n</w:t>
            </w:r>
          </w:p>
        </w:tc>
        <w:tc>
          <w:tcPr>
            <w:tcW w:w="0" w:type="auto"/>
            <w:vAlign w:val="bottom"/>
            <w:hideMark/>
          </w:tcPr>
          <w:p w14:paraId="6D7B68CD"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8F8D855" w14:textId="77777777">
        <w:trPr>
          <w:trHeight w:val="160"/>
          <w:tblCellSpacing w:w="15" w:type="dxa"/>
        </w:trPr>
        <w:tc>
          <w:tcPr>
            <w:tcW w:w="0" w:type="auto"/>
            <w:vAlign w:val="bottom"/>
            <w:hideMark/>
          </w:tcPr>
          <w:p w14:paraId="217B193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A83433A" w14:textId="77777777" w:rsidR="00000000" w:rsidRDefault="00832D71">
            <w:pPr>
              <w:pStyle w:val="a3"/>
              <w:spacing w:before="0" w:beforeAutospacing="0" w:after="0" w:afterAutospacing="0"/>
              <w:rPr>
                <w:sz w:val="16"/>
                <w:szCs w:val="16"/>
              </w:rPr>
            </w:pPr>
            <w:r>
              <w:rPr>
                <w:sz w:val="16"/>
                <w:szCs w:val="16"/>
              </w:rPr>
              <w:t> </w:t>
            </w:r>
          </w:p>
        </w:tc>
        <w:tc>
          <w:tcPr>
            <w:tcW w:w="0" w:type="auto"/>
            <w:gridSpan w:val="6"/>
            <w:vAlign w:val="bottom"/>
            <w:hideMark/>
          </w:tcPr>
          <w:p w14:paraId="68B6BF4A" w14:textId="77777777" w:rsidR="00000000" w:rsidRDefault="00832D71">
            <w:pPr>
              <w:pStyle w:val="a3"/>
              <w:spacing w:before="0" w:beforeAutospacing="0" w:after="0" w:afterAutospacing="0"/>
              <w:jc w:val="center"/>
              <w:rPr>
                <w:sz w:val="16"/>
                <w:szCs w:val="16"/>
              </w:rPr>
            </w:pPr>
            <w:r>
              <w:rPr>
                <w:b/>
                <w:bCs/>
                <w:sz w:val="16"/>
                <w:szCs w:val="16"/>
              </w:rPr>
              <w:t>Unit Award</w:t>
            </w:r>
            <w:r>
              <w:rPr>
                <w:b/>
                <w:bCs/>
                <w:sz w:val="16"/>
                <w:szCs w:val="16"/>
              </w:rPr>
              <w:t>s</w:t>
            </w:r>
          </w:p>
        </w:tc>
        <w:tc>
          <w:tcPr>
            <w:tcW w:w="0" w:type="auto"/>
            <w:vAlign w:val="bottom"/>
            <w:hideMark/>
          </w:tcPr>
          <w:p w14:paraId="45D57511"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329C079" w14:textId="77777777">
        <w:trPr>
          <w:trHeight w:val="160"/>
          <w:tblCellSpacing w:w="15" w:type="dxa"/>
        </w:trPr>
        <w:tc>
          <w:tcPr>
            <w:tcW w:w="0" w:type="auto"/>
            <w:vAlign w:val="bottom"/>
            <w:hideMark/>
          </w:tcPr>
          <w:p w14:paraId="6D8FEF78"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45E2D07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9637703" w14:textId="77777777" w:rsidR="00000000" w:rsidRDefault="00832D71">
            <w:pPr>
              <w:pStyle w:val="a3"/>
              <w:spacing w:before="0" w:beforeAutospacing="0" w:after="0" w:afterAutospacing="0"/>
              <w:jc w:val="center"/>
              <w:rPr>
                <w:sz w:val="16"/>
                <w:szCs w:val="16"/>
              </w:rPr>
            </w:pPr>
            <w:r>
              <w:rPr>
                <w:b/>
                <w:bCs/>
                <w:sz w:val="16"/>
                <w:szCs w:val="16"/>
              </w:rPr>
              <w:t>Number of</w:t>
            </w:r>
            <w:r>
              <w:rPr>
                <w:b/>
                <w:bCs/>
                <w:sz w:val="16"/>
                <w:szCs w:val="16"/>
              </w:rPr>
              <w:br/>
              <w:t>Common Units</w:t>
            </w:r>
            <w:r>
              <w:rPr>
                <w:b/>
                <w:bCs/>
                <w:sz w:val="16"/>
                <w:szCs w:val="16"/>
              </w:rPr>
              <w:br/>
              <w:t>Acquired on</w:t>
            </w:r>
            <w:r>
              <w:rPr>
                <w:b/>
                <w:bCs/>
                <w:sz w:val="16"/>
                <w:szCs w:val="16"/>
              </w:rPr>
              <w:br/>
              <w:t>Vestin</w:t>
            </w:r>
            <w:r>
              <w:rPr>
                <w:b/>
                <w:bCs/>
                <w:sz w:val="16"/>
                <w:szCs w:val="16"/>
              </w:rPr>
              <w:t>g</w:t>
            </w:r>
          </w:p>
        </w:tc>
        <w:tc>
          <w:tcPr>
            <w:tcW w:w="0" w:type="auto"/>
            <w:vAlign w:val="bottom"/>
            <w:hideMark/>
          </w:tcPr>
          <w:p w14:paraId="67D98082"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E23F3F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4520990" w14:textId="77777777" w:rsidR="00000000" w:rsidRDefault="00832D71">
            <w:pPr>
              <w:pStyle w:val="a3"/>
              <w:spacing w:before="0" w:beforeAutospacing="0" w:after="0" w:afterAutospacing="0"/>
              <w:jc w:val="center"/>
              <w:rPr>
                <w:sz w:val="16"/>
                <w:szCs w:val="16"/>
              </w:rPr>
            </w:pPr>
            <w:r>
              <w:rPr>
                <w:b/>
                <w:bCs/>
                <w:sz w:val="16"/>
                <w:szCs w:val="16"/>
              </w:rPr>
              <w:t>Value Realized on</w:t>
            </w:r>
            <w:r>
              <w:rPr>
                <w:b/>
                <w:bCs/>
                <w:sz w:val="16"/>
                <w:szCs w:val="16"/>
              </w:rPr>
              <w:br/>
              <w:t>Vesting (1</w:t>
            </w:r>
            <w:r>
              <w:rPr>
                <w:b/>
                <w:bCs/>
                <w:sz w:val="16"/>
                <w:szCs w:val="16"/>
              </w:rPr>
              <w:t>)</w:t>
            </w:r>
          </w:p>
        </w:tc>
        <w:tc>
          <w:tcPr>
            <w:tcW w:w="0" w:type="auto"/>
            <w:vAlign w:val="bottom"/>
            <w:hideMark/>
          </w:tcPr>
          <w:p w14:paraId="3A45CF2D"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D6A60F6" w14:textId="77777777">
        <w:trPr>
          <w:trHeight w:val="200"/>
          <w:tblCellSpacing w:w="15" w:type="dxa"/>
        </w:trPr>
        <w:tc>
          <w:tcPr>
            <w:tcW w:w="0" w:type="auto"/>
            <w:vAlign w:val="bottom"/>
            <w:hideMark/>
          </w:tcPr>
          <w:p w14:paraId="13C9B49B" w14:textId="77777777" w:rsidR="00000000" w:rsidRDefault="00832D71">
            <w:pPr>
              <w:pStyle w:val="a3"/>
              <w:spacing w:before="0" w:beforeAutospacing="0" w:after="0" w:afterAutospacing="0"/>
              <w:rPr>
                <w:sz w:val="20"/>
                <w:szCs w:val="20"/>
              </w:rPr>
            </w:pPr>
            <w:r>
              <w:rPr>
                <w:sz w:val="20"/>
                <w:szCs w:val="20"/>
              </w:rPr>
              <w:t>Michael A. Stival</w:t>
            </w:r>
            <w:r>
              <w:rPr>
                <w:sz w:val="20"/>
                <w:szCs w:val="20"/>
              </w:rPr>
              <w:t>a</w:t>
            </w:r>
          </w:p>
        </w:tc>
        <w:tc>
          <w:tcPr>
            <w:tcW w:w="0" w:type="auto"/>
            <w:vAlign w:val="bottom"/>
            <w:hideMark/>
          </w:tcPr>
          <w:p w14:paraId="3C225F3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DAAE68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05B331E" w14:textId="77777777" w:rsidR="00000000" w:rsidRDefault="00832D71">
            <w:pPr>
              <w:pStyle w:val="a3"/>
              <w:spacing w:before="0" w:beforeAutospacing="0" w:after="0" w:afterAutospacing="0"/>
              <w:jc w:val="right"/>
              <w:rPr>
                <w:sz w:val="20"/>
                <w:szCs w:val="20"/>
              </w:rPr>
            </w:pPr>
            <w:r>
              <w:rPr>
                <w:sz w:val="20"/>
                <w:szCs w:val="20"/>
              </w:rPr>
              <w:t>56,83</w:t>
            </w:r>
            <w:r>
              <w:rPr>
                <w:sz w:val="20"/>
                <w:szCs w:val="20"/>
              </w:rPr>
              <w:t>4</w:t>
            </w:r>
          </w:p>
        </w:tc>
        <w:tc>
          <w:tcPr>
            <w:tcW w:w="0" w:type="auto"/>
            <w:noWrap/>
            <w:vAlign w:val="bottom"/>
            <w:hideMark/>
          </w:tcPr>
          <w:p w14:paraId="75C4F0D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F5789E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C52F04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4D8FA49" w14:textId="77777777" w:rsidR="00000000" w:rsidRDefault="00832D71">
            <w:pPr>
              <w:pStyle w:val="a3"/>
              <w:spacing w:before="0" w:beforeAutospacing="0" w:after="0" w:afterAutospacing="0"/>
              <w:jc w:val="right"/>
              <w:rPr>
                <w:sz w:val="20"/>
                <w:szCs w:val="20"/>
              </w:rPr>
            </w:pPr>
            <w:r>
              <w:rPr>
                <w:sz w:val="20"/>
                <w:szCs w:val="20"/>
              </w:rPr>
              <w:t>870,12</w:t>
            </w:r>
            <w:r>
              <w:rPr>
                <w:sz w:val="20"/>
                <w:szCs w:val="20"/>
              </w:rPr>
              <w:t>9</w:t>
            </w:r>
          </w:p>
        </w:tc>
        <w:tc>
          <w:tcPr>
            <w:tcW w:w="0" w:type="auto"/>
            <w:noWrap/>
            <w:vAlign w:val="bottom"/>
            <w:hideMark/>
          </w:tcPr>
          <w:p w14:paraId="63068D5F" w14:textId="77777777" w:rsidR="00000000" w:rsidRDefault="00832D71">
            <w:pPr>
              <w:pStyle w:val="a3"/>
              <w:spacing w:before="0" w:beforeAutospacing="0" w:after="0" w:afterAutospacing="0"/>
              <w:rPr>
                <w:sz w:val="20"/>
                <w:szCs w:val="20"/>
              </w:rPr>
            </w:pPr>
            <w:r>
              <w:rPr>
                <w:sz w:val="20"/>
                <w:szCs w:val="20"/>
              </w:rPr>
              <w:t> </w:t>
            </w:r>
          </w:p>
        </w:tc>
      </w:tr>
      <w:tr w:rsidR="00000000" w14:paraId="3CC3D090" w14:textId="77777777">
        <w:trPr>
          <w:trHeight w:val="200"/>
          <w:tblCellSpacing w:w="15" w:type="dxa"/>
        </w:trPr>
        <w:tc>
          <w:tcPr>
            <w:tcW w:w="0" w:type="auto"/>
            <w:vAlign w:val="bottom"/>
            <w:hideMark/>
          </w:tcPr>
          <w:p w14:paraId="451682FA" w14:textId="77777777" w:rsidR="00000000" w:rsidRDefault="00832D71">
            <w:pPr>
              <w:pStyle w:val="a3"/>
              <w:spacing w:before="0" w:beforeAutospacing="0" w:after="0" w:afterAutospacing="0"/>
              <w:rPr>
                <w:sz w:val="20"/>
                <w:szCs w:val="20"/>
              </w:rPr>
            </w:pPr>
            <w:r>
              <w:rPr>
                <w:sz w:val="20"/>
                <w:szCs w:val="20"/>
              </w:rPr>
              <w:t>Michael A. Kugli</w:t>
            </w:r>
            <w:r>
              <w:rPr>
                <w:sz w:val="20"/>
                <w:szCs w:val="20"/>
              </w:rPr>
              <w:t>n</w:t>
            </w:r>
          </w:p>
        </w:tc>
        <w:tc>
          <w:tcPr>
            <w:tcW w:w="0" w:type="auto"/>
            <w:vAlign w:val="bottom"/>
            <w:hideMark/>
          </w:tcPr>
          <w:p w14:paraId="0BAB80D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D7AB80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7F200E3" w14:textId="77777777" w:rsidR="00000000" w:rsidRDefault="00832D71">
            <w:pPr>
              <w:pStyle w:val="a3"/>
              <w:spacing w:before="0" w:beforeAutospacing="0" w:after="0" w:afterAutospacing="0"/>
              <w:jc w:val="right"/>
              <w:rPr>
                <w:sz w:val="20"/>
                <w:szCs w:val="20"/>
              </w:rPr>
            </w:pPr>
            <w:r>
              <w:rPr>
                <w:sz w:val="20"/>
                <w:szCs w:val="20"/>
              </w:rPr>
              <w:t>34,97</w:t>
            </w:r>
            <w:r>
              <w:rPr>
                <w:sz w:val="20"/>
                <w:szCs w:val="20"/>
              </w:rPr>
              <w:t>8</w:t>
            </w:r>
          </w:p>
        </w:tc>
        <w:tc>
          <w:tcPr>
            <w:tcW w:w="0" w:type="auto"/>
            <w:noWrap/>
            <w:vAlign w:val="bottom"/>
            <w:hideMark/>
          </w:tcPr>
          <w:p w14:paraId="1A18EE5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97C4C6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08C129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8B1F868" w14:textId="77777777" w:rsidR="00000000" w:rsidRDefault="00832D71">
            <w:pPr>
              <w:pStyle w:val="a3"/>
              <w:spacing w:before="0" w:beforeAutospacing="0" w:after="0" w:afterAutospacing="0"/>
              <w:jc w:val="right"/>
              <w:rPr>
                <w:sz w:val="20"/>
                <w:szCs w:val="20"/>
              </w:rPr>
            </w:pPr>
            <w:r>
              <w:rPr>
                <w:sz w:val="20"/>
                <w:szCs w:val="20"/>
              </w:rPr>
              <w:t>535,51</w:t>
            </w:r>
            <w:r>
              <w:rPr>
                <w:sz w:val="20"/>
                <w:szCs w:val="20"/>
              </w:rPr>
              <w:t>3</w:t>
            </w:r>
          </w:p>
        </w:tc>
        <w:tc>
          <w:tcPr>
            <w:tcW w:w="0" w:type="auto"/>
            <w:noWrap/>
            <w:vAlign w:val="bottom"/>
            <w:hideMark/>
          </w:tcPr>
          <w:p w14:paraId="3E93878C" w14:textId="77777777" w:rsidR="00000000" w:rsidRDefault="00832D71">
            <w:pPr>
              <w:pStyle w:val="a3"/>
              <w:spacing w:before="0" w:beforeAutospacing="0" w:after="0" w:afterAutospacing="0"/>
              <w:rPr>
                <w:sz w:val="20"/>
                <w:szCs w:val="20"/>
              </w:rPr>
            </w:pPr>
            <w:r>
              <w:rPr>
                <w:sz w:val="20"/>
                <w:szCs w:val="20"/>
              </w:rPr>
              <w:t> </w:t>
            </w:r>
          </w:p>
        </w:tc>
      </w:tr>
      <w:tr w:rsidR="00000000" w14:paraId="6BA18CCB" w14:textId="77777777">
        <w:trPr>
          <w:trHeight w:val="200"/>
          <w:tblCellSpacing w:w="15" w:type="dxa"/>
        </w:trPr>
        <w:tc>
          <w:tcPr>
            <w:tcW w:w="0" w:type="auto"/>
            <w:vAlign w:val="bottom"/>
            <w:hideMark/>
          </w:tcPr>
          <w:p w14:paraId="3F2501D3" w14:textId="77777777" w:rsidR="00000000" w:rsidRDefault="00832D71">
            <w:pPr>
              <w:pStyle w:val="a3"/>
              <w:spacing w:before="0" w:beforeAutospacing="0" w:after="0" w:afterAutospacing="0"/>
              <w:rPr>
                <w:sz w:val="20"/>
                <w:szCs w:val="20"/>
              </w:rPr>
            </w:pPr>
            <w:r>
              <w:rPr>
                <w:sz w:val="20"/>
                <w:szCs w:val="20"/>
              </w:rPr>
              <w:t>Steven C. Boy</w:t>
            </w:r>
            <w:r>
              <w:rPr>
                <w:sz w:val="20"/>
                <w:szCs w:val="20"/>
              </w:rPr>
              <w:t>d</w:t>
            </w:r>
          </w:p>
        </w:tc>
        <w:tc>
          <w:tcPr>
            <w:tcW w:w="0" w:type="auto"/>
            <w:vAlign w:val="bottom"/>
            <w:hideMark/>
          </w:tcPr>
          <w:p w14:paraId="09C3C98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716292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835044C" w14:textId="77777777" w:rsidR="00000000" w:rsidRDefault="00832D71">
            <w:pPr>
              <w:pStyle w:val="a3"/>
              <w:spacing w:before="0" w:beforeAutospacing="0" w:after="0" w:afterAutospacing="0"/>
              <w:jc w:val="right"/>
              <w:rPr>
                <w:sz w:val="20"/>
                <w:szCs w:val="20"/>
              </w:rPr>
            </w:pPr>
            <w:r>
              <w:rPr>
                <w:sz w:val="20"/>
                <w:szCs w:val="20"/>
              </w:rPr>
              <w:t>34,97</w:t>
            </w:r>
            <w:r>
              <w:rPr>
                <w:sz w:val="20"/>
                <w:szCs w:val="20"/>
              </w:rPr>
              <w:t>8</w:t>
            </w:r>
          </w:p>
        </w:tc>
        <w:tc>
          <w:tcPr>
            <w:tcW w:w="0" w:type="auto"/>
            <w:noWrap/>
            <w:vAlign w:val="bottom"/>
            <w:hideMark/>
          </w:tcPr>
          <w:p w14:paraId="54F2B69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E54B18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22B51A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2E728FD" w14:textId="77777777" w:rsidR="00000000" w:rsidRDefault="00832D71">
            <w:pPr>
              <w:pStyle w:val="a3"/>
              <w:spacing w:before="0" w:beforeAutospacing="0" w:after="0" w:afterAutospacing="0"/>
              <w:jc w:val="right"/>
              <w:rPr>
                <w:sz w:val="20"/>
                <w:szCs w:val="20"/>
              </w:rPr>
            </w:pPr>
            <w:r>
              <w:rPr>
                <w:sz w:val="20"/>
                <w:szCs w:val="20"/>
              </w:rPr>
              <w:t>535,51</w:t>
            </w:r>
            <w:r>
              <w:rPr>
                <w:sz w:val="20"/>
                <w:szCs w:val="20"/>
              </w:rPr>
              <w:t>3</w:t>
            </w:r>
          </w:p>
        </w:tc>
        <w:tc>
          <w:tcPr>
            <w:tcW w:w="0" w:type="auto"/>
            <w:noWrap/>
            <w:vAlign w:val="bottom"/>
            <w:hideMark/>
          </w:tcPr>
          <w:p w14:paraId="191C3ECA" w14:textId="77777777" w:rsidR="00000000" w:rsidRDefault="00832D71">
            <w:pPr>
              <w:pStyle w:val="a3"/>
              <w:spacing w:before="0" w:beforeAutospacing="0" w:after="0" w:afterAutospacing="0"/>
              <w:rPr>
                <w:sz w:val="20"/>
                <w:szCs w:val="20"/>
              </w:rPr>
            </w:pPr>
            <w:r>
              <w:rPr>
                <w:sz w:val="20"/>
                <w:szCs w:val="20"/>
              </w:rPr>
              <w:t> </w:t>
            </w:r>
          </w:p>
        </w:tc>
      </w:tr>
      <w:tr w:rsidR="00000000" w14:paraId="5F39D236" w14:textId="77777777">
        <w:trPr>
          <w:trHeight w:val="200"/>
          <w:tblCellSpacing w:w="15" w:type="dxa"/>
        </w:trPr>
        <w:tc>
          <w:tcPr>
            <w:tcW w:w="0" w:type="auto"/>
            <w:vAlign w:val="bottom"/>
            <w:hideMark/>
          </w:tcPr>
          <w:p w14:paraId="2FA3378A" w14:textId="77777777" w:rsidR="00000000" w:rsidRDefault="00832D71">
            <w:pPr>
              <w:pStyle w:val="a3"/>
              <w:spacing w:before="0" w:beforeAutospacing="0" w:after="0" w:afterAutospacing="0"/>
              <w:rPr>
                <w:sz w:val="20"/>
                <w:szCs w:val="20"/>
              </w:rPr>
            </w:pPr>
            <w:r>
              <w:rPr>
                <w:sz w:val="20"/>
                <w:szCs w:val="20"/>
              </w:rPr>
              <w:t>Douglas T. Brinkwort</w:t>
            </w:r>
            <w:r>
              <w:rPr>
                <w:sz w:val="20"/>
                <w:szCs w:val="20"/>
              </w:rPr>
              <w:t>h</w:t>
            </w:r>
          </w:p>
        </w:tc>
        <w:tc>
          <w:tcPr>
            <w:tcW w:w="0" w:type="auto"/>
            <w:vAlign w:val="bottom"/>
            <w:hideMark/>
          </w:tcPr>
          <w:p w14:paraId="2396834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036DB9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393DEF1" w14:textId="77777777" w:rsidR="00000000" w:rsidRDefault="00832D71">
            <w:pPr>
              <w:pStyle w:val="a3"/>
              <w:spacing w:before="0" w:beforeAutospacing="0" w:after="0" w:afterAutospacing="0"/>
              <w:jc w:val="right"/>
              <w:rPr>
                <w:sz w:val="20"/>
                <w:szCs w:val="20"/>
              </w:rPr>
            </w:pPr>
            <w:r>
              <w:rPr>
                <w:sz w:val="20"/>
                <w:szCs w:val="20"/>
              </w:rPr>
              <w:t>32,91</w:t>
            </w:r>
            <w:r>
              <w:rPr>
                <w:sz w:val="20"/>
                <w:szCs w:val="20"/>
              </w:rPr>
              <w:t>2</w:t>
            </w:r>
          </w:p>
        </w:tc>
        <w:tc>
          <w:tcPr>
            <w:tcW w:w="0" w:type="auto"/>
            <w:noWrap/>
            <w:vAlign w:val="bottom"/>
            <w:hideMark/>
          </w:tcPr>
          <w:p w14:paraId="4ADC934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B0AC87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7B91D2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3A0232E" w14:textId="77777777" w:rsidR="00000000" w:rsidRDefault="00832D71">
            <w:pPr>
              <w:pStyle w:val="a3"/>
              <w:spacing w:before="0" w:beforeAutospacing="0" w:after="0" w:afterAutospacing="0"/>
              <w:jc w:val="right"/>
              <w:rPr>
                <w:sz w:val="20"/>
                <w:szCs w:val="20"/>
              </w:rPr>
            </w:pPr>
            <w:r>
              <w:rPr>
                <w:sz w:val="20"/>
                <w:szCs w:val="20"/>
              </w:rPr>
              <w:t>503,88</w:t>
            </w:r>
            <w:r>
              <w:rPr>
                <w:sz w:val="20"/>
                <w:szCs w:val="20"/>
              </w:rPr>
              <w:t>3</w:t>
            </w:r>
          </w:p>
        </w:tc>
        <w:tc>
          <w:tcPr>
            <w:tcW w:w="0" w:type="auto"/>
            <w:noWrap/>
            <w:vAlign w:val="bottom"/>
            <w:hideMark/>
          </w:tcPr>
          <w:p w14:paraId="41727686" w14:textId="77777777" w:rsidR="00000000" w:rsidRDefault="00832D71">
            <w:pPr>
              <w:pStyle w:val="a3"/>
              <w:spacing w:before="0" w:beforeAutospacing="0" w:after="0" w:afterAutospacing="0"/>
              <w:rPr>
                <w:sz w:val="20"/>
                <w:szCs w:val="20"/>
              </w:rPr>
            </w:pPr>
            <w:r>
              <w:rPr>
                <w:sz w:val="20"/>
                <w:szCs w:val="20"/>
              </w:rPr>
              <w:t> </w:t>
            </w:r>
          </w:p>
        </w:tc>
      </w:tr>
      <w:tr w:rsidR="00000000" w14:paraId="6DB0D8DA" w14:textId="77777777">
        <w:trPr>
          <w:trHeight w:val="200"/>
          <w:tblCellSpacing w:w="15" w:type="dxa"/>
        </w:trPr>
        <w:tc>
          <w:tcPr>
            <w:tcW w:w="0" w:type="auto"/>
            <w:vAlign w:val="bottom"/>
            <w:hideMark/>
          </w:tcPr>
          <w:p w14:paraId="48425229" w14:textId="77777777" w:rsidR="00000000" w:rsidRDefault="00832D71">
            <w:pPr>
              <w:pStyle w:val="a3"/>
              <w:spacing w:before="0" w:beforeAutospacing="0" w:after="0" w:afterAutospacing="0"/>
              <w:rPr>
                <w:sz w:val="20"/>
                <w:szCs w:val="20"/>
              </w:rPr>
            </w:pPr>
            <w:r>
              <w:rPr>
                <w:sz w:val="20"/>
                <w:szCs w:val="20"/>
              </w:rPr>
              <w:t>Neil E. Scanlo</w:t>
            </w:r>
            <w:r>
              <w:rPr>
                <w:sz w:val="20"/>
                <w:szCs w:val="20"/>
              </w:rPr>
              <w:t>n</w:t>
            </w:r>
          </w:p>
        </w:tc>
        <w:tc>
          <w:tcPr>
            <w:tcW w:w="0" w:type="auto"/>
            <w:vAlign w:val="bottom"/>
            <w:hideMark/>
          </w:tcPr>
          <w:p w14:paraId="3356C1F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25CF19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2ADBA52" w14:textId="77777777" w:rsidR="00000000" w:rsidRDefault="00832D71">
            <w:pPr>
              <w:pStyle w:val="a3"/>
              <w:spacing w:before="0" w:beforeAutospacing="0" w:after="0" w:afterAutospacing="0"/>
              <w:jc w:val="right"/>
              <w:rPr>
                <w:sz w:val="20"/>
                <w:szCs w:val="20"/>
              </w:rPr>
            </w:pPr>
            <w:r>
              <w:rPr>
                <w:sz w:val="20"/>
                <w:szCs w:val="20"/>
              </w:rPr>
              <w:t>32,19</w:t>
            </w:r>
            <w:r>
              <w:rPr>
                <w:sz w:val="20"/>
                <w:szCs w:val="20"/>
              </w:rPr>
              <w:t>9</w:t>
            </w:r>
          </w:p>
        </w:tc>
        <w:tc>
          <w:tcPr>
            <w:tcW w:w="0" w:type="auto"/>
            <w:noWrap/>
            <w:vAlign w:val="bottom"/>
            <w:hideMark/>
          </w:tcPr>
          <w:p w14:paraId="3DD1D50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5E61CF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7F2557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6C5D4B5" w14:textId="77777777" w:rsidR="00000000" w:rsidRDefault="00832D71">
            <w:pPr>
              <w:pStyle w:val="a3"/>
              <w:spacing w:before="0" w:beforeAutospacing="0" w:after="0" w:afterAutospacing="0"/>
              <w:jc w:val="right"/>
              <w:rPr>
                <w:sz w:val="20"/>
                <w:szCs w:val="20"/>
              </w:rPr>
            </w:pPr>
            <w:r>
              <w:rPr>
                <w:sz w:val="20"/>
                <w:szCs w:val="20"/>
              </w:rPr>
              <w:t>492,96</w:t>
            </w:r>
            <w:r>
              <w:rPr>
                <w:sz w:val="20"/>
                <w:szCs w:val="20"/>
              </w:rPr>
              <w:t>7</w:t>
            </w:r>
          </w:p>
        </w:tc>
        <w:tc>
          <w:tcPr>
            <w:tcW w:w="0" w:type="auto"/>
            <w:noWrap/>
            <w:vAlign w:val="bottom"/>
            <w:hideMark/>
          </w:tcPr>
          <w:p w14:paraId="6E7DDDBF" w14:textId="77777777" w:rsidR="00000000" w:rsidRDefault="00832D71">
            <w:pPr>
              <w:pStyle w:val="a3"/>
              <w:spacing w:before="0" w:beforeAutospacing="0" w:after="0" w:afterAutospacing="0"/>
              <w:rPr>
                <w:sz w:val="20"/>
                <w:szCs w:val="20"/>
              </w:rPr>
            </w:pPr>
            <w:r>
              <w:rPr>
                <w:sz w:val="20"/>
                <w:szCs w:val="20"/>
              </w:rPr>
              <w:t> </w:t>
            </w:r>
          </w:p>
        </w:tc>
      </w:tr>
    </w:tbl>
    <w:p w14:paraId="347C15C3" w14:textId="77777777" w:rsidR="00000000" w:rsidRDefault="00832D71">
      <w:pPr>
        <w:jc w:val="both"/>
        <w:divId w:val="713122612"/>
        <w:rPr>
          <w:rFonts w:eastAsia="Times New Roman"/>
        </w:rPr>
      </w:pPr>
      <w:r>
        <w:rPr>
          <w:rFonts w:eastAsia="Times New Roman"/>
          <w:sz w:val="20"/>
          <w:szCs w:val="20"/>
        </w:rPr>
        <w:t>(1</w:t>
      </w:r>
      <w:r>
        <w:rPr>
          <w:rFonts w:eastAsia="Times New Roman"/>
          <w:sz w:val="20"/>
          <w:szCs w:val="20"/>
        </w:rPr>
        <w:t>)</w:t>
      </w:r>
    </w:p>
    <w:p w14:paraId="175BA957" w14:textId="77777777" w:rsidR="00000000" w:rsidRDefault="00832D71">
      <w:pPr>
        <w:jc w:val="both"/>
        <w:divId w:val="270891992"/>
        <w:rPr>
          <w:rFonts w:eastAsia="Times New Roman"/>
        </w:rPr>
      </w:pPr>
      <w:r>
        <w:rPr>
          <w:rFonts w:eastAsia="Times New Roman"/>
          <w:sz w:val="20"/>
          <w:szCs w:val="20"/>
        </w:rPr>
        <w:t>The value realized is equal to the average value of our Common Units on the vesting date, multiplied by the number of units that vested</w:t>
      </w:r>
      <w:r>
        <w:rPr>
          <w:rFonts w:eastAsia="Times New Roman"/>
          <w:sz w:val="20"/>
          <w:szCs w:val="20"/>
        </w:rPr>
        <w:t>.</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81"/>
        <w:gridCol w:w="110"/>
        <w:gridCol w:w="110"/>
        <w:gridCol w:w="895"/>
        <w:gridCol w:w="110"/>
        <w:gridCol w:w="110"/>
        <w:gridCol w:w="160"/>
        <w:gridCol w:w="913"/>
        <w:gridCol w:w="125"/>
      </w:tblGrid>
      <w:tr w:rsidR="00000000" w14:paraId="6C702C5B" w14:textId="77777777">
        <w:trPr>
          <w:tblCellSpacing w:w="15" w:type="dxa"/>
        </w:trPr>
        <w:tc>
          <w:tcPr>
            <w:tcW w:w="2961" w:type="pct"/>
            <w:vAlign w:val="center"/>
            <w:hideMark/>
          </w:tcPr>
          <w:p w14:paraId="327C3DBB" w14:textId="77777777" w:rsidR="00000000" w:rsidRDefault="00832D71">
            <w:pPr>
              <w:jc w:val="both"/>
              <w:rPr>
                <w:rFonts w:eastAsia="Times New Roman"/>
              </w:rPr>
            </w:pPr>
          </w:p>
        </w:tc>
        <w:tc>
          <w:tcPr>
            <w:tcW w:w="74" w:type="pct"/>
            <w:vAlign w:val="center"/>
            <w:hideMark/>
          </w:tcPr>
          <w:p w14:paraId="63590194" w14:textId="77777777" w:rsidR="00000000" w:rsidRDefault="00832D71">
            <w:pPr>
              <w:rPr>
                <w:rFonts w:eastAsia="Times New Roman"/>
                <w:sz w:val="20"/>
                <w:szCs w:val="20"/>
              </w:rPr>
            </w:pPr>
          </w:p>
        </w:tc>
        <w:tc>
          <w:tcPr>
            <w:tcW w:w="50" w:type="pct"/>
            <w:vAlign w:val="center"/>
            <w:hideMark/>
          </w:tcPr>
          <w:p w14:paraId="689E7204" w14:textId="77777777" w:rsidR="00000000" w:rsidRDefault="00832D71">
            <w:pPr>
              <w:rPr>
                <w:rFonts w:eastAsia="Times New Roman"/>
                <w:sz w:val="20"/>
                <w:szCs w:val="20"/>
              </w:rPr>
            </w:pPr>
          </w:p>
        </w:tc>
        <w:tc>
          <w:tcPr>
            <w:tcW w:w="837" w:type="pct"/>
            <w:vAlign w:val="center"/>
            <w:hideMark/>
          </w:tcPr>
          <w:p w14:paraId="2188E8D5" w14:textId="77777777" w:rsidR="00000000" w:rsidRDefault="00832D71">
            <w:pPr>
              <w:rPr>
                <w:rFonts w:eastAsia="Times New Roman"/>
                <w:sz w:val="20"/>
                <w:szCs w:val="20"/>
              </w:rPr>
            </w:pPr>
          </w:p>
        </w:tc>
        <w:tc>
          <w:tcPr>
            <w:tcW w:w="50" w:type="pct"/>
            <w:vAlign w:val="center"/>
            <w:hideMark/>
          </w:tcPr>
          <w:p w14:paraId="1C590401" w14:textId="77777777" w:rsidR="00000000" w:rsidRDefault="00832D71">
            <w:pPr>
              <w:rPr>
                <w:rFonts w:eastAsia="Times New Roman"/>
                <w:sz w:val="20"/>
                <w:szCs w:val="20"/>
              </w:rPr>
            </w:pPr>
          </w:p>
        </w:tc>
        <w:tc>
          <w:tcPr>
            <w:tcW w:w="98" w:type="pct"/>
            <w:vAlign w:val="center"/>
            <w:hideMark/>
          </w:tcPr>
          <w:p w14:paraId="1DFB5EED" w14:textId="77777777" w:rsidR="00000000" w:rsidRDefault="00832D71">
            <w:pPr>
              <w:rPr>
                <w:rFonts w:eastAsia="Times New Roman"/>
                <w:sz w:val="20"/>
                <w:szCs w:val="20"/>
              </w:rPr>
            </w:pPr>
          </w:p>
        </w:tc>
        <w:tc>
          <w:tcPr>
            <w:tcW w:w="50" w:type="pct"/>
            <w:vAlign w:val="center"/>
            <w:hideMark/>
          </w:tcPr>
          <w:p w14:paraId="4F75654A" w14:textId="77777777" w:rsidR="00000000" w:rsidRDefault="00832D71">
            <w:pPr>
              <w:rPr>
                <w:rFonts w:eastAsia="Times New Roman"/>
                <w:sz w:val="20"/>
                <w:szCs w:val="20"/>
              </w:rPr>
            </w:pPr>
          </w:p>
        </w:tc>
        <w:tc>
          <w:tcPr>
            <w:tcW w:w="828" w:type="pct"/>
            <w:vAlign w:val="center"/>
            <w:hideMark/>
          </w:tcPr>
          <w:p w14:paraId="65BBB4C0" w14:textId="77777777" w:rsidR="00000000" w:rsidRDefault="00832D71">
            <w:pPr>
              <w:rPr>
                <w:rFonts w:eastAsia="Times New Roman"/>
                <w:sz w:val="20"/>
                <w:szCs w:val="20"/>
              </w:rPr>
            </w:pPr>
          </w:p>
        </w:tc>
        <w:tc>
          <w:tcPr>
            <w:tcW w:w="50" w:type="pct"/>
            <w:vAlign w:val="center"/>
            <w:hideMark/>
          </w:tcPr>
          <w:p w14:paraId="6D122707" w14:textId="77777777" w:rsidR="00000000" w:rsidRDefault="00832D71">
            <w:pPr>
              <w:rPr>
                <w:rFonts w:eastAsia="Times New Roman"/>
                <w:sz w:val="20"/>
                <w:szCs w:val="20"/>
              </w:rPr>
            </w:pPr>
          </w:p>
        </w:tc>
      </w:tr>
      <w:tr w:rsidR="00000000" w14:paraId="7F523545" w14:textId="77777777">
        <w:trPr>
          <w:trHeight w:val="160"/>
          <w:tblCellSpacing w:w="15" w:type="dxa"/>
        </w:trPr>
        <w:tc>
          <w:tcPr>
            <w:tcW w:w="0" w:type="auto"/>
            <w:gridSpan w:val="8"/>
            <w:vAlign w:val="bottom"/>
            <w:hideMark/>
          </w:tcPr>
          <w:p w14:paraId="26627FCB" w14:textId="77777777" w:rsidR="00000000" w:rsidRDefault="00832D71">
            <w:pPr>
              <w:pStyle w:val="a3"/>
              <w:spacing w:before="0" w:beforeAutospacing="0" w:after="0" w:afterAutospacing="0"/>
              <w:jc w:val="center"/>
              <w:rPr>
                <w:sz w:val="16"/>
                <w:szCs w:val="16"/>
              </w:rPr>
            </w:pPr>
            <w:r>
              <w:rPr>
                <w:b/>
                <w:bCs/>
                <w:sz w:val="16"/>
                <w:szCs w:val="16"/>
              </w:rPr>
              <w:t>Long-Term Incentive Plan - Fiscal 2020 (2) Awar</w:t>
            </w:r>
            <w:r>
              <w:rPr>
                <w:b/>
                <w:bCs/>
                <w:sz w:val="16"/>
                <w:szCs w:val="16"/>
              </w:rPr>
              <w:t>d</w:t>
            </w:r>
          </w:p>
        </w:tc>
        <w:tc>
          <w:tcPr>
            <w:tcW w:w="0" w:type="auto"/>
            <w:vAlign w:val="bottom"/>
            <w:hideMark/>
          </w:tcPr>
          <w:p w14:paraId="2BCD5568"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456478F" w14:textId="77777777">
        <w:trPr>
          <w:trHeight w:val="160"/>
          <w:tblCellSpacing w:w="15" w:type="dxa"/>
        </w:trPr>
        <w:tc>
          <w:tcPr>
            <w:tcW w:w="0" w:type="auto"/>
            <w:vAlign w:val="bottom"/>
            <w:hideMark/>
          </w:tcPr>
          <w:p w14:paraId="0FD284A4"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A3742B3" w14:textId="77777777" w:rsidR="00000000" w:rsidRDefault="00832D71">
            <w:pPr>
              <w:pStyle w:val="a3"/>
              <w:spacing w:before="0" w:beforeAutospacing="0" w:after="0" w:afterAutospacing="0"/>
              <w:rPr>
                <w:sz w:val="16"/>
                <w:szCs w:val="16"/>
              </w:rPr>
            </w:pPr>
            <w:r>
              <w:rPr>
                <w:sz w:val="16"/>
                <w:szCs w:val="16"/>
              </w:rPr>
              <w:t> </w:t>
            </w:r>
          </w:p>
        </w:tc>
        <w:tc>
          <w:tcPr>
            <w:tcW w:w="0" w:type="auto"/>
            <w:gridSpan w:val="6"/>
            <w:vAlign w:val="bottom"/>
            <w:hideMark/>
          </w:tcPr>
          <w:p w14:paraId="55068C91" w14:textId="77777777" w:rsidR="00000000" w:rsidRDefault="00832D71">
            <w:pPr>
              <w:pStyle w:val="a3"/>
              <w:spacing w:before="0" w:beforeAutospacing="0" w:after="0" w:afterAutospacing="0"/>
              <w:jc w:val="center"/>
              <w:rPr>
                <w:sz w:val="16"/>
                <w:szCs w:val="16"/>
              </w:rPr>
            </w:pPr>
            <w:r>
              <w:rPr>
                <w:b/>
                <w:bCs/>
                <w:sz w:val="16"/>
                <w:szCs w:val="16"/>
              </w:rPr>
              <w:t>Cash Award</w:t>
            </w:r>
            <w:r>
              <w:rPr>
                <w:b/>
                <w:bCs/>
                <w:sz w:val="16"/>
                <w:szCs w:val="16"/>
              </w:rPr>
              <w:t>s</w:t>
            </w:r>
          </w:p>
        </w:tc>
        <w:tc>
          <w:tcPr>
            <w:tcW w:w="0" w:type="auto"/>
            <w:vAlign w:val="bottom"/>
            <w:hideMark/>
          </w:tcPr>
          <w:p w14:paraId="774B71B6"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94AD216" w14:textId="77777777">
        <w:trPr>
          <w:trHeight w:val="160"/>
          <w:tblCellSpacing w:w="15" w:type="dxa"/>
        </w:trPr>
        <w:tc>
          <w:tcPr>
            <w:tcW w:w="0" w:type="auto"/>
            <w:vAlign w:val="bottom"/>
            <w:hideMark/>
          </w:tcPr>
          <w:p w14:paraId="1D03F6EB"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3C24512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84A9026" w14:textId="77777777" w:rsidR="00000000" w:rsidRDefault="00832D71">
            <w:pPr>
              <w:pStyle w:val="a3"/>
              <w:spacing w:before="0" w:beforeAutospacing="0" w:after="0" w:afterAutospacing="0"/>
              <w:jc w:val="center"/>
              <w:rPr>
                <w:sz w:val="16"/>
                <w:szCs w:val="16"/>
              </w:rPr>
            </w:pPr>
            <w:r>
              <w:rPr>
                <w:b/>
                <w:bCs/>
                <w:sz w:val="16"/>
                <w:szCs w:val="16"/>
              </w:rPr>
              <w:t>Number of</w:t>
            </w:r>
            <w:r>
              <w:rPr>
                <w:b/>
                <w:bCs/>
                <w:sz w:val="16"/>
                <w:szCs w:val="16"/>
              </w:rPr>
              <w:br/>
            </w:r>
            <w:r>
              <w:rPr>
                <w:b/>
                <w:bCs/>
                <w:sz w:val="16"/>
                <w:szCs w:val="16"/>
              </w:rPr>
              <w:t>Phantom Units</w:t>
            </w:r>
            <w:r>
              <w:rPr>
                <w:b/>
                <w:bCs/>
                <w:sz w:val="16"/>
                <w:szCs w:val="16"/>
              </w:rPr>
              <w:br/>
              <w:t>Cashed Out on</w:t>
            </w:r>
            <w:r>
              <w:rPr>
                <w:b/>
                <w:bCs/>
                <w:sz w:val="16"/>
                <w:szCs w:val="16"/>
              </w:rPr>
              <w:br/>
              <w:t>Vesting (3</w:t>
            </w:r>
            <w:r>
              <w:rPr>
                <w:b/>
                <w:bCs/>
                <w:sz w:val="16"/>
                <w:szCs w:val="16"/>
              </w:rPr>
              <w:t>)</w:t>
            </w:r>
          </w:p>
        </w:tc>
        <w:tc>
          <w:tcPr>
            <w:tcW w:w="0" w:type="auto"/>
            <w:vAlign w:val="bottom"/>
            <w:hideMark/>
          </w:tcPr>
          <w:p w14:paraId="3F88DE1E"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0BDF65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2A078D2" w14:textId="77777777" w:rsidR="00000000" w:rsidRDefault="00832D71">
            <w:pPr>
              <w:pStyle w:val="a3"/>
              <w:spacing w:before="0" w:beforeAutospacing="0" w:after="0" w:afterAutospacing="0"/>
              <w:jc w:val="center"/>
              <w:rPr>
                <w:sz w:val="16"/>
                <w:szCs w:val="16"/>
              </w:rPr>
            </w:pPr>
            <w:r>
              <w:rPr>
                <w:b/>
                <w:bCs/>
                <w:sz w:val="16"/>
                <w:szCs w:val="16"/>
              </w:rPr>
              <w:t>Value Realized on</w:t>
            </w:r>
            <w:r>
              <w:rPr>
                <w:b/>
                <w:bCs/>
                <w:sz w:val="16"/>
                <w:szCs w:val="16"/>
              </w:rPr>
              <w:br/>
              <w:t>Vesting (4</w:t>
            </w:r>
            <w:r>
              <w:rPr>
                <w:b/>
                <w:bCs/>
                <w:sz w:val="16"/>
                <w:szCs w:val="16"/>
              </w:rPr>
              <w:t>)</w:t>
            </w:r>
          </w:p>
        </w:tc>
        <w:tc>
          <w:tcPr>
            <w:tcW w:w="0" w:type="auto"/>
            <w:vAlign w:val="bottom"/>
            <w:hideMark/>
          </w:tcPr>
          <w:p w14:paraId="3147C484"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13D62BE" w14:textId="77777777">
        <w:trPr>
          <w:trHeight w:val="200"/>
          <w:tblCellSpacing w:w="15" w:type="dxa"/>
        </w:trPr>
        <w:tc>
          <w:tcPr>
            <w:tcW w:w="0" w:type="auto"/>
            <w:vAlign w:val="bottom"/>
            <w:hideMark/>
          </w:tcPr>
          <w:p w14:paraId="366A54D2" w14:textId="77777777" w:rsidR="00000000" w:rsidRDefault="00832D71">
            <w:pPr>
              <w:pStyle w:val="a3"/>
              <w:spacing w:before="0" w:beforeAutospacing="0" w:after="0" w:afterAutospacing="0"/>
              <w:rPr>
                <w:sz w:val="20"/>
                <w:szCs w:val="20"/>
              </w:rPr>
            </w:pPr>
            <w:r>
              <w:rPr>
                <w:sz w:val="20"/>
                <w:szCs w:val="20"/>
              </w:rPr>
              <w:t>Michael A. Stival</w:t>
            </w:r>
            <w:r>
              <w:rPr>
                <w:sz w:val="20"/>
                <w:szCs w:val="20"/>
              </w:rPr>
              <w:t>a</w:t>
            </w:r>
          </w:p>
        </w:tc>
        <w:tc>
          <w:tcPr>
            <w:tcW w:w="0" w:type="auto"/>
            <w:vAlign w:val="bottom"/>
            <w:hideMark/>
          </w:tcPr>
          <w:p w14:paraId="2844CEA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2B97E7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13671BA" w14:textId="77777777" w:rsidR="00000000" w:rsidRDefault="00832D71">
            <w:pPr>
              <w:pStyle w:val="a3"/>
              <w:spacing w:before="0" w:beforeAutospacing="0" w:after="0" w:afterAutospacing="0"/>
              <w:jc w:val="right"/>
              <w:rPr>
                <w:sz w:val="20"/>
                <w:szCs w:val="20"/>
              </w:rPr>
            </w:pPr>
            <w:r>
              <w:rPr>
                <w:sz w:val="20"/>
                <w:szCs w:val="20"/>
              </w:rPr>
              <w:t>12,65</w:t>
            </w:r>
            <w:r>
              <w:rPr>
                <w:sz w:val="20"/>
                <w:szCs w:val="20"/>
              </w:rPr>
              <w:t>0</w:t>
            </w:r>
          </w:p>
        </w:tc>
        <w:tc>
          <w:tcPr>
            <w:tcW w:w="0" w:type="auto"/>
            <w:noWrap/>
            <w:vAlign w:val="bottom"/>
            <w:hideMark/>
          </w:tcPr>
          <w:p w14:paraId="30B5D13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A27693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4FB6A9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C3440DA" w14:textId="77777777" w:rsidR="00000000" w:rsidRDefault="00832D71">
            <w:pPr>
              <w:pStyle w:val="a3"/>
              <w:spacing w:before="0" w:beforeAutospacing="0" w:after="0" w:afterAutospacing="0"/>
              <w:jc w:val="right"/>
              <w:rPr>
                <w:sz w:val="20"/>
                <w:szCs w:val="20"/>
              </w:rPr>
            </w:pPr>
            <w:r>
              <w:rPr>
                <w:sz w:val="20"/>
                <w:szCs w:val="20"/>
              </w:rPr>
              <w:t>294,12</w:t>
            </w:r>
            <w:r>
              <w:rPr>
                <w:sz w:val="20"/>
                <w:szCs w:val="20"/>
              </w:rPr>
              <w:t>8</w:t>
            </w:r>
          </w:p>
        </w:tc>
        <w:tc>
          <w:tcPr>
            <w:tcW w:w="0" w:type="auto"/>
            <w:noWrap/>
            <w:vAlign w:val="bottom"/>
            <w:hideMark/>
          </w:tcPr>
          <w:p w14:paraId="1BA8AE8F" w14:textId="77777777" w:rsidR="00000000" w:rsidRDefault="00832D71">
            <w:pPr>
              <w:pStyle w:val="a3"/>
              <w:spacing w:before="0" w:beforeAutospacing="0" w:after="0" w:afterAutospacing="0"/>
              <w:rPr>
                <w:sz w:val="20"/>
                <w:szCs w:val="20"/>
              </w:rPr>
            </w:pPr>
            <w:r>
              <w:rPr>
                <w:sz w:val="20"/>
                <w:szCs w:val="20"/>
              </w:rPr>
              <w:t> </w:t>
            </w:r>
          </w:p>
        </w:tc>
      </w:tr>
      <w:tr w:rsidR="00000000" w14:paraId="3BCA1D79" w14:textId="77777777">
        <w:trPr>
          <w:trHeight w:val="200"/>
          <w:tblCellSpacing w:w="15" w:type="dxa"/>
        </w:trPr>
        <w:tc>
          <w:tcPr>
            <w:tcW w:w="0" w:type="auto"/>
            <w:vAlign w:val="bottom"/>
            <w:hideMark/>
          </w:tcPr>
          <w:p w14:paraId="1B01CEBE" w14:textId="77777777" w:rsidR="00000000" w:rsidRDefault="00832D71">
            <w:pPr>
              <w:pStyle w:val="a3"/>
              <w:spacing w:before="0" w:beforeAutospacing="0" w:after="0" w:afterAutospacing="0"/>
              <w:rPr>
                <w:sz w:val="20"/>
                <w:szCs w:val="20"/>
              </w:rPr>
            </w:pPr>
            <w:r>
              <w:rPr>
                <w:sz w:val="20"/>
                <w:szCs w:val="20"/>
              </w:rPr>
              <w:t>Michael A. Kugli</w:t>
            </w:r>
            <w:r>
              <w:rPr>
                <w:sz w:val="20"/>
                <w:szCs w:val="20"/>
              </w:rPr>
              <w:t>n</w:t>
            </w:r>
          </w:p>
        </w:tc>
        <w:tc>
          <w:tcPr>
            <w:tcW w:w="0" w:type="auto"/>
            <w:vAlign w:val="bottom"/>
            <w:hideMark/>
          </w:tcPr>
          <w:p w14:paraId="2F651FF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587675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6949268" w14:textId="77777777" w:rsidR="00000000" w:rsidRDefault="00832D71">
            <w:pPr>
              <w:pStyle w:val="a3"/>
              <w:spacing w:before="0" w:beforeAutospacing="0" w:after="0" w:afterAutospacing="0"/>
              <w:jc w:val="right"/>
              <w:rPr>
                <w:sz w:val="20"/>
                <w:szCs w:val="20"/>
              </w:rPr>
            </w:pPr>
            <w:r>
              <w:rPr>
                <w:sz w:val="20"/>
                <w:szCs w:val="20"/>
              </w:rPr>
              <w:t>6,74</w:t>
            </w:r>
            <w:r>
              <w:rPr>
                <w:sz w:val="20"/>
                <w:szCs w:val="20"/>
              </w:rPr>
              <w:t>7</w:t>
            </w:r>
          </w:p>
        </w:tc>
        <w:tc>
          <w:tcPr>
            <w:tcW w:w="0" w:type="auto"/>
            <w:noWrap/>
            <w:vAlign w:val="bottom"/>
            <w:hideMark/>
          </w:tcPr>
          <w:p w14:paraId="4CC167C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2B7793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3B1FBB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E134373" w14:textId="77777777" w:rsidR="00000000" w:rsidRDefault="00832D71">
            <w:pPr>
              <w:pStyle w:val="a3"/>
              <w:spacing w:before="0" w:beforeAutospacing="0" w:after="0" w:afterAutospacing="0"/>
              <w:jc w:val="right"/>
              <w:rPr>
                <w:sz w:val="20"/>
                <w:szCs w:val="20"/>
              </w:rPr>
            </w:pPr>
            <w:r>
              <w:rPr>
                <w:sz w:val="20"/>
                <w:szCs w:val="20"/>
              </w:rPr>
              <w:t>156,87</w:t>
            </w:r>
            <w:r>
              <w:rPr>
                <w:sz w:val="20"/>
                <w:szCs w:val="20"/>
              </w:rPr>
              <w:t>6</w:t>
            </w:r>
          </w:p>
        </w:tc>
        <w:tc>
          <w:tcPr>
            <w:tcW w:w="0" w:type="auto"/>
            <w:noWrap/>
            <w:vAlign w:val="bottom"/>
            <w:hideMark/>
          </w:tcPr>
          <w:p w14:paraId="640F58AF" w14:textId="77777777" w:rsidR="00000000" w:rsidRDefault="00832D71">
            <w:pPr>
              <w:pStyle w:val="a3"/>
              <w:spacing w:before="0" w:beforeAutospacing="0" w:after="0" w:afterAutospacing="0"/>
              <w:rPr>
                <w:sz w:val="20"/>
                <w:szCs w:val="20"/>
              </w:rPr>
            </w:pPr>
            <w:r>
              <w:rPr>
                <w:sz w:val="20"/>
                <w:szCs w:val="20"/>
              </w:rPr>
              <w:t> </w:t>
            </w:r>
          </w:p>
        </w:tc>
      </w:tr>
      <w:tr w:rsidR="00000000" w14:paraId="14804BF7" w14:textId="77777777">
        <w:trPr>
          <w:trHeight w:val="200"/>
          <w:tblCellSpacing w:w="15" w:type="dxa"/>
        </w:trPr>
        <w:tc>
          <w:tcPr>
            <w:tcW w:w="0" w:type="auto"/>
            <w:vAlign w:val="bottom"/>
            <w:hideMark/>
          </w:tcPr>
          <w:p w14:paraId="53D97403" w14:textId="77777777" w:rsidR="00000000" w:rsidRDefault="00832D71">
            <w:pPr>
              <w:pStyle w:val="a3"/>
              <w:spacing w:before="0" w:beforeAutospacing="0" w:after="0" w:afterAutospacing="0"/>
              <w:rPr>
                <w:sz w:val="20"/>
                <w:szCs w:val="20"/>
              </w:rPr>
            </w:pPr>
            <w:r>
              <w:rPr>
                <w:sz w:val="20"/>
                <w:szCs w:val="20"/>
              </w:rPr>
              <w:t>Steven C. Boy</w:t>
            </w:r>
            <w:r>
              <w:rPr>
                <w:sz w:val="20"/>
                <w:szCs w:val="20"/>
              </w:rPr>
              <w:t>d</w:t>
            </w:r>
          </w:p>
        </w:tc>
        <w:tc>
          <w:tcPr>
            <w:tcW w:w="0" w:type="auto"/>
            <w:vAlign w:val="bottom"/>
            <w:hideMark/>
          </w:tcPr>
          <w:p w14:paraId="584474C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53FC58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A8A062B" w14:textId="77777777" w:rsidR="00000000" w:rsidRDefault="00832D71">
            <w:pPr>
              <w:pStyle w:val="a3"/>
              <w:spacing w:before="0" w:beforeAutospacing="0" w:after="0" w:afterAutospacing="0"/>
              <w:jc w:val="right"/>
              <w:rPr>
                <w:sz w:val="20"/>
                <w:szCs w:val="20"/>
              </w:rPr>
            </w:pPr>
            <w:r>
              <w:rPr>
                <w:sz w:val="20"/>
                <w:szCs w:val="20"/>
              </w:rPr>
              <w:t>6,74</w:t>
            </w:r>
            <w:r>
              <w:rPr>
                <w:sz w:val="20"/>
                <w:szCs w:val="20"/>
              </w:rPr>
              <w:t>7</w:t>
            </w:r>
          </w:p>
        </w:tc>
        <w:tc>
          <w:tcPr>
            <w:tcW w:w="0" w:type="auto"/>
            <w:noWrap/>
            <w:vAlign w:val="bottom"/>
            <w:hideMark/>
          </w:tcPr>
          <w:p w14:paraId="6C1B5A9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06F2AD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3CA9DB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F11772F" w14:textId="77777777" w:rsidR="00000000" w:rsidRDefault="00832D71">
            <w:pPr>
              <w:pStyle w:val="a3"/>
              <w:spacing w:before="0" w:beforeAutospacing="0" w:after="0" w:afterAutospacing="0"/>
              <w:jc w:val="right"/>
              <w:rPr>
                <w:sz w:val="20"/>
                <w:szCs w:val="20"/>
              </w:rPr>
            </w:pPr>
            <w:r>
              <w:rPr>
                <w:sz w:val="20"/>
                <w:szCs w:val="20"/>
              </w:rPr>
              <w:t>156,87</w:t>
            </w:r>
            <w:r>
              <w:rPr>
                <w:sz w:val="20"/>
                <w:szCs w:val="20"/>
              </w:rPr>
              <w:t>6</w:t>
            </w:r>
          </w:p>
        </w:tc>
        <w:tc>
          <w:tcPr>
            <w:tcW w:w="0" w:type="auto"/>
            <w:noWrap/>
            <w:vAlign w:val="bottom"/>
            <w:hideMark/>
          </w:tcPr>
          <w:p w14:paraId="1C1609BD" w14:textId="77777777" w:rsidR="00000000" w:rsidRDefault="00832D71">
            <w:pPr>
              <w:pStyle w:val="a3"/>
              <w:spacing w:before="0" w:beforeAutospacing="0" w:after="0" w:afterAutospacing="0"/>
              <w:rPr>
                <w:sz w:val="20"/>
                <w:szCs w:val="20"/>
              </w:rPr>
            </w:pPr>
            <w:r>
              <w:rPr>
                <w:sz w:val="20"/>
                <w:szCs w:val="20"/>
              </w:rPr>
              <w:t> </w:t>
            </w:r>
          </w:p>
        </w:tc>
      </w:tr>
      <w:tr w:rsidR="00000000" w14:paraId="52155682" w14:textId="77777777">
        <w:trPr>
          <w:trHeight w:val="200"/>
          <w:tblCellSpacing w:w="15" w:type="dxa"/>
        </w:trPr>
        <w:tc>
          <w:tcPr>
            <w:tcW w:w="0" w:type="auto"/>
            <w:vAlign w:val="bottom"/>
            <w:hideMark/>
          </w:tcPr>
          <w:p w14:paraId="18EEEDF8" w14:textId="77777777" w:rsidR="00000000" w:rsidRDefault="00832D71">
            <w:pPr>
              <w:pStyle w:val="a3"/>
              <w:spacing w:before="0" w:beforeAutospacing="0" w:after="0" w:afterAutospacing="0"/>
              <w:rPr>
                <w:sz w:val="20"/>
                <w:szCs w:val="20"/>
              </w:rPr>
            </w:pPr>
            <w:r>
              <w:rPr>
                <w:sz w:val="20"/>
                <w:szCs w:val="20"/>
              </w:rPr>
              <w:t>Douglas T. Brinkwort</w:t>
            </w:r>
            <w:r>
              <w:rPr>
                <w:sz w:val="20"/>
                <w:szCs w:val="20"/>
              </w:rPr>
              <w:t>h</w:t>
            </w:r>
          </w:p>
        </w:tc>
        <w:tc>
          <w:tcPr>
            <w:tcW w:w="0" w:type="auto"/>
            <w:vAlign w:val="bottom"/>
            <w:hideMark/>
          </w:tcPr>
          <w:p w14:paraId="212BEF2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D827D8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215FC56" w14:textId="77777777" w:rsidR="00000000" w:rsidRDefault="00832D71">
            <w:pPr>
              <w:pStyle w:val="a3"/>
              <w:spacing w:before="0" w:beforeAutospacing="0" w:after="0" w:afterAutospacing="0"/>
              <w:jc w:val="right"/>
              <w:rPr>
                <w:sz w:val="20"/>
                <w:szCs w:val="20"/>
              </w:rPr>
            </w:pPr>
            <w:r>
              <w:rPr>
                <w:sz w:val="20"/>
                <w:szCs w:val="20"/>
              </w:rPr>
              <w:t>6,07</w:t>
            </w:r>
            <w:r>
              <w:rPr>
                <w:sz w:val="20"/>
                <w:szCs w:val="20"/>
              </w:rPr>
              <w:t>2</w:t>
            </w:r>
          </w:p>
        </w:tc>
        <w:tc>
          <w:tcPr>
            <w:tcW w:w="0" w:type="auto"/>
            <w:noWrap/>
            <w:vAlign w:val="bottom"/>
            <w:hideMark/>
          </w:tcPr>
          <w:p w14:paraId="207E186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07A105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5D2A97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DBAE581" w14:textId="77777777" w:rsidR="00000000" w:rsidRDefault="00832D71">
            <w:pPr>
              <w:pStyle w:val="a3"/>
              <w:spacing w:before="0" w:beforeAutospacing="0" w:after="0" w:afterAutospacing="0"/>
              <w:jc w:val="right"/>
              <w:rPr>
                <w:sz w:val="20"/>
                <w:szCs w:val="20"/>
              </w:rPr>
            </w:pPr>
            <w:r>
              <w:rPr>
                <w:sz w:val="20"/>
                <w:szCs w:val="20"/>
              </w:rPr>
              <w:t>141,18</w:t>
            </w:r>
            <w:r>
              <w:rPr>
                <w:sz w:val="20"/>
                <w:szCs w:val="20"/>
              </w:rPr>
              <w:t>2</w:t>
            </w:r>
          </w:p>
        </w:tc>
        <w:tc>
          <w:tcPr>
            <w:tcW w:w="0" w:type="auto"/>
            <w:noWrap/>
            <w:vAlign w:val="bottom"/>
            <w:hideMark/>
          </w:tcPr>
          <w:p w14:paraId="0603926F" w14:textId="77777777" w:rsidR="00000000" w:rsidRDefault="00832D71">
            <w:pPr>
              <w:pStyle w:val="a3"/>
              <w:spacing w:before="0" w:beforeAutospacing="0" w:after="0" w:afterAutospacing="0"/>
              <w:rPr>
                <w:sz w:val="20"/>
                <w:szCs w:val="20"/>
              </w:rPr>
            </w:pPr>
            <w:r>
              <w:rPr>
                <w:sz w:val="20"/>
                <w:szCs w:val="20"/>
              </w:rPr>
              <w:t> </w:t>
            </w:r>
          </w:p>
        </w:tc>
      </w:tr>
      <w:tr w:rsidR="00000000" w14:paraId="41301028" w14:textId="77777777">
        <w:trPr>
          <w:trHeight w:val="200"/>
          <w:tblCellSpacing w:w="15" w:type="dxa"/>
        </w:trPr>
        <w:tc>
          <w:tcPr>
            <w:tcW w:w="0" w:type="auto"/>
            <w:vAlign w:val="bottom"/>
            <w:hideMark/>
          </w:tcPr>
          <w:p w14:paraId="17A49D2F" w14:textId="77777777" w:rsidR="00000000" w:rsidRDefault="00832D71">
            <w:pPr>
              <w:pStyle w:val="a3"/>
              <w:spacing w:before="0" w:beforeAutospacing="0" w:after="0" w:afterAutospacing="0"/>
              <w:rPr>
                <w:sz w:val="20"/>
                <w:szCs w:val="20"/>
              </w:rPr>
            </w:pPr>
            <w:r>
              <w:rPr>
                <w:sz w:val="20"/>
                <w:szCs w:val="20"/>
              </w:rPr>
              <w:t>Neil E. Scanlo</w:t>
            </w:r>
            <w:r>
              <w:rPr>
                <w:sz w:val="20"/>
                <w:szCs w:val="20"/>
              </w:rPr>
              <w:t>n</w:t>
            </w:r>
          </w:p>
        </w:tc>
        <w:tc>
          <w:tcPr>
            <w:tcW w:w="0" w:type="auto"/>
            <w:vAlign w:val="bottom"/>
            <w:hideMark/>
          </w:tcPr>
          <w:p w14:paraId="212ED36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C70697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F8AAE4F" w14:textId="77777777" w:rsidR="00000000" w:rsidRDefault="00832D71">
            <w:pPr>
              <w:pStyle w:val="a3"/>
              <w:spacing w:before="0" w:beforeAutospacing="0" w:after="0" w:afterAutospacing="0"/>
              <w:jc w:val="right"/>
              <w:rPr>
                <w:sz w:val="20"/>
                <w:szCs w:val="20"/>
              </w:rPr>
            </w:pPr>
            <w:r>
              <w:rPr>
                <w:sz w:val="20"/>
                <w:szCs w:val="20"/>
              </w:rPr>
              <w:t>5,39</w:t>
            </w:r>
            <w:r>
              <w:rPr>
                <w:sz w:val="20"/>
                <w:szCs w:val="20"/>
              </w:rPr>
              <w:t>7</w:t>
            </w:r>
          </w:p>
        </w:tc>
        <w:tc>
          <w:tcPr>
            <w:tcW w:w="0" w:type="auto"/>
            <w:noWrap/>
            <w:vAlign w:val="bottom"/>
            <w:hideMark/>
          </w:tcPr>
          <w:p w14:paraId="264DC96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33E01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E2989C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A96AD6B" w14:textId="77777777" w:rsidR="00000000" w:rsidRDefault="00832D71">
            <w:pPr>
              <w:pStyle w:val="a3"/>
              <w:spacing w:before="0" w:beforeAutospacing="0" w:after="0" w:afterAutospacing="0"/>
              <w:jc w:val="right"/>
              <w:rPr>
                <w:sz w:val="20"/>
                <w:szCs w:val="20"/>
              </w:rPr>
            </w:pPr>
            <w:r>
              <w:rPr>
                <w:sz w:val="20"/>
                <w:szCs w:val="20"/>
              </w:rPr>
              <w:t>125,48</w:t>
            </w:r>
            <w:r>
              <w:rPr>
                <w:sz w:val="20"/>
                <w:szCs w:val="20"/>
              </w:rPr>
              <w:t>7</w:t>
            </w:r>
          </w:p>
        </w:tc>
        <w:tc>
          <w:tcPr>
            <w:tcW w:w="0" w:type="auto"/>
            <w:noWrap/>
            <w:vAlign w:val="bottom"/>
            <w:hideMark/>
          </w:tcPr>
          <w:p w14:paraId="3187C8D3" w14:textId="77777777" w:rsidR="00000000" w:rsidRDefault="00832D71">
            <w:pPr>
              <w:pStyle w:val="a3"/>
              <w:spacing w:before="0" w:beforeAutospacing="0" w:after="0" w:afterAutospacing="0"/>
              <w:rPr>
                <w:sz w:val="20"/>
                <w:szCs w:val="20"/>
              </w:rPr>
            </w:pPr>
            <w:r>
              <w:rPr>
                <w:sz w:val="20"/>
                <w:szCs w:val="20"/>
              </w:rPr>
              <w:t> </w:t>
            </w:r>
          </w:p>
        </w:tc>
      </w:tr>
    </w:tbl>
    <w:p w14:paraId="6BE8AFA3" w14:textId="77777777" w:rsidR="00000000" w:rsidRDefault="00832D71">
      <w:pPr>
        <w:pStyle w:val="a3"/>
        <w:spacing w:before="0" w:beforeAutospacing="0" w:after="0" w:afterAutospacing="0"/>
        <w:ind w:hanging="581"/>
        <w:jc w:val="both"/>
        <w:rPr>
          <w:sz w:val="20"/>
          <w:szCs w:val="20"/>
        </w:rPr>
      </w:pPr>
      <w:r>
        <w:rPr>
          <w:sz w:val="20"/>
          <w:szCs w:val="20"/>
        </w:rPr>
        <w:t> </w:t>
      </w:r>
    </w:p>
    <w:p w14:paraId="58A6E9A3" w14:textId="77777777" w:rsidR="00000000" w:rsidRDefault="00832D71">
      <w:pPr>
        <w:jc w:val="both"/>
        <w:divId w:val="410010934"/>
        <w:rPr>
          <w:rFonts w:eastAsia="Times New Roman"/>
        </w:rPr>
      </w:pPr>
      <w:r>
        <w:rPr>
          <w:rFonts w:eastAsia="Times New Roman"/>
          <w:sz w:val="20"/>
          <w:szCs w:val="20"/>
        </w:rPr>
        <w:t>(2</w:t>
      </w:r>
      <w:r>
        <w:rPr>
          <w:rFonts w:eastAsia="Times New Roman"/>
          <w:sz w:val="20"/>
          <w:szCs w:val="20"/>
        </w:rPr>
        <w:t>)</w:t>
      </w:r>
    </w:p>
    <w:p w14:paraId="165E01F0" w14:textId="77777777" w:rsidR="00000000" w:rsidRDefault="00832D71">
      <w:pPr>
        <w:jc w:val="both"/>
        <w:divId w:val="1177115465"/>
        <w:rPr>
          <w:rFonts w:eastAsia="Times New Roman"/>
        </w:rPr>
      </w:pPr>
      <w:r>
        <w:rPr>
          <w:rFonts w:eastAsia="Times New Roman"/>
          <w:sz w:val="20"/>
          <w:szCs w:val="20"/>
        </w:rPr>
        <w:t>The fiscal 2020 award’s three-year measurement period concluded on September 24, 2022</w:t>
      </w:r>
      <w:r>
        <w:rPr>
          <w:rFonts w:eastAsia="Times New Roman"/>
          <w:sz w:val="20"/>
          <w:szCs w:val="20"/>
        </w:rPr>
        <w:t>.</w:t>
      </w:r>
    </w:p>
    <w:p w14:paraId="2F7D00FF" w14:textId="77777777" w:rsidR="00000000" w:rsidRDefault="00832D71">
      <w:pPr>
        <w:jc w:val="both"/>
        <w:divId w:val="61950242"/>
        <w:rPr>
          <w:rFonts w:eastAsia="Times New Roman"/>
        </w:rPr>
      </w:pPr>
      <w:r>
        <w:rPr>
          <w:rFonts w:eastAsia="Times New Roman"/>
          <w:sz w:val="20"/>
          <w:szCs w:val="20"/>
        </w:rPr>
        <w:t>(3</w:t>
      </w:r>
      <w:r>
        <w:rPr>
          <w:rFonts w:eastAsia="Times New Roman"/>
          <w:sz w:val="20"/>
          <w:szCs w:val="20"/>
        </w:rPr>
        <w:t>)</w:t>
      </w:r>
    </w:p>
    <w:p w14:paraId="699C01F0" w14:textId="77777777" w:rsidR="00000000" w:rsidRDefault="00832D71">
      <w:pPr>
        <w:jc w:val="both"/>
        <w:divId w:val="984313537"/>
        <w:rPr>
          <w:rFonts w:eastAsia="Times New Roman"/>
        </w:rPr>
      </w:pPr>
      <w:r>
        <w:rPr>
          <w:rFonts w:eastAsia="Times New Roman"/>
          <w:sz w:val="20"/>
          <w:szCs w:val="20"/>
        </w:rPr>
        <w:t>In accordance with the formula described in the “</w:t>
      </w:r>
      <w:r>
        <w:rPr>
          <w:rFonts w:eastAsia="Times New Roman"/>
          <w:sz w:val="20"/>
          <w:szCs w:val="20"/>
        </w:rPr>
        <w:t>Compensation Discussion and Analysis” under the subheading “Long-Term Incentive Plan,” these quantities were calculated at the beginning of the three-year measurement period and were based upon each individual’s salary and target cash bonus at that time</w:t>
      </w:r>
      <w:r>
        <w:rPr>
          <w:rFonts w:eastAsia="Times New Roman"/>
          <w:sz w:val="20"/>
          <w:szCs w:val="20"/>
        </w:rPr>
        <w:t>.</w:t>
      </w:r>
    </w:p>
    <w:p w14:paraId="21034315" w14:textId="77777777" w:rsidR="00000000" w:rsidRDefault="00832D71">
      <w:pPr>
        <w:jc w:val="both"/>
        <w:divId w:val="1842887060"/>
        <w:rPr>
          <w:rFonts w:eastAsia="Times New Roman"/>
        </w:rPr>
      </w:pPr>
      <w:r>
        <w:rPr>
          <w:rFonts w:eastAsia="Times New Roman"/>
          <w:sz w:val="20"/>
          <w:szCs w:val="20"/>
        </w:rPr>
        <w:t>(</w:t>
      </w:r>
      <w:r>
        <w:rPr>
          <w:rFonts w:eastAsia="Times New Roman"/>
          <w:sz w:val="20"/>
          <w:szCs w:val="20"/>
        </w:rPr>
        <w:t>4</w:t>
      </w:r>
      <w:r>
        <w:rPr>
          <w:rFonts w:eastAsia="Times New Roman"/>
          <w:sz w:val="20"/>
          <w:szCs w:val="20"/>
        </w:rPr>
        <w:t>)</w:t>
      </w:r>
    </w:p>
    <w:p w14:paraId="15314FE1" w14:textId="77777777" w:rsidR="00000000" w:rsidRDefault="00832D71">
      <w:pPr>
        <w:jc w:val="both"/>
        <w:divId w:val="846676172"/>
        <w:rPr>
          <w:rFonts w:eastAsia="Times New Roman"/>
        </w:rPr>
      </w:pPr>
      <w:r>
        <w:rPr>
          <w:rFonts w:eastAsia="Times New Roman"/>
          <w:sz w:val="20"/>
          <w:szCs w:val="20"/>
        </w:rPr>
        <w:t>The value (i.e., cash payment) realized was calculated in accordance with the terms and conditions of the LTIP. The Partnership’s Distribution Coverage Ratio, over the three-year measurement period of the fiscal 2020 award, was such that the participant</w:t>
      </w:r>
      <w:r>
        <w:rPr>
          <w:rFonts w:eastAsia="Times New Roman"/>
          <w:sz w:val="20"/>
          <w:szCs w:val="20"/>
        </w:rPr>
        <w:t>s, including our named executive officers, earned 110% of their target payment amounts. For more information, refer to the subheading “Long-Term Incentive Plan” in the “Compensation Discussion and Analysis.”</w:t>
      </w:r>
      <w:r>
        <w:rPr>
          <w:rFonts w:eastAsia="Times New Roman"/>
          <w:sz w:val="20"/>
          <w:szCs w:val="20"/>
        </w:rPr>
        <w:t xml:space="preserve"> </w:t>
      </w:r>
    </w:p>
    <w:p w14:paraId="1FD216A6" w14:textId="77777777" w:rsidR="00000000" w:rsidRDefault="00832D71">
      <w:pPr>
        <w:pStyle w:val="a3"/>
        <w:spacing w:before="0" w:beforeAutospacing="0" w:after="0" w:afterAutospacing="0"/>
        <w:jc w:val="center"/>
        <w:rPr>
          <w:sz w:val="20"/>
          <w:szCs w:val="20"/>
        </w:rPr>
      </w:pPr>
      <w:r>
        <w:rPr>
          <w:sz w:val="20"/>
          <w:szCs w:val="20"/>
        </w:rPr>
        <w:t> </w:t>
      </w:r>
    </w:p>
    <w:p w14:paraId="59BBA2B7" w14:textId="77777777" w:rsidR="00000000" w:rsidRDefault="00832D71">
      <w:pPr>
        <w:pStyle w:val="a3"/>
        <w:spacing w:before="0" w:beforeAutospacing="0" w:after="0" w:afterAutospacing="0"/>
        <w:jc w:val="center"/>
        <w:rPr>
          <w:sz w:val="20"/>
          <w:szCs w:val="20"/>
        </w:rPr>
      </w:pPr>
      <w:r>
        <w:rPr>
          <w:sz w:val="20"/>
          <w:szCs w:val="20"/>
        </w:rPr>
        <w:t>7</w:t>
      </w:r>
      <w:r>
        <w:rPr>
          <w:sz w:val="20"/>
          <w:szCs w:val="20"/>
        </w:rPr>
        <w:t>9</w:t>
      </w:r>
    </w:p>
    <w:p w14:paraId="0E5E1A1B" w14:textId="77777777" w:rsidR="00000000" w:rsidRDefault="00832D71">
      <w:pPr>
        <w:rPr>
          <w:rFonts w:eastAsia="Times New Roman"/>
        </w:rPr>
      </w:pPr>
      <w:r>
        <w:rPr>
          <w:rFonts w:eastAsia="Times New Roman"/>
        </w:rPr>
        <w:pict w14:anchorId="424B6C30">
          <v:rect id="_x0000_i1106" style="width:0;height:1.5pt" o:hralign="center" o:hrstd="t" o:hr="t" fillcolor="#a0a0a0" stroked="f"/>
        </w:pict>
      </w:r>
    </w:p>
    <w:p w14:paraId="4B1C2632"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11F22256" w14:textId="77777777" w:rsidR="00000000" w:rsidRDefault="00832D71">
      <w:pPr>
        <w:pStyle w:val="a3"/>
        <w:spacing w:before="360" w:beforeAutospacing="0" w:after="0" w:afterAutospacing="0"/>
        <w:jc w:val="both"/>
        <w:rPr>
          <w:sz w:val="20"/>
          <w:szCs w:val="20"/>
        </w:rPr>
      </w:pPr>
      <w:r>
        <w:rPr>
          <w:b/>
          <w:bCs/>
          <w:sz w:val="20"/>
          <w:szCs w:val="20"/>
        </w:rPr>
        <w:t>Retirement Benefits Table for Fiscal 202</w:t>
      </w:r>
      <w:r>
        <w:rPr>
          <w:b/>
          <w:bCs/>
          <w:sz w:val="20"/>
          <w:szCs w:val="20"/>
        </w:rPr>
        <w:t>2</w:t>
      </w:r>
    </w:p>
    <w:p w14:paraId="111BEC60" w14:textId="77777777" w:rsidR="00000000" w:rsidRDefault="00832D71">
      <w:pPr>
        <w:pStyle w:val="a3"/>
        <w:spacing w:before="120" w:beforeAutospacing="0" w:after="0" w:afterAutospacing="0"/>
        <w:ind w:firstLine="555"/>
        <w:jc w:val="both"/>
        <w:rPr>
          <w:sz w:val="20"/>
          <w:szCs w:val="20"/>
        </w:rPr>
      </w:pPr>
      <w:r>
        <w:rPr>
          <w:sz w:val="20"/>
          <w:szCs w:val="20"/>
        </w:rPr>
        <w:t>The following table sets forth certain information concerning each plan that provides for payments or other benefits at, following, or in connection with retirement for each named executive officer as of the end of the fiscal year ended September 24, 2022</w:t>
      </w:r>
      <w:r>
        <w:rPr>
          <w:sz w:val="20"/>
          <w:szCs w:val="20"/>
        </w:rPr>
        <w:t>:</w:t>
      </w:r>
    </w:p>
    <w:p w14:paraId="7747DC03" w14:textId="77777777" w:rsidR="00000000" w:rsidRDefault="00832D71">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084"/>
        <w:gridCol w:w="110"/>
        <w:gridCol w:w="1308"/>
        <w:gridCol w:w="110"/>
        <w:gridCol w:w="755"/>
        <w:gridCol w:w="110"/>
        <w:gridCol w:w="161"/>
        <w:gridCol w:w="1254"/>
        <w:gridCol w:w="110"/>
        <w:gridCol w:w="110"/>
        <w:gridCol w:w="161"/>
        <w:gridCol w:w="1077"/>
        <w:gridCol w:w="125"/>
      </w:tblGrid>
      <w:tr w:rsidR="00000000" w14:paraId="5FB7B53D" w14:textId="77777777">
        <w:trPr>
          <w:tblCellSpacing w:w="15" w:type="dxa"/>
        </w:trPr>
        <w:tc>
          <w:tcPr>
            <w:tcW w:w="1471" w:type="pct"/>
            <w:vAlign w:val="center"/>
            <w:hideMark/>
          </w:tcPr>
          <w:p w14:paraId="1AD067B0" w14:textId="77777777" w:rsidR="00000000" w:rsidRDefault="00832D71">
            <w:pPr>
              <w:rPr>
                <w:sz w:val="20"/>
                <w:szCs w:val="20"/>
              </w:rPr>
            </w:pPr>
          </w:p>
        </w:tc>
        <w:tc>
          <w:tcPr>
            <w:tcW w:w="49" w:type="pct"/>
            <w:vAlign w:val="center"/>
            <w:hideMark/>
          </w:tcPr>
          <w:p w14:paraId="48268382" w14:textId="77777777" w:rsidR="00000000" w:rsidRDefault="00832D71">
            <w:pPr>
              <w:rPr>
                <w:rFonts w:eastAsia="Times New Roman"/>
                <w:sz w:val="20"/>
                <w:szCs w:val="20"/>
              </w:rPr>
            </w:pPr>
          </w:p>
        </w:tc>
        <w:tc>
          <w:tcPr>
            <w:tcW w:w="932" w:type="pct"/>
            <w:vAlign w:val="center"/>
            <w:hideMark/>
          </w:tcPr>
          <w:p w14:paraId="088FF164" w14:textId="77777777" w:rsidR="00000000" w:rsidRDefault="00832D71">
            <w:pPr>
              <w:rPr>
                <w:rFonts w:eastAsia="Times New Roman"/>
                <w:sz w:val="20"/>
                <w:szCs w:val="20"/>
              </w:rPr>
            </w:pPr>
          </w:p>
        </w:tc>
        <w:tc>
          <w:tcPr>
            <w:tcW w:w="48" w:type="pct"/>
            <w:vAlign w:val="center"/>
            <w:hideMark/>
          </w:tcPr>
          <w:p w14:paraId="152C30AB" w14:textId="77777777" w:rsidR="00000000" w:rsidRDefault="00832D71">
            <w:pPr>
              <w:rPr>
                <w:rFonts w:eastAsia="Times New Roman"/>
                <w:sz w:val="20"/>
                <w:szCs w:val="20"/>
              </w:rPr>
            </w:pPr>
          </w:p>
        </w:tc>
        <w:tc>
          <w:tcPr>
            <w:tcW w:w="539" w:type="pct"/>
            <w:vAlign w:val="center"/>
            <w:hideMark/>
          </w:tcPr>
          <w:p w14:paraId="5B53D175" w14:textId="77777777" w:rsidR="00000000" w:rsidRDefault="00832D71">
            <w:pPr>
              <w:rPr>
                <w:rFonts w:eastAsia="Times New Roman"/>
                <w:sz w:val="20"/>
                <w:szCs w:val="20"/>
              </w:rPr>
            </w:pPr>
          </w:p>
        </w:tc>
        <w:tc>
          <w:tcPr>
            <w:tcW w:w="48" w:type="pct"/>
            <w:vAlign w:val="center"/>
            <w:hideMark/>
          </w:tcPr>
          <w:p w14:paraId="39975E54" w14:textId="77777777" w:rsidR="00000000" w:rsidRDefault="00832D71">
            <w:pPr>
              <w:rPr>
                <w:rFonts w:eastAsia="Times New Roman"/>
                <w:sz w:val="20"/>
                <w:szCs w:val="20"/>
              </w:rPr>
            </w:pPr>
          </w:p>
        </w:tc>
        <w:tc>
          <w:tcPr>
            <w:tcW w:w="50" w:type="pct"/>
            <w:vAlign w:val="center"/>
            <w:hideMark/>
          </w:tcPr>
          <w:p w14:paraId="7F0A9AC6" w14:textId="77777777" w:rsidR="00000000" w:rsidRDefault="00832D71">
            <w:pPr>
              <w:rPr>
                <w:rFonts w:eastAsia="Times New Roman"/>
                <w:sz w:val="20"/>
                <w:szCs w:val="20"/>
              </w:rPr>
            </w:pPr>
          </w:p>
        </w:tc>
        <w:tc>
          <w:tcPr>
            <w:tcW w:w="893" w:type="pct"/>
            <w:vAlign w:val="center"/>
            <w:hideMark/>
          </w:tcPr>
          <w:p w14:paraId="54E08B19" w14:textId="77777777" w:rsidR="00000000" w:rsidRDefault="00832D71">
            <w:pPr>
              <w:rPr>
                <w:rFonts w:eastAsia="Times New Roman"/>
                <w:sz w:val="20"/>
                <w:szCs w:val="20"/>
              </w:rPr>
            </w:pPr>
          </w:p>
        </w:tc>
        <w:tc>
          <w:tcPr>
            <w:tcW w:w="50" w:type="pct"/>
            <w:vAlign w:val="center"/>
            <w:hideMark/>
          </w:tcPr>
          <w:p w14:paraId="454530F2" w14:textId="77777777" w:rsidR="00000000" w:rsidRDefault="00832D71">
            <w:pPr>
              <w:rPr>
                <w:rFonts w:eastAsia="Times New Roman"/>
                <w:sz w:val="20"/>
                <w:szCs w:val="20"/>
              </w:rPr>
            </w:pPr>
          </w:p>
        </w:tc>
        <w:tc>
          <w:tcPr>
            <w:tcW w:w="48" w:type="pct"/>
            <w:vAlign w:val="center"/>
            <w:hideMark/>
          </w:tcPr>
          <w:p w14:paraId="0A739F37" w14:textId="77777777" w:rsidR="00000000" w:rsidRDefault="00832D71">
            <w:pPr>
              <w:rPr>
                <w:rFonts w:eastAsia="Times New Roman"/>
                <w:sz w:val="20"/>
                <w:szCs w:val="20"/>
              </w:rPr>
            </w:pPr>
          </w:p>
        </w:tc>
        <w:tc>
          <w:tcPr>
            <w:tcW w:w="50" w:type="pct"/>
            <w:vAlign w:val="center"/>
            <w:hideMark/>
          </w:tcPr>
          <w:p w14:paraId="10AFB8A8" w14:textId="77777777" w:rsidR="00000000" w:rsidRDefault="00832D71">
            <w:pPr>
              <w:rPr>
                <w:rFonts w:eastAsia="Times New Roman"/>
                <w:sz w:val="20"/>
                <w:szCs w:val="20"/>
              </w:rPr>
            </w:pPr>
          </w:p>
        </w:tc>
        <w:tc>
          <w:tcPr>
            <w:tcW w:w="767" w:type="pct"/>
            <w:vAlign w:val="center"/>
            <w:hideMark/>
          </w:tcPr>
          <w:p w14:paraId="404BB6EF" w14:textId="77777777" w:rsidR="00000000" w:rsidRDefault="00832D71">
            <w:pPr>
              <w:rPr>
                <w:rFonts w:eastAsia="Times New Roman"/>
                <w:sz w:val="20"/>
                <w:szCs w:val="20"/>
              </w:rPr>
            </w:pPr>
          </w:p>
        </w:tc>
        <w:tc>
          <w:tcPr>
            <w:tcW w:w="50" w:type="pct"/>
            <w:vAlign w:val="center"/>
            <w:hideMark/>
          </w:tcPr>
          <w:p w14:paraId="33B5C79E" w14:textId="77777777" w:rsidR="00000000" w:rsidRDefault="00832D71">
            <w:pPr>
              <w:rPr>
                <w:rFonts w:eastAsia="Times New Roman"/>
                <w:sz w:val="20"/>
                <w:szCs w:val="20"/>
              </w:rPr>
            </w:pPr>
          </w:p>
        </w:tc>
      </w:tr>
      <w:tr w:rsidR="00000000" w14:paraId="3C5E7A4E" w14:textId="77777777">
        <w:trPr>
          <w:trHeight w:val="160"/>
          <w:tblCellSpacing w:w="15" w:type="dxa"/>
        </w:trPr>
        <w:tc>
          <w:tcPr>
            <w:tcW w:w="0" w:type="auto"/>
            <w:vAlign w:val="bottom"/>
            <w:hideMark/>
          </w:tcPr>
          <w:p w14:paraId="25B0D1E2" w14:textId="77777777" w:rsidR="00000000" w:rsidRDefault="00832D71">
            <w:pPr>
              <w:pStyle w:val="a3"/>
              <w:spacing w:before="0" w:beforeAutospacing="0" w:after="0" w:afterAutospacing="0"/>
              <w:jc w:val="center"/>
              <w:rPr>
                <w:sz w:val="16"/>
                <w:szCs w:val="16"/>
              </w:rPr>
            </w:pPr>
            <w:r>
              <w:rPr>
                <w:b/>
                <w:bCs/>
                <w:sz w:val="16"/>
                <w:szCs w:val="16"/>
              </w:rPr>
              <w:t>Nam</w:t>
            </w:r>
            <w:r>
              <w:rPr>
                <w:b/>
                <w:bCs/>
                <w:sz w:val="16"/>
                <w:szCs w:val="16"/>
              </w:rPr>
              <w:t>e</w:t>
            </w:r>
          </w:p>
        </w:tc>
        <w:tc>
          <w:tcPr>
            <w:tcW w:w="0" w:type="auto"/>
            <w:hideMark/>
          </w:tcPr>
          <w:p w14:paraId="0B70941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8EDC051" w14:textId="77777777" w:rsidR="00000000" w:rsidRDefault="00832D71">
            <w:pPr>
              <w:pStyle w:val="a3"/>
              <w:spacing w:before="0" w:beforeAutospacing="0" w:after="0" w:afterAutospacing="0"/>
              <w:jc w:val="center"/>
              <w:rPr>
                <w:sz w:val="16"/>
                <w:szCs w:val="16"/>
              </w:rPr>
            </w:pPr>
            <w:r>
              <w:rPr>
                <w:b/>
                <w:bCs/>
                <w:sz w:val="16"/>
                <w:szCs w:val="16"/>
              </w:rPr>
              <w:t>Plan Nam</w:t>
            </w:r>
            <w:r>
              <w:rPr>
                <w:b/>
                <w:bCs/>
                <w:sz w:val="16"/>
                <w:szCs w:val="16"/>
              </w:rPr>
              <w:t>e</w:t>
            </w:r>
          </w:p>
        </w:tc>
        <w:tc>
          <w:tcPr>
            <w:tcW w:w="0" w:type="auto"/>
            <w:hideMark/>
          </w:tcPr>
          <w:p w14:paraId="53F7E9B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8CD3EAF" w14:textId="77777777" w:rsidR="00000000" w:rsidRDefault="00832D71">
            <w:pPr>
              <w:pStyle w:val="a3"/>
              <w:spacing w:before="0" w:beforeAutospacing="0" w:after="0" w:afterAutospacing="0"/>
              <w:jc w:val="center"/>
              <w:rPr>
                <w:sz w:val="16"/>
                <w:szCs w:val="16"/>
              </w:rPr>
            </w:pPr>
            <w:r>
              <w:rPr>
                <w:b/>
                <w:bCs/>
                <w:sz w:val="16"/>
                <w:szCs w:val="16"/>
              </w:rPr>
              <w:t>Number of Years Credited Servic</w:t>
            </w:r>
            <w:r>
              <w:rPr>
                <w:b/>
                <w:bCs/>
                <w:sz w:val="16"/>
                <w:szCs w:val="16"/>
              </w:rPr>
              <w:t>e</w:t>
            </w:r>
          </w:p>
        </w:tc>
        <w:tc>
          <w:tcPr>
            <w:tcW w:w="0" w:type="auto"/>
            <w:hideMark/>
          </w:tcPr>
          <w:p w14:paraId="24EAA46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8B2D62B" w14:textId="77777777" w:rsidR="00000000" w:rsidRDefault="00832D71">
            <w:pPr>
              <w:pStyle w:val="a3"/>
              <w:spacing w:before="0" w:beforeAutospacing="0" w:after="0" w:afterAutospacing="0"/>
              <w:jc w:val="center"/>
              <w:rPr>
                <w:sz w:val="16"/>
                <w:szCs w:val="16"/>
              </w:rPr>
            </w:pPr>
            <w:r>
              <w:rPr>
                <w:b/>
                <w:bCs/>
                <w:sz w:val="16"/>
                <w:szCs w:val="16"/>
              </w:rPr>
              <w:t>Present Value of Accumulated Benefi</w:t>
            </w:r>
            <w:r>
              <w:rPr>
                <w:b/>
                <w:bCs/>
                <w:sz w:val="16"/>
                <w:szCs w:val="16"/>
              </w:rPr>
              <w:t>t</w:t>
            </w:r>
          </w:p>
        </w:tc>
        <w:tc>
          <w:tcPr>
            <w:tcW w:w="0" w:type="auto"/>
            <w:vAlign w:val="bottom"/>
            <w:hideMark/>
          </w:tcPr>
          <w:p w14:paraId="5FCF1107"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5CD187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830DF7B" w14:textId="77777777" w:rsidR="00000000" w:rsidRDefault="00832D71">
            <w:pPr>
              <w:pStyle w:val="a3"/>
              <w:spacing w:before="0" w:beforeAutospacing="0" w:after="0" w:afterAutospacing="0"/>
              <w:jc w:val="center"/>
              <w:rPr>
                <w:sz w:val="16"/>
                <w:szCs w:val="16"/>
              </w:rPr>
            </w:pPr>
            <w:r>
              <w:rPr>
                <w:b/>
                <w:bCs/>
                <w:sz w:val="16"/>
                <w:szCs w:val="16"/>
              </w:rPr>
              <w:t>Payments During Last Fiscal Yea</w:t>
            </w:r>
            <w:r>
              <w:rPr>
                <w:b/>
                <w:bCs/>
                <w:sz w:val="16"/>
                <w:szCs w:val="16"/>
              </w:rPr>
              <w:t>r</w:t>
            </w:r>
          </w:p>
        </w:tc>
        <w:tc>
          <w:tcPr>
            <w:tcW w:w="0" w:type="auto"/>
            <w:vAlign w:val="bottom"/>
            <w:hideMark/>
          </w:tcPr>
          <w:p w14:paraId="15FA3F63"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EF94CD0" w14:textId="77777777">
        <w:trPr>
          <w:trHeight w:val="200"/>
          <w:tblCellSpacing w:w="15" w:type="dxa"/>
        </w:trPr>
        <w:tc>
          <w:tcPr>
            <w:tcW w:w="0" w:type="auto"/>
            <w:vAlign w:val="bottom"/>
            <w:hideMark/>
          </w:tcPr>
          <w:p w14:paraId="0F86C4CD" w14:textId="77777777" w:rsidR="00000000" w:rsidRDefault="00832D71">
            <w:pPr>
              <w:pStyle w:val="a3"/>
              <w:spacing w:before="0" w:beforeAutospacing="0" w:after="0" w:afterAutospacing="0"/>
              <w:rPr>
                <w:sz w:val="20"/>
                <w:szCs w:val="20"/>
              </w:rPr>
            </w:pPr>
            <w:r>
              <w:rPr>
                <w:sz w:val="20"/>
                <w:szCs w:val="20"/>
              </w:rPr>
              <w:t>Michael A. Stivala (1</w:t>
            </w:r>
            <w:r>
              <w:rPr>
                <w:sz w:val="20"/>
                <w:szCs w:val="20"/>
              </w:rPr>
              <w:t>)</w:t>
            </w:r>
          </w:p>
        </w:tc>
        <w:tc>
          <w:tcPr>
            <w:tcW w:w="0" w:type="auto"/>
            <w:vAlign w:val="bottom"/>
            <w:hideMark/>
          </w:tcPr>
          <w:p w14:paraId="4038A45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8069751" w14:textId="77777777" w:rsidR="00000000" w:rsidRDefault="00832D71">
            <w:pPr>
              <w:pStyle w:val="a3"/>
              <w:spacing w:before="0" w:beforeAutospacing="0" w:after="0" w:afterAutospacing="0"/>
              <w:rPr>
                <w:sz w:val="20"/>
                <w:szCs w:val="20"/>
              </w:rPr>
            </w:pPr>
            <w:r>
              <w:rPr>
                <w:sz w:val="20"/>
                <w:szCs w:val="20"/>
              </w:rPr>
              <w:t>N/</w:t>
            </w:r>
            <w:r>
              <w:rPr>
                <w:sz w:val="20"/>
                <w:szCs w:val="20"/>
              </w:rPr>
              <w:t>A</w:t>
            </w:r>
          </w:p>
        </w:tc>
        <w:tc>
          <w:tcPr>
            <w:tcW w:w="0" w:type="auto"/>
            <w:vAlign w:val="bottom"/>
            <w:hideMark/>
          </w:tcPr>
          <w:p w14:paraId="0FE7F13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01DAF4F" w14:textId="77777777" w:rsidR="00000000" w:rsidRDefault="00832D71">
            <w:pPr>
              <w:pStyle w:val="a3"/>
              <w:spacing w:before="0" w:beforeAutospacing="0" w:after="0" w:afterAutospacing="0"/>
              <w:jc w:val="center"/>
              <w:rPr>
                <w:sz w:val="20"/>
                <w:szCs w:val="20"/>
              </w:rPr>
            </w:pPr>
            <w:r>
              <w:rPr>
                <w:sz w:val="20"/>
                <w:szCs w:val="20"/>
              </w:rPr>
              <w:t>N/</w:t>
            </w:r>
            <w:r>
              <w:rPr>
                <w:sz w:val="20"/>
                <w:szCs w:val="20"/>
              </w:rPr>
              <w:t>A</w:t>
            </w:r>
          </w:p>
        </w:tc>
        <w:tc>
          <w:tcPr>
            <w:tcW w:w="0" w:type="auto"/>
            <w:vAlign w:val="bottom"/>
            <w:hideMark/>
          </w:tcPr>
          <w:p w14:paraId="1DDB4BD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0F9E87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E576018"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490E23C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E8065D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ECF127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9052026"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64AF2A5E" w14:textId="77777777" w:rsidR="00000000" w:rsidRDefault="00832D71">
            <w:pPr>
              <w:pStyle w:val="a3"/>
              <w:spacing w:before="0" w:beforeAutospacing="0" w:after="0" w:afterAutospacing="0"/>
              <w:rPr>
                <w:sz w:val="20"/>
                <w:szCs w:val="20"/>
              </w:rPr>
            </w:pPr>
            <w:r>
              <w:rPr>
                <w:sz w:val="20"/>
                <w:szCs w:val="20"/>
              </w:rPr>
              <w:t> </w:t>
            </w:r>
          </w:p>
        </w:tc>
      </w:tr>
      <w:tr w:rsidR="00000000" w14:paraId="69B11DD5" w14:textId="77777777">
        <w:trPr>
          <w:tblCellSpacing w:w="15" w:type="dxa"/>
        </w:trPr>
        <w:tc>
          <w:tcPr>
            <w:tcW w:w="0" w:type="auto"/>
            <w:vAlign w:val="bottom"/>
            <w:hideMark/>
          </w:tcPr>
          <w:p w14:paraId="2D049A49"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249FAA61"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1C580622"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77F01759"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0BC98BB" w14:textId="77777777" w:rsidR="00000000" w:rsidRDefault="00832D71">
            <w:pPr>
              <w:pStyle w:val="a3"/>
              <w:spacing w:before="0" w:beforeAutospacing="0" w:after="0" w:afterAutospacing="0"/>
              <w:jc w:val="center"/>
              <w:rPr>
                <w:sz w:val="12"/>
                <w:szCs w:val="12"/>
              </w:rPr>
            </w:pPr>
            <w:r>
              <w:rPr>
                <w:sz w:val="12"/>
                <w:szCs w:val="12"/>
              </w:rPr>
              <w:t> </w:t>
            </w:r>
          </w:p>
        </w:tc>
        <w:tc>
          <w:tcPr>
            <w:tcW w:w="0" w:type="auto"/>
            <w:vAlign w:val="bottom"/>
            <w:hideMark/>
          </w:tcPr>
          <w:p w14:paraId="6E3C313F" w14:textId="77777777" w:rsidR="00000000" w:rsidRDefault="00832D71">
            <w:pPr>
              <w:pStyle w:val="a3"/>
              <w:spacing w:before="0" w:beforeAutospacing="0" w:after="0" w:afterAutospacing="0"/>
              <w:rPr>
                <w:sz w:val="12"/>
                <w:szCs w:val="12"/>
              </w:rPr>
            </w:pPr>
            <w:r>
              <w:rPr>
                <w:sz w:val="12"/>
                <w:szCs w:val="12"/>
              </w:rPr>
              <w:t> </w:t>
            </w:r>
          </w:p>
        </w:tc>
        <w:tc>
          <w:tcPr>
            <w:tcW w:w="0" w:type="auto"/>
            <w:gridSpan w:val="2"/>
            <w:vAlign w:val="bottom"/>
            <w:hideMark/>
          </w:tcPr>
          <w:p w14:paraId="163A2CA2" w14:textId="77777777" w:rsidR="00000000" w:rsidRDefault="00832D71">
            <w:pPr>
              <w:pStyle w:val="a3"/>
              <w:spacing w:before="0" w:beforeAutospacing="0" w:after="0" w:afterAutospacing="0"/>
              <w:jc w:val="center"/>
              <w:rPr>
                <w:sz w:val="12"/>
                <w:szCs w:val="12"/>
              </w:rPr>
            </w:pPr>
            <w:r>
              <w:rPr>
                <w:sz w:val="12"/>
                <w:szCs w:val="12"/>
              </w:rPr>
              <w:t> </w:t>
            </w:r>
          </w:p>
        </w:tc>
        <w:tc>
          <w:tcPr>
            <w:tcW w:w="0" w:type="auto"/>
            <w:vAlign w:val="bottom"/>
            <w:hideMark/>
          </w:tcPr>
          <w:p w14:paraId="50CF084F" w14:textId="77777777" w:rsidR="00000000" w:rsidRDefault="00832D71">
            <w:pPr>
              <w:pStyle w:val="a3"/>
              <w:spacing w:before="0" w:beforeAutospacing="0" w:after="0" w:afterAutospacing="0"/>
              <w:jc w:val="center"/>
              <w:rPr>
                <w:sz w:val="12"/>
                <w:szCs w:val="12"/>
              </w:rPr>
            </w:pPr>
            <w:r>
              <w:rPr>
                <w:sz w:val="12"/>
                <w:szCs w:val="12"/>
              </w:rPr>
              <w:t> </w:t>
            </w:r>
          </w:p>
        </w:tc>
        <w:tc>
          <w:tcPr>
            <w:tcW w:w="0" w:type="auto"/>
            <w:vAlign w:val="bottom"/>
            <w:hideMark/>
          </w:tcPr>
          <w:p w14:paraId="317EA727" w14:textId="77777777" w:rsidR="00000000" w:rsidRDefault="00832D71">
            <w:pPr>
              <w:pStyle w:val="a3"/>
              <w:spacing w:before="0" w:beforeAutospacing="0" w:after="0" w:afterAutospacing="0"/>
              <w:rPr>
                <w:sz w:val="12"/>
                <w:szCs w:val="12"/>
              </w:rPr>
            </w:pPr>
            <w:r>
              <w:rPr>
                <w:sz w:val="12"/>
                <w:szCs w:val="12"/>
              </w:rPr>
              <w:t> </w:t>
            </w:r>
          </w:p>
        </w:tc>
        <w:tc>
          <w:tcPr>
            <w:tcW w:w="0" w:type="auto"/>
            <w:gridSpan w:val="2"/>
            <w:vAlign w:val="bottom"/>
            <w:hideMark/>
          </w:tcPr>
          <w:p w14:paraId="62DF3E96" w14:textId="77777777" w:rsidR="00000000" w:rsidRDefault="00832D71">
            <w:pPr>
              <w:pStyle w:val="a3"/>
              <w:spacing w:before="0" w:beforeAutospacing="0" w:after="0" w:afterAutospacing="0"/>
              <w:jc w:val="right"/>
              <w:rPr>
                <w:sz w:val="12"/>
                <w:szCs w:val="12"/>
              </w:rPr>
            </w:pPr>
            <w:r>
              <w:rPr>
                <w:sz w:val="12"/>
                <w:szCs w:val="12"/>
              </w:rPr>
              <w:t> </w:t>
            </w:r>
          </w:p>
        </w:tc>
        <w:tc>
          <w:tcPr>
            <w:tcW w:w="0" w:type="auto"/>
            <w:vAlign w:val="bottom"/>
            <w:hideMark/>
          </w:tcPr>
          <w:p w14:paraId="2970DBE8" w14:textId="77777777" w:rsidR="00000000" w:rsidRDefault="00832D71">
            <w:pPr>
              <w:pStyle w:val="a3"/>
              <w:spacing w:before="0" w:beforeAutospacing="0" w:after="0" w:afterAutospacing="0"/>
              <w:jc w:val="right"/>
              <w:rPr>
                <w:sz w:val="12"/>
                <w:szCs w:val="12"/>
              </w:rPr>
            </w:pPr>
            <w:r>
              <w:rPr>
                <w:sz w:val="12"/>
                <w:szCs w:val="12"/>
              </w:rPr>
              <w:t> </w:t>
            </w:r>
          </w:p>
        </w:tc>
      </w:tr>
      <w:tr w:rsidR="00000000" w14:paraId="51727BF6" w14:textId="77777777">
        <w:trPr>
          <w:trHeight w:val="200"/>
          <w:tblCellSpacing w:w="15" w:type="dxa"/>
        </w:trPr>
        <w:tc>
          <w:tcPr>
            <w:tcW w:w="0" w:type="auto"/>
            <w:vAlign w:val="bottom"/>
            <w:hideMark/>
          </w:tcPr>
          <w:p w14:paraId="4AD26A51" w14:textId="77777777" w:rsidR="00000000" w:rsidRDefault="00832D71">
            <w:pPr>
              <w:pStyle w:val="a3"/>
              <w:spacing w:before="0" w:beforeAutospacing="0" w:after="0" w:afterAutospacing="0"/>
              <w:rPr>
                <w:sz w:val="20"/>
                <w:szCs w:val="20"/>
              </w:rPr>
            </w:pPr>
            <w:r>
              <w:rPr>
                <w:sz w:val="20"/>
                <w:szCs w:val="20"/>
              </w:rPr>
              <w:t>Michael A. Kuglin (1</w:t>
            </w:r>
            <w:r>
              <w:rPr>
                <w:sz w:val="20"/>
                <w:szCs w:val="20"/>
              </w:rPr>
              <w:t>)</w:t>
            </w:r>
          </w:p>
        </w:tc>
        <w:tc>
          <w:tcPr>
            <w:tcW w:w="0" w:type="auto"/>
            <w:vAlign w:val="bottom"/>
            <w:hideMark/>
          </w:tcPr>
          <w:p w14:paraId="05457B8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5A06BD7" w14:textId="77777777" w:rsidR="00000000" w:rsidRDefault="00832D71">
            <w:pPr>
              <w:pStyle w:val="a3"/>
              <w:spacing w:before="0" w:beforeAutospacing="0" w:after="0" w:afterAutospacing="0"/>
              <w:rPr>
                <w:sz w:val="20"/>
                <w:szCs w:val="20"/>
              </w:rPr>
            </w:pPr>
            <w:r>
              <w:rPr>
                <w:sz w:val="20"/>
                <w:szCs w:val="20"/>
              </w:rPr>
              <w:t>N/</w:t>
            </w:r>
            <w:r>
              <w:rPr>
                <w:sz w:val="20"/>
                <w:szCs w:val="20"/>
              </w:rPr>
              <w:t>A</w:t>
            </w:r>
          </w:p>
        </w:tc>
        <w:tc>
          <w:tcPr>
            <w:tcW w:w="0" w:type="auto"/>
            <w:vAlign w:val="bottom"/>
            <w:hideMark/>
          </w:tcPr>
          <w:p w14:paraId="0655FEB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C1A2DCB" w14:textId="77777777" w:rsidR="00000000" w:rsidRDefault="00832D71">
            <w:pPr>
              <w:pStyle w:val="a3"/>
              <w:spacing w:before="0" w:beforeAutospacing="0" w:after="0" w:afterAutospacing="0"/>
              <w:jc w:val="center"/>
              <w:rPr>
                <w:sz w:val="20"/>
                <w:szCs w:val="20"/>
              </w:rPr>
            </w:pPr>
            <w:r>
              <w:rPr>
                <w:sz w:val="20"/>
                <w:szCs w:val="20"/>
              </w:rPr>
              <w:t>N/</w:t>
            </w:r>
            <w:r>
              <w:rPr>
                <w:sz w:val="20"/>
                <w:szCs w:val="20"/>
              </w:rPr>
              <w:t>A</w:t>
            </w:r>
          </w:p>
        </w:tc>
        <w:tc>
          <w:tcPr>
            <w:tcW w:w="0" w:type="auto"/>
            <w:vAlign w:val="bottom"/>
            <w:hideMark/>
          </w:tcPr>
          <w:p w14:paraId="035B80C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867A5A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B4A2E29"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17D9D3D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AA04C7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2A1A8D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ED77B33"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B9E42B9" w14:textId="77777777" w:rsidR="00000000" w:rsidRDefault="00832D71">
            <w:pPr>
              <w:pStyle w:val="a3"/>
              <w:spacing w:before="0" w:beforeAutospacing="0" w:after="0" w:afterAutospacing="0"/>
              <w:rPr>
                <w:sz w:val="20"/>
                <w:szCs w:val="20"/>
              </w:rPr>
            </w:pPr>
            <w:r>
              <w:rPr>
                <w:sz w:val="20"/>
                <w:szCs w:val="20"/>
              </w:rPr>
              <w:t> </w:t>
            </w:r>
          </w:p>
        </w:tc>
      </w:tr>
      <w:tr w:rsidR="00000000" w14:paraId="0BA3F3D1" w14:textId="77777777">
        <w:trPr>
          <w:tblCellSpacing w:w="15" w:type="dxa"/>
        </w:trPr>
        <w:tc>
          <w:tcPr>
            <w:tcW w:w="0" w:type="auto"/>
            <w:vAlign w:val="bottom"/>
            <w:hideMark/>
          </w:tcPr>
          <w:p w14:paraId="300A7485"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1C24D83A"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4C87EE9A"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15D9795E"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311C272" w14:textId="77777777" w:rsidR="00000000" w:rsidRDefault="00832D71">
            <w:pPr>
              <w:pStyle w:val="a3"/>
              <w:spacing w:before="0" w:beforeAutospacing="0" w:after="0" w:afterAutospacing="0"/>
              <w:jc w:val="center"/>
              <w:rPr>
                <w:sz w:val="12"/>
                <w:szCs w:val="12"/>
              </w:rPr>
            </w:pPr>
            <w:r>
              <w:rPr>
                <w:sz w:val="12"/>
                <w:szCs w:val="12"/>
              </w:rPr>
              <w:t> </w:t>
            </w:r>
          </w:p>
        </w:tc>
        <w:tc>
          <w:tcPr>
            <w:tcW w:w="0" w:type="auto"/>
            <w:vAlign w:val="bottom"/>
            <w:hideMark/>
          </w:tcPr>
          <w:p w14:paraId="6B5D6B33" w14:textId="77777777" w:rsidR="00000000" w:rsidRDefault="00832D71">
            <w:pPr>
              <w:pStyle w:val="a3"/>
              <w:spacing w:before="0" w:beforeAutospacing="0" w:after="0" w:afterAutospacing="0"/>
              <w:rPr>
                <w:sz w:val="12"/>
                <w:szCs w:val="12"/>
              </w:rPr>
            </w:pPr>
            <w:r>
              <w:rPr>
                <w:sz w:val="12"/>
                <w:szCs w:val="12"/>
              </w:rPr>
              <w:t> </w:t>
            </w:r>
          </w:p>
        </w:tc>
        <w:tc>
          <w:tcPr>
            <w:tcW w:w="0" w:type="auto"/>
            <w:gridSpan w:val="2"/>
            <w:vAlign w:val="bottom"/>
            <w:hideMark/>
          </w:tcPr>
          <w:p w14:paraId="79E670EB" w14:textId="77777777" w:rsidR="00000000" w:rsidRDefault="00832D71">
            <w:pPr>
              <w:pStyle w:val="a3"/>
              <w:spacing w:before="0" w:beforeAutospacing="0" w:after="0" w:afterAutospacing="0"/>
              <w:jc w:val="center"/>
              <w:rPr>
                <w:sz w:val="12"/>
                <w:szCs w:val="12"/>
              </w:rPr>
            </w:pPr>
            <w:r>
              <w:rPr>
                <w:sz w:val="12"/>
                <w:szCs w:val="12"/>
              </w:rPr>
              <w:t> </w:t>
            </w:r>
          </w:p>
        </w:tc>
        <w:tc>
          <w:tcPr>
            <w:tcW w:w="0" w:type="auto"/>
            <w:vAlign w:val="bottom"/>
            <w:hideMark/>
          </w:tcPr>
          <w:p w14:paraId="1886EF12" w14:textId="77777777" w:rsidR="00000000" w:rsidRDefault="00832D71">
            <w:pPr>
              <w:pStyle w:val="a3"/>
              <w:spacing w:before="0" w:beforeAutospacing="0" w:after="0" w:afterAutospacing="0"/>
              <w:jc w:val="center"/>
              <w:rPr>
                <w:sz w:val="12"/>
                <w:szCs w:val="12"/>
              </w:rPr>
            </w:pPr>
            <w:r>
              <w:rPr>
                <w:sz w:val="12"/>
                <w:szCs w:val="12"/>
              </w:rPr>
              <w:t> </w:t>
            </w:r>
          </w:p>
        </w:tc>
        <w:tc>
          <w:tcPr>
            <w:tcW w:w="0" w:type="auto"/>
            <w:vAlign w:val="bottom"/>
            <w:hideMark/>
          </w:tcPr>
          <w:p w14:paraId="0B8E3738" w14:textId="77777777" w:rsidR="00000000" w:rsidRDefault="00832D71">
            <w:pPr>
              <w:pStyle w:val="a3"/>
              <w:spacing w:before="0" w:beforeAutospacing="0" w:after="0" w:afterAutospacing="0"/>
              <w:rPr>
                <w:sz w:val="12"/>
                <w:szCs w:val="12"/>
              </w:rPr>
            </w:pPr>
            <w:r>
              <w:rPr>
                <w:sz w:val="12"/>
                <w:szCs w:val="12"/>
              </w:rPr>
              <w:t> </w:t>
            </w:r>
          </w:p>
        </w:tc>
        <w:tc>
          <w:tcPr>
            <w:tcW w:w="0" w:type="auto"/>
            <w:gridSpan w:val="2"/>
            <w:vAlign w:val="bottom"/>
            <w:hideMark/>
          </w:tcPr>
          <w:p w14:paraId="69E9233A" w14:textId="77777777" w:rsidR="00000000" w:rsidRDefault="00832D71">
            <w:pPr>
              <w:pStyle w:val="a3"/>
              <w:spacing w:before="0" w:beforeAutospacing="0" w:after="0" w:afterAutospacing="0"/>
              <w:jc w:val="right"/>
              <w:rPr>
                <w:sz w:val="12"/>
                <w:szCs w:val="12"/>
              </w:rPr>
            </w:pPr>
            <w:r>
              <w:rPr>
                <w:sz w:val="12"/>
                <w:szCs w:val="12"/>
              </w:rPr>
              <w:t> </w:t>
            </w:r>
          </w:p>
        </w:tc>
        <w:tc>
          <w:tcPr>
            <w:tcW w:w="0" w:type="auto"/>
            <w:vAlign w:val="bottom"/>
            <w:hideMark/>
          </w:tcPr>
          <w:p w14:paraId="2FF957A4" w14:textId="77777777" w:rsidR="00000000" w:rsidRDefault="00832D71">
            <w:pPr>
              <w:pStyle w:val="a3"/>
              <w:spacing w:before="0" w:beforeAutospacing="0" w:after="0" w:afterAutospacing="0"/>
              <w:jc w:val="right"/>
              <w:rPr>
                <w:sz w:val="12"/>
                <w:szCs w:val="12"/>
              </w:rPr>
            </w:pPr>
            <w:r>
              <w:rPr>
                <w:sz w:val="12"/>
                <w:szCs w:val="12"/>
              </w:rPr>
              <w:t> </w:t>
            </w:r>
          </w:p>
        </w:tc>
      </w:tr>
      <w:tr w:rsidR="00000000" w14:paraId="65656058" w14:textId="77777777">
        <w:trPr>
          <w:trHeight w:val="200"/>
          <w:tblCellSpacing w:w="15" w:type="dxa"/>
        </w:trPr>
        <w:tc>
          <w:tcPr>
            <w:tcW w:w="0" w:type="auto"/>
            <w:vAlign w:val="bottom"/>
            <w:hideMark/>
          </w:tcPr>
          <w:p w14:paraId="2BCD461C" w14:textId="77777777" w:rsidR="00000000" w:rsidRDefault="00832D71">
            <w:pPr>
              <w:pStyle w:val="a3"/>
              <w:spacing w:before="0" w:beforeAutospacing="0" w:after="0" w:afterAutospacing="0"/>
              <w:rPr>
                <w:sz w:val="20"/>
                <w:szCs w:val="20"/>
              </w:rPr>
            </w:pPr>
            <w:r>
              <w:rPr>
                <w:sz w:val="20"/>
                <w:szCs w:val="20"/>
              </w:rPr>
              <w:t>Steven C. Boy</w:t>
            </w:r>
            <w:r>
              <w:rPr>
                <w:sz w:val="20"/>
                <w:szCs w:val="20"/>
              </w:rPr>
              <w:t>d</w:t>
            </w:r>
          </w:p>
        </w:tc>
        <w:tc>
          <w:tcPr>
            <w:tcW w:w="0" w:type="auto"/>
            <w:vAlign w:val="bottom"/>
            <w:hideMark/>
          </w:tcPr>
          <w:p w14:paraId="7D0767F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02BD5EE" w14:textId="77777777" w:rsidR="00000000" w:rsidRDefault="00832D71">
            <w:pPr>
              <w:pStyle w:val="a3"/>
              <w:spacing w:before="0" w:beforeAutospacing="0" w:after="0" w:afterAutospacing="0"/>
              <w:rPr>
                <w:sz w:val="20"/>
                <w:szCs w:val="20"/>
              </w:rPr>
            </w:pPr>
            <w:r>
              <w:rPr>
                <w:sz w:val="20"/>
                <w:szCs w:val="20"/>
              </w:rPr>
              <w:t>Cas</w:t>
            </w:r>
            <w:r>
              <w:rPr>
                <w:sz w:val="20"/>
                <w:szCs w:val="20"/>
              </w:rPr>
              <w:t>h</w:t>
            </w:r>
            <w:r>
              <w:rPr>
                <w:rFonts w:ascii="Calibri" w:hAnsi="Calibri" w:cs="Calibri"/>
                <w:sz w:val="20"/>
                <w:szCs w:val="20"/>
              </w:rPr>
              <w:t xml:space="preserve"> </w:t>
            </w:r>
            <w:r>
              <w:rPr>
                <w:sz w:val="20"/>
                <w:szCs w:val="20"/>
              </w:rPr>
              <w:t>Balanc</w:t>
            </w:r>
            <w:r>
              <w:rPr>
                <w:sz w:val="20"/>
                <w:szCs w:val="20"/>
              </w:rPr>
              <w:t>e</w:t>
            </w:r>
            <w:r>
              <w:rPr>
                <w:rFonts w:ascii="Calibri" w:hAnsi="Calibri" w:cs="Calibri"/>
                <w:sz w:val="20"/>
                <w:szCs w:val="20"/>
              </w:rPr>
              <w:t xml:space="preserve"> </w:t>
            </w:r>
            <w:r>
              <w:rPr>
                <w:sz w:val="20"/>
                <w:szCs w:val="20"/>
              </w:rPr>
              <w:t>Plan (2</w:t>
            </w:r>
            <w:r>
              <w:rPr>
                <w:sz w:val="20"/>
                <w:szCs w:val="20"/>
              </w:rPr>
              <w:t>)</w:t>
            </w:r>
          </w:p>
        </w:tc>
        <w:tc>
          <w:tcPr>
            <w:tcW w:w="0" w:type="auto"/>
            <w:vAlign w:val="bottom"/>
            <w:hideMark/>
          </w:tcPr>
          <w:p w14:paraId="4CBAE0A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84954AA" w14:textId="77777777" w:rsidR="00000000" w:rsidRDefault="00832D71">
            <w:pPr>
              <w:pStyle w:val="a3"/>
              <w:spacing w:before="0" w:beforeAutospacing="0" w:after="0" w:afterAutospacing="0"/>
              <w:jc w:val="center"/>
              <w:rPr>
                <w:sz w:val="20"/>
                <w:szCs w:val="20"/>
              </w:rPr>
            </w:pPr>
            <w:r>
              <w:rPr>
                <w:sz w:val="20"/>
                <w:szCs w:val="20"/>
              </w:rPr>
              <w:t>1</w:t>
            </w:r>
            <w:r>
              <w:rPr>
                <w:sz w:val="20"/>
                <w:szCs w:val="20"/>
              </w:rPr>
              <w:t>5</w:t>
            </w:r>
          </w:p>
        </w:tc>
        <w:tc>
          <w:tcPr>
            <w:tcW w:w="0" w:type="auto"/>
            <w:vAlign w:val="bottom"/>
            <w:hideMark/>
          </w:tcPr>
          <w:p w14:paraId="7041CA1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6F3718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45754D5" w14:textId="77777777" w:rsidR="00000000" w:rsidRDefault="00832D71">
            <w:pPr>
              <w:pStyle w:val="a3"/>
              <w:spacing w:before="0" w:beforeAutospacing="0" w:after="0" w:afterAutospacing="0"/>
              <w:jc w:val="right"/>
              <w:rPr>
                <w:sz w:val="20"/>
                <w:szCs w:val="20"/>
              </w:rPr>
            </w:pPr>
            <w:r>
              <w:rPr>
                <w:sz w:val="20"/>
                <w:szCs w:val="20"/>
              </w:rPr>
              <w:t>254,39</w:t>
            </w:r>
            <w:r>
              <w:rPr>
                <w:sz w:val="20"/>
                <w:szCs w:val="20"/>
              </w:rPr>
              <w:t>0</w:t>
            </w:r>
          </w:p>
        </w:tc>
        <w:tc>
          <w:tcPr>
            <w:tcW w:w="0" w:type="auto"/>
            <w:noWrap/>
            <w:vAlign w:val="bottom"/>
            <w:hideMark/>
          </w:tcPr>
          <w:p w14:paraId="055E54D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EE946F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6547EE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294F920"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7826039C" w14:textId="77777777" w:rsidR="00000000" w:rsidRDefault="00832D71">
            <w:pPr>
              <w:pStyle w:val="a3"/>
              <w:spacing w:before="0" w:beforeAutospacing="0" w:after="0" w:afterAutospacing="0"/>
              <w:rPr>
                <w:sz w:val="20"/>
                <w:szCs w:val="20"/>
              </w:rPr>
            </w:pPr>
            <w:r>
              <w:rPr>
                <w:sz w:val="20"/>
                <w:szCs w:val="20"/>
              </w:rPr>
              <w:t> </w:t>
            </w:r>
          </w:p>
        </w:tc>
      </w:tr>
      <w:tr w:rsidR="00000000" w14:paraId="1BE11FB8" w14:textId="77777777">
        <w:trPr>
          <w:trHeight w:val="200"/>
          <w:tblCellSpacing w:w="15" w:type="dxa"/>
        </w:trPr>
        <w:tc>
          <w:tcPr>
            <w:tcW w:w="0" w:type="auto"/>
            <w:vAlign w:val="bottom"/>
            <w:hideMark/>
          </w:tcPr>
          <w:p w14:paraId="7D2E06BA"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69C509F3"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471B9D32" w14:textId="77777777" w:rsidR="00000000" w:rsidRDefault="00832D71">
            <w:pPr>
              <w:pStyle w:val="a3"/>
              <w:spacing w:before="0" w:beforeAutospacing="0" w:after="0" w:afterAutospacing="0"/>
              <w:rPr>
                <w:sz w:val="20"/>
                <w:szCs w:val="20"/>
              </w:rPr>
            </w:pPr>
            <w:r>
              <w:rPr>
                <w:sz w:val="20"/>
                <w:szCs w:val="20"/>
              </w:rPr>
              <w:t>LTIP (3</w:t>
            </w:r>
            <w:r>
              <w:rPr>
                <w:sz w:val="20"/>
                <w:szCs w:val="20"/>
              </w:rPr>
              <w:t>)</w:t>
            </w:r>
          </w:p>
        </w:tc>
        <w:tc>
          <w:tcPr>
            <w:tcW w:w="0" w:type="auto"/>
            <w:vAlign w:val="bottom"/>
            <w:hideMark/>
          </w:tcPr>
          <w:p w14:paraId="096A72EA"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3C73620" w14:textId="77777777" w:rsidR="00000000" w:rsidRDefault="00832D71">
            <w:pPr>
              <w:pStyle w:val="a3"/>
              <w:spacing w:before="0" w:beforeAutospacing="0" w:after="0" w:afterAutospacing="0"/>
              <w:jc w:val="center"/>
              <w:rPr>
                <w:sz w:val="20"/>
                <w:szCs w:val="20"/>
              </w:rPr>
            </w:pPr>
            <w:r>
              <w:rPr>
                <w:sz w:val="20"/>
                <w:szCs w:val="20"/>
              </w:rPr>
              <w:t>N/</w:t>
            </w:r>
            <w:r>
              <w:rPr>
                <w:sz w:val="20"/>
                <w:szCs w:val="20"/>
              </w:rPr>
              <w:t>A</w:t>
            </w:r>
          </w:p>
        </w:tc>
        <w:tc>
          <w:tcPr>
            <w:tcW w:w="0" w:type="auto"/>
            <w:vAlign w:val="bottom"/>
            <w:hideMark/>
          </w:tcPr>
          <w:p w14:paraId="1C744F88" w14:textId="77777777" w:rsidR="00000000" w:rsidRDefault="00832D71">
            <w:pPr>
              <w:pStyle w:val="a3"/>
              <w:spacing w:before="0" w:beforeAutospacing="0" w:after="0" w:afterAutospacing="0"/>
              <w:rPr>
                <w:sz w:val="12"/>
                <w:szCs w:val="12"/>
              </w:rPr>
            </w:pPr>
            <w:r>
              <w:rPr>
                <w:sz w:val="12"/>
                <w:szCs w:val="12"/>
              </w:rPr>
              <w:t> </w:t>
            </w:r>
          </w:p>
        </w:tc>
        <w:tc>
          <w:tcPr>
            <w:tcW w:w="0" w:type="auto"/>
            <w:noWrap/>
            <w:vAlign w:val="bottom"/>
            <w:hideMark/>
          </w:tcPr>
          <w:p w14:paraId="351BC91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5FDF8B5" w14:textId="77777777" w:rsidR="00000000" w:rsidRDefault="00832D71">
            <w:pPr>
              <w:pStyle w:val="a3"/>
              <w:spacing w:before="0" w:beforeAutospacing="0" w:after="0" w:afterAutospacing="0"/>
              <w:jc w:val="right"/>
              <w:rPr>
                <w:sz w:val="20"/>
                <w:szCs w:val="20"/>
              </w:rPr>
            </w:pPr>
            <w:r>
              <w:rPr>
                <w:sz w:val="20"/>
                <w:szCs w:val="20"/>
              </w:rPr>
              <w:t>608,77</w:t>
            </w:r>
            <w:r>
              <w:rPr>
                <w:sz w:val="20"/>
                <w:szCs w:val="20"/>
              </w:rPr>
              <w:t>8</w:t>
            </w:r>
          </w:p>
        </w:tc>
        <w:tc>
          <w:tcPr>
            <w:tcW w:w="0" w:type="auto"/>
            <w:noWrap/>
            <w:vAlign w:val="bottom"/>
            <w:hideMark/>
          </w:tcPr>
          <w:p w14:paraId="7B3AF59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FEBB643" w14:textId="77777777" w:rsidR="00000000" w:rsidRDefault="00832D71">
            <w:pPr>
              <w:pStyle w:val="a3"/>
              <w:spacing w:before="0" w:beforeAutospacing="0" w:after="0" w:afterAutospacing="0"/>
              <w:rPr>
                <w:sz w:val="12"/>
                <w:szCs w:val="12"/>
              </w:rPr>
            </w:pPr>
            <w:r>
              <w:rPr>
                <w:sz w:val="12"/>
                <w:szCs w:val="12"/>
              </w:rPr>
              <w:t> </w:t>
            </w:r>
          </w:p>
        </w:tc>
        <w:tc>
          <w:tcPr>
            <w:tcW w:w="0" w:type="auto"/>
            <w:noWrap/>
            <w:vAlign w:val="bottom"/>
            <w:hideMark/>
          </w:tcPr>
          <w:p w14:paraId="30BBE21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2DE27BC"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FA72FCA" w14:textId="77777777" w:rsidR="00000000" w:rsidRDefault="00832D71">
            <w:pPr>
              <w:pStyle w:val="a3"/>
              <w:spacing w:before="0" w:beforeAutospacing="0" w:after="0" w:afterAutospacing="0"/>
              <w:rPr>
                <w:sz w:val="20"/>
                <w:szCs w:val="20"/>
              </w:rPr>
            </w:pPr>
            <w:r>
              <w:rPr>
                <w:sz w:val="20"/>
                <w:szCs w:val="20"/>
              </w:rPr>
              <w:t> </w:t>
            </w:r>
          </w:p>
        </w:tc>
      </w:tr>
      <w:tr w:rsidR="00000000" w14:paraId="307035A9" w14:textId="77777777">
        <w:trPr>
          <w:trHeight w:val="200"/>
          <w:tblCellSpacing w:w="15" w:type="dxa"/>
        </w:trPr>
        <w:tc>
          <w:tcPr>
            <w:tcW w:w="0" w:type="auto"/>
            <w:vAlign w:val="bottom"/>
            <w:hideMark/>
          </w:tcPr>
          <w:p w14:paraId="268A8653"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2B4FE5A3"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33295CA2" w14:textId="77777777" w:rsidR="00000000" w:rsidRDefault="00832D71">
            <w:pPr>
              <w:pStyle w:val="a3"/>
              <w:spacing w:before="0" w:beforeAutospacing="0" w:after="0" w:afterAutospacing="0"/>
              <w:rPr>
                <w:sz w:val="20"/>
                <w:szCs w:val="20"/>
              </w:rPr>
            </w:pPr>
            <w:r>
              <w:rPr>
                <w:sz w:val="20"/>
                <w:szCs w:val="20"/>
              </w:rPr>
              <w:t>RUP (4</w:t>
            </w:r>
            <w:r>
              <w:rPr>
                <w:sz w:val="20"/>
                <w:szCs w:val="20"/>
              </w:rPr>
              <w:t>)</w:t>
            </w:r>
          </w:p>
        </w:tc>
        <w:tc>
          <w:tcPr>
            <w:tcW w:w="0" w:type="auto"/>
            <w:vAlign w:val="bottom"/>
            <w:hideMark/>
          </w:tcPr>
          <w:p w14:paraId="54D37217"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4ECCC1E2" w14:textId="77777777" w:rsidR="00000000" w:rsidRDefault="00832D71">
            <w:pPr>
              <w:pStyle w:val="a3"/>
              <w:spacing w:before="0" w:beforeAutospacing="0" w:after="0" w:afterAutospacing="0"/>
              <w:jc w:val="center"/>
              <w:rPr>
                <w:sz w:val="20"/>
                <w:szCs w:val="20"/>
              </w:rPr>
            </w:pPr>
            <w:r>
              <w:rPr>
                <w:sz w:val="20"/>
                <w:szCs w:val="20"/>
              </w:rPr>
              <w:t>N/</w:t>
            </w:r>
            <w:r>
              <w:rPr>
                <w:sz w:val="20"/>
                <w:szCs w:val="20"/>
              </w:rPr>
              <w:t>A</w:t>
            </w:r>
          </w:p>
        </w:tc>
        <w:tc>
          <w:tcPr>
            <w:tcW w:w="0" w:type="auto"/>
            <w:vAlign w:val="bottom"/>
            <w:hideMark/>
          </w:tcPr>
          <w:p w14:paraId="2036D9AA" w14:textId="77777777" w:rsidR="00000000" w:rsidRDefault="00832D71">
            <w:pPr>
              <w:pStyle w:val="a3"/>
              <w:spacing w:before="0" w:beforeAutospacing="0" w:after="0" w:afterAutospacing="0"/>
              <w:rPr>
                <w:sz w:val="12"/>
                <w:szCs w:val="12"/>
              </w:rPr>
            </w:pPr>
            <w:r>
              <w:rPr>
                <w:sz w:val="12"/>
                <w:szCs w:val="12"/>
              </w:rPr>
              <w:t> </w:t>
            </w:r>
          </w:p>
        </w:tc>
        <w:tc>
          <w:tcPr>
            <w:tcW w:w="0" w:type="auto"/>
            <w:noWrap/>
            <w:vAlign w:val="bottom"/>
            <w:hideMark/>
          </w:tcPr>
          <w:p w14:paraId="73490B1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43ABA35" w14:textId="77777777" w:rsidR="00000000" w:rsidRDefault="00832D71">
            <w:pPr>
              <w:pStyle w:val="a3"/>
              <w:spacing w:before="0" w:beforeAutospacing="0" w:after="0" w:afterAutospacing="0"/>
              <w:jc w:val="right"/>
              <w:rPr>
                <w:sz w:val="20"/>
                <w:szCs w:val="20"/>
              </w:rPr>
            </w:pPr>
            <w:r>
              <w:rPr>
                <w:sz w:val="20"/>
                <w:szCs w:val="20"/>
              </w:rPr>
              <w:t>651,40</w:t>
            </w:r>
            <w:r>
              <w:rPr>
                <w:sz w:val="20"/>
                <w:szCs w:val="20"/>
              </w:rPr>
              <w:t>6</w:t>
            </w:r>
          </w:p>
        </w:tc>
        <w:tc>
          <w:tcPr>
            <w:tcW w:w="0" w:type="auto"/>
            <w:noWrap/>
            <w:vAlign w:val="bottom"/>
            <w:hideMark/>
          </w:tcPr>
          <w:p w14:paraId="6C06691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CFA1EB3" w14:textId="77777777" w:rsidR="00000000" w:rsidRDefault="00832D71">
            <w:pPr>
              <w:pStyle w:val="a3"/>
              <w:spacing w:before="0" w:beforeAutospacing="0" w:after="0" w:afterAutospacing="0"/>
              <w:rPr>
                <w:sz w:val="12"/>
                <w:szCs w:val="12"/>
              </w:rPr>
            </w:pPr>
            <w:r>
              <w:rPr>
                <w:sz w:val="12"/>
                <w:szCs w:val="12"/>
              </w:rPr>
              <w:t> </w:t>
            </w:r>
          </w:p>
        </w:tc>
        <w:tc>
          <w:tcPr>
            <w:tcW w:w="0" w:type="auto"/>
            <w:noWrap/>
            <w:vAlign w:val="bottom"/>
            <w:hideMark/>
          </w:tcPr>
          <w:p w14:paraId="32788B6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587AD40"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510E661D" w14:textId="77777777" w:rsidR="00000000" w:rsidRDefault="00832D71">
            <w:pPr>
              <w:pStyle w:val="a3"/>
              <w:spacing w:before="0" w:beforeAutospacing="0" w:after="0" w:afterAutospacing="0"/>
              <w:rPr>
                <w:sz w:val="20"/>
                <w:szCs w:val="20"/>
              </w:rPr>
            </w:pPr>
            <w:r>
              <w:rPr>
                <w:sz w:val="20"/>
                <w:szCs w:val="20"/>
              </w:rPr>
              <w:t> </w:t>
            </w:r>
          </w:p>
        </w:tc>
      </w:tr>
      <w:tr w:rsidR="00000000" w14:paraId="55F1C3C7" w14:textId="77777777">
        <w:trPr>
          <w:tblCellSpacing w:w="15" w:type="dxa"/>
        </w:trPr>
        <w:tc>
          <w:tcPr>
            <w:tcW w:w="0" w:type="auto"/>
            <w:vAlign w:val="bottom"/>
            <w:hideMark/>
          </w:tcPr>
          <w:p w14:paraId="5BC7670A"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0BC8D1E3"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3228B07B"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E072F4E"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4AEAE42"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4C5FFB88" w14:textId="77777777" w:rsidR="00000000" w:rsidRDefault="00832D71">
            <w:pPr>
              <w:pStyle w:val="a3"/>
              <w:spacing w:before="0" w:beforeAutospacing="0" w:after="0" w:afterAutospacing="0"/>
              <w:rPr>
                <w:sz w:val="12"/>
                <w:szCs w:val="12"/>
              </w:rPr>
            </w:pPr>
            <w:r>
              <w:rPr>
                <w:sz w:val="12"/>
                <w:szCs w:val="12"/>
              </w:rPr>
              <w:t> </w:t>
            </w:r>
          </w:p>
        </w:tc>
        <w:tc>
          <w:tcPr>
            <w:tcW w:w="0" w:type="auto"/>
            <w:gridSpan w:val="2"/>
            <w:vAlign w:val="bottom"/>
            <w:hideMark/>
          </w:tcPr>
          <w:p w14:paraId="19417D48"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006FE3B7"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F7F8B91" w14:textId="77777777" w:rsidR="00000000" w:rsidRDefault="00832D71">
            <w:pPr>
              <w:pStyle w:val="a3"/>
              <w:spacing w:before="0" w:beforeAutospacing="0" w:after="0" w:afterAutospacing="0"/>
              <w:rPr>
                <w:sz w:val="12"/>
                <w:szCs w:val="12"/>
              </w:rPr>
            </w:pPr>
            <w:r>
              <w:rPr>
                <w:sz w:val="12"/>
                <w:szCs w:val="12"/>
              </w:rPr>
              <w:t> </w:t>
            </w:r>
          </w:p>
        </w:tc>
        <w:tc>
          <w:tcPr>
            <w:tcW w:w="0" w:type="auto"/>
            <w:gridSpan w:val="2"/>
            <w:vAlign w:val="bottom"/>
            <w:hideMark/>
          </w:tcPr>
          <w:p w14:paraId="3B1A1A56"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73712051" w14:textId="77777777" w:rsidR="00000000" w:rsidRDefault="00832D71">
            <w:pPr>
              <w:pStyle w:val="a3"/>
              <w:spacing w:before="0" w:beforeAutospacing="0" w:after="0" w:afterAutospacing="0"/>
              <w:rPr>
                <w:sz w:val="12"/>
                <w:szCs w:val="12"/>
              </w:rPr>
            </w:pPr>
            <w:r>
              <w:rPr>
                <w:sz w:val="12"/>
                <w:szCs w:val="12"/>
              </w:rPr>
              <w:t> </w:t>
            </w:r>
          </w:p>
        </w:tc>
      </w:tr>
      <w:tr w:rsidR="00000000" w14:paraId="0BACD2B6" w14:textId="77777777">
        <w:trPr>
          <w:trHeight w:val="200"/>
          <w:tblCellSpacing w:w="15" w:type="dxa"/>
        </w:trPr>
        <w:tc>
          <w:tcPr>
            <w:tcW w:w="0" w:type="auto"/>
            <w:vAlign w:val="bottom"/>
            <w:hideMark/>
          </w:tcPr>
          <w:p w14:paraId="36F088FA" w14:textId="77777777" w:rsidR="00000000" w:rsidRDefault="00832D71">
            <w:pPr>
              <w:pStyle w:val="a3"/>
              <w:spacing w:before="0" w:beforeAutospacing="0" w:after="0" w:afterAutospacing="0"/>
              <w:rPr>
                <w:sz w:val="20"/>
                <w:szCs w:val="20"/>
              </w:rPr>
            </w:pPr>
            <w:r>
              <w:rPr>
                <w:sz w:val="20"/>
                <w:szCs w:val="20"/>
              </w:rPr>
              <w:t>Douglas T. Brinkwort</w:t>
            </w:r>
            <w:r>
              <w:rPr>
                <w:sz w:val="20"/>
                <w:szCs w:val="20"/>
              </w:rPr>
              <w:t>h</w:t>
            </w:r>
          </w:p>
        </w:tc>
        <w:tc>
          <w:tcPr>
            <w:tcW w:w="0" w:type="auto"/>
            <w:vAlign w:val="bottom"/>
            <w:hideMark/>
          </w:tcPr>
          <w:p w14:paraId="44C3B6F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34DE00B" w14:textId="77777777" w:rsidR="00000000" w:rsidRDefault="00832D71">
            <w:pPr>
              <w:pStyle w:val="a3"/>
              <w:spacing w:before="0" w:beforeAutospacing="0" w:after="0" w:afterAutospacing="0"/>
              <w:rPr>
                <w:sz w:val="20"/>
                <w:szCs w:val="20"/>
              </w:rPr>
            </w:pPr>
            <w:r>
              <w:rPr>
                <w:sz w:val="20"/>
                <w:szCs w:val="20"/>
              </w:rPr>
              <w:t>Cash Balance Plan (2</w:t>
            </w:r>
            <w:r>
              <w:rPr>
                <w:sz w:val="20"/>
                <w:szCs w:val="20"/>
              </w:rPr>
              <w:t>)</w:t>
            </w:r>
          </w:p>
        </w:tc>
        <w:tc>
          <w:tcPr>
            <w:tcW w:w="0" w:type="auto"/>
            <w:vAlign w:val="bottom"/>
            <w:hideMark/>
          </w:tcPr>
          <w:p w14:paraId="7D98CB1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9B3AA3C" w14:textId="77777777" w:rsidR="00000000" w:rsidRDefault="00832D71">
            <w:pPr>
              <w:pStyle w:val="a3"/>
              <w:spacing w:before="0" w:beforeAutospacing="0" w:after="0" w:afterAutospacing="0"/>
              <w:jc w:val="center"/>
              <w:rPr>
                <w:sz w:val="20"/>
                <w:szCs w:val="20"/>
              </w:rPr>
            </w:pPr>
            <w:r>
              <w:rPr>
                <w:sz w:val="20"/>
                <w:szCs w:val="20"/>
              </w:rPr>
              <w:t>6</w:t>
            </w:r>
          </w:p>
        </w:tc>
        <w:tc>
          <w:tcPr>
            <w:tcW w:w="0" w:type="auto"/>
            <w:vAlign w:val="bottom"/>
            <w:hideMark/>
          </w:tcPr>
          <w:p w14:paraId="2C96B64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CDAE27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42F8716" w14:textId="77777777" w:rsidR="00000000" w:rsidRDefault="00832D71">
            <w:pPr>
              <w:pStyle w:val="a3"/>
              <w:spacing w:before="0" w:beforeAutospacing="0" w:after="0" w:afterAutospacing="0"/>
              <w:jc w:val="right"/>
              <w:rPr>
                <w:sz w:val="20"/>
                <w:szCs w:val="20"/>
              </w:rPr>
            </w:pPr>
            <w:r>
              <w:rPr>
                <w:sz w:val="20"/>
                <w:szCs w:val="20"/>
              </w:rPr>
              <w:t>164,70</w:t>
            </w:r>
            <w:r>
              <w:rPr>
                <w:sz w:val="20"/>
                <w:szCs w:val="20"/>
              </w:rPr>
              <w:t>3</w:t>
            </w:r>
          </w:p>
        </w:tc>
        <w:tc>
          <w:tcPr>
            <w:tcW w:w="0" w:type="auto"/>
            <w:noWrap/>
            <w:vAlign w:val="bottom"/>
            <w:hideMark/>
          </w:tcPr>
          <w:p w14:paraId="0E5E413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0F9B0B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5FDBB2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202342B"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69981D66" w14:textId="77777777" w:rsidR="00000000" w:rsidRDefault="00832D71">
            <w:pPr>
              <w:pStyle w:val="a3"/>
              <w:spacing w:before="0" w:beforeAutospacing="0" w:after="0" w:afterAutospacing="0"/>
              <w:rPr>
                <w:sz w:val="20"/>
                <w:szCs w:val="20"/>
              </w:rPr>
            </w:pPr>
            <w:r>
              <w:rPr>
                <w:sz w:val="20"/>
                <w:szCs w:val="20"/>
              </w:rPr>
              <w:t> </w:t>
            </w:r>
          </w:p>
        </w:tc>
      </w:tr>
      <w:tr w:rsidR="00000000" w14:paraId="06D8682D" w14:textId="77777777">
        <w:trPr>
          <w:trHeight w:val="200"/>
          <w:tblCellSpacing w:w="15" w:type="dxa"/>
        </w:trPr>
        <w:tc>
          <w:tcPr>
            <w:tcW w:w="0" w:type="auto"/>
            <w:vAlign w:val="bottom"/>
            <w:hideMark/>
          </w:tcPr>
          <w:p w14:paraId="001C3EE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6A4D80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D00C81C" w14:textId="77777777" w:rsidR="00000000" w:rsidRDefault="00832D71">
            <w:pPr>
              <w:pStyle w:val="a3"/>
              <w:spacing w:before="0" w:beforeAutospacing="0" w:after="0" w:afterAutospacing="0"/>
              <w:rPr>
                <w:sz w:val="20"/>
                <w:szCs w:val="20"/>
              </w:rPr>
            </w:pPr>
            <w:r>
              <w:rPr>
                <w:sz w:val="20"/>
                <w:szCs w:val="20"/>
              </w:rPr>
              <w:t>LTIP (3</w:t>
            </w:r>
            <w:r>
              <w:rPr>
                <w:sz w:val="20"/>
                <w:szCs w:val="20"/>
              </w:rPr>
              <w:t>)</w:t>
            </w:r>
          </w:p>
        </w:tc>
        <w:tc>
          <w:tcPr>
            <w:tcW w:w="0" w:type="auto"/>
            <w:vAlign w:val="bottom"/>
            <w:hideMark/>
          </w:tcPr>
          <w:p w14:paraId="72099F2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62C8CB6" w14:textId="77777777" w:rsidR="00000000" w:rsidRDefault="00832D71">
            <w:pPr>
              <w:pStyle w:val="a3"/>
              <w:spacing w:before="0" w:beforeAutospacing="0" w:after="0" w:afterAutospacing="0"/>
              <w:jc w:val="center"/>
              <w:rPr>
                <w:sz w:val="20"/>
                <w:szCs w:val="20"/>
              </w:rPr>
            </w:pPr>
            <w:r>
              <w:rPr>
                <w:sz w:val="20"/>
                <w:szCs w:val="20"/>
              </w:rPr>
              <w:t>N/</w:t>
            </w:r>
            <w:r>
              <w:rPr>
                <w:sz w:val="20"/>
                <w:szCs w:val="20"/>
              </w:rPr>
              <w:t>A</w:t>
            </w:r>
          </w:p>
        </w:tc>
        <w:tc>
          <w:tcPr>
            <w:tcW w:w="0" w:type="auto"/>
            <w:vAlign w:val="bottom"/>
            <w:hideMark/>
          </w:tcPr>
          <w:p w14:paraId="261F1CA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299FF5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8E67970" w14:textId="77777777" w:rsidR="00000000" w:rsidRDefault="00832D71">
            <w:pPr>
              <w:pStyle w:val="a3"/>
              <w:spacing w:before="0" w:beforeAutospacing="0" w:after="0" w:afterAutospacing="0"/>
              <w:jc w:val="right"/>
              <w:rPr>
                <w:sz w:val="20"/>
                <w:szCs w:val="20"/>
              </w:rPr>
            </w:pPr>
            <w:r>
              <w:rPr>
                <w:sz w:val="20"/>
                <w:szCs w:val="20"/>
              </w:rPr>
              <w:t>536,64</w:t>
            </w:r>
            <w:r>
              <w:rPr>
                <w:sz w:val="20"/>
                <w:szCs w:val="20"/>
              </w:rPr>
              <w:t>8</w:t>
            </w:r>
          </w:p>
        </w:tc>
        <w:tc>
          <w:tcPr>
            <w:tcW w:w="0" w:type="auto"/>
            <w:noWrap/>
            <w:vAlign w:val="bottom"/>
            <w:hideMark/>
          </w:tcPr>
          <w:p w14:paraId="7CCD91A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55AB1C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363ED6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B973980"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13859601" w14:textId="77777777" w:rsidR="00000000" w:rsidRDefault="00832D71">
            <w:pPr>
              <w:pStyle w:val="a3"/>
              <w:spacing w:before="0" w:beforeAutospacing="0" w:after="0" w:afterAutospacing="0"/>
              <w:rPr>
                <w:sz w:val="20"/>
                <w:szCs w:val="20"/>
              </w:rPr>
            </w:pPr>
            <w:r>
              <w:rPr>
                <w:sz w:val="20"/>
                <w:szCs w:val="20"/>
              </w:rPr>
              <w:t> </w:t>
            </w:r>
          </w:p>
        </w:tc>
      </w:tr>
      <w:tr w:rsidR="00000000" w14:paraId="374B7EE1" w14:textId="77777777">
        <w:trPr>
          <w:trHeight w:val="200"/>
          <w:tblCellSpacing w:w="15" w:type="dxa"/>
        </w:trPr>
        <w:tc>
          <w:tcPr>
            <w:tcW w:w="0" w:type="auto"/>
            <w:vAlign w:val="bottom"/>
            <w:hideMark/>
          </w:tcPr>
          <w:p w14:paraId="3721489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2EA6BD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6383701" w14:textId="77777777" w:rsidR="00000000" w:rsidRDefault="00832D71">
            <w:pPr>
              <w:pStyle w:val="a3"/>
              <w:spacing w:before="0" w:beforeAutospacing="0" w:after="0" w:afterAutospacing="0"/>
              <w:rPr>
                <w:sz w:val="20"/>
                <w:szCs w:val="20"/>
              </w:rPr>
            </w:pPr>
            <w:r>
              <w:rPr>
                <w:sz w:val="20"/>
                <w:szCs w:val="20"/>
              </w:rPr>
              <w:t>RUP (4</w:t>
            </w:r>
            <w:r>
              <w:rPr>
                <w:sz w:val="20"/>
                <w:szCs w:val="20"/>
              </w:rPr>
              <w:t>)</w:t>
            </w:r>
          </w:p>
        </w:tc>
        <w:tc>
          <w:tcPr>
            <w:tcW w:w="0" w:type="auto"/>
            <w:vAlign w:val="bottom"/>
            <w:hideMark/>
          </w:tcPr>
          <w:p w14:paraId="75A2ECA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65E24A8" w14:textId="77777777" w:rsidR="00000000" w:rsidRDefault="00832D71">
            <w:pPr>
              <w:pStyle w:val="a3"/>
              <w:spacing w:before="0" w:beforeAutospacing="0" w:after="0" w:afterAutospacing="0"/>
              <w:jc w:val="center"/>
              <w:rPr>
                <w:sz w:val="20"/>
                <w:szCs w:val="20"/>
              </w:rPr>
            </w:pPr>
            <w:r>
              <w:rPr>
                <w:sz w:val="20"/>
                <w:szCs w:val="20"/>
              </w:rPr>
              <w:t>N/</w:t>
            </w:r>
            <w:r>
              <w:rPr>
                <w:sz w:val="20"/>
                <w:szCs w:val="20"/>
              </w:rPr>
              <w:t>A</w:t>
            </w:r>
          </w:p>
        </w:tc>
        <w:tc>
          <w:tcPr>
            <w:tcW w:w="0" w:type="auto"/>
            <w:vAlign w:val="bottom"/>
            <w:hideMark/>
          </w:tcPr>
          <w:p w14:paraId="64B0EDE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2A3FC4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8121A92" w14:textId="77777777" w:rsidR="00000000" w:rsidRDefault="00832D71">
            <w:pPr>
              <w:pStyle w:val="a3"/>
              <w:spacing w:before="0" w:beforeAutospacing="0" w:after="0" w:afterAutospacing="0"/>
              <w:jc w:val="right"/>
              <w:rPr>
                <w:sz w:val="20"/>
                <w:szCs w:val="20"/>
              </w:rPr>
            </w:pPr>
            <w:r>
              <w:rPr>
                <w:sz w:val="20"/>
                <w:szCs w:val="20"/>
              </w:rPr>
              <w:t>607,96</w:t>
            </w:r>
            <w:r>
              <w:rPr>
                <w:sz w:val="20"/>
                <w:szCs w:val="20"/>
              </w:rPr>
              <w:t>7</w:t>
            </w:r>
          </w:p>
        </w:tc>
        <w:tc>
          <w:tcPr>
            <w:tcW w:w="0" w:type="auto"/>
            <w:noWrap/>
            <w:vAlign w:val="bottom"/>
            <w:hideMark/>
          </w:tcPr>
          <w:p w14:paraId="0992006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125123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639337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B78CB8E"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425C036" w14:textId="77777777" w:rsidR="00000000" w:rsidRDefault="00832D71">
            <w:pPr>
              <w:pStyle w:val="a3"/>
              <w:spacing w:before="0" w:beforeAutospacing="0" w:after="0" w:afterAutospacing="0"/>
              <w:rPr>
                <w:sz w:val="20"/>
                <w:szCs w:val="20"/>
              </w:rPr>
            </w:pPr>
            <w:r>
              <w:rPr>
                <w:sz w:val="20"/>
                <w:szCs w:val="20"/>
              </w:rPr>
              <w:t> </w:t>
            </w:r>
          </w:p>
        </w:tc>
      </w:tr>
      <w:tr w:rsidR="00000000" w14:paraId="7A224872" w14:textId="77777777">
        <w:trPr>
          <w:tblCellSpacing w:w="15" w:type="dxa"/>
        </w:trPr>
        <w:tc>
          <w:tcPr>
            <w:tcW w:w="0" w:type="auto"/>
            <w:vAlign w:val="bottom"/>
            <w:hideMark/>
          </w:tcPr>
          <w:p w14:paraId="664F5E78"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0DE80E8B"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1A82A205"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208E6426"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11A4C07A" w14:textId="77777777" w:rsidR="00000000" w:rsidRDefault="00832D71">
            <w:pPr>
              <w:pStyle w:val="a3"/>
              <w:spacing w:before="0" w:beforeAutospacing="0" w:after="0" w:afterAutospacing="0"/>
              <w:jc w:val="center"/>
              <w:rPr>
                <w:sz w:val="12"/>
                <w:szCs w:val="12"/>
              </w:rPr>
            </w:pPr>
            <w:r>
              <w:rPr>
                <w:sz w:val="12"/>
                <w:szCs w:val="12"/>
              </w:rPr>
              <w:t> </w:t>
            </w:r>
          </w:p>
        </w:tc>
        <w:tc>
          <w:tcPr>
            <w:tcW w:w="0" w:type="auto"/>
            <w:vAlign w:val="bottom"/>
            <w:hideMark/>
          </w:tcPr>
          <w:p w14:paraId="7878C469" w14:textId="77777777" w:rsidR="00000000" w:rsidRDefault="00832D71">
            <w:pPr>
              <w:pStyle w:val="a3"/>
              <w:spacing w:before="0" w:beforeAutospacing="0" w:after="0" w:afterAutospacing="0"/>
              <w:rPr>
                <w:sz w:val="12"/>
                <w:szCs w:val="12"/>
              </w:rPr>
            </w:pPr>
            <w:r>
              <w:rPr>
                <w:sz w:val="12"/>
                <w:szCs w:val="12"/>
              </w:rPr>
              <w:t> </w:t>
            </w:r>
          </w:p>
        </w:tc>
        <w:tc>
          <w:tcPr>
            <w:tcW w:w="0" w:type="auto"/>
            <w:gridSpan w:val="2"/>
            <w:vAlign w:val="bottom"/>
            <w:hideMark/>
          </w:tcPr>
          <w:p w14:paraId="4C13E3E9" w14:textId="77777777" w:rsidR="00000000" w:rsidRDefault="00832D71">
            <w:pPr>
              <w:pStyle w:val="a3"/>
              <w:spacing w:before="0" w:beforeAutospacing="0" w:after="0" w:afterAutospacing="0"/>
              <w:jc w:val="center"/>
              <w:rPr>
                <w:sz w:val="12"/>
                <w:szCs w:val="12"/>
              </w:rPr>
            </w:pPr>
            <w:r>
              <w:rPr>
                <w:sz w:val="12"/>
                <w:szCs w:val="12"/>
              </w:rPr>
              <w:t> </w:t>
            </w:r>
          </w:p>
        </w:tc>
        <w:tc>
          <w:tcPr>
            <w:tcW w:w="0" w:type="auto"/>
            <w:vAlign w:val="bottom"/>
            <w:hideMark/>
          </w:tcPr>
          <w:p w14:paraId="321B2D8C" w14:textId="77777777" w:rsidR="00000000" w:rsidRDefault="00832D71">
            <w:pPr>
              <w:pStyle w:val="a3"/>
              <w:spacing w:before="0" w:beforeAutospacing="0" w:after="0" w:afterAutospacing="0"/>
              <w:jc w:val="center"/>
              <w:rPr>
                <w:sz w:val="12"/>
                <w:szCs w:val="12"/>
              </w:rPr>
            </w:pPr>
            <w:r>
              <w:rPr>
                <w:sz w:val="12"/>
                <w:szCs w:val="12"/>
              </w:rPr>
              <w:t> </w:t>
            </w:r>
          </w:p>
        </w:tc>
        <w:tc>
          <w:tcPr>
            <w:tcW w:w="0" w:type="auto"/>
            <w:vAlign w:val="bottom"/>
            <w:hideMark/>
          </w:tcPr>
          <w:p w14:paraId="57AF2DC6" w14:textId="77777777" w:rsidR="00000000" w:rsidRDefault="00832D71">
            <w:pPr>
              <w:pStyle w:val="a3"/>
              <w:spacing w:before="0" w:beforeAutospacing="0" w:after="0" w:afterAutospacing="0"/>
              <w:rPr>
                <w:sz w:val="12"/>
                <w:szCs w:val="12"/>
              </w:rPr>
            </w:pPr>
            <w:r>
              <w:rPr>
                <w:sz w:val="12"/>
                <w:szCs w:val="12"/>
              </w:rPr>
              <w:t> </w:t>
            </w:r>
          </w:p>
        </w:tc>
        <w:tc>
          <w:tcPr>
            <w:tcW w:w="0" w:type="auto"/>
            <w:gridSpan w:val="2"/>
            <w:vAlign w:val="bottom"/>
            <w:hideMark/>
          </w:tcPr>
          <w:p w14:paraId="767BDD91" w14:textId="77777777" w:rsidR="00000000" w:rsidRDefault="00832D71">
            <w:pPr>
              <w:pStyle w:val="a3"/>
              <w:spacing w:before="0" w:beforeAutospacing="0" w:after="0" w:afterAutospacing="0"/>
              <w:jc w:val="right"/>
              <w:rPr>
                <w:sz w:val="12"/>
                <w:szCs w:val="12"/>
              </w:rPr>
            </w:pPr>
            <w:r>
              <w:rPr>
                <w:sz w:val="12"/>
                <w:szCs w:val="12"/>
              </w:rPr>
              <w:t> </w:t>
            </w:r>
          </w:p>
        </w:tc>
        <w:tc>
          <w:tcPr>
            <w:tcW w:w="0" w:type="auto"/>
            <w:vAlign w:val="bottom"/>
            <w:hideMark/>
          </w:tcPr>
          <w:p w14:paraId="08EFFF50" w14:textId="77777777" w:rsidR="00000000" w:rsidRDefault="00832D71">
            <w:pPr>
              <w:pStyle w:val="a3"/>
              <w:spacing w:before="0" w:beforeAutospacing="0" w:after="0" w:afterAutospacing="0"/>
              <w:jc w:val="right"/>
              <w:rPr>
                <w:sz w:val="12"/>
                <w:szCs w:val="12"/>
              </w:rPr>
            </w:pPr>
            <w:r>
              <w:rPr>
                <w:sz w:val="12"/>
                <w:szCs w:val="12"/>
              </w:rPr>
              <w:t> </w:t>
            </w:r>
          </w:p>
        </w:tc>
      </w:tr>
      <w:tr w:rsidR="00000000" w14:paraId="167DFE56" w14:textId="77777777">
        <w:trPr>
          <w:trHeight w:val="200"/>
          <w:tblCellSpacing w:w="15" w:type="dxa"/>
        </w:trPr>
        <w:tc>
          <w:tcPr>
            <w:tcW w:w="0" w:type="auto"/>
            <w:vAlign w:val="bottom"/>
            <w:hideMark/>
          </w:tcPr>
          <w:p w14:paraId="104239F3" w14:textId="77777777" w:rsidR="00000000" w:rsidRDefault="00832D71">
            <w:pPr>
              <w:pStyle w:val="a3"/>
              <w:spacing w:before="0" w:beforeAutospacing="0" w:after="0" w:afterAutospacing="0"/>
              <w:rPr>
                <w:sz w:val="20"/>
                <w:szCs w:val="20"/>
              </w:rPr>
            </w:pPr>
            <w:r>
              <w:rPr>
                <w:sz w:val="20"/>
                <w:szCs w:val="20"/>
              </w:rPr>
              <w:t>Neil E. Scanlo</w:t>
            </w:r>
            <w:r>
              <w:rPr>
                <w:sz w:val="20"/>
                <w:szCs w:val="20"/>
              </w:rPr>
              <w:t>n</w:t>
            </w:r>
          </w:p>
        </w:tc>
        <w:tc>
          <w:tcPr>
            <w:tcW w:w="0" w:type="auto"/>
            <w:vAlign w:val="bottom"/>
            <w:hideMark/>
          </w:tcPr>
          <w:p w14:paraId="57B5CE8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4C20F06" w14:textId="77777777" w:rsidR="00000000" w:rsidRDefault="00832D71">
            <w:pPr>
              <w:pStyle w:val="a3"/>
              <w:spacing w:before="0" w:beforeAutospacing="0" w:after="0" w:afterAutospacing="0"/>
              <w:rPr>
                <w:sz w:val="20"/>
                <w:szCs w:val="20"/>
              </w:rPr>
            </w:pPr>
            <w:r>
              <w:rPr>
                <w:sz w:val="20"/>
                <w:szCs w:val="20"/>
              </w:rPr>
              <w:t>Cas</w:t>
            </w:r>
            <w:r>
              <w:rPr>
                <w:sz w:val="20"/>
                <w:szCs w:val="20"/>
              </w:rPr>
              <w:t>h</w:t>
            </w:r>
            <w:r>
              <w:rPr>
                <w:rFonts w:ascii="Calibri" w:hAnsi="Calibri" w:cs="Calibri"/>
                <w:sz w:val="20"/>
                <w:szCs w:val="20"/>
              </w:rPr>
              <w:t xml:space="preserve"> </w:t>
            </w:r>
            <w:r>
              <w:rPr>
                <w:sz w:val="20"/>
                <w:szCs w:val="20"/>
              </w:rPr>
              <w:t>Balanc</w:t>
            </w:r>
            <w:r>
              <w:rPr>
                <w:sz w:val="20"/>
                <w:szCs w:val="20"/>
              </w:rPr>
              <w:t>e</w:t>
            </w:r>
            <w:r>
              <w:rPr>
                <w:rFonts w:ascii="Calibri" w:hAnsi="Calibri" w:cs="Calibri"/>
                <w:sz w:val="20"/>
                <w:szCs w:val="20"/>
              </w:rPr>
              <w:t xml:space="preserve"> </w:t>
            </w:r>
            <w:r>
              <w:rPr>
                <w:sz w:val="20"/>
                <w:szCs w:val="20"/>
              </w:rPr>
              <w:t>Plan (2</w:t>
            </w:r>
            <w:r>
              <w:rPr>
                <w:sz w:val="20"/>
                <w:szCs w:val="20"/>
              </w:rPr>
              <w:t>)</w:t>
            </w:r>
          </w:p>
        </w:tc>
        <w:tc>
          <w:tcPr>
            <w:tcW w:w="0" w:type="auto"/>
            <w:vAlign w:val="bottom"/>
            <w:hideMark/>
          </w:tcPr>
          <w:p w14:paraId="53C7598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1C29618" w14:textId="77777777" w:rsidR="00000000" w:rsidRDefault="00832D71">
            <w:pPr>
              <w:pStyle w:val="a3"/>
              <w:spacing w:before="0" w:beforeAutospacing="0" w:after="0" w:afterAutospacing="0"/>
              <w:jc w:val="center"/>
              <w:rPr>
                <w:sz w:val="20"/>
                <w:szCs w:val="20"/>
              </w:rPr>
            </w:pPr>
            <w:r>
              <w:rPr>
                <w:sz w:val="20"/>
                <w:szCs w:val="20"/>
              </w:rPr>
              <w:t>6</w:t>
            </w:r>
          </w:p>
        </w:tc>
        <w:tc>
          <w:tcPr>
            <w:tcW w:w="0" w:type="auto"/>
            <w:vAlign w:val="bottom"/>
            <w:hideMark/>
          </w:tcPr>
          <w:p w14:paraId="4104C87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F8B94C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8D8B4A5" w14:textId="77777777" w:rsidR="00000000" w:rsidRDefault="00832D71">
            <w:pPr>
              <w:pStyle w:val="a3"/>
              <w:spacing w:before="0" w:beforeAutospacing="0" w:after="0" w:afterAutospacing="0"/>
              <w:jc w:val="right"/>
              <w:rPr>
                <w:sz w:val="20"/>
                <w:szCs w:val="20"/>
              </w:rPr>
            </w:pPr>
            <w:r>
              <w:rPr>
                <w:sz w:val="20"/>
                <w:szCs w:val="20"/>
              </w:rPr>
              <w:t>125,37</w:t>
            </w:r>
            <w:r>
              <w:rPr>
                <w:sz w:val="20"/>
                <w:szCs w:val="20"/>
              </w:rPr>
              <w:t>5</w:t>
            </w:r>
          </w:p>
        </w:tc>
        <w:tc>
          <w:tcPr>
            <w:tcW w:w="0" w:type="auto"/>
            <w:noWrap/>
            <w:vAlign w:val="bottom"/>
            <w:hideMark/>
          </w:tcPr>
          <w:p w14:paraId="0C970A1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969E5C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EA0AE3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548C3FB"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13935704" w14:textId="77777777" w:rsidR="00000000" w:rsidRDefault="00832D71">
            <w:pPr>
              <w:pStyle w:val="a3"/>
              <w:spacing w:before="0" w:beforeAutospacing="0" w:after="0" w:afterAutospacing="0"/>
              <w:rPr>
                <w:sz w:val="20"/>
                <w:szCs w:val="20"/>
              </w:rPr>
            </w:pPr>
            <w:r>
              <w:rPr>
                <w:sz w:val="20"/>
                <w:szCs w:val="20"/>
              </w:rPr>
              <w:t> </w:t>
            </w:r>
          </w:p>
        </w:tc>
      </w:tr>
      <w:tr w:rsidR="00000000" w14:paraId="69E2F1E4" w14:textId="77777777">
        <w:trPr>
          <w:trHeight w:val="200"/>
          <w:tblCellSpacing w:w="15" w:type="dxa"/>
        </w:trPr>
        <w:tc>
          <w:tcPr>
            <w:tcW w:w="0" w:type="auto"/>
            <w:vAlign w:val="bottom"/>
            <w:hideMark/>
          </w:tcPr>
          <w:p w14:paraId="7A92E07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FBA0A0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F205FE0" w14:textId="77777777" w:rsidR="00000000" w:rsidRDefault="00832D71">
            <w:pPr>
              <w:pStyle w:val="a3"/>
              <w:spacing w:before="0" w:beforeAutospacing="0" w:after="0" w:afterAutospacing="0"/>
              <w:rPr>
                <w:sz w:val="20"/>
                <w:szCs w:val="20"/>
              </w:rPr>
            </w:pPr>
            <w:r>
              <w:rPr>
                <w:sz w:val="20"/>
                <w:szCs w:val="20"/>
              </w:rPr>
              <w:t>LTIP (3</w:t>
            </w:r>
            <w:r>
              <w:rPr>
                <w:sz w:val="20"/>
                <w:szCs w:val="20"/>
              </w:rPr>
              <w:t>)</w:t>
            </w:r>
          </w:p>
        </w:tc>
        <w:tc>
          <w:tcPr>
            <w:tcW w:w="0" w:type="auto"/>
            <w:vAlign w:val="bottom"/>
            <w:hideMark/>
          </w:tcPr>
          <w:p w14:paraId="280AF56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775793D" w14:textId="77777777" w:rsidR="00000000" w:rsidRDefault="00832D71">
            <w:pPr>
              <w:pStyle w:val="a3"/>
              <w:spacing w:before="0" w:beforeAutospacing="0" w:after="0" w:afterAutospacing="0"/>
              <w:jc w:val="center"/>
              <w:rPr>
                <w:sz w:val="20"/>
                <w:szCs w:val="20"/>
              </w:rPr>
            </w:pPr>
            <w:r>
              <w:rPr>
                <w:sz w:val="20"/>
                <w:szCs w:val="20"/>
              </w:rPr>
              <w:t>N/</w:t>
            </w:r>
            <w:r>
              <w:rPr>
                <w:sz w:val="20"/>
                <w:szCs w:val="20"/>
              </w:rPr>
              <w:t>A</w:t>
            </w:r>
          </w:p>
        </w:tc>
        <w:tc>
          <w:tcPr>
            <w:tcW w:w="0" w:type="auto"/>
            <w:vAlign w:val="bottom"/>
            <w:hideMark/>
          </w:tcPr>
          <w:p w14:paraId="00B8E69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071EE2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DC9AE06" w14:textId="77777777" w:rsidR="00000000" w:rsidRDefault="00832D71">
            <w:pPr>
              <w:pStyle w:val="a3"/>
              <w:spacing w:before="0" w:beforeAutospacing="0" w:after="0" w:afterAutospacing="0"/>
              <w:jc w:val="right"/>
              <w:rPr>
                <w:sz w:val="20"/>
                <w:szCs w:val="20"/>
              </w:rPr>
            </w:pPr>
            <w:r>
              <w:rPr>
                <w:sz w:val="20"/>
                <w:szCs w:val="20"/>
              </w:rPr>
              <w:t>472,56</w:t>
            </w:r>
            <w:r>
              <w:rPr>
                <w:sz w:val="20"/>
                <w:szCs w:val="20"/>
              </w:rPr>
              <w:t>0</w:t>
            </w:r>
          </w:p>
        </w:tc>
        <w:tc>
          <w:tcPr>
            <w:tcW w:w="0" w:type="auto"/>
            <w:noWrap/>
            <w:vAlign w:val="bottom"/>
            <w:hideMark/>
          </w:tcPr>
          <w:p w14:paraId="7D26046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683D6A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ACED2F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B7FD85E"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229C868F" w14:textId="77777777" w:rsidR="00000000" w:rsidRDefault="00832D71">
            <w:pPr>
              <w:pStyle w:val="a3"/>
              <w:spacing w:before="0" w:beforeAutospacing="0" w:after="0" w:afterAutospacing="0"/>
              <w:rPr>
                <w:sz w:val="20"/>
                <w:szCs w:val="20"/>
              </w:rPr>
            </w:pPr>
            <w:r>
              <w:rPr>
                <w:sz w:val="20"/>
                <w:szCs w:val="20"/>
              </w:rPr>
              <w:t> </w:t>
            </w:r>
          </w:p>
        </w:tc>
      </w:tr>
      <w:tr w:rsidR="00000000" w14:paraId="660E1EE7" w14:textId="77777777">
        <w:trPr>
          <w:trHeight w:val="200"/>
          <w:tblCellSpacing w:w="15" w:type="dxa"/>
        </w:trPr>
        <w:tc>
          <w:tcPr>
            <w:tcW w:w="0" w:type="auto"/>
            <w:vAlign w:val="bottom"/>
            <w:hideMark/>
          </w:tcPr>
          <w:p w14:paraId="42669EC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5E6282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99F8E01" w14:textId="77777777" w:rsidR="00000000" w:rsidRDefault="00832D71">
            <w:pPr>
              <w:pStyle w:val="a3"/>
              <w:spacing w:before="0" w:beforeAutospacing="0" w:after="0" w:afterAutospacing="0"/>
              <w:rPr>
                <w:sz w:val="20"/>
                <w:szCs w:val="20"/>
              </w:rPr>
            </w:pPr>
            <w:r>
              <w:rPr>
                <w:sz w:val="20"/>
                <w:szCs w:val="20"/>
              </w:rPr>
              <w:t>RUP (4</w:t>
            </w:r>
            <w:r>
              <w:rPr>
                <w:sz w:val="20"/>
                <w:szCs w:val="20"/>
              </w:rPr>
              <w:t>)</w:t>
            </w:r>
          </w:p>
        </w:tc>
        <w:tc>
          <w:tcPr>
            <w:tcW w:w="0" w:type="auto"/>
            <w:vAlign w:val="bottom"/>
            <w:hideMark/>
          </w:tcPr>
          <w:p w14:paraId="19177F6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58041E1" w14:textId="77777777" w:rsidR="00000000" w:rsidRDefault="00832D71">
            <w:pPr>
              <w:pStyle w:val="a3"/>
              <w:spacing w:before="0" w:beforeAutospacing="0" w:after="0" w:afterAutospacing="0"/>
              <w:jc w:val="center"/>
              <w:rPr>
                <w:sz w:val="20"/>
                <w:szCs w:val="20"/>
              </w:rPr>
            </w:pPr>
            <w:r>
              <w:rPr>
                <w:sz w:val="20"/>
                <w:szCs w:val="20"/>
              </w:rPr>
              <w:t>N/</w:t>
            </w:r>
            <w:r>
              <w:rPr>
                <w:sz w:val="20"/>
                <w:szCs w:val="20"/>
              </w:rPr>
              <w:t>A</w:t>
            </w:r>
          </w:p>
        </w:tc>
        <w:tc>
          <w:tcPr>
            <w:tcW w:w="0" w:type="auto"/>
            <w:vAlign w:val="bottom"/>
            <w:hideMark/>
          </w:tcPr>
          <w:p w14:paraId="146C20F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3388CF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B851AF9" w14:textId="77777777" w:rsidR="00000000" w:rsidRDefault="00832D71">
            <w:pPr>
              <w:pStyle w:val="a3"/>
              <w:spacing w:before="0" w:beforeAutospacing="0" w:after="0" w:afterAutospacing="0"/>
              <w:jc w:val="right"/>
              <w:rPr>
                <w:sz w:val="20"/>
                <w:szCs w:val="20"/>
              </w:rPr>
            </w:pPr>
            <w:r>
              <w:rPr>
                <w:sz w:val="20"/>
                <w:szCs w:val="20"/>
              </w:rPr>
              <w:t>602,35</w:t>
            </w:r>
            <w:r>
              <w:rPr>
                <w:sz w:val="20"/>
                <w:szCs w:val="20"/>
              </w:rPr>
              <w:t>5</w:t>
            </w:r>
          </w:p>
        </w:tc>
        <w:tc>
          <w:tcPr>
            <w:tcW w:w="0" w:type="auto"/>
            <w:noWrap/>
            <w:vAlign w:val="bottom"/>
            <w:hideMark/>
          </w:tcPr>
          <w:p w14:paraId="3C68BF9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98AC48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BA1F2C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EEC0C5F"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10A35C06" w14:textId="77777777" w:rsidR="00000000" w:rsidRDefault="00832D71">
            <w:pPr>
              <w:pStyle w:val="a3"/>
              <w:spacing w:before="0" w:beforeAutospacing="0" w:after="0" w:afterAutospacing="0"/>
              <w:rPr>
                <w:sz w:val="20"/>
                <w:szCs w:val="20"/>
              </w:rPr>
            </w:pPr>
            <w:r>
              <w:rPr>
                <w:sz w:val="20"/>
                <w:szCs w:val="20"/>
              </w:rPr>
              <w:t> </w:t>
            </w:r>
          </w:p>
        </w:tc>
      </w:tr>
    </w:tbl>
    <w:p w14:paraId="46C4841F" w14:textId="77777777" w:rsidR="00000000" w:rsidRDefault="00832D71">
      <w:pPr>
        <w:pStyle w:val="a3"/>
        <w:spacing w:before="0" w:beforeAutospacing="0" w:after="0" w:afterAutospacing="0"/>
        <w:ind w:hanging="581"/>
        <w:jc w:val="both"/>
        <w:rPr>
          <w:sz w:val="20"/>
          <w:szCs w:val="20"/>
        </w:rPr>
      </w:pPr>
      <w:r>
        <w:rPr>
          <w:sz w:val="20"/>
          <w:szCs w:val="20"/>
        </w:rPr>
        <w:t> </w:t>
      </w:r>
    </w:p>
    <w:p w14:paraId="7C0D6AEE" w14:textId="77777777" w:rsidR="00000000" w:rsidRDefault="00832D71">
      <w:pPr>
        <w:jc w:val="both"/>
        <w:divId w:val="1642541081"/>
        <w:rPr>
          <w:rFonts w:eastAsia="Times New Roman"/>
        </w:rPr>
      </w:pPr>
      <w:r>
        <w:rPr>
          <w:rFonts w:eastAsia="Times New Roman"/>
          <w:sz w:val="20"/>
          <w:szCs w:val="20"/>
        </w:rPr>
        <w:t>(1</w:t>
      </w:r>
      <w:r>
        <w:rPr>
          <w:rFonts w:eastAsia="Times New Roman"/>
          <w:sz w:val="20"/>
          <w:szCs w:val="20"/>
        </w:rPr>
        <w:t>)</w:t>
      </w:r>
    </w:p>
    <w:p w14:paraId="29CC2C37" w14:textId="77777777" w:rsidR="00000000" w:rsidRDefault="00832D71">
      <w:pPr>
        <w:jc w:val="both"/>
        <w:divId w:val="1589268872"/>
        <w:rPr>
          <w:rFonts w:eastAsia="Times New Roman"/>
        </w:rPr>
      </w:pPr>
      <w:r>
        <w:rPr>
          <w:rFonts w:eastAsia="Times New Roman"/>
          <w:sz w:val="20"/>
          <w:szCs w:val="20"/>
        </w:rPr>
        <w:t>Because Mr. Stivala and Mr. Kuglin commenced employment with the Partnership after January 1, 2000, the date on which the Cash Balance Plan was closed to new participants; therefore, they do not participate in the Cash Balance Plan</w:t>
      </w:r>
      <w:r>
        <w:rPr>
          <w:rFonts w:eastAsia="Times New Roman"/>
          <w:sz w:val="20"/>
          <w:szCs w:val="20"/>
        </w:rPr>
        <w:t>.</w:t>
      </w:r>
    </w:p>
    <w:p w14:paraId="18C90849" w14:textId="77777777" w:rsidR="00000000" w:rsidRDefault="00832D71">
      <w:pPr>
        <w:jc w:val="both"/>
        <w:divId w:val="1121611168"/>
        <w:rPr>
          <w:rFonts w:eastAsia="Times New Roman"/>
        </w:rPr>
      </w:pPr>
      <w:r>
        <w:rPr>
          <w:rFonts w:eastAsia="Times New Roman"/>
          <w:sz w:val="20"/>
          <w:szCs w:val="20"/>
        </w:rPr>
        <w:t>(2</w:t>
      </w:r>
      <w:r>
        <w:rPr>
          <w:rFonts w:eastAsia="Times New Roman"/>
          <w:sz w:val="20"/>
          <w:szCs w:val="20"/>
        </w:rPr>
        <w:t>)</w:t>
      </w:r>
    </w:p>
    <w:p w14:paraId="734F84E0" w14:textId="77777777" w:rsidR="00000000" w:rsidRDefault="00832D71">
      <w:pPr>
        <w:jc w:val="both"/>
        <w:divId w:val="888221934"/>
        <w:rPr>
          <w:rFonts w:eastAsia="Times New Roman"/>
        </w:rPr>
      </w:pPr>
      <w:r>
        <w:rPr>
          <w:rFonts w:eastAsia="Times New Roman"/>
          <w:sz w:val="20"/>
          <w:szCs w:val="20"/>
        </w:rPr>
        <w:t>For more informatio</w:t>
      </w:r>
      <w:r>
        <w:rPr>
          <w:rFonts w:eastAsia="Times New Roman"/>
          <w:sz w:val="20"/>
          <w:szCs w:val="20"/>
        </w:rPr>
        <w:t>n on the Cash Balance Plan, refer to the subheading “Pension Plan” in the “Compensation Discussion and Analysis.</w:t>
      </w:r>
      <w:r>
        <w:rPr>
          <w:rFonts w:eastAsia="Times New Roman"/>
          <w:sz w:val="20"/>
          <w:szCs w:val="20"/>
        </w:rPr>
        <w:t>”</w:t>
      </w:r>
    </w:p>
    <w:p w14:paraId="4CA97398" w14:textId="77777777" w:rsidR="00000000" w:rsidRDefault="00832D71">
      <w:pPr>
        <w:jc w:val="both"/>
        <w:divId w:val="1861581312"/>
        <w:rPr>
          <w:rFonts w:eastAsia="Times New Roman"/>
        </w:rPr>
      </w:pPr>
      <w:r>
        <w:rPr>
          <w:rFonts w:eastAsia="Times New Roman"/>
          <w:sz w:val="20"/>
          <w:szCs w:val="20"/>
        </w:rPr>
        <w:t>(3</w:t>
      </w:r>
      <w:r>
        <w:rPr>
          <w:rFonts w:eastAsia="Times New Roman"/>
          <w:sz w:val="20"/>
          <w:szCs w:val="20"/>
        </w:rPr>
        <w:t>)</w:t>
      </w:r>
    </w:p>
    <w:p w14:paraId="1BC46F8E" w14:textId="77777777" w:rsidR="00000000" w:rsidRDefault="00832D71">
      <w:pPr>
        <w:jc w:val="both"/>
        <w:divId w:val="885524513"/>
        <w:rPr>
          <w:rFonts w:eastAsia="Times New Roman"/>
        </w:rPr>
      </w:pPr>
      <w:r>
        <w:rPr>
          <w:rFonts w:eastAsia="Times New Roman"/>
          <w:sz w:val="20"/>
          <w:szCs w:val="20"/>
        </w:rPr>
        <w:t xml:space="preserve">On September 24, 2022, Mr. Boyd, Mr. Brinkworth and Mr. Scanlon were the only named executive officers who met the retirement criteria of </w:t>
      </w:r>
      <w:r>
        <w:rPr>
          <w:rFonts w:eastAsia="Times New Roman"/>
          <w:sz w:val="20"/>
          <w:szCs w:val="20"/>
        </w:rPr>
        <w:t>the LTIP. For such participants, outstanding but unvested awards under the LTIP become fully vested. However, payouts of these awards are deferred until the conclusion of each outstanding award’s three-year measurement period, based on the outcome of the d</w:t>
      </w:r>
      <w:r>
        <w:rPr>
          <w:rFonts w:eastAsia="Times New Roman"/>
          <w:sz w:val="20"/>
          <w:szCs w:val="20"/>
        </w:rPr>
        <w:t xml:space="preserve">istributable cash flow measurement for the 2022 and 2021 awards. The numbers reported on these lines represent the target payout of Mr. Boyd’s, Mr. Brinkworth’s and Mr. Scanlon’s outstanding fiscal 2022 and 2021 awards under the LTIP. Because the ultimate </w:t>
      </w:r>
      <w:r>
        <w:rPr>
          <w:rFonts w:eastAsia="Times New Roman"/>
          <w:sz w:val="20"/>
          <w:szCs w:val="20"/>
        </w:rPr>
        <w:t>payout, if any, is predicated on the trading prices of the Partnership’s Common Units at the end of the three-year measurement period and the relative distribution coverage for the respective three-year measurement period, the value reported is not indicat</w:t>
      </w:r>
      <w:r>
        <w:rPr>
          <w:rFonts w:eastAsia="Times New Roman"/>
          <w:sz w:val="20"/>
          <w:szCs w:val="20"/>
        </w:rPr>
        <w:t>ive of the value that could be realized, if any, in the future upon vesting</w:t>
      </w:r>
      <w:r>
        <w:rPr>
          <w:rFonts w:eastAsia="Times New Roman"/>
          <w:sz w:val="20"/>
          <w:szCs w:val="20"/>
        </w:rPr>
        <w:t>.</w:t>
      </w:r>
    </w:p>
    <w:p w14:paraId="59F84C30" w14:textId="77777777" w:rsidR="00000000" w:rsidRDefault="00832D71">
      <w:pPr>
        <w:jc w:val="both"/>
        <w:divId w:val="1351372528"/>
        <w:rPr>
          <w:rFonts w:eastAsia="Times New Roman"/>
        </w:rPr>
      </w:pPr>
      <w:r>
        <w:rPr>
          <w:rFonts w:eastAsia="Times New Roman"/>
          <w:sz w:val="20"/>
          <w:szCs w:val="20"/>
        </w:rPr>
        <w:t>(4</w:t>
      </w:r>
      <w:r>
        <w:rPr>
          <w:rFonts w:eastAsia="Times New Roman"/>
          <w:sz w:val="20"/>
          <w:szCs w:val="20"/>
        </w:rPr>
        <w:t>)</w:t>
      </w:r>
    </w:p>
    <w:p w14:paraId="258FB0B8" w14:textId="77777777" w:rsidR="00000000" w:rsidRDefault="00832D71">
      <w:pPr>
        <w:jc w:val="both"/>
        <w:divId w:val="239026272"/>
        <w:rPr>
          <w:rFonts w:eastAsia="Times New Roman"/>
        </w:rPr>
      </w:pPr>
      <w:r>
        <w:rPr>
          <w:rFonts w:eastAsia="Times New Roman"/>
          <w:sz w:val="20"/>
          <w:szCs w:val="20"/>
        </w:rPr>
        <w:t xml:space="preserve">On September 24, 2022, Mr. Boyd, Mr. Brinkworth and Mr. Scanlon were the only named executive officers who met the age and tenure requirements of the retirement provisions of </w:t>
      </w:r>
      <w:r>
        <w:rPr>
          <w:rFonts w:eastAsia="Times New Roman"/>
          <w:sz w:val="20"/>
          <w:szCs w:val="20"/>
        </w:rPr>
        <w:t>the 2018 RUP. These figures were calculated by multiplying the awards that met the holding requirements of the retirement provisions of the 2018 RUP by the average of the highest and lowest trading prices of our Common Units on September 23, 2022. At the c</w:t>
      </w:r>
      <w:r>
        <w:rPr>
          <w:rFonts w:eastAsia="Times New Roman"/>
          <w:sz w:val="20"/>
          <w:szCs w:val="20"/>
        </w:rPr>
        <w:t>onclusion of fiscal 2022, taking into consideration the one-year holding requirement of the retirement provisions of 2018 RUP, 40,624 of Mr. Boyd’s, 37,915 of Mr. Brinkworth’s and 37,565 of Mr. Scanlon’s unvested awards were covered under the retirement pr</w:t>
      </w:r>
      <w:r>
        <w:rPr>
          <w:rFonts w:eastAsia="Times New Roman"/>
          <w:sz w:val="20"/>
          <w:szCs w:val="20"/>
        </w:rPr>
        <w:t>ovisions of our Restricted Unit Plans. For more information on the Restricted Unit Plans and the retirement provisions therein, refer to the subheading “Restricted Unit Plans” in the “Compensation Discussion and Analysis.” For participants who meet the ret</w:t>
      </w:r>
      <w:r>
        <w:rPr>
          <w:rFonts w:eastAsia="Times New Roman"/>
          <w:sz w:val="20"/>
          <w:szCs w:val="20"/>
        </w:rPr>
        <w:t>irement criteria, upon retirement, all Restricted Unit Plan awards vest six months and one day after retirement</w:t>
      </w:r>
      <w:r>
        <w:rPr>
          <w:rFonts w:eastAsia="Times New Roman"/>
          <w:sz w:val="20"/>
          <w:szCs w:val="20"/>
        </w:rPr>
        <w:t>.</w:t>
      </w:r>
    </w:p>
    <w:p w14:paraId="147B502C" w14:textId="77777777" w:rsidR="00000000" w:rsidRDefault="00832D71">
      <w:pPr>
        <w:pStyle w:val="a3"/>
        <w:spacing w:before="120" w:beforeAutospacing="0" w:after="0" w:afterAutospacing="0"/>
        <w:ind w:hanging="581"/>
        <w:jc w:val="both"/>
        <w:rPr>
          <w:sz w:val="20"/>
          <w:szCs w:val="20"/>
        </w:rPr>
      </w:pPr>
      <w:r>
        <w:rPr>
          <w:sz w:val="20"/>
          <w:szCs w:val="20"/>
        </w:rPr>
        <w:t> </w:t>
      </w:r>
    </w:p>
    <w:p w14:paraId="59BF6CD8" w14:textId="77777777" w:rsidR="00000000" w:rsidRDefault="00832D71">
      <w:pPr>
        <w:pStyle w:val="a3"/>
        <w:spacing w:before="0" w:beforeAutospacing="0" w:after="0" w:afterAutospacing="0"/>
        <w:rPr>
          <w:sz w:val="20"/>
          <w:szCs w:val="20"/>
        </w:rPr>
      </w:pPr>
      <w:r>
        <w:rPr>
          <w:sz w:val="20"/>
          <w:szCs w:val="20"/>
        </w:rPr>
        <w:t> </w:t>
      </w:r>
    </w:p>
    <w:p w14:paraId="1FBF718A" w14:textId="77777777" w:rsidR="00000000" w:rsidRDefault="00832D71">
      <w:pPr>
        <w:pStyle w:val="a3"/>
        <w:spacing w:before="0" w:beforeAutospacing="0" w:after="0" w:afterAutospacing="0"/>
        <w:jc w:val="center"/>
        <w:rPr>
          <w:sz w:val="20"/>
          <w:szCs w:val="20"/>
        </w:rPr>
      </w:pPr>
      <w:r>
        <w:rPr>
          <w:sz w:val="20"/>
          <w:szCs w:val="20"/>
        </w:rPr>
        <w:t> </w:t>
      </w:r>
    </w:p>
    <w:p w14:paraId="0E737129" w14:textId="77777777" w:rsidR="00000000" w:rsidRDefault="00832D71">
      <w:pPr>
        <w:pStyle w:val="a3"/>
        <w:spacing w:before="0" w:beforeAutospacing="0" w:after="0" w:afterAutospacing="0"/>
        <w:jc w:val="center"/>
        <w:rPr>
          <w:sz w:val="20"/>
          <w:szCs w:val="20"/>
        </w:rPr>
      </w:pPr>
      <w:r>
        <w:rPr>
          <w:sz w:val="20"/>
          <w:szCs w:val="20"/>
        </w:rPr>
        <w:t>8</w:t>
      </w:r>
      <w:r>
        <w:rPr>
          <w:sz w:val="20"/>
          <w:szCs w:val="20"/>
        </w:rPr>
        <w:t>0</w:t>
      </w:r>
    </w:p>
    <w:p w14:paraId="7DC8E3F1" w14:textId="77777777" w:rsidR="00000000" w:rsidRDefault="00832D71">
      <w:pPr>
        <w:rPr>
          <w:rFonts w:eastAsia="Times New Roman"/>
        </w:rPr>
      </w:pPr>
      <w:r>
        <w:rPr>
          <w:rFonts w:eastAsia="Times New Roman"/>
        </w:rPr>
        <w:pict w14:anchorId="628252BD">
          <v:rect id="_x0000_i1107" style="width:0;height:1.5pt" o:hralign="center" o:hrstd="t" o:hr="t" fillcolor="#a0a0a0" stroked="f"/>
        </w:pict>
      </w:r>
    </w:p>
    <w:p w14:paraId="1EDDA1A5"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378EEB9E" w14:textId="77777777" w:rsidR="00000000" w:rsidRDefault="00832D71">
      <w:pPr>
        <w:pStyle w:val="a3"/>
        <w:spacing w:before="120" w:beforeAutospacing="0" w:after="0" w:afterAutospacing="0"/>
        <w:jc w:val="both"/>
        <w:rPr>
          <w:sz w:val="20"/>
          <w:szCs w:val="20"/>
        </w:rPr>
      </w:pPr>
      <w:r>
        <w:rPr>
          <w:b/>
          <w:bCs/>
          <w:sz w:val="20"/>
          <w:szCs w:val="20"/>
        </w:rPr>
        <w:t>Potential Payments Upon Terminatio</w:t>
      </w:r>
      <w:r>
        <w:rPr>
          <w:b/>
          <w:bCs/>
          <w:sz w:val="20"/>
          <w:szCs w:val="20"/>
        </w:rPr>
        <w:t>n</w:t>
      </w:r>
    </w:p>
    <w:p w14:paraId="00F1DA7A" w14:textId="77777777" w:rsidR="00000000" w:rsidRDefault="00832D71">
      <w:pPr>
        <w:pStyle w:val="a3"/>
        <w:spacing w:before="120" w:beforeAutospacing="0" w:after="0" w:afterAutospacing="0"/>
        <w:ind w:firstLine="555"/>
        <w:jc w:val="both"/>
        <w:rPr>
          <w:sz w:val="20"/>
          <w:szCs w:val="20"/>
        </w:rPr>
      </w:pPr>
      <w:r>
        <w:rPr>
          <w:sz w:val="20"/>
          <w:szCs w:val="20"/>
        </w:rPr>
        <w:t>The following table sets forth certain information containing potential payments to the named executive officers in accordance</w:t>
      </w:r>
      <w:r>
        <w:rPr>
          <w:sz w:val="20"/>
          <w:szCs w:val="20"/>
        </w:rPr>
        <w:t xml:space="preserve"> with the provisions of the Severance Protection Plan, the Executive Special Severance Plan, the Restricted Unit Plans and the LTIP for the circumstances listed in the table assuming a September 24, 2022 termination date. For more information on severance </w:t>
      </w:r>
      <w:r>
        <w:rPr>
          <w:sz w:val="20"/>
          <w:szCs w:val="20"/>
        </w:rPr>
        <w:t>and change of control payments, refer to the subheadings “Severance Benefits” and “Change of Control” above</w:t>
      </w:r>
      <w:r>
        <w:rPr>
          <w:sz w:val="20"/>
          <w:szCs w:val="20"/>
        </w:rPr>
        <w:t>.</w:t>
      </w:r>
    </w:p>
    <w:p w14:paraId="59573823" w14:textId="77777777" w:rsidR="00000000" w:rsidRDefault="00832D71">
      <w:pPr>
        <w:pStyle w:val="a3"/>
        <w:spacing w:before="0" w:beforeAutospacing="0" w:after="0" w:afterAutospacing="0"/>
        <w:ind w:firstLine="555"/>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71"/>
        <w:gridCol w:w="108"/>
        <w:gridCol w:w="155"/>
        <w:gridCol w:w="820"/>
        <w:gridCol w:w="108"/>
        <w:gridCol w:w="108"/>
        <w:gridCol w:w="155"/>
        <w:gridCol w:w="820"/>
        <w:gridCol w:w="108"/>
        <w:gridCol w:w="108"/>
        <w:gridCol w:w="155"/>
        <w:gridCol w:w="1091"/>
        <w:gridCol w:w="108"/>
        <w:gridCol w:w="108"/>
        <w:gridCol w:w="155"/>
        <w:gridCol w:w="1205"/>
        <w:gridCol w:w="123"/>
      </w:tblGrid>
      <w:tr w:rsidR="00000000" w14:paraId="0E7F3CD4" w14:textId="77777777">
        <w:trPr>
          <w:tblCellSpacing w:w="15" w:type="dxa"/>
        </w:trPr>
        <w:tc>
          <w:tcPr>
            <w:tcW w:w="1891" w:type="pct"/>
            <w:vAlign w:val="center"/>
            <w:hideMark/>
          </w:tcPr>
          <w:p w14:paraId="02116AF1" w14:textId="77777777" w:rsidR="00000000" w:rsidRDefault="00832D71">
            <w:pPr>
              <w:rPr>
                <w:sz w:val="20"/>
                <w:szCs w:val="20"/>
              </w:rPr>
            </w:pPr>
          </w:p>
        </w:tc>
        <w:tc>
          <w:tcPr>
            <w:tcW w:w="56" w:type="pct"/>
            <w:vAlign w:val="center"/>
            <w:hideMark/>
          </w:tcPr>
          <w:p w14:paraId="71403E6B" w14:textId="77777777" w:rsidR="00000000" w:rsidRDefault="00832D71">
            <w:pPr>
              <w:rPr>
                <w:rFonts w:eastAsia="Times New Roman"/>
                <w:sz w:val="20"/>
                <w:szCs w:val="20"/>
              </w:rPr>
            </w:pPr>
          </w:p>
        </w:tc>
        <w:tc>
          <w:tcPr>
            <w:tcW w:w="50" w:type="pct"/>
            <w:vAlign w:val="center"/>
            <w:hideMark/>
          </w:tcPr>
          <w:p w14:paraId="48A788C8" w14:textId="77777777" w:rsidR="00000000" w:rsidRDefault="00832D71">
            <w:pPr>
              <w:rPr>
                <w:rFonts w:eastAsia="Times New Roman"/>
                <w:sz w:val="20"/>
                <w:szCs w:val="20"/>
              </w:rPr>
            </w:pPr>
          </w:p>
        </w:tc>
        <w:tc>
          <w:tcPr>
            <w:tcW w:w="433" w:type="pct"/>
            <w:vAlign w:val="center"/>
            <w:hideMark/>
          </w:tcPr>
          <w:p w14:paraId="5E373F70" w14:textId="77777777" w:rsidR="00000000" w:rsidRDefault="00832D71">
            <w:pPr>
              <w:rPr>
                <w:rFonts w:eastAsia="Times New Roman"/>
                <w:sz w:val="20"/>
                <w:szCs w:val="20"/>
              </w:rPr>
            </w:pPr>
          </w:p>
        </w:tc>
        <w:tc>
          <w:tcPr>
            <w:tcW w:w="50" w:type="pct"/>
            <w:vAlign w:val="center"/>
            <w:hideMark/>
          </w:tcPr>
          <w:p w14:paraId="0889A347" w14:textId="77777777" w:rsidR="00000000" w:rsidRDefault="00832D71">
            <w:pPr>
              <w:rPr>
                <w:rFonts w:eastAsia="Times New Roman"/>
                <w:sz w:val="20"/>
                <w:szCs w:val="20"/>
              </w:rPr>
            </w:pPr>
          </w:p>
        </w:tc>
        <w:tc>
          <w:tcPr>
            <w:tcW w:w="44" w:type="pct"/>
            <w:vAlign w:val="center"/>
            <w:hideMark/>
          </w:tcPr>
          <w:p w14:paraId="23498A60" w14:textId="77777777" w:rsidR="00000000" w:rsidRDefault="00832D71">
            <w:pPr>
              <w:rPr>
                <w:rFonts w:eastAsia="Times New Roman"/>
                <w:sz w:val="20"/>
                <w:szCs w:val="20"/>
              </w:rPr>
            </w:pPr>
          </w:p>
        </w:tc>
        <w:tc>
          <w:tcPr>
            <w:tcW w:w="50" w:type="pct"/>
            <w:vAlign w:val="center"/>
            <w:hideMark/>
          </w:tcPr>
          <w:p w14:paraId="574E4576" w14:textId="77777777" w:rsidR="00000000" w:rsidRDefault="00832D71">
            <w:pPr>
              <w:rPr>
                <w:rFonts w:eastAsia="Times New Roman"/>
                <w:sz w:val="20"/>
                <w:szCs w:val="20"/>
              </w:rPr>
            </w:pPr>
          </w:p>
        </w:tc>
        <w:tc>
          <w:tcPr>
            <w:tcW w:w="433" w:type="pct"/>
            <w:vAlign w:val="center"/>
            <w:hideMark/>
          </w:tcPr>
          <w:p w14:paraId="70CBAFBC" w14:textId="77777777" w:rsidR="00000000" w:rsidRDefault="00832D71">
            <w:pPr>
              <w:rPr>
                <w:rFonts w:eastAsia="Times New Roman"/>
                <w:sz w:val="20"/>
                <w:szCs w:val="20"/>
              </w:rPr>
            </w:pPr>
          </w:p>
        </w:tc>
        <w:tc>
          <w:tcPr>
            <w:tcW w:w="50" w:type="pct"/>
            <w:vAlign w:val="center"/>
            <w:hideMark/>
          </w:tcPr>
          <w:p w14:paraId="5121A067" w14:textId="77777777" w:rsidR="00000000" w:rsidRDefault="00832D71">
            <w:pPr>
              <w:rPr>
                <w:rFonts w:eastAsia="Times New Roman"/>
                <w:sz w:val="20"/>
                <w:szCs w:val="20"/>
              </w:rPr>
            </w:pPr>
          </w:p>
        </w:tc>
        <w:tc>
          <w:tcPr>
            <w:tcW w:w="44" w:type="pct"/>
            <w:vAlign w:val="center"/>
            <w:hideMark/>
          </w:tcPr>
          <w:p w14:paraId="121378D8" w14:textId="77777777" w:rsidR="00000000" w:rsidRDefault="00832D71">
            <w:pPr>
              <w:rPr>
                <w:rFonts w:eastAsia="Times New Roman"/>
                <w:sz w:val="20"/>
                <w:szCs w:val="20"/>
              </w:rPr>
            </w:pPr>
          </w:p>
        </w:tc>
        <w:tc>
          <w:tcPr>
            <w:tcW w:w="50" w:type="pct"/>
            <w:vAlign w:val="center"/>
            <w:hideMark/>
          </w:tcPr>
          <w:p w14:paraId="100FBFC0" w14:textId="77777777" w:rsidR="00000000" w:rsidRDefault="00832D71">
            <w:pPr>
              <w:rPr>
                <w:rFonts w:eastAsia="Times New Roman"/>
                <w:sz w:val="20"/>
                <w:szCs w:val="20"/>
              </w:rPr>
            </w:pPr>
          </w:p>
        </w:tc>
        <w:tc>
          <w:tcPr>
            <w:tcW w:w="823" w:type="pct"/>
            <w:vAlign w:val="center"/>
            <w:hideMark/>
          </w:tcPr>
          <w:p w14:paraId="473BF4F4" w14:textId="77777777" w:rsidR="00000000" w:rsidRDefault="00832D71">
            <w:pPr>
              <w:rPr>
                <w:rFonts w:eastAsia="Times New Roman"/>
                <w:sz w:val="20"/>
                <w:szCs w:val="20"/>
              </w:rPr>
            </w:pPr>
          </w:p>
        </w:tc>
        <w:tc>
          <w:tcPr>
            <w:tcW w:w="50" w:type="pct"/>
            <w:vAlign w:val="center"/>
            <w:hideMark/>
          </w:tcPr>
          <w:p w14:paraId="62310410" w14:textId="77777777" w:rsidR="00000000" w:rsidRDefault="00832D71">
            <w:pPr>
              <w:rPr>
                <w:rFonts w:eastAsia="Times New Roman"/>
                <w:sz w:val="20"/>
                <w:szCs w:val="20"/>
              </w:rPr>
            </w:pPr>
          </w:p>
        </w:tc>
        <w:tc>
          <w:tcPr>
            <w:tcW w:w="44" w:type="pct"/>
            <w:vAlign w:val="center"/>
            <w:hideMark/>
          </w:tcPr>
          <w:p w14:paraId="0D75C856" w14:textId="77777777" w:rsidR="00000000" w:rsidRDefault="00832D71">
            <w:pPr>
              <w:rPr>
                <w:rFonts w:eastAsia="Times New Roman"/>
                <w:sz w:val="20"/>
                <w:szCs w:val="20"/>
              </w:rPr>
            </w:pPr>
          </w:p>
        </w:tc>
        <w:tc>
          <w:tcPr>
            <w:tcW w:w="50" w:type="pct"/>
            <w:vAlign w:val="center"/>
            <w:hideMark/>
          </w:tcPr>
          <w:p w14:paraId="7A933BA5" w14:textId="77777777" w:rsidR="00000000" w:rsidRDefault="00832D71">
            <w:pPr>
              <w:rPr>
                <w:rFonts w:eastAsia="Times New Roman"/>
                <w:sz w:val="20"/>
                <w:szCs w:val="20"/>
              </w:rPr>
            </w:pPr>
          </w:p>
        </w:tc>
        <w:tc>
          <w:tcPr>
            <w:tcW w:w="828" w:type="pct"/>
            <w:vAlign w:val="center"/>
            <w:hideMark/>
          </w:tcPr>
          <w:p w14:paraId="7D640FD1" w14:textId="77777777" w:rsidR="00000000" w:rsidRDefault="00832D71">
            <w:pPr>
              <w:rPr>
                <w:rFonts w:eastAsia="Times New Roman"/>
                <w:sz w:val="20"/>
                <w:szCs w:val="20"/>
              </w:rPr>
            </w:pPr>
          </w:p>
        </w:tc>
        <w:tc>
          <w:tcPr>
            <w:tcW w:w="50" w:type="pct"/>
            <w:vAlign w:val="center"/>
            <w:hideMark/>
          </w:tcPr>
          <w:p w14:paraId="02BFADE8" w14:textId="77777777" w:rsidR="00000000" w:rsidRDefault="00832D71">
            <w:pPr>
              <w:rPr>
                <w:rFonts w:eastAsia="Times New Roman"/>
                <w:sz w:val="20"/>
                <w:szCs w:val="20"/>
              </w:rPr>
            </w:pPr>
          </w:p>
        </w:tc>
      </w:tr>
      <w:tr w:rsidR="00000000" w14:paraId="1AA19700" w14:textId="77777777">
        <w:trPr>
          <w:trHeight w:val="160"/>
          <w:tblCellSpacing w:w="15" w:type="dxa"/>
        </w:trPr>
        <w:tc>
          <w:tcPr>
            <w:tcW w:w="0" w:type="auto"/>
            <w:vAlign w:val="bottom"/>
            <w:hideMark/>
          </w:tcPr>
          <w:p w14:paraId="424D568D" w14:textId="77777777" w:rsidR="00000000" w:rsidRDefault="00832D71">
            <w:pPr>
              <w:pStyle w:val="a3"/>
              <w:spacing w:before="0" w:beforeAutospacing="0" w:after="0" w:afterAutospacing="0"/>
              <w:jc w:val="center"/>
              <w:rPr>
                <w:sz w:val="16"/>
                <w:szCs w:val="16"/>
              </w:rPr>
            </w:pPr>
            <w:r>
              <w:rPr>
                <w:b/>
                <w:bCs/>
                <w:sz w:val="16"/>
                <w:szCs w:val="16"/>
              </w:rPr>
              <w:t>Executive Payments and Benefits Upon Terminatio</w:t>
            </w:r>
            <w:r>
              <w:rPr>
                <w:b/>
                <w:bCs/>
                <w:sz w:val="16"/>
                <w:szCs w:val="16"/>
              </w:rPr>
              <w:t>n</w:t>
            </w:r>
          </w:p>
        </w:tc>
        <w:tc>
          <w:tcPr>
            <w:tcW w:w="0" w:type="auto"/>
            <w:hideMark/>
          </w:tcPr>
          <w:p w14:paraId="2BFE3F4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3CE81C0" w14:textId="77777777" w:rsidR="00000000" w:rsidRDefault="00832D71">
            <w:pPr>
              <w:pStyle w:val="a3"/>
              <w:spacing w:before="0" w:beforeAutospacing="0" w:after="0" w:afterAutospacing="0"/>
              <w:jc w:val="center"/>
              <w:rPr>
                <w:sz w:val="16"/>
                <w:szCs w:val="16"/>
              </w:rPr>
            </w:pPr>
            <w:r>
              <w:rPr>
                <w:b/>
                <w:bCs/>
                <w:sz w:val="16"/>
                <w:szCs w:val="16"/>
              </w:rPr>
              <w:t>Deat</w:t>
            </w:r>
            <w:r>
              <w:rPr>
                <w:b/>
                <w:bCs/>
                <w:sz w:val="16"/>
                <w:szCs w:val="16"/>
              </w:rPr>
              <w:t>h</w:t>
            </w:r>
          </w:p>
        </w:tc>
        <w:tc>
          <w:tcPr>
            <w:tcW w:w="0" w:type="auto"/>
            <w:vAlign w:val="bottom"/>
            <w:hideMark/>
          </w:tcPr>
          <w:p w14:paraId="34547F5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8A6D9B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3FC2864" w14:textId="77777777" w:rsidR="00000000" w:rsidRDefault="00832D71">
            <w:pPr>
              <w:pStyle w:val="a3"/>
              <w:spacing w:before="0" w:beforeAutospacing="0" w:after="0" w:afterAutospacing="0"/>
              <w:jc w:val="center"/>
              <w:rPr>
                <w:sz w:val="16"/>
                <w:szCs w:val="16"/>
              </w:rPr>
            </w:pPr>
            <w:r>
              <w:rPr>
                <w:b/>
                <w:bCs/>
                <w:sz w:val="16"/>
                <w:szCs w:val="16"/>
              </w:rPr>
              <w:t>Disabilit</w:t>
            </w:r>
            <w:r>
              <w:rPr>
                <w:b/>
                <w:bCs/>
                <w:sz w:val="16"/>
                <w:szCs w:val="16"/>
              </w:rPr>
              <w:t>y</w:t>
            </w:r>
          </w:p>
        </w:tc>
        <w:tc>
          <w:tcPr>
            <w:tcW w:w="0" w:type="auto"/>
            <w:vAlign w:val="bottom"/>
            <w:hideMark/>
          </w:tcPr>
          <w:p w14:paraId="1BA63A0E"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30DE7A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77BDC56" w14:textId="77777777" w:rsidR="00000000" w:rsidRDefault="00832D71">
            <w:pPr>
              <w:pStyle w:val="a3"/>
              <w:spacing w:before="0" w:beforeAutospacing="0" w:after="0" w:afterAutospacing="0"/>
              <w:jc w:val="center"/>
              <w:rPr>
                <w:sz w:val="16"/>
                <w:szCs w:val="16"/>
              </w:rPr>
            </w:pPr>
            <w:r>
              <w:rPr>
                <w:b/>
                <w:bCs/>
                <w:sz w:val="16"/>
                <w:szCs w:val="16"/>
              </w:rPr>
              <w:t>Involuntary Termination Without Cause by the Partnership or by the Executive for Good Reason without a Change of Control Even</w:t>
            </w:r>
            <w:r>
              <w:rPr>
                <w:b/>
                <w:bCs/>
                <w:sz w:val="16"/>
                <w:szCs w:val="16"/>
              </w:rPr>
              <w:t>t</w:t>
            </w:r>
          </w:p>
        </w:tc>
        <w:tc>
          <w:tcPr>
            <w:tcW w:w="0" w:type="auto"/>
            <w:vAlign w:val="bottom"/>
            <w:hideMark/>
          </w:tcPr>
          <w:p w14:paraId="45C0A8B5"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B14FCF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F38BDE9" w14:textId="77777777" w:rsidR="00000000" w:rsidRDefault="00832D71">
            <w:pPr>
              <w:pStyle w:val="a3"/>
              <w:spacing w:before="0" w:beforeAutospacing="0" w:after="0" w:afterAutospacing="0"/>
              <w:jc w:val="center"/>
              <w:rPr>
                <w:sz w:val="16"/>
                <w:szCs w:val="16"/>
              </w:rPr>
            </w:pPr>
            <w:r>
              <w:rPr>
                <w:b/>
                <w:bCs/>
                <w:sz w:val="16"/>
                <w:szCs w:val="16"/>
              </w:rPr>
              <w:t>Involuntary Termination Without Cause by the Partnership or by the Executive for Good Reason with a Change of Control Even</w:t>
            </w:r>
            <w:r>
              <w:rPr>
                <w:b/>
                <w:bCs/>
                <w:sz w:val="16"/>
                <w:szCs w:val="16"/>
              </w:rPr>
              <w:t>t</w:t>
            </w:r>
          </w:p>
        </w:tc>
        <w:tc>
          <w:tcPr>
            <w:tcW w:w="0" w:type="auto"/>
            <w:vAlign w:val="bottom"/>
            <w:hideMark/>
          </w:tcPr>
          <w:p w14:paraId="7EDA5FFE"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62805801" w14:textId="77777777">
        <w:trPr>
          <w:trHeight w:val="180"/>
          <w:tblCellSpacing w:w="15" w:type="dxa"/>
        </w:trPr>
        <w:tc>
          <w:tcPr>
            <w:tcW w:w="0" w:type="auto"/>
            <w:hideMark/>
          </w:tcPr>
          <w:p w14:paraId="442A9B10" w14:textId="77777777" w:rsidR="00000000" w:rsidRDefault="00832D71">
            <w:pPr>
              <w:pStyle w:val="a3"/>
              <w:spacing w:before="0" w:beforeAutospacing="0" w:after="0" w:afterAutospacing="0"/>
              <w:rPr>
                <w:sz w:val="19"/>
                <w:szCs w:val="19"/>
              </w:rPr>
            </w:pPr>
            <w:r>
              <w:rPr>
                <w:sz w:val="19"/>
                <w:szCs w:val="19"/>
              </w:rPr>
              <w:t>Michael A. Stival</w:t>
            </w:r>
            <w:r>
              <w:rPr>
                <w:sz w:val="19"/>
                <w:szCs w:val="19"/>
              </w:rPr>
              <w:t>a</w:t>
            </w:r>
          </w:p>
        </w:tc>
        <w:tc>
          <w:tcPr>
            <w:tcW w:w="0" w:type="auto"/>
            <w:hideMark/>
          </w:tcPr>
          <w:p w14:paraId="318B9A44" w14:textId="77777777" w:rsidR="00000000" w:rsidRDefault="00832D71">
            <w:pPr>
              <w:pStyle w:val="a3"/>
              <w:spacing w:before="0" w:beforeAutospacing="0" w:after="0" w:afterAutospacing="0"/>
              <w:rPr>
                <w:sz w:val="19"/>
                <w:szCs w:val="19"/>
              </w:rPr>
            </w:pPr>
            <w:r>
              <w:rPr>
                <w:sz w:val="19"/>
                <w:szCs w:val="19"/>
              </w:rPr>
              <w:t> </w:t>
            </w:r>
          </w:p>
        </w:tc>
        <w:tc>
          <w:tcPr>
            <w:tcW w:w="0" w:type="auto"/>
            <w:gridSpan w:val="2"/>
            <w:hideMark/>
          </w:tcPr>
          <w:p w14:paraId="53A9FA4B"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3AF3F60C"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3C330C4B" w14:textId="77777777" w:rsidR="00000000" w:rsidRDefault="00832D71">
            <w:pPr>
              <w:pStyle w:val="a3"/>
              <w:spacing w:before="0" w:beforeAutospacing="0" w:after="0" w:afterAutospacing="0"/>
              <w:rPr>
                <w:sz w:val="19"/>
                <w:szCs w:val="19"/>
              </w:rPr>
            </w:pPr>
            <w:r>
              <w:rPr>
                <w:sz w:val="19"/>
                <w:szCs w:val="19"/>
              </w:rPr>
              <w:t> </w:t>
            </w:r>
          </w:p>
        </w:tc>
        <w:tc>
          <w:tcPr>
            <w:tcW w:w="0" w:type="auto"/>
            <w:gridSpan w:val="2"/>
            <w:hideMark/>
          </w:tcPr>
          <w:p w14:paraId="0D6B5C3C"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6ABE2C1B"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1CAEFE7F"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00661D31"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687A861D"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3F77F1E9"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778844AB"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41BF49D5" w14:textId="77777777" w:rsidR="00000000" w:rsidRDefault="00832D71">
            <w:pPr>
              <w:pStyle w:val="a3"/>
              <w:spacing w:before="0" w:beforeAutospacing="0" w:after="0" w:afterAutospacing="0"/>
              <w:jc w:val="right"/>
              <w:rPr>
                <w:sz w:val="19"/>
                <w:szCs w:val="19"/>
              </w:rPr>
            </w:pPr>
            <w:r>
              <w:rPr>
                <w:sz w:val="19"/>
                <w:szCs w:val="19"/>
              </w:rPr>
              <w:t> </w:t>
            </w:r>
          </w:p>
        </w:tc>
      </w:tr>
      <w:tr w:rsidR="00000000" w14:paraId="520654CB" w14:textId="77777777">
        <w:trPr>
          <w:trHeight w:val="180"/>
          <w:tblCellSpacing w:w="15" w:type="dxa"/>
        </w:trPr>
        <w:tc>
          <w:tcPr>
            <w:tcW w:w="0" w:type="auto"/>
            <w:hideMark/>
          </w:tcPr>
          <w:p w14:paraId="70BD0038" w14:textId="77777777" w:rsidR="00000000" w:rsidRDefault="00832D71">
            <w:pPr>
              <w:pStyle w:val="a3"/>
              <w:spacing w:before="0" w:beforeAutospacing="0" w:after="0" w:afterAutospacing="0"/>
              <w:rPr>
                <w:sz w:val="19"/>
                <w:szCs w:val="19"/>
              </w:rPr>
            </w:pPr>
            <w:r>
              <w:rPr>
                <w:sz w:val="19"/>
                <w:szCs w:val="19"/>
              </w:rPr>
              <w:t>Cash Compensation (1) (2) (3) (4</w:t>
            </w:r>
            <w:r>
              <w:rPr>
                <w:sz w:val="19"/>
                <w:szCs w:val="19"/>
              </w:rPr>
              <w:t>)</w:t>
            </w:r>
          </w:p>
        </w:tc>
        <w:tc>
          <w:tcPr>
            <w:tcW w:w="0" w:type="auto"/>
            <w:hideMark/>
          </w:tcPr>
          <w:p w14:paraId="1DBE46BA"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27AC1414"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0F8B1A30"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66784B86"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2FF63457"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1342AD39"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7FFC1F59"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064B89A7"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1AEC89F0"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7F746D7D"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3099422E" w14:textId="77777777" w:rsidR="00000000" w:rsidRDefault="00832D71">
            <w:pPr>
              <w:pStyle w:val="a3"/>
              <w:spacing w:before="0" w:beforeAutospacing="0" w:after="0" w:afterAutospacing="0"/>
              <w:jc w:val="right"/>
              <w:rPr>
                <w:sz w:val="19"/>
                <w:szCs w:val="19"/>
              </w:rPr>
            </w:pPr>
            <w:r>
              <w:rPr>
                <w:sz w:val="19"/>
                <w:szCs w:val="19"/>
              </w:rPr>
              <w:t>820,00</w:t>
            </w:r>
            <w:r>
              <w:rPr>
                <w:sz w:val="19"/>
                <w:szCs w:val="19"/>
              </w:rPr>
              <w:t>0</w:t>
            </w:r>
          </w:p>
        </w:tc>
        <w:tc>
          <w:tcPr>
            <w:tcW w:w="0" w:type="auto"/>
            <w:noWrap/>
            <w:vAlign w:val="bottom"/>
            <w:hideMark/>
          </w:tcPr>
          <w:p w14:paraId="028CBC9A"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6C2C03E9"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6F9EE2AD"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3D6B004F" w14:textId="77777777" w:rsidR="00000000" w:rsidRDefault="00832D71">
            <w:pPr>
              <w:pStyle w:val="a3"/>
              <w:spacing w:before="0" w:beforeAutospacing="0" w:after="0" w:afterAutospacing="0"/>
              <w:jc w:val="right"/>
              <w:rPr>
                <w:sz w:val="19"/>
                <w:szCs w:val="19"/>
              </w:rPr>
            </w:pPr>
            <w:r>
              <w:rPr>
                <w:sz w:val="19"/>
                <w:szCs w:val="19"/>
              </w:rPr>
              <w:t>5,412,00</w:t>
            </w:r>
            <w:r>
              <w:rPr>
                <w:sz w:val="19"/>
                <w:szCs w:val="19"/>
              </w:rPr>
              <w:t>0</w:t>
            </w:r>
          </w:p>
        </w:tc>
        <w:tc>
          <w:tcPr>
            <w:tcW w:w="0" w:type="auto"/>
            <w:noWrap/>
            <w:vAlign w:val="bottom"/>
            <w:hideMark/>
          </w:tcPr>
          <w:p w14:paraId="4CF79B1C" w14:textId="77777777" w:rsidR="00000000" w:rsidRDefault="00832D71">
            <w:pPr>
              <w:pStyle w:val="a3"/>
              <w:spacing w:before="0" w:beforeAutospacing="0" w:after="0" w:afterAutospacing="0"/>
              <w:rPr>
                <w:sz w:val="19"/>
                <w:szCs w:val="19"/>
              </w:rPr>
            </w:pPr>
            <w:r>
              <w:rPr>
                <w:sz w:val="19"/>
                <w:szCs w:val="19"/>
              </w:rPr>
              <w:t> </w:t>
            </w:r>
          </w:p>
        </w:tc>
      </w:tr>
      <w:tr w:rsidR="00000000" w14:paraId="7E4668BC" w14:textId="77777777">
        <w:trPr>
          <w:trHeight w:val="180"/>
          <w:tblCellSpacing w:w="15" w:type="dxa"/>
        </w:trPr>
        <w:tc>
          <w:tcPr>
            <w:tcW w:w="0" w:type="auto"/>
            <w:hideMark/>
          </w:tcPr>
          <w:p w14:paraId="57EFBE7F" w14:textId="77777777" w:rsidR="00000000" w:rsidRDefault="00832D71">
            <w:pPr>
              <w:pStyle w:val="a3"/>
              <w:spacing w:before="0" w:beforeAutospacing="0" w:after="0" w:afterAutospacing="0"/>
              <w:rPr>
                <w:sz w:val="19"/>
                <w:szCs w:val="19"/>
              </w:rPr>
            </w:pPr>
            <w:r>
              <w:rPr>
                <w:sz w:val="19"/>
                <w:szCs w:val="19"/>
              </w:rPr>
              <w:t>Accelerated Vesting of Fiscal 2022, 2021 and</w:t>
            </w:r>
            <w:r>
              <w:rPr>
                <w:sz w:val="19"/>
                <w:szCs w:val="19"/>
              </w:rPr>
              <w:br/>
              <w:t>   2020 LTIP Awards @ 150% (5</w:t>
            </w:r>
            <w:r>
              <w:rPr>
                <w:sz w:val="19"/>
                <w:szCs w:val="19"/>
              </w:rPr>
              <w:t>)</w:t>
            </w:r>
          </w:p>
        </w:tc>
        <w:tc>
          <w:tcPr>
            <w:tcW w:w="0" w:type="auto"/>
            <w:hideMark/>
          </w:tcPr>
          <w:p w14:paraId="236BE44E"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7D2259D3"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29DCFD86"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1DF6B98D"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1D390EB9"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30F68109"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7BC10817"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376041AF"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02C49CA3"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4BB9C652"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30FA1EF8"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0682DF26"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65B75A1E"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46091C45"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668E6811"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003B4EB0" w14:textId="77777777" w:rsidR="00000000" w:rsidRDefault="00832D71">
            <w:pPr>
              <w:pStyle w:val="a3"/>
              <w:spacing w:before="0" w:beforeAutospacing="0" w:after="0" w:afterAutospacing="0"/>
              <w:rPr>
                <w:sz w:val="19"/>
                <w:szCs w:val="19"/>
              </w:rPr>
            </w:pPr>
            <w:r>
              <w:rPr>
                <w:sz w:val="19"/>
                <w:szCs w:val="19"/>
              </w:rPr>
              <w:t> </w:t>
            </w:r>
          </w:p>
        </w:tc>
      </w:tr>
      <w:tr w:rsidR="00000000" w14:paraId="5020E434" w14:textId="77777777">
        <w:trPr>
          <w:trHeight w:val="180"/>
          <w:tblCellSpacing w:w="15" w:type="dxa"/>
        </w:trPr>
        <w:tc>
          <w:tcPr>
            <w:tcW w:w="0" w:type="auto"/>
            <w:hideMark/>
          </w:tcPr>
          <w:p w14:paraId="6E2CFA58" w14:textId="77777777" w:rsidR="00000000" w:rsidRDefault="00832D71">
            <w:pPr>
              <w:pStyle w:val="a3"/>
              <w:spacing w:before="0" w:beforeAutospacing="0" w:after="0" w:afterAutospacing="0"/>
              <w:rPr>
                <w:sz w:val="19"/>
                <w:szCs w:val="19"/>
              </w:rPr>
            </w:pPr>
            <w:r>
              <w:rPr>
                <w:sz w:val="19"/>
                <w:szCs w:val="19"/>
              </w:rPr>
              <w:t>Accelerated Vesting of Outstanding RUP Awards (6</w:t>
            </w:r>
            <w:r>
              <w:rPr>
                <w:sz w:val="19"/>
                <w:szCs w:val="19"/>
              </w:rPr>
              <w:t>)</w:t>
            </w:r>
          </w:p>
        </w:tc>
        <w:tc>
          <w:tcPr>
            <w:tcW w:w="0" w:type="auto"/>
            <w:hideMark/>
          </w:tcPr>
          <w:p w14:paraId="4E8CE88C"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0EC20FF7"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45EB26AF" w14:textId="77777777" w:rsidR="00000000" w:rsidRDefault="00832D71">
            <w:pPr>
              <w:pStyle w:val="a3"/>
              <w:spacing w:before="0" w:beforeAutospacing="0" w:after="0" w:afterAutospacing="0"/>
              <w:jc w:val="right"/>
              <w:rPr>
                <w:sz w:val="19"/>
                <w:szCs w:val="19"/>
              </w:rPr>
            </w:pPr>
            <w:r>
              <w:rPr>
                <w:sz w:val="19"/>
                <w:szCs w:val="19"/>
              </w:rPr>
              <w:t>1,962,33</w:t>
            </w:r>
            <w:r>
              <w:rPr>
                <w:sz w:val="19"/>
                <w:szCs w:val="19"/>
              </w:rPr>
              <w:t>1</w:t>
            </w:r>
          </w:p>
        </w:tc>
        <w:tc>
          <w:tcPr>
            <w:tcW w:w="0" w:type="auto"/>
            <w:noWrap/>
            <w:vAlign w:val="bottom"/>
            <w:hideMark/>
          </w:tcPr>
          <w:p w14:paraId="6937EB00"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213F60A1"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176ABD1C"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74E58C9F" w14:textId="77777777" w:rsidR="00000000" w:rsidRDefault="00832D71">
            <w:pPr>
              <w:pStyle w:val="a3"/>
              <w:spacing w:before="0" w:beforeAutospacing="0" w:after="0" w:afterAutospacing="0"/>
              <w:jc w:val="right"/>
              <w:rPr>
                <w:sz w:val="19"/>
                <w:szCs w:val="19"/>
              </w:rPr>
            </w:pPr>
            <w:r>
              <w:rPr>
                <w:sz w:val="19"/>
                <w:szCs w:val="19"/>
              </w:rPr>
              <w:t>1,962,33</w:t>
            </w:r>
            <w:r>
              <w:rPr>
                <w:sz w:val="19"/>
                <w:szCs w:val="19"/>
              </w:rPr>
              <w:t>1</w:t>
            </w:r>
          </w:p>
        </w:tc>
        <w:tc>
          <w:tcPr>
            <w:tcW w:w="0" w:type="auto"/>
            <w:noWrap/>
            <w:vAlign w:val="bottom"/>
            <w:hideMark/>
          </w:tcPr>
          <w:p w14:paraId="2550AB78"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22CEF03D"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77E31F3C"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5F324126"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25FA2E7D"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09D64988"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7CCF8AE5"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41105EA4" w14:textId="77777777" w:rsidR="00000000" w:rsidRDefault="00832D71">
            <w:pPr>
              <w:pStyle w:val="a3"/>
              <w:spacing w:before="0" w:beforeAutospacing="0" w:after="0" w:afterAutospacing="0"/>
              <w:jc w:val="right"/>
              <w:rPr>
                <w:sz w:val="19"/>
                <w:szCs w:val="19"/>
              </w:rPr>
            </w:pPr>
            <w:r>
              <w:rPr>
                <w:sz w:val="19"/>
                <w:szCs w:val="19"/>
              </w:rPr>
              <w:t>1,962,33</w:t>
            </w:r>
            <w:r>
              <w:rPr>
                <w:sz w:val="19"/>
                <w:szCs w:val="19"/>
              </w:rPr>
              <w:t>1</w:t>
            </w:r>
          </w:p>
        </w:tc>
        <w:tc>
          <w:tcPr>
            <w:tcW w:w="0" w:type="auto"/>
            <w:noWrap/>
            <w:vAlign w:val="bottom"/>
            <w:hideMark/>
          </w:tcPr>
          <w:p w14:paraId="2C0B7F57" w14:textId="77777777" w:rsidR="00000000" w:rsidRDefault="00832D71">
            <w:pPr>
              <w:pStyle w:val="a3"/>
              <w:spacing w:before="0" w:beforeAutospacing="0" w:after="0" w:afterAutospacing="0"/>
              <w:rPr>
                <w:sz w:val="19"/>
                <w:szCs w:val="19"/>
              </w:rPr>
            </w:pPr>
            <w:r>
              <w:rPr>
                <w:sz w:val="19"/>
                <w:szCs w:val="19"/>
              </w:rPr>
              <w:t> </w:t>
            </w:r>
          </w:p>
        </w:tc>
      </w:tr>
      <w:tr w:rsidR="00000000" w14:paraId="1F765C05" w14:textId="77777777">
        <w:trPr>
          <w:trHeight w:val="180"/>
          <w:tblCellSpacing w:w="15" w:type="dxa"/>
        </w:trPr>
        <w:tc>
          <w:tcPr>
            <w:tcW w:w="0" w:type="auto"/>
            <w:hideMark/>
          </w:tcPr>
          <w:p w14:paraId="18DF7031" w14:textId="77777777" w:rsidR="00000000" w:rsidRDefault="00832D71">
            <w:pPr>
              <w:pStyle w:val="a3"/>
              <w:spacing w:before="0" w:beforeAutospacing="0" w:after="0" w:afterAutospacing="0"/>
              <w:rPr>
                <w:sz w:val="19"/>
                <w:szCs w:val="19"/>
              </w:rPr>
            </w:pPr>
            <w:r>
              <w:rPr>
                <w:sz w:val="19"/>
                <w:szCs w:val="19"/>
              </w:rPr>
              <w:t>Medical Benefits (3</w:t>
            </w:r>
            <w:r>
              <w:rPr>
                <w:sz w:val="19"/>
                <w:szCs w:val="19"/>
              </w:rPr>
              <w:t>)</w:t>
            </w:r>
          </w:p>
        </w:tc>
        <w:tc>
          <w:tcPr>
            <w:tcW w:w="0" w:type="auto"/>
            <w:hideMark/>
          </w:tcPr>
          <w:p w14:paraId="4EDFBE59"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78963F29"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3701F823"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61993473"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4D7E0288"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763404AD"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44A468EB"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7259D3D0"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7B1FC799"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0D392E4C"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65B1DADF" w14:textId="77777777" w:rsidR="00000000" w:rsidRDefault="00832D71">
            <w:pPr>
              <w:pStyle w:val="a3"/>
              <w:spacing w:before="0" w:beforeAutospacing="0" w:after="0" w:afterAutospacing="0"/>
              <w:jc w:val="right"/>
              <w:rPr>
                <w:sz w:val="19"/>
                <w:szCs w:val="19"/>
              </w:rPr>
            </w:pPr>
            <w:r>
              <w:rPr>
                <w:sz w:val="19"/>
                <w:szCs w:val="19"/>
              </w:rPr>
              <w:t>29,73</w:t>
            </w:r>
            <w:r>
              <w:rPr>
                <w:sz w:val="19"/>
                <w:szCs w:val="19"/>
              </w:rPr>
              <w:t>9</w:t>
            </w:r>
          </w:p>
        </w:tc>
        <w:tc>
          <w:tcPr>
            <w:tcW w:w="0" w:type="auto"/>
            <w:noWrap/>
            <w:vAlign w:val="bottom"/>
            <w:hideMark/>
          </w:tcPr>
          <w:p w14:paraId="73267EDE"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26DDED08"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2ADB126A"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315E436D" w14:textId="77777777" w:rsidR="00000000" w:rsidRDefault="00832D71">
            <w:pPr>
              <w:pStyle w:val="a3"/>
              <w:spacing w:before="0" w:beforeAutospacing="0" w:after="0" w:afterAutospacing="0"/>
              <w:jc w:val="right"/>
              <w:rPr>
                <w:sz w:val="19"/>
                <w:szCs w:val="19"/>
              </w:rPr>
            </w:pPr>
            <w:r>
              <w:rPr>
                <w:sz w:val="19"/>
                <w:szCs w:val="19"/>
              </w:rPr>
              <w:t>44,60</w:t>
            </w:r>
            <w:r>
              <w:rPr>
                <w:sz w:val="19"/>
                <w:szCs w:val="19"/>
              </w:rPr>
              <w:t>8</w:t>
            </w:r>
          </w:p>
        </w:tc>
        <w:tc>
          <w:tcPr>
            <w:tcW w:w="0" w:type="auto"/>
            <w:noWrap/>
            <w:vAlign w:val="bottom"/>
            <w:hideMark/>
          </w:tcPr>
          <w:p w14:paraId="084D7B0D" w14:textId="77777777" w:rsidR="00000000" w:rsidRDefault="00832D71">
            <w:pPr>
              <w:pStyle w:val="a3"/>
              <w:spacing w:before="0" w:beforeAutospacing="0" w:after="0" w:afterAutospacing="0"/>
              <w:rPr>
                <w:sz w:val="19"/>
                <w:szCs w:val="19"/>
              </w:rPr>
            </w:pPr>
            <w:r>
              <w:rPr>
                <w:sz w:val="19"/>
                <w:szCs w:val="19"/>
              </w:rPr>
              <w:t> </w:t>
            </w:r>
          </w:p>
        </w:tc>
      </w:tr>
      <w:tr w:rsidR="00000000" w14:paraId="35E029E5" w14:textId="77777777">
        <w:trPr>
          <w:trHeight w:val="180"/>
          <w:tblCellSpacing w:w="15" w:type="dxa"/>
        </w:trPr>
        <w:tc>
          <w:tcPr>
            <w:tcW w:w="0" w:type="auto"/>
            <w:hideMark/>
          </w:tcPr>
          <w:p w14:paraId="1AB4EB6F" w14:textId="77777777" w:rsidR="00000000" w:rsidRDefault="00832D71">
            <w:pPr>
              <w:pStyle w:val="a3"/>
              <w:spacing w:before="0" w:beforeAutospacing="0" w:after="0" w:afterAutospacing="0"/>
              <w:ind w:left="200"/>
              <w:rPr>
                <w:sz w:val="19"/>
                <w:szCs w:val="19"/>
              </w:rPr>
            </w:pPr>
            <w:r>
              <w:rPr>
                <w:b/>
                <w:bCs/>
                <w:sz w:val="19"/>
                <w:szCs w:val="19"/>
              </w:rPr>
              <w:t>Tota</w:t>
            </w:r>
            <w:r>
              <w:rPr>
                <w:b/>
                <w:bCs/>
                <w:sz w:val="19"/>
                <w:szCs w:val="19"/>
              </w:rPr>
              <w:t>l</w:t>
            </w:r>
          </w:p>
        </w:tc>
        <w:tc>
          <w:tcPr>
            <w:tcW w:w="0" w:type="auto"/>
            <w:hideMark/>
          </w:tcPr>
          <w:p w14:paraId="29B8BCF8"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2F36400D"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4F43F0EA" w14:textId="77777777" w:rsidR="00000000" w:rsidRDefault="00832D71">
            <w:pPr>
              <w:pStyle w:val="a3"/>
              <w:spacing w:before="0" w:beforeAutospacing="0" w:after="0" w:afterAutospacing="0"/>
              <w:jc w:val="right"/>
              <w:rPr>
                <w:sz w:val="19"/>
                <w:szCs w:val="19"/>
              </w:rPr>
            </w:pPr>
            <w:r>
              <w:rPr>
                <w:sz w:val="19"/>
                <w:szCs w:val="19"/>
              </w:rPr>
              <w:t>1,962,33</w:t>
            </w:r>
            <w:r>
              <w:rPr>
                <w:sz w:val="19"/>
                <w:szCs w:val="19"/>
              </w:rPr>
              <w:t>1</w:t>
            </w:r>
          </w:p>
        </w:tc>
        <w:tc>
          <w:tcPr>
            <w:tcW w:w="0" w:type="auto"/>
            <w:noWrap/>
            <w:vAlign w:val="bottom"/>
            <w:hideMark/>
          </w:tcPr>
          <w:p w14:paraId="7C7E11B4"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0B7A1849"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66025F97"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041A111B" w14:textId="77777777" w:rsidR="00000000" w:rsidRDefault="00832D71">
            <w:pPr>
              <w:pStyle w:val="a3"/>
              <w:spacing w:before="0" w:beforeAutospacing="0" w:after="0" w:afterAutospacing="0"/>
              <w:jc w:val="right"/>
              <w:rPr>
                <w:sz w:val="19"/>
                <w:szCs w:val="19"/>
              </w:rPr>
            </w:pPr>
            <w:r>
              <w:rPr>
                <w:sz w:val="19"/>
                <w:szCs w:val="19"/>
              </w:rPr>
              <w:t>1,962,33</w:t>
            </w:r>
            <w:r>
              <w:rPr>
                <w:sz w:val="19"/>
                <w:szCs w:val="19"/>
              </w:rPr>
              <w:t>1</w:t>
            </w:r>
          </w:p>
        </w:tc>
        <w:tc>
          <w:tcPr>
            <w:tcW w:w="0" w:type="auto"/>
            <w:noWrap/>
            <w:vAlign w:val="bottom"/>
            <w:hideMark/>
          </w:tcPr>
          <w:p w14:paraId="770EE5D6"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11944951"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00CD6499"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6298EF96" w14:textId="77777777" w:rsidR="00000000" w:rsidRDefault="00832D71">
            <w:pPr>
              <w:pStyle w:val="a3"/>
              <w:spacing w:before="0" w:beforeAutospacing="0" w:after="0" w:afterAutospacing="0"/>
              <w:jc w:val="right"/>
              <w:rPr>
                <w:sz w:val="19"/>
                <w:szCs w:val="19"/>
              </w:rPr>
            </w:pPr>
            <w:r>
              <w:rPr>
                <w:sz w:val="19"/>
                <w:szCs w:val="19"/>
              </w:rPr>
              <w:t>849,73</w:t>
            </w:r>
            <w:r>
              <w:rPr>
                <w:sz w:val="19"/>
                <w:szCs w:val="19"/>
              </w:rPr>
              <w:t>9</w:t>
            </w:r>
          </w:p>
        </w:tc>
        <w:tc>
          <w:tcPr>
            <w:tcW w:w="0" w:type="auto"/>
            <w:noWrap/>
            <w:vAlign w:val="bottom"/>
            <w:hideMark/>
          </w:tcPr>
          <w:p w14:paraId="202C3B91"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5BF5E218"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02EFAA4F"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3F654847" w14:textId="77777777" w:rsidR="00000000" w:rsidRDefault="00832D71">
            <w:pPr>
              <w:pStyle w:val="a3"/>
              <w:spacing w:before="0" w:beforeAutospacing="0" w:after="0" w:afterAutospacing="0"/>
              <w:jc w:val="right"/>
              <w:rPr>
                <w:sz w:val="19"/>
                <w:szCs w:val="19"/>
              </w:rPr>
            </w:pPr>
            <w:r>
              <w:rPr>
                <w:sz w:val="19"/>
                <w:szCs w:val="19"/>
              </w:rPr>
              <w:t>7,418,93</w:t>
            </w:r>
            <w:r>
              <w:rPr>
                <w:sz w:val="19"/>
                <w:szCs w:val="19"/>
              </w:rPr>
              <w:t>9</w:t>
            </w:r>
          </w:p>
        </w:tc>
        <w:tc>
          <w:tcPr>
            <w:tcW w:w="0" w:type="auto"/>
            <w:noWrap/>
            <w:vAlign w:val="bottom"/>
            <w:hideMark/>
          </w:tcPr>
          <w:p w14:paraId="2B92B2C0" w14:textId="77777777" w:rsidR="00000000" w:rsidRDefault="00832D71">
            <w:pPr>
              <w:pStyle w:val="a3"/>
              <w:spacing w:before="0" w:beforeAutospacing="0" w:after="0" w:afterAutospacing="0"/>
              <w:rPr>
                <w:sz w:val="19"/>
                <w:szCs w:val="19"/>
              </w:rPr>
            </w:pPr>
            <w:r>
              <w:rPr>
                <w:sz w:val="19"/>
                <w:szCs w:val="19"/>
              </w:rPr>
              <w:t> </w:t>
            </w:r>
          </w:p>
        </w:tc>
      </w:tr>
      <w:tr w:rsidR="00000000" w14:paraId="27516AB0" w14:textId="77777777">
        <w:trPr>
          <w:tblCellSpacing w:w="15" w:type="dxa"/>
        </w:trPr>
        <w:tc>
          <w:tcPr>
            <w:tcW w:w="0" w:type="auto"/>
            <w:hideMark/>
          </w:tcPr>
          <w:p w14:paraId="73B40E3B"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5D92D7AE"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65691DED"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0CAE06A3"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0B414028" w14:textId="77777777" w:rsidR="00000000" w:rsidRDefault="00832D71">
            <w:pPr>
              <w:pStyle w:val="a3"/>
              <w:spacing w:before="0" w:beforeAutospacing="0" w:after="0" w:afterAutospacing="0"/>
              <w:rPr>
                <w:sz w:val="19"/>
                <w:szCs w:val="19"/>
              </w:rPr>
            </w:pPr>
            <w:r>
              <w:rPr>
                <w:sz w:val="19"/>
                <w:szCs w:val="19"/>
              </w:rPr>
              <w:t> </w:t>
            </w:r>
          </w:p>
        </w:tc>
        <w:tc>
          <w:tcPr>
            <w:tcW w:w="0" w:type="auto"/>
            <w:gridSpan w:val="2"/>
            <w:hideMark/>
          </w:tcPr>
          <w:p w14:paraId="6147070F"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7CE6C40E"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3BFC45B9"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580B8EC4"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4E70D6C2"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59EBBD59"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43CBD640"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7DE723B2" w14:textId="77777777" w:rsidR="00000000" w:rsidRDefault="00832D71">
            <w:pPr>
              <w:pStyle w:val="a3"/>
              <w:spacing w:before="0" w:beforeAutospacing="0" w:after="0" w:afterAutospacing="0"/>
              <w:jc w:val="right"/>
              <w:rPr>
                <w:sz w:val="19"/>
                <w:szCs w:val="19"/>
              </w:rPr>
            </w:pPr>
            <w:r>
              <w:rPr>
                <w:sz w:val="19"/>
                <w:szCs w:val="19"/>
              </w:rPr>
              <w:t> </w:t>
            </w:r>
          </w:p>
        </w:tc>
      </w:tr>
      <w:tr w:rsidR="00000000" w14:paraId="07B2F0AF" w14:textId="77777777">
        <w:trPr>
          <w:trHeight w:val="180"/>
          <w:tblCellSpacing w:w="15" w:type="dxa"/>
        </w:trPr>
        <w:tc>
          <w:tcPr>
            <w:tcW w:w="0" w:type="auto"/>
            <w:hideMark/>
          </w:tcPr>
          <w:p w14:paraId="7976A1B3" w14:textId="77777777" w:rsidR="00000000" w:rsidRDefault="00832D71">
            <w:pPr>
              <w:pStyle w:val="a3"/>
              <w:spacing w:before="0" w:beforeAutospacing="0" w:after="0" w:afterAutospacing="0"/>
              <w:rPr>
                <w:sz w:val="19"/>
                <w:szCs w:val="19"/>
              </w:rPr>
            </w:pPr>
            <w:r>
              <w:rPr>
                <w:sz w:val="19"/>
                <w:szCs w:val="19"/>
              </w:rPr>
              <w:t>Michael A. Kugli</w:t>
            </w:r>
            <w:r>
              <w:rPr>
                <w:sz w:val="19"/>
                <w:szCs w:val="19"/>
              </w:rPr>
              <w:t>n</w:t>
            </w:r>
          </w:p>
        </w:tc>
        <w:tc>
          <w:tcPr>
            <w:tcW w:w="0" w:type="auto"/>
            <w:hideMark/>
          </w:tcPr>
          <w:p w14:paraId="57263FF8" w14:textId="77777777" w:rsidR="00000000" w:rsidRDefault="00832D71">
            <w:pPr>
              <w:pStyle w:val="a3"/>
              <w:spacing w:before="0" w:beforeAutospacing="0" w:after="0" w:afterAutospacing="0"/>
              <w:rPr>
                <w:sz w:val="19"/>
                <w:szCs w:val="19"/>
              </w:rPr>
            </w:pPr>
            <w:r>
              <w:rPr>
                <w:sz w:val="19"/>
                <w:szCs w:val="19"/>
              </w:rPr>
              <w:t> </w:t>
            </w:r>
          </w:p>
        </w:tc>
        <w:tc>
          <w:tcPr>
            <w:tcW w:w="0" w:type="auto"/>
            <w:gridSpan w:val="2"/>
            <w:hideMark/>
          </w:tcPr>
          <w:p w14:paraId="7170F551"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158017AB"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6E18BCAE" w14:textId="77777777" w:rsidR="00000000" w:rsidRDefault="00832D71">
            <w:pPr>
              <w:pStyle w:val="a3"/>
              <w:spacing w:before="0" w:beforeAutospacing="0" w:after="0" w:afterAutospacing="0"/>
              <w:rPr>
                <w:sz w:val="19"/>
                <w:szCs w:val="19"/>
              </w:rPr>
            </w:pPr>
            <w:r>
              <w:rPr>
                <w:sz w:val="19"/>
                <w:szCs w:val="19"/>
              </w:rPr>
              <w:t> </w:t>
            </w:r>
          </w:p>
        </w:tc>
        <w:tc>
          <w:tcPr>
            <w:tcW w:w="0" w:type="auto"/>
            <w:gridSpan w:val="2"/>
            <w:hideMark/>
          </w:tcPr>
          <w:p w14:paraId="460B5CF1"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3CF95B99"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453BD273"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230565C3"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211DB778"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0C1430F7"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7DA73A4F"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1374ECF3" w14:textId="77777777" w:rsidR="00000000" w:rsidRDefault="00832D71">
            <w:pPr>
              <w:pStyle w:val="a3"/>
              <w:spacing w:before="0" w:beforeAutospacing="0" w:after="0" w:afterAutospacing="0"/>
              <w:jc w:val="right"/>
              <w:rPr>
                <w:sz w:val="19"/>
                <w:szCs w:val="19"/>
              </w:rPr>
            </w:pPr>
            <w:r>
              <w:rPr>
                <w:sz w:val="19"/>
                <w:szCs w:val="19"/>
              </w:rPr>
              <w:t> </w:t>
            </w:r>
          </w:p>
        </w:tc>
      </w:tr>
      <w:tr w:rsidR="00000000" w14:paraId="5CB25553" w14:textId="77777777">
        <w:trPr>
          <w:trHeight w:val="180"/>
          <w:tblCellSpacing w:w="15" w:type="dxa"/>
        </w:trPr>
        <w:tc>
          <w:tcPr>
            <w:tcW w:w="0" w:type="auto"/>
            <w:hideMark/>
          </w:tcPr>
          <w:p w14:paraId="76C82B35" w14:textId="77777777" w:rsidR="00000000" w:rsidRDefault="00832D71">
            <w:pPr>
              <w:pStyle w:val="a3"/>
              <w:spacing w:before="0" w:beforeAutospacing="0" w:after="0" w:afterAutospacing="0"/>
              <w:rPr>
                <w:sz w:val="19"/>
                <w:szCs w:val="19"/>
              </w:rPr>
            </w:pPr>
            <w:r>
              <w:rPr>
                <w:sz w:val="19"/>
                <w:szCs w:val="19"/>
              </w:rPr>
              <w:t>Cash Compensation (1) (2) (3) (4</w:t>
            </w:r>
            <w:r>
              <w:rPr>
                <w:sz w:val="19"/>
                <w:szCs w:val="19"/>
              </w:rPr>
              <w:t>)</w:t>
            </w:r>
          </w:p>
        </w:tc>
        <w:tc>
          <w:tcPr>
            <w:tcW w:w="0" w:type="auto"/>
            <w:hideMark/>
          </w:tcPr>
          <w:p w14:paraId="782E94F3"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2E15227E"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7BD90B1F"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508C8BD0"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3ADC859A"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38FE3305"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0AF82B00"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6D964CDB"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3A0F4DB1"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78245AEF"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25C188A6" w14:textId="77777777" w:rsidR="00000000" w:rsidRDefault="00832D71">
            <w:pPr>
              <w:pStyle w:val="a3"/>
              <w:spacing w:before="0" w:beforeAutospacing="0" w:after="0" w:afterAutospacing="0"/>
              <w:jc w:val="right"/>
              <w:rPr>
                <w:sz w:val="19"/>
                <w:szCs w:val="19"/>
              </w:rPr>
            </w:pPr>
            <w:r>
              <w:rPr>
                <w:sz w:val="19"/>
                <w:szCs w:val="19"/>
              </w:rPr>
              <w:t>450,00</w:t>
            </w:r>
            <w:r>
              <w:rPr>
                <w:sz w:val="19"/>
                <w:szCs w:val="19"/>
              </w:rPr>
              <w:t>0</w:t>
            </w:r>
          </w:p>
        </w:tc>
        <w:tc>
          <w:tcPr>
            <w:tcW w:w="0" w:type="auto"/>
            <w:noWrap/>
            <w:vAlign w:val="bottom"/>
            <w:hideMark/>
          </w:tcPr>
          <w:p w14:paraId="0CA40BAB"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0C605DEA"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67FF95B9"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531FD17E" w14:textId="77777777" w:rsidR="00000000" w:rsidRDefault="00832D71">
            <w:pPr>
              <w:pStyle w:val="a3"/>
              <w:spacing w:before="0" w:beforeAutospacing="0" w:after="0" w:afterAutospacing="0"/>
              <w:jc w:val="right"/>
              <w:rPr>
                <w:sz w:val="19"/>
                <w:szCs w:val="19"/>
              </w:rPr>
            </w:pPr>
            <w:r>
              <w:rPr>
                <w:sz w:val="19"/>
                <w:szCs w:val="19"/>
              </w:rPr>
              <w:t>2,430,00</w:t>
            </w:r>
            <w:r>
              <w:rPr>
                <w:sz w:val="19"/>
                <w:szCs w:val="19"/>
              </w:rPr>
              <w:t>0</w:t>
            </w:r>
          </w:p>
        </w:tc>
        <w:tc>
          <w:tcPr>
            <w:tcW w:w="0" w:type="auto"/>
            <w:noWrap/>
            <w:vAlign w:val="bottom"/>
            <w:hideMark/>
          </w:tcPr>
          <w:p w14:paraId="06B4AF36" w14:textId="77777777" w:rsidR="00000000" w:rsidRDefault="00832D71">
            <w:pPr>
              <w:pStyle w:val="a3"/>
              <w:spacing w:before="0" w:beforeAutospacing="0" w:after="0" w:afterAutospacing="0"/>
              <w:rPr>
                <w:sz w:val="19"/>
                <w:szCs w:val="19"/>
              </w:rPr>
            </w:pPr>
            <w:r>
              <w:rPr>
                <w:sz w:val="19"/>
                <w:szCs w:val="19"/>
              </w:rPr>
              <w:t> </w:t>
            </w:r>
          </w:p>
        </w:tc>
      </w:tr>
      <w:tr w:rsidR="00000000" w14:paraId="02CF9811" w14:textId="77777777">
        <w:trPr>
          <w:trHeight w:val="180"/>
          <w:tblCellSpacing w:w="15" w:type="dxa"/>
        </w:trPr>
        <w:tc>
          <w:tcPr>
            <w:tcW w:w="0" w:type="auto"/>
            <w:hideMark/>
          </w:tcPr>
          <w:p w14:paraId="40803F86" w14:textId="77777777" w:rsidR="00000000" w:rsidRDefault="00832D71">
            <w:pPr>
              <w:pStyle w:val="a3"/>
              <w:spacing w:before="0" w:beforeAutospacing="0" w:after="0" w:afterAutospacing="0"/>
              <w:rPr>
                <w:sz w:val="19"/>
                <w:szCs w:val="19"/>
              </w:rPr>
            </w:pPr>
            <w:r>
              <w:rPr>
                <w:sz w:val="19"/>
                <w:szCs w:val="19"/>
              </w:rPr>
              <w:t>Accelerated Vesting of Fiscal 2022, 2021 and</w:t>
            </w:r>
            <w:r>
              <w:rPr>
                <w:sz w:val="19"/>
                <w:szCs w:val="19"/>
              </w:rPr>
              <w:br/>
              <w:t>   2020 LTIP Awards @ 150% (5</w:t>
            </w:r>
            <w:r>
              <w:rPr>
                <w:sz w:val="19"/>
                <w:szCs w:val="19"/>
              </w:rPr>
              <w:t>)</w:t>
            </w:r>
          </w:p>
        </w:tc>
        <w:tc>
          <w:tcPr>
            <w:tcW w:w="0" w:type="auto"/>
            <w:hideMark/>
          </w:tcPr>
          <w:p w14:paraId="1311C083"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2B132A59"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194C5A1F"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212A1D2C"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67ADE684"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15714560"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357F2B2C"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6AA812C5"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4CE4FCF6"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07C94AB4"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50438CFE"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4A84CF8E"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641B47E9"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05A2A0DF"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4B023BB7"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2FB9B7DE" w14:textId="77777777" w:rsidR="00000000" w:rsidRDefault="00832D71">
            <w:pPr>
              <w:pStyle w:val="a3"/>
              <w:spacing w:before="0" w:beforeAutospacing="0" w:after="0" w:afterAutospacing="0"/>
              <w:rPr>
                <w:sz w:val="19"/>
                <w:szCs w:val="19"/>
              </w:rPr>
            </w:pPr>
            <w:r>
              <w:rPr>
                <w:sz w:val="19"/>
                <w:szCs w:val="19"/>
              </w:rPr>
              <w:t> </w:t>
            </w:r>
          </w:p>
        </w:tc>
      </w:tr>
      <w:tr w:rsidR="00000000" w14:paraId="03F4722E" w14:textId="77777777">
        <w:trPr>
          <w:trHeight w:val="180"/>
          <w:tblCellSpacing w:w="15" w:type="dxa"/>
        </w:trPr>
        <w:tc>
          <w:tcPr>
            <w:tcW w:w="0" w:type="auto"/>
            <w:hideMark/>
          </w:tcPr>
          <w:p w14:paraId="71098489" w14:textId="77777777" w:rsidR="00000000" w:rsidRDefault="00832D71">
            <w:pPr>
              <w:pStyle w:val="a3"/>
              <w:spacing w:before="0" w:beforeAutospacing="0" w:after="0" w:afterAutospacing="0"/>
              <w:rPr>
                <w:sz w:val="19"/>
                <w:szCs w:val="19"/>
              </w:rPr>
            </w:pPr>
            <w:r>
              <w:rPr>
                <w:sz w:val="19"/>
                <w:szCs w:val="19"/>
              </w:rPr>
              <w:t>Accelerated Vesting of Outstanding RUP Awards (6</w:t>
            </w:r>
            <w:r>
              <w:rPr>
                <w:sz w:val="19"/>
                <w:szCs w:val="19"/>
              </w:rPr>
              <w:t>)</w:t>
            </w:r>
          </w:p>
        </w:tc>
        <w:tc>
          <w:tcPr>
            <w:tcW w:w="0" w:type="auto"/>
            <w:hideMark/>
          </w:tcPr>
          <w:p w14:paraId="152E7D1A"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33820645"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1E3744E8" w14:textId="77777777" w:rsidR="00000000" w:rsidRDefault="00832D71">
            <w:pPr>
              <w:pStyle w:val="a3"/>
              <w:spacing w:before="0" w:beforeAutospacing="0" w:after="0" w:afterAutospacing="0"/>
              <w:jc w:val="right"/>
              <w:rPr>
                <w:sz w:val="19"/>
                <w:szCs w:val="19"/>
              </w:rPr>
            </w:pPr>
            <w:r>
              <w:rPr>
                <w:sz w:val="19"/>
                <w:szCs w:val="19"/>
              </w:rPr>
              <w:t>1,418,16</w:t>
            </w:r>
            <w:r>
              <w:rPr>
                <w:sz w:val="19"/>
                <w:szCs w:val="19"/>
              </w:rPr>
              <w:t>7</w:t>
            </w:r>
          </w:p>
        </w:tc>
        <w:tc>
          <w:tcPr>
            <w:tcW w:w="0" w:type="auto"/>
            <w:noWrap/>
            <w:vAlign w:val="bottom"/>
            <w:hideMark/>
          </w:tcPr>
          <w:p w14:paraId="495B48D4"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4E05D0F8"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502E9FC5"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27B43510" w14:textId="77777777" w:rsidR="00000000" w:rsidRDefault="00832D71">
            <w:pPr>
              <w:pStyle w:val="a3"/>
              <w:spacing w:before="0" w:beforeAutospacing="0" w:after="0" w:afterAutospacing="0"/>
              <w:jc w:val="right"/>
              <w:rPr>
                <w:sz w:val="19"/>
                <w:szCs w:val="19"/>
              </w:rPr>
            </w:pPr>
            <w:r>
              <w:rPr>
                <w:sz w:val="19"/>
                <w:szCs w:val="19"/>
              </w:rPr>
              <w:t>1,418,16</w:t>
            </w:r>
            <w:r>
              <w:rPr>
                <w:sz w:val="19"/>
                <w:szCs w:val="19"/>
              </w:rPr>
              <w:t>7</w:t>
            </w:r>
          </w:p>
        </w:tc>
        <w:tc>
          <w:tcPr>
            <w:tcW w:w="0" w:type="auto"/>
            <w:noWrap/>
            <w:vAlign w:val="bottom"/>
            <w:hideMark/>
          </w:tcPr>
          <w:p w14:paraId="47648140"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75BF574D"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48852A1F"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37ADB88F"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1E8E22DD"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4DDC34C0"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13E099FF"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2A8082DC" w14:textId="77777777" w:rsidR="00000000" w:rsidRDefault="00832D71">
            <w:pPr>
              <w:pStyle w:val="a3"/>
              <w:spacing w:before="0" w:beforeAutospacing="0" w:after="0" w:afterAutospacing="0"/>
              <w:jc w:val="right"/>
              <w:rPr>
                <w:sz w:val="19"/>
                <w:szCs w:val="19"/>
              </w:rPr>
            </w:pPr>
            <w:r>
              <w:rPr>
                <w:sz w:val="19"/>
                <w:szCs w:val="19"/>
              </w:rPr>
              <w:t>1,418,16</w:t>
            </w:r>
            <w:r>
              <w:rPr>
                <w:sz w:val="19"/>
                <w:szCs w:val="19"/>
              </w:rPr>
              <w:t>7</w:t>
            </w:r>
          </w:p>
        </w:tc>
        <w:tc>
          <w:tcPr>
            <w:tcW w:w="0" w:type="auto"/>
            <w:noWrap/>
            <w:vAlign w:val="bottom"/>
            <w:hideMark/>
          </w:tcPr>
          <w:p w14:paraId="1F2906BE" w14:textId="77777777" w:rsidR="00000000" w:rsidRDefault="00832D71">
            <w:pPr>
              <w:pStyle w:val="a3"/>
              <w:spacing w:before="0" w:beforeAutospacing="0" w:after="0" w:afterAutospacing="0"/>
              <w:rPr>
                <w:sz w:val="19"/>
                <w:szCs w:val="19"/>
              </w:rPr>
            </w:pPr>
            <w:r>
              <w:rPr>
                <w:sz w:val="19"/>
                <w:szCs w:val="19"/>
              </w:rPr>
              <w:t> </w:t>
            </w:r>
          </w:p>
        </w:tc>
      </w:tr>
      <w:tr w:rsidR="00000000" w14:paraId="5BD29D4A" w14:textId="77777777">
        <w:trPr>
          <w:trHeight w:val="180"/>
          <w:tblCellSpacing w:w="15" w:type="dxa"/>
        </w:trPr>
        <w:tc>
          <w:tcPr>
            <w:tcW w:w="0" w:type="auto"/>
            <w:hideMark/>
          </w:tcPr>
          <w:p w14:paraId="53CD094E" w14:textId="77777777" w:rsidR="00000000" w:rsidRDefault="00832D71">
            <w:pPr>
              <w:pStyle w:val="a3"/>
              <w:spacing w:before="0" w:beforeAutospacing="0" w:after="0" w:afterAutospacing="0"/>
              <w:rPr>
                <w:sz w:val="19"/>
                <w:szCs w:val="19"/>
              </w:rPr>
            </w:pPr>
            <w:r>
              <w:rPr>
                <w:sz w:val="19"/>
                <w:szCs w:val="19"/>
              </w:rPr>
              <w:t>Medical Benefits (3</w:t>
            </w:r>
            <w:r>
              <w:rPr>
                <w:sz w:val="19"/>
                <w:szCs w:val="19"/>
              </w:rPr>
              <w:t>)</w:t>
            </w:r>
          </w:p>
        </w:tc>
        <w:tc>
          <w:tcPr>
            <w:tcW w:w="0" w:type="auto"/>
            <w:hideMark/>
          </w:tcPr>
          <w:p w14:paraId="7BEAD0D2"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7A5A002C"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69C589CC"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5A445403"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0A57EF6E"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6A88F77F"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238BA73E"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3F9BC2C6"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558C0A2F"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786F8842"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69CB4E59" w14:textId="77777777" w:rsidR="00000000" w:rsidRDefault="00832D71">
            <w:pPr>
              <w:pStyle w:val="a3"/>
              <w:spacing w:before="0" w:beforeAutospacing="0" w:after="0" w:afterAutospacing="0"/>
              <w:jc w:val="right"/>
              <w:rPr>
                <w:sz w:val="19"/>
                <w:szCs w:val="19"/>
              </w:rPr>
            </w:pPr>
            <w:r>
              <w:rPr>
                <w:sz w:val="19"/>
                <w:szCs w:val="19"/>
              </w:rPr>
              <w:t>24,72</w:t>
            </w:r>
            <w:r>
              <w:rPr>
                <w:sz w:val="19"/>
                <w:szCs w:val="19"/>
              </w:rPr>
              <w:t>1</w:t>
            </w:r>
          </w:p>
        </w:tc>
        <w:tc>
          <w:tcPr>
            <w:tcW w:w="0" w:type="auto"/>
            <w:noWrap/>
            <w:vAlign w:val="bottom"/>
            <w:hideMark/>
          </w:tcPr>
          <w:p w14:paraId="3789AEA2"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37FD51D2"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0C38BE62"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77EC67F3" w14:textId="77777777" w:rsidR="00000000" w:rsidRDefault="00832D71">
            <w:pPr>
              <w:pStyle w:val="a3"/>
              <w:spacing w:before="0" w:beforeAutospacing="0" w:after="0" w:afterAutospacing="0"/>
              <w:jc w:val="right"/>
              <w:rPr>
                <w:sz w:val="19"/>
                <w:szCs w:val="19"/>
              </w:rPr>
            </w:pPr>
            <w:r>
              <w:rPr>
                <w:sz w:val="19"/>
                <w:szCs w:val="19"/>
              </w:rPr>
              <w:t>38,58</w:t>
            </w:r>
            <w:r>
              <w:rPr>
                <w:sz w:val="19"/>
                <w:szCs w:val="19"/>
              </w:rPr>
              <w:t>2</w:t>
            </w:r>
          </w:p>
        </w:tc>
        <w:tc>
          <w:tcPr>
            <w:tcW w:w="0" w:type="auto"/>
            <w:noWrap/>
            <w:vAlign w:val="bottom"/>
            <w:hideMark/>
          </w:tcPr>
          <w:p w14:paraId="435CD7E1" w14:textId="77777777" w:rsidR="00000000" w:rsidRDefault="00832D71">
            <w:pPr>
              <w:pStyle w:val="a3"/>
              <w:spacing w:before="0" w:beforeAutospacing="0" w:after="0" w:afterAutospacing="0"/>
              <w:rPr>
                <w:sz w:val="19"/>
                <w:szCs w:val="19"/>
              </w:rPr>
            </w:pPr>
            <w:r>
              <w:rPr>
                <w:sz w:val="19"/>
                <w:szCs w:val="19"/>
              </w:rPr>
              <w:t> </w:t>
            </w:r>
          </w:p>
        </w:tc>
      </w:tr>
      <w:tr w:rsidR="00000000" w14:paraId="3AF5BF92" w14:textId="77777777">
        <w:trPr>
          <w:trHeight w:val="180"/>
          <w:tblCellSpacing w:w="15" w:type="dxa"/>
        </w:trPr>
        <w:tc>
          <w:tcPr>
            <w:tcW w:w="0" w:type="auto"/>
            <w:hideMark/>
          </w:tcPr>
          <w:p w14:paraId="39E915D2" w14:textId="77777777" w:rsidR="00000000" w:rsidRDefault="00832D71">
            <w:pPr>
              <w:pStyle w:val="a3"/>
              <w:spacing w:before="0" w:beforeAutospacing="0" w:after="0" w:afterAutospacing="0"/>
              <w:ind w:left="200"/>
              <w:rPr>
                <w:sz w:val="19"/>
                <w:szCs w:val="19"/>
              </w:rPr>
            </w:pPr>
            <w:r>
              <w:rPr>
                <w:b/>
                <w:bCs/>
                <w:sz w:val="19"/>
                <w:szCs w:val="19"/>
              </w:rPr>
              <w:t>Tota</w:t>
            </w:r>
            <w:r>
              <w:rPr>
                <w:b/>
                <w:bCs/>
                <w:sz w:val="19"/>
                <w:szCs w:val="19"/>
              </w:rPr>
              <w:t>l</w:t>
            </w:r>
          </w:p>
        </w:tc>
        <w:tc>
          <w:tcPr>
            <w:tcW w:w="0" w:type="auto"/>
            <w:hideMark/>
          </w:tcPr>
          <w:p w14:paraId="3DF6EF62"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454A5120"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4F172040" w14:textId="77777777" w:rsidR="00000000" w:rsidRDefault="00832D71">
            <w:pPr>
              <w:pStyle w:val="a3"/>
              <w:spacing w:before="0" w:beforeAutospacing="0" w:after="0" w:afterAutospacing="0"/>
              <w:jc w:val="right"/>
              <w:rPr>
                <w:sz w:val="19"/>
                <w:szCs w:val="19"/>
              </w:rPr>
            </w:pPr>
            <w:r>
              <w:rPr>
                <w:sz w:val="19"/>
                <w:szCs w:val="19"/>
              </w:rPr>
              <w:t>1,418,16</w:t>
            </w:r>
            <w:r>
              <w:rPr>
                <w:sz w:val="19"/>
                <w:szCs w:val="19"/>
              </w:rPr>
              <w:t>7</w:t>
            </w:r>
          </w:p>
        </w:tc>
        <w:tc>
          <w:tcPr>
            <w:tcW w:w="0" w:type="auto"/>
            <w:noWrap/>
            <w:vAlign w:val="bottom"/>
            <w:hideMark/>
          </w:tcPr>
          <w:p w14:paraId="453D191B"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53F90330"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12FC353D"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70930EBE" w14:textId="77777777" w:rsidR="00000000" w:rsidRDefault="00832D71">
            <w:pPr>
              <w:pStyle w:val="a3"/>
              <w:spacing w:before="0" w:beforeAutospacing="0" w:after="0" w:afterAutospacing="0"/>
              <w:jc w:val="right"/>
              <w:rPr>
                <w:sz w:val="19"/>
                <w:szCs w:val="19"/>
              </w:rPr>
            </w:pPr>
            <w:r>
              <w:rPr>
                <w:sz w:val="19"/>
                <w:szCs w:val="19"/>
              </w:rPr>
              <w:t>1,418,16</w:t>
            </w:r>
            <w:r>
              <w:rPr>
                <w:sz w:val="19"/>
                <w:szCs w:val="19"/>
              </w:rPr>
              <w:t>7</w:t>
            </w:r>
          </w:p>
        </w:tc>
        <w:tc>
          <w:tcPr>
            <w:tcW w:w="0" w:type="auto"/>
            <w:noWrap/>
            <w:vAlign w:val="bottom"/>
            <w:hideMark/>
          </w:tcPr>
          <w:p w14:paraId="54A987F5"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06D1A271"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335173C3"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56D2C7D8" w14:textId="77777777" w:rsidR="00000000" w:rsidRDefault="00832D71">
            <w:pPr>
              <w:pStyle w:val="a3"/>
              <w:spacing w:before="0" w:beforeAutospacing="0" w:after="0" w:afterAutospacing="0"/>
              <w:jc w:val="right"/>
              <w:rPr>
                <w:sz w:val="19"/>
                <w:szCs w:val="19"/>
              </w:rPr>
            </w:pPr>
            <w:r>
              <w:rPr>
                <w:sz w:val="19"/>
                <w:szCs w:val="19"/>
              </w:rPr>
              <w:t>474,72</w:t>
            </w:r>
            <w:r>
              <w:rPr>
                <w:sz w:val="19"/>
                <w:szCs w:val="19"/>
              </w:rPr>
              <w:t>1</w:t>
            </w:r>
          </w:p>
        </w:tc>
        <w:tc>
          <w:tcPr>
            <w:tcW w:w="0" w:type="auto"/>
            <w:noWrap/>
            <w:vAlign w:val="bottom"/>
            <w:hideMark/>
          </w:tcPr>
          <w:p w14:paraId="6F4998A9"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75727A83"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43D2DBD1"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0B47ADE1" w14:textId="77777777" w:rsidR="00000000" w:rsidRDefault="00832D71">
            <w:pPr>
              <w:pStyle w:val="a3"/>
              <w:spacing w:before="0" w:beforeAutospacing="0" w:after="0" w:afterAutospacing="0"/>
              <w:jc w:val="right"/>
              <w:rPr>
                <w:sz w:val="19"/>
                <w:szCs w:val="19"/>
              </w:rPr>
            </w:pPr>
            <w:r>
              <w:rPr>
                <w:sz w:val="19"/>
                <w:szCs w:val="19"/>
              </w:rPr>
              <w:t>3,886,74</w:t>
            </w:r>
            <w:r>
              <w:rPr>
                <w:sz w:val="19"/>
                <w:szCs w:val="19"/>
              </w:rPr>
              <w:t>9</w:t>
            </w:r>
          </w:p>
        </w:tc>
        <w:tc>
          <w:tcPr>
            <w:tcW w:w="0" w:type="auto"/>
            <w:noWrap/>
            <w:vAlign w:val="bottom"/>
            <w:hideMark/>
          </w:tcPr>
          <w:p w14:paraId="57E6591E" w14:textId="77777777" w:rsidR="00000000" w:rsidRDefault="00832D71">
            <w:pPr>
              <w:pStyle w:val="a3"/>
              <w:spacing w:before="0" w:beforeAutospacing="0" w:after="0" w:afterAutospacing="0"/>
              <w:rPr>
                <w:sz w:val="19"/>
                <w:szCs w:val="19"/>
              </w:rPr>
            </w:pPr>
            <w:r>
              <w:rPr>
                <w:sz w:val="19"/>
                <w:szCs w:val="19"/>
              </w:rPr>
              <w:t> </w:t>
            </w:r>
          </w:p>
        </w:tc>
      </w:tr>
      <w:tr w:rsidR="00000000" w14:paraId="1E909FAA" w14:textId="77777777">
        <w:trPr>
          <w:tblCellSpacing w:w="15" w:type="dxa"/>
        </w:trPr>
        <w:tc>
          <w:tcPr>
            <w:tcW w:w="0" w:type="auto"/>
            <w:hideMark/>
          </w:tcPr>
          <w:p w14:paraId="00C31E8E"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5877F13F"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0C6ED88E"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13767649"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42A498EC" w14:textId="77777777" w:rsidR="00000000" w:rsidRDefault="00832D71">
            <w:pPr>
              <w:pStyle w:val="a3"/>
              <w:spacing w:before="0" w:beforeAutospacing="0" w:after="0" w:afterAutospacing="0"/>
              <w:rPr>
                <w:sz w:val="19"/>
                <w:szCs w:val="19"/>
              </w:rPr>
            </w:pPr>
            <w:r>
              <w:rPr>
                <w:sz w:val="19"/>
                <w:szCs w:val="19"/>
              </w:rPr>
              <w:t> </w:t>
            </w:r>
          </w:p>
        </w:tc>
        <w:tc>
          <w:tcPr>
            <w:tcW w:w="0" w:type="auto"/>
            <w:gridSpan w:val="2"/>
            <w:hideMark/>
          </w:tcPr>
          <w:p w14:paraId="3F8B7DBC"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656373A1"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3357DBA1"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4C9177CB"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03AD8B74"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33CB996A"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24C93ACC"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56E15BEE" w14:textId="77777777" w:rsidR="00000000" w:rsidRDefault="00832D71">
            <w:pPr>
              <w:pStyle w:val="a3"/>
              <w:spacing w:before="0" w:beforeAutospacing="0" w:after="0" w:afterAutospacing="0"/>
              <w:jc w:val="right"/>
              <w:rPr>
                <w:sz w:val="19"/>
                <w:szCs w:val="19"/>
              </w:rPr>
            </w:pPr>
            <w:r>
              <w:rPr>
                <w:sz w:val="19"/>
                <w:szCs w:val="19"/>
              </w:rPr>
              <w:t> </w:t>
            </w:r>
          </w:p>
        </w:tc>
      </w:tr>
      <w:tr w:rsidR="00000000" w14:paraId="710E72A6" w14:textId="77777777">
        <w:trPr>
          <w:trHeight w:val="180"/>
          <w:tblCellSpacing w:w="15" w:type="dxa"/>
        </w:trPr>
        <w:tc>
          <w:tcPr>
            <w:tcW w:w="0" w:type="auto"/>
            <w:hideMark/>
          </w:tcPr>
          <w:p w14:paraId="2D4A0D4F" w14:textId="77777777" w:rsidR="00000000" w:rsidRDefault="00832D71">
            <w:pPr>
              <w:pStyle w:val="a3"/>
              <w:spacing w:before="0" w:beforeAutospacing="0" w:after="0" w:afterAutospacing="0"/>
              <w:rPr>
                <w:sz w:val="19"/>
                <w:szCs w:val="19"/>
              </w:rPr>
            </w:pPr>
            <w:r>
              <w:rPr>
                <w:sz w:val="19"/>
                <w:szCs w:val="19"/>
              </w:rPr>
              <w:t>Steven C. Boy</w:t>
            </w:r>
            <w:r>
              <w:rPr>
                <w:sz w:val="19"/>
                <w:szCs w:val="19"/>
              </w:rPr>
              <w:t>d</w:t>
            </w:r>
          </w:p>
        </w:tc>
        <w:tc>
          <w:tcPr>
            <w:tcW w:w="0" w:type="auto"/>
            <w:hideMark/>
          </w:tcPr>
          <w:p w14:paraId="0CED4D4B" w14:textId="77777777" w:rsidR="00000000" w:rsidRDefault="00832D71">
            <w:pPr>
              <w:pStyle w:val="a3"/>
              <w:spacing w:before="0" w:beforeAutospacing="0" w:after="0" w:afterAutospacing="0"/>
              <w:rPr>
                <w:sz w:val="19"/>
                <w:szCs w:val="19"/>
              </w:rPr>
            </w:pPr>
            <w:r>
              <w:rPr>
                <w:sz w:val="19"/>
                <w:szCs w:val="19"/>
              </w:rPr>
              <w:t> </w:t>
            </w:r>
          </w:p>
        </w:tc>
        <w:tc>
          <w:tcPr>
            <w:tcW w:w="0" w:type="auto"/>
            <w:gridSpan w:val="2"/>
            <w:hideMark/>
          </w:tcPr>
          <w:p w14:paraId="06BAF590"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4D6B5B72"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2A9FFEDB" w14:textId="77777777" w:rsidR="00000000" w:rsidRDefault="00832D71">
            <w:pPr>
              <w:pStyle w:val="a3"/>
              <w:spacing w:before="0" w:beforeAutospacing="0" w:after="0" w:afterAutospacing="0"/>
              <w:rPr>
                <w:sz w:val="19"/>
                <w:szCs w:val="19"/>
              </w:rPr>
            </w:pPr>
            <w:r>
              <w:rPr>
                <w:sz w:val="19"/>
                <w:szCs w:val="19"/>
              </w:rPr>
              <w:t> </w:t>
            </w:r>
          </w:p>
        </w:tc>
        <w:tc>
          <w:tcPr>
            <w:tcW w:w="0" w:type="auto"/>
            <w:gridSpan w:val="2"/>
            <w:hideMark/>
          </w:tcPr>
          <w:p w14:paraId="5700D440"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55DB7A09"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5FE57C7D"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01E5C3B8"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66922A6E"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1072ADD6"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1A839621"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452329FC" w14:textId="77777777" w:rsidR="00000000" w:rsidRDefault="00832D71">
            <w:pPr>
              <w:pStyle w:val="a3"/>
              <w:spacing w:before="0" w:beforeAutospacing="0" w:after="0" w:afterAutospacing="0"/>
              <w:jc w:val="right"/>
              <w:rPr>
                <w:sz w:val="19"/>
                <w:szCs w:val="19"/>
              </w:rPr>
            </w:pPr>
            <w:r>
              <w:rPr>
                <w:sz w:val="19"/>
                <w:szCs w:val="19"/>
              </w:rPr>
              <w:t> </w:t>
            </w:r>
          </w:p>
        </w:tc>
      </w:tr>
      <w:tr w:rsidR="00000000" w14:paraId="77283B37" w14:textId="77777777">
        <w:trPr>
          <w:trHeight w:val="180"/>
          <w:tblCellSpacing w:w="15" w:type="dxa"/>
        </w:trPr>
        <w:tc>
          <w:tcPr>
            <w:tcW w:w="0" w:type="auto"/>
            <w:hideMark/>
          </w:tcPr>
          <w:p w14:paraId="52513CCB" w14:textId="77777777" w:rsidR="00000000" w:rsidRDefault="00832D71">
            <w:pPr>
              <w:pStyle w:val="a3"/>
              <w:spacing w:before="0" w:beforeAutospacing="0" w:after="0" w:afterAutospacing="0"/>
              <w:rPr>
                <w:sz w:val="19"/>
                <w:szCs w:val="19"/>
              </w:rPr>
            </w:pPr>
            <w:r>
              <w:rPr>
                <w:sz w:val="19"/>
                <w:szCs w:val="19"/>
              </w:rPr>
              <w:t>Cash Compensation (1) (2) (3) (4</w:t>
            </w:r>
            <w:r>
              <w:rPr>
                <w:sz w:val="19"/>
                <w:szCs w:val="19"/>
              </w:rPr>
              <w:t>)</w:t>
            </w:r>
          </w:p>
        </w:tc>
        <w:tc>
          <w:tcPr>
            <w:tcW w:w="0" w:type="auto"/>
            <w:hideMark/>
          </w:tcPr>
          <w:p w14:paraId="11962691"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485254F4"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1991EB09"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0DF27C4F"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2A97937B"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140192AE"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1B64CB25"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04D20B2F"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0903BB28"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6F2FA008"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111B3D15" w14:textId="77777777" w:rsidR="00000000" w:rsidRDefault="00832D71">
            <w:pPr>
              <w:pStyle w:val="a3"/>
              <w:spacing w:before="0" w:beforeAutospacing="0" w:after="0" w:afterAutospacing="0"/>
              <w:jc w:val="right"/>
              <w:rPr>
                <w:sz w:val="19"/>
                <w:szCs w:val="19"/>
              </w:rPr>
            </w:pPr>
            <w:r>
              <w:rPr>
                <w:sz w:val="19"/>
                <w:szCs w:val="19"/>
              </w:rPr>
              <w:t>460,00</w:t>
            </w:r>
            <w:r>
              <w:rPr>
                <w:sz w:val="19"/>
                <w:szCs w:val="19"/>
              </w:rPr>
              <w:t>0</w:t>
            </w:r>
          </w:p>
        </w:tc>
        <w:tc>
          <w:tcPr>
            <w:tcW w:w="0" w:type="auto"/>
            <w:noWrap/>
            <w:vAlign w:val="bottom"/>
            <w:hideMark/>
          </w:tcPr>
          <w:p w14:paraId="5D0310F0"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59ADBDDF"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795A096C"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0E286647" w14:textId="77777777" w:rsidR="00000000" w:rsidRDefault="00832D71">
            <w:pPr>
              <w:pStyle w:val="a3"/>
              <w:spacing w:before="0" w:beforeAutospacing="0" w:after="0" w:afterAutospacing="0"/>
              <w:jc w:val="right"/>
              <w:rPr>
                <w:sz w:val="19"/>
                <w:szCs w:val="19"/>
              </w:rPr>
            </w:pPr>
            <w:r>
              <w:rPr>
                <w:sz w:val="19"/>
                <w:szCs w:val="19"/>
              </w:rPr>
              <w:t>2,484,00</w:t>
            </w:r>
            <w:r>
              <w:rPr>
                <w:sz w:val="19"/>
                <w:szCs w:val="19"/>
              </w:rPr>
              <w:t>0</w:t>
            </w:r>
          </w:p>
        </w:tc>
        <w:tc>
          <w:tcPr>
            <w:tcW w:w="0" w:type="auto"/>
            <w:noWrap/>
            <w:vAlign w:val="bottom"/>
            <w:hideMark/>
          </w:tcPr>
          <w:p w14:paraId="3EE876F4" w14:textId="77777777" w:rsidR="00000000" w:rsidRDefault="00832D71">
            <w:pPr>
              <w:pStyle w:val="a3"/>
              <w:spacing w:before="0" w:beforeAutospacing="0" w:after="0" w:afterAutospacing="0"/>
              <w:rPr>
                <w:sz w:val="19"/>
                <w:szCs w:val="19"/>
              </w:rPr>
            </w:pPr>
            <w:r>
              <w:rPr>
                <w:sz w:val="19"/>
                <w:szCs w:val="19"/>
              </w:rPr>
              <w:t> </w:t>
            </w:r>
          </w:p>
        </w:tc>
      </w:tr>
      <w:tr w:rsidR="00000000" w14:paraId="227BBB57" w14:textId="77777777">
        <w:trPr>
          <w:trHeight w:val="180"/>
          <w:tblCellSpacing w:w="15" w:type="dxa"/>
        </w:trPr>
        <w:tc>
          <w:tcPr>
            <w:tcW w:w="0" w:type="auto"/>
            <w:hideMark/>
          </w:tcPr>
          <w:p w14:paraId="5D749F3F" w14:textId="77777777" w:rsidR="00000000" w:rsidRDefault="00832D71">
            <w:pPr>
              <w:pStyle w:val="a3"/>
              <w:spacing w:before="0" w:beforeAutospacing="0" w:after="0" w:afterAutospacing="0"/>
              <w:rPr>
                <w:sz w:val="19"/>
                <w:szCs w:val="19"/>
              </w:rPr>
            </w:pPr>
            <w:r>
              <w:rPr>
                <w:sz w:val="19"/>
                <w:szCs w:val="19"/>
              </w:rPr>
              <w:t>Accelerated Vesting of Fiscal 2022, 2021 and</w:t>
            </w:r>
            <w:r>
              <w:rPr>
                <w:sz w:val="19"/>
                <w:szCs w:val="19"/>
              </w:rPr>
              <w:br/>
              <w:t>   2020 LTIP Awards @ 150% (5</w:t>
            </w:r>
            <w:r>
              <w:rPr>
                <w:sz w:val="19"/>
                <w:szCs w:val="19"/>
              </w:rPr>
              <w:t>)</w:t>
            </w:r>
          </w:p>
        </w:tc>
        <w:tc>
          <w:tcPr>
            <w:tcW w:w="0" w:type="auto"/>
            <w:hideMark/>
          </w:tcPr>
          <w:p w14:paraId="5E0E0DE0"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5C3729FB"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4B5279B2"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361370A4"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22D5084A"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61ABC803"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1624FFB9"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24730D83"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6CDA21FE"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07571173"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32452C24"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22BB1FDF"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7FC269BA"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605EFBDB"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36F0E0FE"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51F44158" w14:textId="77777777" w:rsidR="00000000" w:rsidRDefault="00832D71">
            <w:pPr>
              <w:pStyle w:val="a3"/>
              <w:spacing w:before="0" w:beforeAutospacing="0" w:after="0" w:afterAutospacing="0"/>
              <w:rPr>
                <w:sz w:val="19"/>
                <w:szCs w:val="19"/>
              </w:rPr>
            </w:pPr>
            <w:r>
              <w:rPr>
                <w:sz w:val="19"/>
                <w:szCs w:val="19"/>
              </w:rPr>
              <w:t> </w:t>
            </w:r>
          </w:p>
        </w:tc>
      </w:tr>
      <w:tr w:rsidR="00000000" w14:paraId="318A9473" w14:textId="77777777">
        <w:trPr>
          <w:trHeight w:val="180"/>
          <w:tblCellSpacing w:w="15" w:type="dxa"/>
        </w:trPr>
        <w:tc>
          <w:tcPr>
            <w:tcW w:w="0" w:type="auto"/>
            <w:hideMark/>
          </w:tcPr>
          <w:p w14:paraId="7FCEC16F" w14:textId="77777777" w:rsidR="00000000" w:rsidRDefault="00832D71">
            <w:pPr>
              <w:pStyle w:val="a3"/>
              <w:spacing w:before="0" w:beforeAutospacing="0" w:after="0" w:afterAutospacing="0"/>
              <w:rPr>
                <w:sz w:val="19"/>
                <w:szCs w:val="19"/>
              </w:rPr>
            </w:pPr>
            <w:r>
              <w:rPr>
                <w:sz w:val="19"/>
                <w:szCs w:val="19"/>
              </w:rPr>
              <w:t>Accelerated Vesting of Outstanding RUP Awards (6</w:t>
            </w:r>
            <w:r>
              <w:rPr>
                <w:sz w:val="19"/>
                <w:szCs w:val="19"/>
              </w:rPr>
              <w:t>)</w:t>
            </w:r>
          </w:p>
        </w:tc>
        <w:tc>
          <w:tcPr>
            <w:tcW w:w="0" w:type="auto"/>
            <w:hideMark/>
          </w:tcPr>
          <w:p w14:paraId="39DFAE72"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55340D46"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48EE29AB" w14:textId="77777777" w:rsidR="00000000" w:rsidRDefault="00832D71">
            <w:pPr>
              <w:pStyle w:val="a3"/>
              <w:spacing w:before="0" w:beforeAutospacing="0" w:after="0" w:afterAutospacing="0"/>
              <w:jc w:val="right"/>
              <w:rPr>
                <w:sz w:val="19"/>
                <w:szCs w:val="19"/>
              </w:rPr>
            </w:pPr>
            <w:r>
              <w:rPr>
                <w:sz w:val="19"/>
                <w:szCs w:val="19"/>
              </w:rPr>
              <w:t>1,418,16</w:t>
            </w:r>
            <w:r>
              <w:rPr>
                <w:sz w:val="19"/>
                <w:szCs w:val="19"/>
              </w:rPr>
              <w:t>7</w:t>
            </w:r>
          </w:p>
        </w:tc>
        <w:tc>
          <w:tcPr>
            <w:tcW w:w="0" w:type="auto"/>
            <w:noWrap/>
            <w:vAlign w:val="bottom"/>
            <w:hideMark/>
          </w:tcPr>
          <w:p w14:paraId="73C16CE5"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5E7B7CFC"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4276A9B0"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5D588C1E" w14:textId="77777777" w:rsidR="00000000" w:rsidRDefault="00832D71">
            <w:pPr>
              <w:pStyle w:val="a3"/>
              <w:spacing w:before="0" w:beforeAutospacing="0" w:after="0" w:afterAutospacing="0"/>
              <w:jc w:val="right"/>
              <w:rPr>
                <w:sz w:val="19"/>
                <w:szCs w:val="19"/>
              </w:rPr>
            </w:pPr>
            <w:r>
              <w:rPr>
                <w:sz w:val="19"/>
                <w:szCs w:val="19"/>
              </w:rPr>
              <w:t>1,418,16</w:t>
            </w:r>
            <w:r>
              <w:rPr>
                <w:sz w:val="19"/>
                <w:szCs w:val="19"/>
              </w:rPr>
              <w:t>7</w:t>
            </w:r>
          </w:p>
        </w:tc>
        <w:tc>
          <w:tcPr>
            <w:tcW w:w="0" w:type="auto"/>
            <w:noWrap/>
            <w:vAlign w:val="bottom"/>
            <w:hideMark/>
          </w:tcPr>
          <w:p w14:paraId="29044A2B"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249E2359"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61BECAFF"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6F7E8548" w14:textId="77777777" w:rsidR="00000000" w:rsidRDefault="00832D71">
            <w:pPr>
              <w:pStyle w:val="a3"/>
              <w:spacing w:before="0" w:beforeAutospacing="0" w:after="0" w:afterAutospacing="0"/>
              <w:jc w:val="right"/>
              <w:rPr>
                <w:sz w:val="19"/>
                <w:szCs w:val="19"/>
              </w:rPr>
            </w:pPr>
            <w:r>
              <w:rPr>
                <w:sz w:val="19"/>
                <w:szCs w:val="19"/>
              </w:rPr>
              <w:t>651,40</w:t>
            </w:r>
            <w:r>
              <w:rPr>
                <w:sz w:val="19"/>
                <w:szCs w:val="19"/>
              </w:rPr>
              <w:t>6</w:t>
            </w:r>
          </w:p>
        </w:tc>
        <w:tc>
          <w:tcPr>
            <w:tcW w:w="0" w:type="auto"/>
            <w:noWrap/>
            <w:vAlign w:val="bottom"/>
            <w:hideMark/>
          </w:tcPr>
          <w:p w14:paraId="63CC0388"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24B0534C"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1B784AC0"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70D86DCE" w14:textId="77777777" w:rsidR="00000000" w:rsidRDefault="00832D71">
            <w:pPr>
              <w:pStyle w:val="a3"/>
              <w:spacing w:before="0" w:beforeAutospacing="0" w:after="0" w:afterAutospacing="0"/>
              <w:jc w:val="right"/>
              <w:rPr>
                <w:sz w:val="19"/>
                <w:szCs w:val="19"/>
              </w:rPr>
            </w:pPr>
            <w:r>
              <w:rPr>
                <w:sz w:val="19"/>
                <w:szCs w:val="19"/>
              </w:rPr>
              <w:t>1,418,16</w:t>
            </w:r>
            <w:r>
              <w:rPr>
                <w:sz w:val="19"/>
                <w:szCs w:val="19"/>
              </w:rPr>
              <w:t>7</w:t>
            </w:r>
          </w:p>
        </w:tc>
        <w:tc>
          <w:tcPr>
            <w:tcW w:w="0" w:type="auto"/>
            <w:noWrap/>
            <w:vAlign w:val="bottom"/>
            <w:hideMark/>
          </w:tcPr>
          <w:p w14:paraId="39F971AC" w14:textId="77777777" w:rsidR="00000000" w:rsidRDefault="00832D71">
            <w:pPr>
              <w:pStyle w:val="a3"/>
              <w:spacing w:before="0" w:beforeAutospacing="0" w:after="0" w:afterAutospacing="0"/>
              <w:rPr>
                <w:sz w:val="19"/>
                <w:szCs w:val="19"/>
              </w:rPr>
            </w:pPr>
            <w:r>
              <w:rPr>
                <w:sz w:val="19"/>
                <w:szCs w:val="19"/>
              </w:rPr>
              <w:t> </w:t>
            </w:r>
          </w:p>
        </w:tc>
      </w:tr>
      <w:tr w:rsidR="00000000" w14:paraId="1E6321AC" w14:textId="77777777">
        <w:trPr>
          <w:trHeight w:val="180"/>
          <w:tblCellSpacing w:w="15" w:type="dxa"/>
        </w:trPr>
        <w:tc>
          <w:tcPr>
            <w:tcW w:w="0" w:type="auto"/>
            <w:hideMark/>
          </w:tcPr>
          <w:p w14:paraId="2C6DC5C3" w14:textId="77777777" w:rsidR="00000000" w:rsidRDefault="00832D71">
            <w:pPr>
              <w:pStyle w:val="a3"/>
              <w:spacing w:before="0" w:beforeAutospacing="0" w:after="0" w:afterAutospacing="0"/>
              <w:rPr>
                <w:sz w:val="19"/>
                <w:szCs w:val="19"/>
              </w:rPr>
            </w:pPr>
            <w:r>
              <w:rPr>
                <w:sz w:val="19"/>
                <w:szCs w:val="19"/>
              </w:rPr>
              <w:t>Medical Benefits (3</w:t>
            </w:r>
            <w:r>
              <w:rPr>
                <w:sz w:val="19"/>
                <w:szCs w:val="19"/>
              </w:rPr>
              <w:t>)</w:t>
            </w:r>
          </w:p>
        </w:tc>
        <w:tc>
          <w:tcPr>
            <w:tcW w:w="0" w:type="auto"/>
            <w:hideMark/>
          </w:tcPr>
          <w:p w14:paraId="0A489658"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1DBC72E8"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6190E5F4"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0ED299E9"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40673212"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51F8BFBE"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4EE0C8BE"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2082105E"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38BABCD7" w14:textId="77777777" w:rsidR="00000000" w:rsidRDefault="00832D71">
            <w:pPr>
              <w:pStyle w:val="a3"/>
              <w:spacing w:before="0" w:beforeAutospacing="0" w:after="0" w:afterAutospacing="0"/>
              <w:jc w:val="right"/>
              <w:rPr>
                <w:sz w:val="19"/>
                <w:szCs w:val="19"/>
              </w:rPr>
            </w:pPr>
            <w:r>
              <w:rPr>
                <w:sz w:val="19"/>
                <w:szCs w:val="19"/>
              </w:rPr>
              <w:t>26,89</w:t>
            </w:r>
            <w:r>
              <w:rPr>
                <w:sz w:val="19"/>
                <w:szCs w:val="19"/>
              </w:rPr>
              <w:t>5</w:t>
            </w:r>
          </w:p>
        </w:tc>
        <w:tc>
          <w:tcPr>
            <w:tcW w:w="0" w:type="auto"/>
            <w:noWrap/>
            <w:vAlign w:val="bottom"/>
            <w:hideMark/>
          </w:tcPr>
          <w:p w14:paraId="6EEB6403"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5768B41C"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66D27B19"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33C9619F" w14:textId="77777777" w:rsidR="00000000" w:rsidRDefault="00832D71">
            <w:pPr>
              <w:pStyle w:val="a3"/>
              <w:spacing w:before="0" w:beforeAutospacing="0" w:after="0" w:afterAutospacing="0"/>
              <w:jc w:val="right"/>
              <w:rPr>
                <w:sz w:val="19"/>
                <w:szCs w:val="19"/>
              </w:rPr>
            </w:pPr>
            <w:r>
              <w:rPr>
                <w:sz w:val="19"/>
                <w:szCs w:val="19"/>
              </w:rPr>
              <w:t>40,34</w:t>
            </w:r>
            <w:r>
              <w:rPr>
                <w:sz w:val="19"/>
                <w:szCs w:val="19"/>
              </w:rPr>
              <w:t>2</w:t>
            </w:r>
          </w:p>
        </w:tc>
        <w:tc>
          <w:tcPr>
            <w:tcW w:w="0" w:type="auto"/>
            <w:noWrap/>
            <w:vAlign w:val="bottom"/>
            <w:hideMark/>
          </w:tcPr>
          <w:p w14:paraId="4FB2EE0C" w14:textId="77777777" w:rsidR="00000000" w:rsidRDefault="00832D71">
            <w:pPr>
              <w:pStyle w:val="a3"/>
              <w:spacing w:before="0" w:beforeAutospacing="0" w:after="0" w:afterAutospacing="0"/>
              <w:rPr>
                <w:sz w:val="19"/>
                <w:szCs w:val="19"/>
              </w:rPr>
            </w:pPr>
            <w:r>
              <w:rPr>
                <w:sz w:val="19"/>
                <w:szCs w:val="19"/>
              </w:rPr>
              <w:t> </w:t>
            </w:r>
          </w:p>
        </w:tc>
      </w:tr>
      <w:tr w:rsidR="00000000" w14:paraId="1AF6F80A" w14:textId="77777777">
        <w:trPr>
          <w:trHeight w:val="180"/>
          <w:tblCellSpacing w:w="15" w:type="dxa"/>
        </w:trPr>
        <w:tc>
          <w:tcPr>
            <w:tcW w:w="0" w:type="auto"/>
            <w:hideMark/>
          </w:tcPr>
          <w:p w14:paraId="5C0F78C2" w14:textId="77777777" w:rsidR="00000000" w:rsidRDefault="00832D71">
            <w:pPr>
              <w:pStyle w:val="a3"/>
              <w:spacing w:before="0" w:beforeAutospacing="0" w:after="0" w:afterAutospacing="0"/>
              <w:ind w:left="200"/>
              <w:rPr>
                <w:sz w:val="19"/>
                <w:szCs w:val="19"/>
              </w:rPr>
            </w:pPr>
            <w:r>
              <w:rPr>
                <w:b/>
                <w:bCs/>
                <w:sz w:val="19"/>
                <w:szCs w:val="19"/>
              </w:rPr>
              <w:t>Tota</w:t>
            </w:r>
            <w:r>
              <w:rPr>
                <w:b/>
                <w:bCs/>
                <w:sz w:val="19"/>
                <w:szCs w:val="19"/>
              </w:rPr>
              <w:t>l</w:t>
            </w:r>
          </w:p>
        </w:tc>
        <w:tc>
          <w:tcPr>
            <w:tcW w:w="0" w:type="auto"/>
            <w:hideMark/>
          </w:tcPr>
          <w:p w14:paraId="589889EF"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6EF07F65"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1B544346" w14:textId="77777777" w:rsidR="00000000" w:rsidRDefault="00832D71">
            <w:pPr>
              <w:pStyle w:val="a3"/>
              <w:spacing w:before="0" w:beforeAutospacing="0" w:after="0" w:afterAutospacing="0"/>
              <w:jc w:val="right"/>
              <w:rPr>
                <w:sz w:val="19"/>
                <w:szCs w:val="19"/>
              </w:rPr>
            </w:pPr>
            <w:r>
              <w:rPr>
                <w:sz w:val="19"/>
                <w:szCs w:val="19"/>
              </w:rPr>
              <w:t>1,418,16</w:t>
            </w:r>
            <w:r>
              <w:rPr>
                <w:sz w:val="19"/>
                <w:szCs w:val="19"/>
              </w:rPr>
              <w:t>7</w:t>
            </w:r>
          </w:p>
        </w:tc>
        <w:tc>
          <w:tcPr>
            <w:tcW w:w="0" w:type="auto"/>
            <w:noWrap/>
            <w:vAlign w:val="bottom"/>
            <w:hideMark/>
          </w:tcPr>
          <w:p w14:paraId="0AA59865"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0DD40481"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19BD89FB"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17630FBE" w14:textId="77777777" w:rsidR="00000000" w:rsidRDefault="00832D71">
            <w:pPr>
              <w:pStyle w:val="a3"/>
              <w:spacing w:before="0" w:beforeAutospacing="0" w:after="0" w:afterAutospacing="0"/>
              <w:jc w:val="right"/>
              <w:rPr>
                <w:sz w:val="19"/>
                <w:szCs w:val="19"/>
              </w:rPr>
            </w:pPr>
            <w:r>
              <w:rPr>
                <w:sz w:val="19"/>
                <w:szCs w:val="19"/>
              </w:rPr>
              <w:t>1,418,16</w:t>
            </w:r>
            <w:r>
              <w:rPr>
                <w:sz w:val="19"/>
                <w:szCs w:val="19"/>
              </w:rPr>
              <w:t>7</w:t>
            </w:r>
          </w:p>
        </w:tc>
        <w:tc>
          <w:tcPr>
            <w:tcW w:w="0" w:type="auto"/>
            <w:noWrap/>
            <w:vAlign w:val="bottom"/>
            <w:hideMark/>
          </w:tcPr>
          <w:p w14:paraId="4E5FB048"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47FAA634"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75C6EFE1"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6BED8684" w14:textId="77777777" w:rsidR="00000000" w:rsidRDefault="00832D71">
            <w:pPr>
              <w:pStyle w:val="a3"/>
              <w:spacing w:before="0" w:beforeAutospacing="0" w:after="0" w:afterAutospacing="0"/>
              <w:jc w:val="right"/>
              <w:rPr>
                <w:sz w:val="19"/>
                <w:szCs w:val="19"/>
              </w:rPr>
            </w:pPr>
            <w:r>
              <w:rPr>
                <w:sz w:val="19"/>
                <w:szCs w:val="19"/>
              </w:rPr>
              <w:t>1,138,30</w:t>
            </w:r>
            <w:r>
              <w:rPr>
                <w:sz w:val="19"/>
                <w:szCs w:val="19"/>
              </w:rPr>
              <w:t>1</w:t>
            </w:r>
          </w:p>
        </w:tc>
        <w:tc>
          <w:tcPr>
            <w:tcW w:w="0" w:type="auto"/>
            <w:noWrap/>
            <w:vAlign w:val="bottom"/>
            <w:hideMark/>
          </w:tcPr>
          <w:p w14:paraId="124E78DB"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677F299F"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146C9E38"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25FE7B93" w14:textId="77777777" w:rsidR="00000000" w:rsidRDefault="00832D71">
            <w:pPr>
              <w:pStyle w:val="a3"/>
              <w:spacing w:before="0" w:beforeAutospacing="0" w:after="0" w:afterAutospacing="0"/>
              <w:jc w:val="right"/>
              <w:rPr>
                <w:sz w:val="19"/>
                <w:szCs w:val="19"/>
              </w:rPr>
            </w:pPr>
            <w:r>
              <w:rPr>
                <w:sz w:val="19"/>
                <w:szCs w:val="19"/>
              </w:rPr>
              <w:t>3,942,50</w:t>
            </w:r>
            <w:r>
              <w:rPr>
                <w:sz w:val="19"/>
                <w:szCs w:val="19"/>
              </w:rPr>
              <w:t>9</w:t>
            </w:r>
          </w:p>
        </w:tc>
        <w:tc>
          <w:tcPr>
            <w:tcW w:w="0" w:type="auto"/>
            <w:noWrap/>
            <w:vAlign w:val="bottom"/>
            <w:hideMark/>
          </w:tcPr>
          <w:p w14:paraId="2ED776D8" w14:textId="77777777" w:rsidR="00000000" w:rsidRDefault="00832D71">
            <w:pPr>
              <w:pStyle w:val="a3"/>
              <w:spacing w:before="0" w:beforeAutospacing="0" w:after="0" w:afterAutospacing="0"/>
              <w:rPr>
                <w:sz w:val="19"/>
                <w:szCs w:val="19"/>
              </w:rPr>
            </w:pPr>
            <w:r>
              <w:rPr>
                <w:sz w:val="19"/>
                <w:szCs w:val="19"/>
              </w:rPr>
              <w:t> </w:t>
            </w:r>
          </w:p>
        </w:tc>
      </w:tr>
      <w:tr w:rsidR="00000000" w14:paraId="52215F1D" w14:textId="77777777">
        <w:trPr>
          <w:tblCellSpacing w:w="15" w:type="dxa"/>
        </w:trPr>
        <w:tc>
          <w:tcPr>
            <w:tcW w:w="0" w:type="auto"/>
            <w:hideMark/>
          </w:tcPr>
          <w:p w14:paraId="0F965A9F"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161F4813"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491CD13A"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71936D1E"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3FCE09F1" w14:textId="77777777" w:rsidR="00000000" w:rsidRDefault="00832D71">
            <w:pPr>
              <w:pStyle w:val="a3"/>
              <w:spacing w:before="0" w:beforeAutospacing="0" w:after="0" w:afterAutospacing="0"/>
              <w:rPr>
                <w:sz w:val="19"/>
                <w:szCs w:val="19"/>
              </w:rPr>
            </w:pPr>
            <w:r>
              <w:rPr>
                <w:sz w:val="19"/>
                <w:szCs w:val="19"/>
              </w:rPr>
              <w:t> </w:t>
            </w:r>
          </w:p>
        </w:tc>
        <w:tc>
          <w:tcPr>
            <w:tcW w:w="0" w:type="auto"/>
            <w:gridSpan w:val="2"/>
            <w:hideMark/>
          </w:tcPr>
          <w:p w14:paraId="5E6027B5"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29E03DB2"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1AABA192"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45621197"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5E49A67E"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4A852B68"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71DF0361"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13918ED6" w14:textId="77777777" w:rsidR="00000000" w:rsidRDefault="00832D71">
            <w:pPr>
              <w:pStyle w:val="a3"/>
              <w:spacing w:before="0" w:beforeAutospacing="0" w:after="0" w:afterAutospacing="0"/>
              <w:jc w:val="right"/>
              <w:rPr>
                <w:sz w:val="19"/>
                <w:szCs w:val="19"/>
              </w:rPr>
            </w:pPr>
            <w:r>
              <w:rPr>
                <w:sz w:val="19"/>
                <w:szCs w:val="19"/>
              </w:rPr>
              <w:t> </w:t>
            </w:r>
          </w:p>
        </w:tc>
      </w:tr>
      <w:tr w:rsidR="00000000" w14:paraId="001942E0" w14:textId="77777777">
        <w:trPr>
          <w:trHeight w:val="180"/>
          <w:tblCellSpacing w:w="15" w:type="dxa"/>
        </w:trPr>
        <w:tc>
          <w:tcPr>
            <w:tcW w:w="0" w:type="auto"/>
            <w:hideMark/>
          </w:tcPr>
          <w:p w14:paraId="654ABE4A" w14:textId="77777777" w:rsidR="00000000" w:rsidRDefault="00832D71">
            <w:pPr>
              <w:pStyle w:val="a3"/>
              <w:spacing w:before="0" w:beforeAutospacing="0" w:after="0" w:afterAutospacing="0"/>
              <w:rPr>
                <w:sz w:val="19"/>
                <w:szCs w:val="19"/>
              </w:rPr>
            </w:pPr>
            <w:r>
              <w:rPr>
                <w:sz w:val="19"/>
                <w:szCs w:val="19"/>
              </w:rPr>
              <w:t>Douglas T. Brinkwort</w:t>
            </w:r>
            <w:r>
              <w:rPr>
                <w:sz w:val="19"/>
                <w:szCs w:val="19"/>
              </w:rPr>
              <w:t>h</w:t>
            </w:r>
          </w:p>
        </w:tc>
        <w:tc>
          <w:tcPr>
            <w:tcW w:w="0" w:type="auto"/>
            <w:hideMark/>
          </w:tcPr>
          <w:p w14:paraId="7F730627" w14:textId="77777777" w:rsidR="00000000" w:rsidRDefault="00832D71">
            <w:pPr>
              <w:pStyle w:val="a3"/>
              <w:spacing w:before="0" w:beforeAutospacing="0" w:after="0" w:afterAutospacing="0"/>
              <w:rPr>
                <w:sz w:val="19"/>
                <w:szCs w:val="19"/>
              </w:rPr>
            </w:pPr>
            <w:r>
              <w:rPr>
                <w:sz w:val="19"/>
                <w:szCs w:val="19"/>
              </w:rPr>
              <w:t> </w:t>
            </w:r>
          </w:p>
        </w:tc>
        <w:tc>
          <w:tcPr>
            <w:tcW w:w="0" w:type="auto"/>
            <w:gridSpan w:val="2"/>
            <w:hideMark/>
          </w:tcPr>
          <w:p w14:paraId="7AC00E3C"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34EF0E9B"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52101F0F" w14:textId="77777777" w:rsidR="00000000" w:rsidRDefault="00832D71">
            <w:pPr>
              <w:pStyle w:val="a3"/>
              <w:spacing w:before="0" w:beforeAutospacing="0" w:after="0" w:afterAutospacing="0"/>
              <w:rPr>
                <w:sz w:val="19"/>
                <w:szCs w:val="19"/>
              </w:rPr>
            </w:pPr>
            <w:r>
              <w:rPr>
                <w:sz w:val="19"/>
                <w:szCs w:val="19"/>
              </w:rPr>
              <w:t> </w:t>
            </w:r>
          </w:p>
        </w:tc>
        <w:tc>
          <w:tcPr>
            <w:tcW w:w="0" w:type="auto"/>
            <w:gridSpan w:val="2"/>
            <w:hideMark/>
          </w:tcPr>
          <w:p w14:paraId="4F84589E"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23487AE5"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2E9F6056"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333F7F1C"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25FC3408"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5764EF19"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563563E7"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59467C3E" w14:textId="77777777" w:rsidR="00000000" w:rsidRDefault="00832D71">
            <w:pPr>
              <w:pStyle w:val="a3"/>
              <w:spacing w:before="0" w:beforeAutospacing="0" w:after="0" w:afterAutospacing="0"/>
              <w:jc w:val="right"/>
              <w:rPr>
                <w:sz w:val="19"/>
                <w:szCs w:val="19"/>
              </w:rPr>
            </w:pPr>
            <w:r>
              <w:rPr>
                <w:sz w:val="19"/>
                <w:szCs w:val="19"/>
              </w:rPr>
              <w:t> </w:t>
            </w:r>
          </w:p>
        </w:tc>
      </w:tr>
      <w:tr w:rsidR="00000000" w14:paraId="65F00210" w14:textId="77777777">
        <w:trPr>
          <w:trHeight w:val="180"/>
          <w:tblCellSpacing w:w="15" w:type="dxa"/>
        </w:trPr>
        <w:tc>
          <w:tcPr>
            <w:tcW w:w="0" w:type="auto"/>
            <w:hideMark/>
          </w:tcPr>
          <w:p w14:paraId="64273183" w14:textId="77777777" w:rsidR="00000000" w:rsidRDefault="00832D71">
            <w:pPr>
              <w:pStyle w:val="a3"/>
              <w:spacing w:before="0" w:beforeAutospacing="0" w:after="0" w:afterAutospacing="0"/>
              <w:rPr>
                <w:sz w:val="19"/>
                <w:szCs w:val="19"/>
              </w:rPr>
            </w:pPr>
            <w:r>
              <w:rPr>
                <w:sz w:val="19"/>
                <w:szCs w:val="19"/>
              </w:rPr>
              <w:t>Cash Compensation (1) (2) (3) (4</w:t>
            </w:r>
            <w:r>
              <w:rPr>
                <w:sz w:val="19"/>
                <w:szCs w:val="19"/>
              </w:rPr>
              <w:t>)</w:t>
            </w:r>
          </w:p>
        </w:tc>
        <w:tc>
          <w:tcPr>
            <w:tcW w:w="0" w:type="auto"/>
            <w:hideMark/>
          </w:tcPr>
          <w:p w14:paraId="4EA359E3"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6BBC4522"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30B52A3B"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3121DD18"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7B2BBC61"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57E6CD33"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4C5AF006"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57B6EF7E"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200EA265"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6C78CC90"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714CA247" w14:textId="77777777" w:rsidR="00000000" w:rsidRDefault="00832D71">
            <w:pPr>
              <w:pStyle w:val="a3"/>
              <w:spacing w:before="0" w:beforeAutospacing="0" w:after="0" w:afterAutospacing="0"/>
              <w:jc w:val="right"/>
              <w:rPr>
                <w:sz w:val="19"/>
                <w:szCs w:val="19"/>
              </w:rPr>
            </w:pPr>
            <w:r>
              <w:rPr>
                <w:sz w:val="19"/>
                <w:szCs w:val="19"/>
              </w:rPr>
              <w:t>400,00</w:t>
            </w:r>
            <w:r>
              <w:rPr>
                <w:sz w:val="19"/>
                <w:szCs w:val="19"/>
              </w:rPr>
              <w:t>0</w:t>
            </w:r>
          </w:p>
        </w:tc>
        <w:tc>
          <w:tcPr>
            <w:tcW w:w="0" w:type="auto"/>
            <w:noWrap/>
            <w:vAlign w:val="bottom"/>
            <w:hideMark/>
          </w:tcPr>
          <w:p w14:paraId="23FA6246"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5798E13C"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1F05916B"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33A86873" w14:textId="77777777" w:rsidR="00000000" w:rsidRDefault="00832D71">
            <w:pPr>
              <w:pStyle w:val="a3"/>
              <w:spacing w:before="0" w:beforeAutospacing="0" w:after="0" w:afterAutospacing="0"/>
              <w:jc w:val="right"/>
              <w:rPr>
                <w:sz w:val="19"/>
                <w:szCs w:val="19"/>
              </w:rPr>
            </w:pPr>
            <w:r>
              <w:rPr>
                <w:sz w:val="19"/>
                <w:szCs w:val="19"/>
              </w:rPr>
              <w:t>2,160,00</w:t>
            </w:r>
            <w:r>
              <w:rPr>
                <w:sz w:val="19"/>
                <w:szCs w:val="19"/>
              </w:rPr>
              <w:t>0</w:t>
            </w:r>
          </w:p>
        </w:tc>
        <w:tc>
          <w:tcPr>
            <w:tcW w:w="0" w:type="auto"/>
            <w:noWrap/>
            <w:vAlign w:val="bottom"/>
            <w:hideMark/>
          </w:tcPr>
          <w:p w14:paraId="5EBBCE8E" w14:textId="77777777" w:rsidR="00000000" w:rsidRDefault="00832D71">
            <w:pPr>
              <w:pStyle w:val="a3"/>
              <w:spacing w:before="0" w:beforeAutospacing="0" w:after="0" w:afterAutospacing="0"/>
              <w:rPr>
                <w:sz w:val="19"/>
                <w:szCs w:val="19"/>
              </w:rPr>
            </w:pPr>
            <w:r>
              <w:rPr>
                <w:sz w:val="19"/>
                <w:szCs w:val="19"/>
              </w:rPr>
              <w:t> </w:t>
            </w:r>
          </w:p>
        </w:tc>
      </w:tr>
      <w:tr w:rsidR="00000000" w14:paraId="5B011FED" w14:textId="77777777">
        <w:trPr>
          <w:trHeight w:val="180"/>
          <w:tblCellSpacing w:w="15" w:type="dxa"/>
        </w:trPr>
        <w:tc>
          <w:tcPr>
            <w:tcW w:w="0" w:type="auto"/>
            <w:hideMark/>
          </w:tcPr>
          <w:p w14:paraId="438C0FE8" w14:textId="77777777" w:rsidR="00000000" w:rsidRDefault="00832D71">
            <w:pPr>
              <w:pStyle w:val="a3"/>
              <w:spacing w:before="0" w:beforeAutospacing="0" w:after="0" w:afterAutospacing="0"/>
              <w:rPr>
                <w:sz w:val="19"/>
                <w:szCs w:val="19"/>
              </w:rPr>
            </w:pPr>
            <w:r>
              <w:rPr>
                <w:sz w:val="19"/>
                <w:szCs w:val="19"/>
              </w:rPr>
              <w:t>Accelerated Vesting of Fiscal 2022, 2021 and</w:t>
            </w:r>
            <w:r>
              <w:rPr>
                <w:sz w:val="19"/>
                <w:szCs w:val="19"/>
              </w:rPr>
              <w:br/>
              <w:t>   2020 LTIP Awards @ 150% (5</w:t>
            </w:r>
            <w:r>
              <w:rPr>
                <w:sz w:val="19"/>
                <w:szCs w:val="19"/>
              </w:rPr>
              <w:t>)</w:t>
            </w:r>
          </w:p>
        </w:tc>
        <w:tc>
          <w:tcPr>
            <w:tcW w:w="0" w:type="auto"/>
            <w:hideMark/>
          </w:tcPr>
          <w:p w14:paraId="6F4B06ED"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2C55B586"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6F21A03B"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780CED5E"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22FB2BC2"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18CA67A7"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27F731A9"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5138D884"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0CD71BAB"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334D2F30"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33180387"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3B4C29A2"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73E612A6"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5C667299"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61474101"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0595B303" w14:textId="77777777" w:rsidR="00000000" w:rsidRDefault="00832D71">
            <w:pPr>
              <w:pStyle w:val="a3"/>
              <w:spacing w:before="0" w:beforeAutospacing="0" w:after="0" w:afterAutospacing="0"/>
              <w:rPr>
                <w:sz w:val="19"/>
                <w:szCs w:val="19"/>
              </w:rPr>
            </w:pPr>
            <w:r>
              <w:rPr>
                <w:sz w:val="19"/>
                <w:szCs w:val="19"/>
              </w:rPr>
              <w:t> </w:t>
            </w:r>
          </w:p>
        </w:tc>
      </w:tr>
      <w:tr w:rsidR="00000000" w14:paraId="7031C5CE" w14:textId="77777777">
        <w:trPr>
          <w:trHeight w:val="180"/>
          <w:tblCellSpacing w:w="15" w:type="dxa"/>
        </w:trPr>
        <w:tc>
          <w:tcPr>
            <w:tcW w:w="0" w:type="auto"/>
            <w:hideMark/>
          </w:tcPr>
          <w:p w14:paraId="5532BCE2" w14:textId="77777777" w:rsidR="00000000" w:rsidRDefault="00832D71">
            <w:pPr>
              <w:pStyle w:val="a3"/>
              <w:spacing w:before="0" w:beforeAutospacing="0" w:after="0" w:afterAutospacing="0"/>
              <w:rPr>
                <w:sz w:val="19"/>
                <w:szCs w:val="19"/>
              </w:rPr>
            </w:pPr>
            <w:r>
              <w:rPr>
                <w:sz w:val="19"/>
                <w:szCs w:val="19"/>
              </w:rPr>
              <w:t>Accelerated Vesting of Outstanding RUP Awards (6</w:t>
            </w:r>
            <w:r>
              <w:rPr>
                <w:sz w:val="19"/>
                <w:szCs w:val="19"/>
              </w:rPr>
              <w:t>)</w:t>
            </w:r>
          </w:p>
        </w:tc>
        <w:tc>
          <w:tcPr>
            <w:tcW w:w="0" w:type="auto"/>
            <w:hideMark/>
          </w:tcPr>
          <w:p w14:paraId="168518A0"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0B0E6288"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41E6BBEB" w14:textId="77777777" w:rsidR="00000000" w:rsidRDefault="00832D71">
            <w:pPr>
              <w:pStyle w:val="a3"/>
              <w:spacing w:before="0" w:beforeAutospacing="0" w:after="0" w:afterAutospacing="0"/>
              <w:jc w:val="right"/>
              <w:rPr>
                <w:sz w:val="19"/>
                <w:szCs w:val="19"/>
              </w:rPr>
            </w:pPr>
            <w:r>
              <w:rPr>
                <w:sz w:val="19"/>
                <w:szCs w:val="19"/>
              </w:rPr>
              <w:t>1,374,72</w:t>
            </w:r>
            <w:r>
              <w:rPr>
                <w:sz w:val="19"/>
                <w:szCs w:val="19"/>
              </w:rPr>
              <w:t>9</w:t>
            </w:r>
          </w:p>
        </w:tc>
        <w:tc>
          <w:tcPr>
            <w:tcW w:w="0" w:type="auto"/>
            <w:noWrap/>
            <w:vAlign w:val="bottom"/>
            <w:hideMark/>
          </w:tcPr>
          <w:p w14:paraId="4BC40F45"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3B8AAF4C"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5273B94B"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3C986569" w14:textId="77777777" w:rsidR="00000000" w:rsidRDefault="00832D71">
            <w:pPr>
              <w:pStyle w:val="a3"/>
              <w:spacing w:before="0" w:beforeAutospacing="0" w:after="0" w:afterAutospacing="0"/>
              <w:jc w:val="right"/>
              <w:rPr>
                <w:sz w:val="19"/>
                <w:szCs w:val="19"/>
              </w:rPr>
            </w:pPr>
            <w:r>
              <w:rPr>
                <w:sz w:val="19"/>
                <w:szCs w:val="19"/>
              </w:rPr>
              <w:t>1,374,72</w:t>
            </w:r>
            <w:r>
              <w:rPr>
                <w:sz w:val="19"/>
                <w:szCs w:val="19"/>
              </w:rPr>
              <w:t>9</w:t>
            </w:r>
          </w:p>
        </w:tc>
        <w:tc>
          <w:tcPr>
            <w:tcW w:w="0" w:type="auto"/>
            <w:noWrap/>
            <w:vAlign w:val="bottom"/>
            <w:hideMark/>
          </w:tcPr>
          <w:p w14:paraId="3D774DF4"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24F65732"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197BCC91"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3D63A161" w14:textId="77777777" w:rsidR="00000000" w:rsidRDefault="00832D71">
            <w:pPr>
              <w:pStyle w:val="a3"/>
              <w:spacing w:before="0" w:beforeAutospacing="0" w:after="0" w:afterAutospacing="0"/>
              <w:jc w:val="right"/>
              <w:rPr>
                <w:sz w:val="19"/>
                <w:szCs w:val="19"/>
              </w:rPr>
            </w:pPr>
            <w:r>
              <w:rPr>
                <w:sz w:val="19"/>
                <w:szCs w:val="19"/>
              </w:rPr>
              <w:t>607,96</w:t>
            </w:r>
            <w:r>
              <w:rPr>
                <w:sz w:val="19"/>
                <w:szCs w:val="19"/>
              </w:rPr>
              <w:t>7</w:t>
            </w:r>
          </w:p>
        </w:tc>
        <w:tc>
          <w:tcPr>
            <w:tcW w:w="0" w:type="auto"/>
            <w:noWrap/>
            <w:vAlign w:val="bottom"/>
            <w:hideMark/>
          </w:tcPr>
          <w:p w14:paraId="3232E3C0"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65580A99"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7D9B8537"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525295ED" w14:textId="77777777" w:rsidR="00000000" w:rsidRDefault="00832D71">
            <w:pPr>
              <w:pStyle w:val="a3"/>
              <w:spacing w:before="0" w:beforeAutospacing="0" w:after="0" w:afterAutospacing="0"/>
              <w:jc w:val="right"/>
              <w:rPr>
                <w:sz w:val="19"/>
                <w:szCs w:val="19"/>
              </w:rPr>
            </w:pPr>
            <w:r>
              <w:rPr>
                <w:sz w:val="19"/>
                <w:szCs w:val="19"/>
              </w:rPr>
              <w:t>1,374,72</w:t>
            </w:r>
            <w:r>
              <w:rPr>
                <w:sz w:val="19"/>
                <w:szCs w:val="19"/>
              </w:rPr>
              <w:t>9</w:t>
            </w:r>
          </w:p>
        </w:tc>
        <w:tc>
          <w:tcPr>
            <w:tcW w:w="0" w:type="auto"/>
            <w:noWrap/>
            <w:vAlign w:val="bottom"/>
            <w:hideMark/>
          </w:tcPr>
          <w:p w14:paraId="454E842F" w14:textId="77777777" w:rsidR="00000000" w:rsidRDefault="00832D71">
            <w:pPr>
              <w:pStyle w:val="a3"/>
              <w:spacing w:before="0" w:beforeAutospacing="0" w:after="0" w:afterAutospacing="0"/>
              <w:rPr>
                <w:sz w:val="19"/>
                <w:szCs w:val="19"/>
              </w:rPr>
            </w:pPr>
            <w:r>
              <w:rPr>
                <w:sz w:val="19"/>
                <w:szCs w:val="19"/>
              </w:rPr>
              <w:t> </w:t>
            </w:r>
          </w:p>
        </w:tc>
      </w:tr>
      <w:tr w:rsidR="00000000" w14:paraId="4FAC96BF" w14:textId="77777777">
        <w:trPr>
          <w:trHeight w:val="180"/>
          <w:tblCellSpacing w:w="15" w:type="dxa"/>
        </w:trPr>
        <w:tc>
          <w:tcPr>
            <w:tcW w:w="0" w:type="auto"/>
            <w:hideMark/>
          </w:tcPr>
          <w:p w14:paraId="407E5BA8" w14:textId="77777777" w:rsidR="00000000" w:rsidRDefault="00832D71">
            <w:pPr>
              <w:pStyle w:val="a3"/>
              <w:spacing w:before="0" w:beforeAutospacing="0" w:after="0" w:afterAutospacing="0"/>
              <w:rPr>
                <w:sz w:val="19"/>
                <w:szCs w:val="19"/>
              </w:rPr>
            </w:pPr>
            <w:r>
              <w:rPr>
                <w:sz w:val="19"/>
                <w:szCs w:val="19"/>
              </w:rPr>
              <w:t>Medical Benefits (3</w:t>
            </w:r>
            <w:r>
              <w:rPr>
                <w:sz w:val="19"/>
                <w:szCs w:val="19"/>
              </w:rPr>
              <w:t>)</w:t>
            </w:r>
          </w:p>
        </w:tc>
        <w:tc>
          <w:tcPr>
            <w:tcW w:w="0" w:type="auto"/>
            <w:hideMark/>
          </w:tcPr>
          <w:p w14:paraId="4A8F248E"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707A4455"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1D9C6E89"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154948C7"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3779A6F3"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51069C02"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059BC981"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448E05FF"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1788E0F4"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792AB7E5"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76DDC26D" w14:textId="77777777" w:rsidR="00000000" w:rsidRDefault="00832D71">
            <w:pPr>
              <w:pStyle w:val="a3"/>
              <w:spacing w:before="0" w:beforeAutospacing="0" w:after="0" w:afterAutospacing="0"/>
              <w:jc w:val="right"/>
              <w:rPr>
                <w:sz w:val="19"/>
                <w:szCs w:val="19"/>
              </w:rPr>
            </w:pPr>
            <w:r>
              <w:rPr>
                <w:sz w:val="19"/>
                <w:szCs w:val="19"/>
              </w:rPr>
              <w:t>25,42</w:t>
            </w:r>
            <w:r>
              <w:rPr>
                <w:sz w:val="19"/>
                <w:szCs w:val="19"/>
              </w:rPr>
              <w:t>1</w:t>
            </w:r>
          </w:p>
        </w:tc>
        <w:tc>
          <w:tcPr>
            <w:tcW w:w="0" w:type="auto"/>
            <w:noWrap/>
            <w:vAlign w:val="bottom"/>
            <w:hideMark/>
          </w:tcPr>
          <w:p w14:paraId="3478C1B7"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17AC5589"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495A2A42"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2313F660" w14:textId="77777777" w:rsidR="00000000" w:rsidRDefault="00832D71">
            <w:pPr>
              <w:pStyle w:val="a3"/>
              <w:spacing w:before="0" w:beforeAutospacing="0" w:after="0" w:afterAutospacing="0"/>
              <w:jc w:val="right"/>
              <w:rPr>
                <w:sz w:val="19"/>
                <w:szCs w:val="19"/>
              </w:rPr>
            </w:pPr>
            <w:r>
              <w:rPr>
                <w:sz w:val="19"/>
                <w:szCs w:val="19"/>
              </w:rPr>
              <w:t>39,63</w:t>
            </w:r>
            <w:r>
              <w:rPr>
                <w:sz w:val="19"/>
                <w:szCs w:val="19"/>
              </w:rPr>
              <w:t>1</w:t>
            </w:r>
          </w:p>
        </w:tc>
        <w:tc>
          <w:tcPr>
            <w:tcW w:w="0" w:type="auto"/>
            <w:noWrap/>
            <w:vAlign w:val="bottom"/>
            <w:hideMark/>
          </w:tcPr>
          <w:p w14:paraId="4FDF96E4" w14:textId="77777777" w:rsidR="00000000" w:rsidRDefault="00832D71">
            <w:pPr>
              <w:pStyle w:val="a3"/>
              <w:spacing w:before="0" w:beforeAutospacing="0" w:after="0" w:afterAutospacing="0"/>
              <w:rPr>
                <w:sz w:val="19"/>
                <w:szCs w:val="19"/>
              </w:rPr>
            </w:pPr>
            <w:r>
              <w:rPr>
                <w:sz w:val="19"/>
                <w:szCs w:val="19"/>
              </w:rPr>
              <w:t> </w:t>
            </w:r>
          </w:p>
        </w:tc>
      </w:tr>
      <w:tr w:rsidR="00000000" w14:paraId="07CBE683" w14:textId="77777777">
        <w:trPr>
          <w:trHeight w:val="180"/>
          <w:tblCellSpacing w:w="15" w:type="dxa"/>
        </w:trPr>
        <w:tc>
          <w:tcPr>
            <w:tcW w:w="0" w:type="auto"/>
            <w:hideMark/>
          </w:tcPr>
          <w:p w14:paraId="2B200923" w14:textId="77777777" w:rsidR="00000000" w:rsidRDefault="00832D71">
            <w:pPr>
              <w:pStyle w:val="a3"/>
              <w:spacing w:before="0" w:beforeAutospacing="0" w:after="0" w:afterAutospacing="0"/>
              <w:ind w:left="200"/>
              <w:rPr>
                <w:sz w:val="19"/>
                <w:szCs w:val="19"/>
              </w:rPr>
            </w:pPr>
            <w:r>
              <w:rPr>
                <w:b/>
                <w:bCs/>
                <w:sz w:val="19"/>
                <w:szCs w:val="19"/>
              </w:rPr>
              <w:t>Tota</w:t>
            </w:r>
            <w:r>
              <w:rPr>
                <w:b/>
                <w:bCs/>
                <w:sz w:val="19"/>
                <w:szCs w:val="19"/>
              </w:rPr>
              <w:t>l</w:t>
            </w:r>
          </w:p>
        </w:tc>
        <w:tc>
          <w:tcPr>
            <w:tcW w:w="0" w:type="auto"/>
            <w:hideMark/>
          </w:tcPr>
          <w:p w14:paraId="070B3ED6"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55765748"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37FF4032" w14:textId="77777777" w:rsidR="00000000" w:rsidRDefault="00832D71">
            <w:pPr>
              <w:pStyle w:val="a3"/>
              <w:spacing w:before="0" w:beforeAutospacing="0" w:after="0" w:afterAutospacing="0"/>
              <w:jc w:val="right"/>
              <w:rPr>
                <w:sz w:val="19"/>
                <w:szCs w:val="19"/>
              </w:rPr>
            </w:pPr>
            <w:r>
              <w:rPr>
                <w:sz w:val="19"/>
                <w:szCs w:val="19"/>
              </w:rPr>
              <w:t>1,374,72</w:t>
            </w:r>
            <w:r>
              <w:rPr>
                <w:sz w:val="19"/>
                <w:szCs w:val="19"/>
              </w:rPr>
              <w:t>9</w:t>
            </w:r>
          </w:p>
        </w:tc>
        <w:tc>
          <w:tcPr>
            <w:tcW w:w="0" w:type="auto"/>
            <w:noWrap/>
            <w:vAlign w:val="bottom"/>
            <w:hideMark/>
          </w:tcPr>
          <w:p w14:paraId="564E8C3D"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1E66E457"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6C52B1D3"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3B7CCBC9" w14:textId="77777777" w:rsidR="00000000" w:rsidRDefault="00832D71">
            <w:pPr>
              <w:pStyle w:val="a3"/>
              <w:spacing w:before="0" w:beforeAutospacing="0" w:after="0" w:afterAutospacing="0"/>
              <w:jc w:val="right"/>
              <w:rPr>
                <w:sz w:val="19"/>
                <w:szCs w:val="19"/>
              </w:rPr>
            </w:pPr>
            <w:r>
              <w:rPr>
                <w:sz w:val="19"/>
                <w:szCs w:val="19"/>
              </w:rPr>
              <w:t>1,374,72</w:t>
            </w:r>
            <w:r>
              <w:rPr>
                <w:sz w:val="19"/>
                <w:szCs w:val="19"/>
              </w:rPr>
              <w:t>9</w:t>
            </w:r>
          </w:p>
        </w:tc>
        <w:tc>
          <w:tcPr>
            <w:tcW w:w="0" w:type="auto"/>
            <w:noWrap/>
            <w:vAlign w:val="bottom"/>
            <w:hideMark/>
          </w:tcPr>
          <w:p w14:paraId="3DA2B9A8"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26B9417E"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2C1241FC"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537A37C3" w14:textId="77777777" w:rsidR="00000000" w:rsidRDefault="00832D71">
            <w:pPr>
              <w:pStyle w:val="a3"/>
              <w:spacing w:before="0" w:beforeAutospacing="0" w:after="0" w:afterAutospacing="0"/>
              <w:jc w:val="right"/>
              <w:rPr>
                <w:sz w:val="19"/>
                <w:szCs w:val="19"/>
              </w:rPr>
            </w:pPr>
            <w:r>
              <w:rPr>
                <w:sz w:val="19"/>
                <w:szCs w:val="19"/>
              </w:rPr>
              <w:t>1,033,38</w:t>
            </w:r>
            <w:r>
              <w:rPr>
                <w:sz w:val="19"/>
                <w:szCs w:val="19"/>
              </w:rPr>
              <w:t>8</w:t>
            </w:r>
          </w:p>
        </w:tc>
        <w:tc>
          <w:tcPr>
            <w:tcW w:w="0" w:type="auto"/>
            <w:noWrap/>
            <w:vAlign w:val="bottom"/>
            <w:hideMark/>
          </w:tcPr>
          <w:p w14:paraId="12BA1E2B"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0924016F"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4557C070"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527E5C9B" w14:textId="77777777" w:rsidR="00000000" w:rsidRDefault="00832D71">
            <w:pPr>
              <w:pStyle w:val="a3"/>
              <w:spacing w:before="0" w:beforeAutospacing="0" w:after="0" w:afterAutospacing="0"/>
              <w:jc w:val="right"/>
              <w:rPr>
                <w:sz w:val="19"/>
                <w:szCs w:val="19"/>
              </w:rPr>
            </w:pPr>
            <w:r>
              <w:rPr>
                <w:sz w:val="19"/>
                <w:szCs w:val="19"/>
              </w:rPr>
              <w:t>3,574,36</w:t>
            </w:r>
            <w:r>
              <w:rPr>
                <w:sz w:val="19"/>
                <w:szCs w:val="19"/>
              </w:rPr>
              <w:t>0</w:t>
            </w:r>
          </w:p>
        </w:tc>
        <w:tc>
          <w:tcPr>
            <w:tcW w:w="0" w:type="auto"/>
            <w:noWrap/>
            <w:vAlign w:val="bottom"/>
            <w:hideMark/>
          </w:tcPr>
          <w:p w14:paraId="54B390EE" w14:textId="77777777" w:rsidR="00000000" w:rsidRDefault="00832D71">
            <w:pPr>
              <w:pStyle w:val="a3"/>
              <w:spacing w:before="0" w:beforeAutospacing="0" w:after="0" w:afterAutospacing="0"/>
              <w:rPr>
                <w:sz w:val="19"/>
                <w:szCs w:val="19"/>
              </w:rPr>
            </w:pPr>
            <w:r>
              <w:rPr>
                <w:sz w:val="19"/>
                <w:szCs w:val="19"/>
              </w:rPr>
              <w:t> </w:t>
            </w:r>
          </w:p>
        </w:tc>
      </w:tr>
      <w:tr w:rsidR="00000000" w14:paraId="455D21DF" w14:textId="77777777">
        <w:trPr>
          <w:tblCellSpacing w:w="15" w:type="dxa"/>
        </w:trPr>
        <w:tc>
          <w:tcPr>
            <w:tcW w:w="0" w:type="auto"/>
            <w:hideMark/>
          </w:tcPr>
          <w:p w14:paraId="3456E038"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03E499C4"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73EBAA60"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32F40B3A"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575F8EB4" w14:textId="77777777" w:rsidR="00000000" w:rsidRDefault="00832D71">
            <w:pPr>
              <w:pStyle w:val="a3"/>
              <w:spacing w:before="0" w:beforeAutospacing="0" w:after="0" w:afterAutospacing="0"/>
              <w:rPr>
                <w:sz w:val="19"/>
                <w:szCs w:val="19"/>
              </w:rPr>
            </w:pPr>
            <w:r>
              <w:rPr>
                <w:sz w:val="19"/>
                <w:szCs w:val="19"/>
              </w:rPr>
              <w:t> </w:t>
            </w:r>
          </w:p>
        </w:tc>
        <w:tc>
          <w:tcPr>
            <w:tcW w:w="0" w:type="auto"/>
            <w:gridSpan w:val="2"/>
            <w:hideMark/>
          </w:tcPr>
          <w:p w14:paraId="07F2790B"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7C1A52D0"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18E80221"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17A67C8A"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690477B9"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6B71D9E2"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09C09F9A"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3DB78B05" w14:textId="77777777" w:rsidR="00000000" w:rsidRDefault="00832D71">
            <w:pPr>
              <w:pStyle w:val="a3"/>
              <w:spacing w:before="0" w:beforeAutospacing="0" w:after="0" w:afterAutospacing="0"/>
              <w:jc w:val="right"/>
              <w:rPr>
                <w:sz w:val="19"/>
                <w:szCs w:val="19"/>
              </w:rPr>
            </w:pPr>
            <w:r>
              <w:rPr>
                <w:sz w:val="19"/>
                <w:szCs w:val="19"/>
              </w:rPr>
              <w:t> </w:t>
            </w:r>
          </w:p>
        </w:tc>
      </w:tr>
      <w:tr w:rsidR="00000000" w14:paraId="06EC7CE2" w14:textId="77777777">
        <w:trPr>
          <w:trHeight w:val="180"/>
          <w:tblCellSpacing w:w="15" w:type="dxa"/>
        </w:trPr>
        <w:tc>
          <w:tcPr>
            <w:tcW w:w="0" w:type="auto"/>
            <w:hideMark/>
          </w:tcPr>
          <w:p w14:paraId="20E946CC" w14:textId="77777777" w:rsidR="00000000" w:rsidRDefault="00832D71">
            <w:pPr>
              <w:pStyle w:val="a3"/>
              <w:spacing w:before="0" w:beforeAutospacing="0" w:after="0" w:afterAutospacing="0"/>
              <w:rPr>
                <w:sz w:val="19"/>
                <w:szCs w:val="19"/>
              </w:rPr>
            </w:pPr>
            <w:r>
              <w:rPr>
                <w:sz w:val="19"/>
                <w:szCs w:val="19"/>
              </w:rPr>
              <w:t>Neil E. Scanlo</w:t>
            </w:r>
            <w:r>
              <w:rPr>
                <w:sz w:val="19"/>
                <w:szCs w:val="19"/>
              </w:rPr>
              <w:t>n</w:t>
            </w:r>
          </w:p>
        </w:tc>
        <w:tc>
          <w:tcPr>
            <w:tcW w:w="0" w:type="auto"/>
            <w:hideMark/>
          </w:tcPr>
          <w:p w14:paraId="304DD155" w14:textId="77777777" w:rsidR="00000000" w:rsidRDefault="00832D71">
            <w:pPr>
              <w:pStyle w:val="a3"/>
              <w:spacing w:before="0" w:beforeAutospacing="0" w:after="0" w:afterAutospacing="0"/>
              <w:rPr>
                <w:sz w:val="19"/>
                <w:szCs w:val="19"/>
              </w:rPr>
            </w:pPr>
            <w:r>
              <w:rPr>
                <w:sz w:val="19"/>
                <w:szCs w:val="19"/>
              </w:rPr>
              <w:t> </w:t>
            </w:r>
          </w:p>
        </w:tc>
        <w:tc>
          <w:tcPr>
            <w:tcW w:w="0" w:type="auto"/>
            <w:gridSpan w:val="2"/>
            <w:hideMark/>
          </w:tcPr>
          <w:p w14:paraId="34647FD3"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0E88823E"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25F94E08" w14:textId="77777777" w:rsidR="00000000" w:rsidRDefault="00832D71">
            <w:pPr>
              <w:pStyle w:val="a3"/>
              <w:spacing w:before="0" w:beforeAutospacing="0" w:after="0" w:afterAutospacing="0"/>
              <w:rPr>
                <w:sz w:val="19"/>
                <w:szCs w:val="19"/>
              </w:rPr>
            </w:pPr>
            <w:r>
              <w:rPr>
                <w:sz w:val="19"/>
                <w:szCs w:val="19"/>
              </w:rPr>
              <w:t> </w:t>
            </w:r>
          </w:p>
        </w:tc>
        <w:tc>
          <w:tcPr>
            <w:tcW w:w="0" w:type="auto"/>
            <w:gridSpan w:val="2"/>
            <w:hideMark/>
          </w:tcPr>
          <w:p w14:paraId="683343A6"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11B720BB"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396F6F37"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030A5D30"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3FA5A380"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507E2DA8" w14:textId="77777777" w:rsidR="00000000" w:rsidRDefault="00832D71">
            <w:pPr>
              <w:pStyle w:val="a3"/>
              <w:spacing w:before="0" w:beforeAutospacing="0" w:after="0" w:afterAutospacing="0"/>
              <w:rPr>
                <w:sz w:val="19"/>
                <w:szCs w:val="19"/>
              </w:rPr>
            </w:pPr>
            <w:r>
              <w:rPr>
                <w:sz w:val="19"/>
                <w:szCs w:val="19"/>
              </w:rPr>
              <w:t> </w:t>
            </w:r>
          </w:p>
        </w:tc>
        <w:tc>
          <w:tcPr>
            <w:tcW w:w="0" w:type="auto"/>
            <w:gridSpan w:val="2"/>
            <w:vAlign w:val="bottom"/>
            <w:hideMark/>
          </w:tcPr>
          <w:p w14:paraId="13AA73CE" w14:textId="77777777" w:rsidR="00000000" w:rsidRDefault="00832D71">
            <w:pPr>
              <w:pStyle w:val="a3"/>
              <w:spacing w:before="0" w:beforeAutospacing="0" w:after="0" w:afterAutospacing="0"/>
              <w:jc w:val="right"/>
              <w:rPr>
                <w:sz w:val="19"/>
                <w:szCs w:val="19"/>
              </w:rPr>
            </w:pPr>
            <w:r>
              <w:rPr>
                <w:sz w:val="19"/>
                <w:szCs w:val="19"/>
              </w:rPr>
              <w:t> </w:t>
            </w:r>
          </w:p>
        </w:tc>
        <w:tc>
          <w:tcPr>
            <w:tcW w:w="0" w:type="auto"/>
            <w:vAlign w:val="bottom"/>
            <w:hideMark/>
          </w:tcPr>
          <w:p w14:paraId="0D295D49" w14:textId="77777777" w:rsidR="00000000" w:rsidRDefault="00832D71">
            <w:pPr>
              <w:pStyle w:val="a3"/>
              <w:spacing w:before="0" w:beforeAutospacing="0" w:after="0" w:afterAutospacing="0"/>
              <w:jc w:val="right"/>
              <w:rPr>
                <w:sz w:val="19"/>
                <w:szCs w:val="19"/>
              </w:rPr>
            </w:pPr>
            <w:r>
              <w:rPr>
                <w:sz w:val="19"/>
                <w:szCs w:val="19"/>
              </w:rPr>
              <w:t> </w:t>
            </w:r>
          </w:p>
        </w:tc>
      </w:tr>
      <w:tr w:rsidR="00000000" w14:paraId="4E90A746" w14:textId="77777777">
        <w:trPr>
          <w:trHeight w:val="180"/>
          <w:tblCellSpacing w:w="15" w:type="dxa"/>
        </w:trPr>
        <w:tc>
          <w:tcPr>
            <w:tcW w:w="0" w:type="auto"/>
            <w:hideMark/>
          </w:tcPr>
          <w:p w14:paraId="397FA8E4" w14:textId="77777777" w:rsidR="00000000" w:rsidRDefault="00832D71">
            <w:pPr>
              <w:pStyle w:val="a3"/>
              <w:spacing w:before="0" w:beforeAutospacing="0" w:after="0" w:afterAutospacing="0"/>
              <w:rPr>
                <w:sz w:val="19"/>
                <w:szCs w:val="19"/>
              </w:rPr>
            </w:pPr>
            <w:r>
              <w:rPr>
                <w:sz w:val="19"/>
                <w:szCs w:val="19"/>
              </w:rPr>
              <w:t>Cash Compensation (1) (2) (3) (4</w:t>
            </w:r>
            <w:r>
              <w:rPr>
                <w:sz w:val="19"/>
                <w:szCs w:val="19"/>
              </w:rPr>
              <w:t>)</w:t>
            </w:r>
          </w:p>
        </w:tc>
        <w:tc>
          <w:tcPr>
            <w:tcW w:w="0" w:type="auto"/>
            <w:hideMark/>
          </w:tcPr>
          <w:p w14:paraId="717F14E8"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3351FF91"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6BC63E1B"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2F49893F"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3322FE0B"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6078C2C3"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13D499B8"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5E19EA61"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23417078"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20846E48"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13878CF6" w14:textId="77777777" w:rsidR="00000000" w:rsidRDefault="00832D71">
            <w:pPr>
              <w:pStyle w:val="a3"/>
              <w:spacing w:before="0" w:beforeAutospacing="0" w:after="0" w:afterAutospacing="0"/>
              <w:jc w:val="right"/>
              <w:rPr>
                <w:sz w:val="19"/>
                <w:szCs w:val="19"/>
              </w:rPr>
            </w:pPr>
            <w:r>
              <w:rPr>
                <w:sz w:val="19"/>
                <w:szCs w:val="19"/>
              </w:rPr>
              <w:t>350,00</w:t>
            </w:r>
            <w:r>
              <w:rPr>
                <w:sz w:val="19"/>
                <w:szCs w:val="19"/>
              </w:rPr>
              <w:t>0</w:t>
            </w:r>
          </w:p>
        </w:tc>
        <w:tc>
          <w:tcPr>
            <w:tcW w:w="0" w:type="auto"/>
            <w:noWrap/>
            <w:vAlign w:val="bottom"/>
            <w:hideMark/>
          </w:tcPr>
          <w:p w14:paraId="523773CF"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3462C01D"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4B70F24D"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470C3EAD" w14:textId="77777777" w:rsidR="00000000" w:rsidRDefault="00832D71">
            <w:pPr>
              <w:pStyle w:val="a3"/>
              <w:spacing w:before="0" w:beforeAutospacing="0" w:after="0" w:afterAutospacing="0"/>
              <w:jc w:val="right"/>
              <w:rPr>
                <w:sz w:val="19"/>
                <w:szCs w:val="19"/>
              </w:rPr>
            </w:pPr>
            <w:r>
              <w:rPr>
                <w:sz w:val="19"/>
                <w:szCs w:val="19"/>
              </w:rPr>
              <w:t>1,890,00</w:t>
            </w:r>
            <w:r>
              <w:rPr>
                <w:sz w:val="19"/>
                <w:szCs w:val="19"/>
              </w:rPr>
              <w:t>0</w:t>
            </w:r>
          </w:p>
        </w:tc>
        <w:tc>
          <w:tcPr>
            <w:tcW w:w="0" w:type="auto"/>
            <w:noWrap/>
            <w:vAlign w:val="bottom"/>
            <w:hideMark/>
          </w:tcPr>
          <w:p w14:paraId="3BCD505C" w14:textId="77777777" w:rsidR="00000000" w:rsidRDefault="00832D71">
            <w:pPr>
              <w:pStyle w:val="a3"/>
              <w:spacing w:before="0" w:beforeAutospacing="0" w:after="0" w:afterAutospacing="0"/>
              <w:rPr>
                <w:sz w:val="19"/>
                <w:szCs w:val="19"/>
              </w:rPr>
            </w:pPr>
            <w:r>
              <w:rPr>
                <w:sz w:val="19"/>
                <w:szCs w:val="19"/>
              </w:rPr>
              <w:t> </w:t>
            </w:r>
          </w:p>
        </w:tc>
      </w:tr>
      <w:tr w:rsidR="00000000" w14:paraId="7879D49E" w14:textId="77777777">
        <w:trPr>
          <w:trHeight w:val="180"/>
          <w:tblCellSpacing w:w="15" w:type="dxa"/>
        </w:trPr>
        <w:tc>
          <w:tcPr>
            <w:tcW w:w="0" w:type="auto"/>
            <w:hideMark/>
          </w:tcPr>
          <w:p w14:paraId="1E6DF7B5" w14:textId="77777777" w:rsidR="00000000" w:rsidRDefault="00832D71">
            <w:pPr>
              <w:pStyle w:val="a3"/>
              <w:spacing w:before="0" w:beforeAutospacing="0" w:after="0" w:afterAutospacing="0"/>
              <w:rPr>
                <w:sz w:val="19"/>
                <w:szCs w:val="19"/>
              </w:rPr>
            </w:pPr>
            <w:r>
              <w:rPr>
                <w:sz w:val="19"/>
                <w:szCs w:val="19"/>
              </w:rPr>
              <w:t>Accelerated Vesting of Fiscal 2022, 2021 and</w:t>
            </w:r>
            <w:r>
              <w:rPr>
                <w:sz w:val="19"/>
                <w:szCs w:val="19"/>
              </w:rPr>
              <w:br/>
              <w:t>   2020 LTIP Awards @ 150% (5</w:t>
            </w:r>
            <w:r>
              <w:rPr>
                <w:sz w:val="19"/>
                <w:szCs w:val="19"/>
              </w:rPr>
              <w:t>)</w:t>
            </w:r>
          </w:p>
        </w:tc>
        <w:tc>
          <w:tcPr>
            <w:tcW w:w="0" w:type="auto"/>
            <w:hideMark/>
          </w:tcPr>
          <w:p w14:paraId="7BC494F8"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3F93F377"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29F0025C"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77974D00"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0271E114"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65D47B47"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238A49C9"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0B3D5939"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4B9491D5"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1DAB8614"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58435DBE"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2B702FDF"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09E93C6E"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53C00733"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08E1150F"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3DF198A5" w14:textId="77777777" w:rsidR="00000000" w:rsidRDefault="00832D71">
            <w:pPr>
              <w:pStyle w:val="a3"/>
              <w:spacing w:before="0" w:beforeAutospacing="0" w:after="0" w:afterAutospacing="0"/>
              <w:rPr>
                <w:sz w:val="19"/>
                <w:szCs w:val="19"/>
              </w:rPr>
            </w:pPr>
            <w:r>
              <w:rPr>
                <w:sz w:val="19"/>
                <w:szCs w:val="19"/>
              </w:rPr>
              <w:t> </w:t>
            </w:r>
          </w:p>
        </w:tc>
      </w:tr>
      <w:tr w:rsidR="00000000" w14:paraId="151986BD" w14:textId="77777777">
        <w:trPr>
          <w:trHeight w:val="180"/>
          <w:tblCellSpacing w:w="15" w:type="dxa"/>
        </w:trPr>
        <w:tc>
          <w:tcPr>
            <w:tcW w:w="0" w:type="auto"/>
            <w:hideMark/>
          </w:tcPr>
          <w:p w14:paraId="74DEBA11" w14:textId="77777777" w:rsidR="00000000" w:rsidRDefault="00832D71">
            <w:pPr>
              <w:pStyle w:val="a3"/>
              <w:spacing w:before="0" w:beforeAutospacing="0" w:after="0" w:afterAutospacing="0"/>
              <w:rPr>
                <w:sz w:val="19"/>
                <w:szCs w:val="19"/>
              </w:rPr>
            </w:pPr>
            <w:r>
              <w:rPr>
                <w:sz w:val="19"/>
                <w:szCs w:val="19"/>
              </w:rPr>
              <w:t>Accelerated Vesting of Outstanding RUP Awards (6</w:t>
            </w:r>
            <w:r>
              <w:rPr>
                <w:sz w:val="19"/>
                <w:szCs w:val="19"/>
              </w:rPr>
              <w:t>)</w:t>
            </w:r>
          </w:p>
        </w:tc>
        <w:tc>
          <w:tcPr>
            <w:tcW w:w="0" w:type="auto"/>
            <w:hideMark/>
          </w:tcPr>
          <w:p w14:paraId="1F950401"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32C76E82"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27E74A65" w14:textId="77777777" w:rsidR="00000000" w:rsidRDefault="00832D71">
            <w:pPr>
              <w:pStyle w:val="a3"/>
              <w:spacing w:before="0" w:beforeAutospacing="0" w:after="0" w:afterAutospacing="0"/>
              <w:jc w:val="right"/>
              <w:rPr>
                <w:sz w:val="19"/>
                <w:szCs w:val="19"/>
              </w:rPr>
            </w:pPr>
            <w:r>
              <w:rPr>
                <w:sz w:val="19"/>
                <w:szCs w:val="19"/>
              </w:rPr>
              <w:t>1,318,01</w:t>
            </w:r>
            <w:r>
              <w:rPr>
                <w:sz w:val="19"/>
                <w:szCs w:val="19"/>
              </w:rPr>
              <w:t>3</w:t>
            </w:r>
          </w:p>
        </w:tc>
        <w:tc>
          <w:tcPr>
            <w:tcW w:w="0" w:type="auto"/>
            <w:noWrap/>
            <w:vAlign w:val="bottom"/>
            <w:hideMark/>
          </w:tcPr>
          <w:p w14:paraId="6F1DBE02"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630F5134"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5DAB291B"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0A54DC42" w14:textId="77777777" w:rsidR="00000000" w:rsidRDefault="00832D71">
            <w:pPr>
              <w:pStyle w:val="a3"/>
              <w:spacing w:before="0" w:beforeAutospacing="0" w:after="0" w:afterAutospacing="0"/>
              <w:jc w:val="right"/>
              <w:rPr>
                <w:sz w:val="19"/>
                <w:szCs w:val="19"/>
              </w:rPr>
            </w:pPr>
            <w:r>
              <w:rPr>
                <w:sz w:val="19"/>
                <w:szCs w:val="19"/>
              </w:rPr>
              <w:t>1,318,01</w:t>
            </w:r>
            <w:r>
              <w:rPr>
                <w:sz w:val="19"/>
                <w:szCs w:val="19"/>
              </w:rPr>
              <w:t>8</w:t>
            </w:r>
          </w:p>
        </w:tc>
        <w:tc>
          <w:tcPr>
            <w:tcW w:w="0" w:type="auto"/>
            <w:noWrap/>
            <w:vAlign w:val="bottom"/>
            <w:hideMark/>
          </w:tcPr>
          <w:p w14:paraId="74929595"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36816B84"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1E06807F"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7A7C3DEF" w14:textId="77777777" w:rsidR="00000000" w:rsidRDefault="00832D71">
            <w:pPr>
              <w:pStyle w:val="a3"/>
              <w:spacing w:before="0" w:beforeAutospacing="0" w:after="0" w:afterAutospacing="0"/>
              <w:jc w:val="right"/>
              <w:rPr>
                <w:sz w:val="19"/>
                <w:szCs w:val="19"/>
              </w:rPr>
            </w:pPr>
            <w:r>
              <w:rPr>
                <w:sz w:val="19"/>
                <w:szCs w:val="19"/>
              </w:rPr>
              <w:t>602,35</w:t>
            </w:r>
            <w:r>
              <w:rPr>
                <w:sz w:val="19"/>
                <w:szCs w:val="19"/>
              </w:rPr>
              <w:t>5</w:t>
            </w:r>
          </w:p>
        </w:tc>
        <w:tc>
          <w:tcPr>
            <w:tcW w:w="0" w:type="auto"/>
            <w:noWrap/>
            <w:vAlign w:val="bottom"/>
            <w:hideMark/>
          </w:tcPr>
          <w:p w14:paraId="0B60E3B4"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1F0C16D5"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2DD4A3D3"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519DA334" w14:textId="77777777" w:rsidR="00000000" w:rsidRDefault="00832D71">
            <w:pPr>
              <w:pStyle w:val="a3"/>
              <w:spacing w:before="0" w:beforeAutospacing="0" w:after="0" w:afterAutospacing="0"/>
              <w:jc w:val="right"/>
              <w:rPr>
                <w:sz w:val="19"/>
                <w:szCs w:val="19"/>
              </w:rPr>
            </w:pPr>
            <w:r>
              <w:rPr>
                <w:sz w:val="19"/>
                <w:szCs w:val="19"/>
              </w:rPr>
              <w:t>1,318,01</w:t>
            </w:r>
            <w:r>
              <w:rPr>
                <w:sz w:val="19"/>
                <w:szCs w:val="19"/>
              </w:rPr>
              <w:t>3</w:t>
            </w:r>
          </w:p>
        </w:tc>
        <w:tc>
          <w:tcPr>
            <w:tcW w:w="0" w:type="auto"/>
            <w:noWrap/>
            <w:vAlign w:val="bottom"/>
            <w:hideMark/>
          </w:tcPr>
          <w:p w14:paraId="278ADBA8" w14:textId="77777777" w:rsidR="00000000" w:rsidRDefault="00832D71">
            <w:pPr>
              <w:pStyle w:val="a3"/>
              <w:spacing w:before="0" w:beforeAutospacing="0" w:after="0" w:afterAutospacing="0"/>
              <w:rPr>
                <w:sz w:val="19"/>
                <w:szCs w:val="19"/>
              </w:rPr>
            </w:pPr>
            <w:r>
              <w:rPr>
                <w:sz w:val="19"/>
                <w:szCs w:val="19"/>
              </w:rPr>
              <w:t> </w:t>
            </w:r>
          </w:p>
        </w:tc>
      </w:tr>
      <w:tr w:rsidR="00000000" w14:paraId="34D1CB6E" w14:textId="77777777">
        <w:trPr>
          <w:trHeight w:val="180"/>
          <w:tblCellSpacing w:w="15" w:type="dxa"/>
        </w:trPr>
        <w:tc>
          <w:tcPr>
            <w:tcW w:w="0" w:type="auto"/>
            <w:hideMark/>
          </w:tcPr>
          <w:p w14:paraId="0F52B7D0" w14:textId="77777777" w:rsidR="00000000" w:rsidRDefault="00832D71">
            <w:pPr>
              <w:pStyle w:val="a3"/>
              <w:spacing w:before="0" w:beforeAutospacing="0" w:after="0" w:afterAutospacing="0"/>
              <w:rPr>
                <w:sz w:val="19"/>
                <w:szCs w:val="19"/>
              </w:rPr>
            </w:pPr>
            <w:r>
              <w:rPr>
                <w:sz w:val="19"/>
                <w:szCs w:val="19"/>
              </w:rPr>
              <w:t>Medical Benefits (3</w:t>
            </w:r>
            <w:r>
              <w:rPr>
                <w:sz w:val="19"/>
                <w:szCs w:val="19"/>
              </w:rPr>
              <w:t>)</w:t>
            </w:r>
          </w:p>
        </w:tc>
        <w:tc>
          <w:tcPr>
            <w:tcW w:w="0" w:type="auto"/>
            <w:hideMark/>
          </w:tcPr>
          <w:p w14:paraId="73624E0C"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1D591800"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7DFA725E"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0C026D19"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54200FC1"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6D093760"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159E5D08" w14:textId="77777777" w:rsidR="00000000" w:rsidRDefault="00832D71">
            <w:pPr>
              <w:pStyle w:val="a3"/>
              <w:spacing w:before="0" w:beforeAutospacing="0" w:after="0" w:afterAutospacing="0"/>
              <w:jc w:val="right"/>
              <w:rPr>
                <w:sz w:val="19"/>
                <w:szCs w:val="19"/>
              </w:rPr>
            </w:pPr>
            <w:r>
              <w:rPr>
                <w:sz w:val="19"/>
                <w:szCs w:val="19"/>
              </w:rPr>
              <w:t>—</w:t>
            </w:r>
          </w:p>
        </w:tc>
        <w:tc>
          <w:tcPr>
            <w:tcW w:w="0" w:type="auto"/>
            <w:noWrap/>
            <w:vAlign w:val="bottom"/>
            <w:hideMark/>
          </w:tcPr>
          <w:p w14:paraId="7763B8D2"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47B643FA"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365AB90B"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5179B210" w14:textId="77777777" w:rsidR="00000000" w:rsidRDefault="00832D71">
            <w:pPr>
              <w:pStyle w:val="a3"/>
              <w:spacing w:before="0" w:beforeAutospacing="0" w:after="0" w:afterAutospacing="0"/>
              <w:jc w:val="right"/>
              <w:rPr>
                <w:sz w:val="19"/>
                <w:szCs w:val="19"/>
              </w:rPr>
            </w:pPr>
            <w:r>
              <w:rPr>
                <w:sz w:val="19"/>
                <w:szCs w:val="19"/>
              </w:rPr>
              <w:t>26,02</w:t>
            </w:r>
            <w:r>
              <w:rPr>
                <w:sz w:val="19"/>
                <w:szCs w:val="19"/>
              </w:rPr>
              <w:t>6</w:t>
            </w:r>
          </w:p>
        </w:tc>
        <w:tc>
          <w:tcPr>
            <w:tcW w:w="0" w:type="auto"/>
            <w:noWrap/>
            <w:vAlign w:val="bottom"/>
            <w:hideMark/>
          </w:tcPr>
          <w:p w14:paraId="44B0EC33"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526238F1"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1D2F5C48"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3CF3EAC2" w14:textId="77777777" w:rsidR="00000000" w:rsidRDefault="00832D71">
            <w:pPr>
              <w:pStyle w:val="a3"/>
              <w:spacing w:before="0" w:beforeAutospacing="0" w:after="0" w:afterAutospacing="0"/>
              <w:jc w:val="right"/>
              <w:rPr>
                <w:sz w:val="19"/>
                <w:szCs w:val="19"/>
              </w:rPr>
            </w:pPr>
            <w:r>
              <w:rPr>
                <w:sz w:val="19"/>
                <w:szCs w:val="19"/>
              </w:rPr>
              <w:t>39,03</w:t>
            </w:r>
            <w:r>
              <w:rPr>
                <w:sz w:val="19"/>
                <w:szCs w:val="19"/>
              </w:rPr>
              <w:t>8</w:t>
            </w:r>
          </w:p>
        </w:tc>
        <w:tc>
          <w:tcPr>
            <w:tcW w:w="0" w:type="auto"/>
            <w:noWrap/>
            <w:vAlign w:val="bottom"/>
            <w:hideMark/>
          </w:tcPr>
          <w:p w14:paraId="7481DB95" w14:textId="77777777" w:rsidR="00000000" w:rsidRDefault="00832D71">
            <w:pPr>
              <w:pStyle w:val="a3"/>
              <w:spacing w:before="0" w:beforeAutospacing="0" w:after="0" w:afterAutospacing="0"/>
              <w:rPr>
                <w:sz w:val="19"/>
                <w:szCs w:val="19"/>
              </w:rPr>
            </w:pPr>
            <w:r>
              <w:rPr>
                <w:sz w:val="19"/>
                <w:szCs w:val="19"/>
              </w:rPr>
              <w:t> </w:t>
            </w:r>
          </w:p>
        </w:tc>
      </w:tr>
      <w:tr w:rsidR="00000000" w14:paraId="7A8E2F59" w14:textId="77777777">
        <w:trPr>
          <w:trHeight w:val="180"/>
          <w:tblCellSpacing w:w="15" w:type="dxa"/>
        </w:trPr>
        <w:tc>
          <w:tcPr>
            <w:tcW w:w="0" w:type="auto"/>
            <w:vAlign w:val="bottom"/>
            <w:hideMark/>
          </w:tcPr>
          <w:p w14:paraId="6F760ECE" w14:textId="77777777" w:rsidR="00000000" w:rsidRDefault="00832D71">
            <w:pPr>
              <w:pStyle w:val="a3"/>
              <w:spacing w:before="0" w:beforeAutospacing="0" w:after="0" w:afterAutospacing="0"/>
              <w:ind w:left="200"/>
              <w:rPr>
                <w:sz w:val="19"/>
                <w:szCs w:val="19"/>
              </w:rPr>
            </w:pPr>
            <w:r>
              <w:rPr>
                <w:b/>
                <w:bCs/>
                <w:sz w:val="19"/>
                <w:szCs w:val="19"/>
              </w:rPr>
              <w:t>Tota</w:t>
            </w:r>
            <w:r>
              <w:rPr>
                <w:b/>
                <w:bCs/>
                <w:sz w:val="19"/>
                <w:szCs w:val="19"/>
              </w:rPr>
              <w:t>l</w:t>
            </w:r>
          </w:p>
        </w:tc>
        <w:tc>
          <w:tcPr>
            <w:tcW w:w="0" w:type="auto"/>
            <w:hideMark/>
          </w:tcPr>
          <w:p w14:paraId="1F22D87E"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16D823BB"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7CDF7B1F" w14:textId="77777777" w:rsidR="00000000" w:rsidRDefault="00832D71">
            <w:pPr>
              <w:pStyle w:val="a3"/>
              <w:spacing w:before="0" w:beforeAutospacing="0" w:after="0" w:afterAutospacing="0"/>
              <w:jc w:val="right"/>
              <w:rPr>
                <w:sz w:val="19"/>
                <w:szCs w:val="19"/>
              </w:rPr>
            </w:pPr>
            <w:r>
              <w:rPr>
                <w:sz w:val="19"/>
                <w:szCs w:val="19"/>
              </w:rPr>
              <w:t>1,318,01</w:t>
            </w:r>
            <w:r>
              <w:rPr>
                <w:sz w:val="19"/>
                <w:szCs w:val="19"/>
              </w:rPr>
              <w:t>3</w:t>
            </w:r>
          </w:p>
        </w:tc>
        <w:tc>
          <w:tcPr>
            <w:tcW w:w="0" w:type="auto"/>
            <w:noWrap/>
            <w:vAlign w:val="bottom"/>
            <w:hideMark/>
          </w:tcPr>
          <w:p w14:paraId="24834B53"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5BED7AC1"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408B2284"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34B80B14" w14:textId="77777777" w:rsidR="00000000" w:rsidRDefault="00832D71">
            <w:pPr>
              <w:pStyle w:val="a3"/>
              <w:spacing w:before="0" w:beforeAutospacing="0" w:after="0" w:afterAutospacing="0"/>
              <w:jc w:val="right"/>
              <w:rPr>
                <w:sz w:val="19"/>
                <w:szCs w:val="19"/>
              </w:rPr>
            </w:pPr>
            <w:r>
              <w:rPr>
                <w:sz w:val="19"/>
                <w:szCs w:val="19"/>
              </w:rPr>
              <w:t>1,318,01</w:t>
            </w:r>
            <w:r>
              <w:rPr>
                <w:sz w:val="19"/>
                <w:szCs w:val="19"/>
              </w:rPr>
              <w:t>8</w:t>
            </w:r>
          </w:p>
        </w:tc>
        <w:tc>
          <w:tcPr>
            <w:tcW w:w="0" w:type="auto"/>
            <w:noWrap/>
            <w:vAlign w:val="bottom"/>
            <w:hideMark/>
          </w:tcPr>
          <w:p w14:paraId="138DD20A"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42BF7FF5"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479CA7EE"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5FE32BB4" w14:textId="77777777" w:rsidR="00000000" w:rsidRDefault="00832D71">
            <w:pPr>
              <w:pStyle w:val="a3"/>
              <w:spacing w:before="0" w:beforeAutospacing="0" w:after="0" w:afterAutospacing="0"/>
              <w:jc w:val="right"/>
              <w:rPr>
                <w:sz w:val="19"/>
                <w:szCs w:val="19"/>
              </w:rPr>
            </w:pPr>
            <w:r>
              <w:rPr>
                <w:sz w:val="19"/>
                <w:szCs w:val="19"/>
              </w:rPr>
              <w:t>978,38</w:t>
            </w:r>
            <w:r>
              <w:rPr>
                <w:sz w:val="19"/>
                <w:szCs w:val="19"/>
              </w:rPr>
              <w:t>1</w:t>
            </w:r>
          </w:p>
        </w:tc>
        <w:tc>
          <w:tcPr>
            <w:tcW w:w="0" w:type="auto"/>
            <w:noWrap/>
            <w:vAlign w:val="bottom"/>
            <w:hideMark/>
          </w:tcPr>
          <w:p w14:paraId="291074DB"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775FAE93"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2CB9465F"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5ACD85D9" w14:textId="77777777" w:rsidR="00000000" w:rsidRDefault="00832D71">
            <w:pPr>
              <w:pStyle w:val="a3"/>
              <w:spacing w:before="0" w:beforeAutospacing="0" w:after="0" w:afterAutospacing="0"/>
              <w:jc w:val="right"/>
              <w:rPr>
                <w:sz w:val="19"/>
                <w:szCs w:val="19"/>
              </w:rPr>
            </w:pPr>
            <w:r>
              <w:rPr>
                <w:sz w:val="19"/>
                <w:szCs w:val="19"/>
              </w:rPr>
              <w:t>3,247,05</w:t>
            </w:r>
            <w:r>
              <w:rPr>
                <w:sz w:val="19"/>
                <w:szCs w:val="19"/>
              </w:rPr>
              <w:t>1</w:t>
            </w:r>
          </w:p>
        </w:tc>
        <w:tc>
          <w:tcPr>
            <w:tcW w:w="0" w:type="auto"/>
            <w:noWrap/>
            <w:vAlign w:val="bottom"/>
            <w:hideMark/>
          </w:tcPr>
          <w:p w14:paraId="1994BFC9" w14:textId="77777777" w:rsidR="00000000" w:rsidRDefault="00832D71">
            <w:pPr>
              <w:pStyle w:val="a3"/>
              <w:spacing w:before="0" w:beforeAutospacing="0" w:after="0" w:afterAutospacing="0"/>
              <w:rPr>
                <w:sz w:val="19"/>
                <w:szCs w:val="19"/>
              </w:rPr>
            </w:pPr>
            <w:r>
              <w:rPr>
                <w:sz w:val="19"/>
                <w:szCs w:val="19"/>
              </w:rPr>
              <w:t> </w:t>
            </w:r>
          </w:p>
        </w:tc>
      </w:tr>
    </w:tbl>
    <w:p w14:paraId="3BBB656A" w14:textId="77777777" w:rsidR="00000000" w:rsidRDefault="00832D71">
      <w:pPr>
        <w:pStyle w:val="a3"/>
        <w:spacing w:before="0" w:beforeAutospacing="0" w:after="0" w:afterAutospacing="0"/>
        <w:rPr>
          <w:sz w:val="20"/>
          <w:szCs w:val="20"/>
        </w:rPr>
      </w:pPr>
      <w:r>
        <w:rPr>
          <w:sz w:val="20"/>
          <w:szCs w:val="20"/>
        </w:rPr>
        <w:t> </w:t>
      </w:r>
    </w:p>
    <w:p w14:paraId="1F2E658E" w14:textId="77777777" w:rsidR="00000000" w:rsidRDefault="00832D71">
      <w:pPr>
        <w:jc w:val="both"/>
        <w:divId w:val="298875558"/>
        <w:rPr>
          <w:rFonts w:eastAsia="Times New Roman"/>
        </w:rPr>
      </w:pPr>
      <w:r>
        <w:rPr>
          <w:rFonts w:eastAsia="Times New Roman"/>
          <w:sz w:val="20"/>
          <w:szCs w:val="20"/>
        </w:rPr>
        <w:t>(1</w:t>
      </w:r>
      <w:r>
        <w:rPr>
          <w:rFonts w:eastAsia="Times New Roman"/>
          <w:sz w:val="20"/>
          <w:szCs w:val="20"/>
        </w:rPr>
        <w:t>)</w:t>
      </w:r>
    </w:p>
    <w:p w14:paraId="51FACE74" w14:textId="77777777" w:rsidR="00000000" w:rsidRDefault="00832D71">
      <w:pPr>
        <w:jc w:val="both"/>
        <w:divId w:val="213347122"/>
        <w:rPr>
          <w:rFonts w:eastAsia="Times New Roman"/>
        </w:rPr>
      </w:pPr>
      <w:r>
        <w:rPr>
          <w:rFonts w:eastAsia="Times New Roman"/>
          <w:sz w:val="20"/>
          <w:szCs w:val="20"/>
        </w:rPr>
        <w:t>In the event of death, the named executive officer’</w:t>
      </w:r>
      <w:r>
        <w:rPr>
          <w:rFonts w:eastAsia="Times New Roman"/>
          <w:sz w:val="20"/>
          <w:szCs w:val="20"/>
        </w:rPr>
        <w:t>s estate is entitled to a payment equal to the decedent’s earned but unpaid salary and pro-rata cash bonus</w:t>
      </w:r>
      <w:r>
        <w:rPr>
          <w:rFonts w:eastAsia="Times New Roman"/>
          <w:sz w:val="20"/>
          <w:szCs w:val="20"/>
        </w:rPr>
        <w:t>.</w:t>
      </w:r>
    </w:p>
    <w:p w14:paraId="1DCF1820" w14:textId="77777777" w:rsidR="00000000" w:rsidRDefault="00832D71">
      <w:pPr>
        <w:jc w:val="both"/>
        <w:divId w:val="1478917847"/>
        <w:rPr>
          <w:rFonts w:eastAsia="Times New Roman"/>
        </w:rPr>
      </w:pPr>
      <w:r>
        <w:rPr>
          <w:rFonts w:eastAsia="Times New Roman"/>
          <w:sz w:val="20"/>
          <w:szCs w:val="20"/>
        </w:rPr>
        <w:t>(2</w:t>
      </w:r>
      <w:r>
        <w:rPr>
          <w:rFonts w:eastAsia="Times New Roman"/>
          <w:sz w:val="20"/>
          <w:szCs w:val="20"/>
        </w:rPr>
        <w:t>)</w:t>
      </w:r>
    </w:p>
    <w:p w14:paraId="2CDD5141" w14:textId="77777777" w:rsidR="00000000" w:rsidRDefault="00832D71">
      <w:pPr>
        <w:jc w:val="both"/>
        <w:divId w:val="1361734953"/>
        <w:rPr>
          <w:rFonts w:eastAsia="Times New Roman"/>
        </w:rPr>
      </w:pPr>
      <w:r>
        <w:rPr>
          <w:rFonts w:eastAsia="Times New Roman"/>
          <w:sz w:val="20"/>
          <w:szCs w:val="20"/>
        </w:rPr>
        <w:t>In the event of disability, the named executive officer is entitled to a payment equal to his earned but unpaid salary and pro-rata cash bonus.</w:t>
      </w:r>
      <w:r>
        <w:rPr>
          <w:rFonts w:eastAsia="Times New Roman"/>
          <w:sz w:val="20"/>
          <w:szCs w:val="20"/>
        </w:rPr>
        <w:t xml:space="preserve"> </w:t>
      </w:r>
    </w:p>
    <w:p w14:paraId="4182E4FC" w14:textId="77777777" w:rsidR="00000000" w:rsidRDefault="00832D71">
      <w:pPr>
        <w:pStyle w:val="a3"/>
        <w:spacing w:before="0" w:beforeAutospacing="0" w:after="0" w:afterAutospacing="0"/>
        <w:jc w:val="center"/>
        <w:rPr>
          <w:sz w:val="20"/>
          <w:szCs w:val="20"/>
        </w:rPr>
      </w:pPr>
      <w:r>
        <w:rPr>
          <w:sz w:val="20"/>
          <w:szCs w:val="20"/>
        </w:rPr>
        <w:t> </w:t>
      </w:r>
    </w:p>
    <w:p w14:paraId="55975E21" w14:textId="77777777" w:rsidR="00000000" w:rsidRDefault="00832D71">
      <w:pPr>
        <w:pStyle w:val="a3"/>
        <w:spacing w:before="0" w:beforeAutospacing="0" w:after="0" w:afterAutospacing="0"/>
        <w:jc w:val="center"/>
        <w:rPr>
          <w:sz w:val="20"/>
          <w:szCs w:val="20"/>
        </w:rPr>
      </w:pPr>
      <w:r>
        <w:rPr>
          <w:sz w:val="20"/>
          <w:szCs w:val="20"/>
        </w:rPr>
        <w:t>8</w:t>
      </w:r>
      <w:r>
        <w:rPr>
          <w:sz w:val="20"/>
          <w:szCs w:val="20"/>
        </w:rPr>
        <w:t>1</w:t>
      </w:r>
    </w:p>
    <w:p w14:paraId="2B02F5E0" w14:textId="77777777" w:rsidR="00000000" w:rsidRDefault="00832D71">
      <w:pPr>
        <w:rPr>
          <w:rFonts w:eastAsia="Times New Roman"/>
        </w:rPr>
      </w:pPr>
      <w:r>
        <w:rPr>
          <w:rFonts w:eastAsia="Times New Roman"/>
        </w:rPr>
        <w:pict w14:anchorId="3CAD0CAE">
          <v:rect id="_x0000_i1108" style="width:0;height:1.5pt" o:hralign="center" o:hrstd="t" o:hr="t" fillcolor="#a0a0a0" stroked="f"/>
        </w:pict>
      </w:r>
    </w:p>
    <w:p w14:paraId="2B9F5CB5"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1BB4466D" w14:textId="77777777" w:rsidR="00000000" w:rsidRDefault="00832D71">
      <w:pPr>
        <w:jc w:val="both"/>
        <w:divId w:val="351495010"/>
        <w:rPr>
          <w:rFonts w:eastAsia="Times New Roman"/>
        </w:rPr>
      </w:pPr>
      <w:r>
        <w:rPr>
          <w:rFonts w:eastAsia="Times New Roman"/>
          <w:sz w:val="20"/>
          <w:szCs w:val="20"/>
        </w:rPr>
        <w:t>(3</w:t>
      </w:r>
      <w:r>
        <w:rPr>
          <w:rFonts w:eastAsia="Times New Roman"/>
          <w:sz w:val="20"/>
          <w:szCs w:val="20"/>
        </w:rPr>
        <w:t>)</w:t>
      </w:r>
    </w:p>
    <w:p w14:paraId="6DFE7FB0" w14:textId="77777777" w:rsidR="00000000" w:rsidRDefault="00832D71">
      <w:pPr>
        <w:jc w:val="both"/>
        <w:divId w:val="571813702"/>
        <w:rPr>
          <w:rFonts w:eastAsia="Times New Roman"/>
        </w:rPr>
      </w:pPr>
      <w:r>
        <w:rPr>
          <w:rFonts w:eastAsia="Times New Roman"/>
          <w:sz w:val="20"/>
          <w:szCs w:val="20"/>
        </w:rPr>
        <w:t>Any severance benefits, unrelated to a change of control event, payable to these officers would be determined by the Committee on a case-by-case basis in acco</w:t>
      </w:r>
      <w:r>
        <w:rPr>
          <w:rFonts w:eastAsia="Times New Roman"/>
          <w:sz w:val="20"/>
          <w:szCs w:val="20"/>
        </w:rPr>
        <w:t>rdance with prior treatment of other similarly situated executives and may, as a result, differ substantially from this hypothetical presentation. For purposes of this table, we have assumed that each of these named executive officers would, upon terminati</w:t>
      </w:r>
      <w:r>
        <w:rPr>
          <w:rFonts w:eastAsia="Times New Roman"/>
          <w:sz w:val="20"/>
          <w:szCs w:val="20"/>
        </w:rPr>
        <w:t>on of employment without cause or for resignation for good reason, receive accrued salary and benefits through the date of termination plus one times annual salary and continued participation, at active employee rates, in our health insurance plans for one</w:t>
      </w:r>
      <w:r>
        <w:rPr>
          <w:rFonts w:eastAsia="Times New Roman"/>
          <w:sz w:val="20"/>
          <w:szCs w:val="20"/>
        </w:rPr>
        <w:t xml:space="preserve"> year. In regard to a termination of employment without cause or resignation with good reason in connection to a change of control event, we will provide our named executive officers with eighteen months of insurance coverage</w:t>
      </w:r>
      <w:r>
        <w:rPr>
          <w:rFonts w:eastAsia="Times New Roman"/>
          <w:sz w:val="20"/>
          <w:szCs w:val="20"/>
        </w:rPr>
        <w:t>.</w:t>
      </w:r>
    </w:p>
    <w:p w14:paraId="577576B3" w14:textId="77777777" w:rsidR="00000000" w:rsidRDefault="00832D71">
      <w:pPr>
        <w:jc w:val="both"/>
        <w:divId w:val="1358197844"/>
        <w:rPr>
          <w:rFonts w:eastAsia="Times New Roman"/>
        </w:rPr>
      </w:pPr>
      <w:r>
        <w:rPr>
          <w:rFonts w:eastAsia="Times New Roman"/>
          <w:sz w:val="20"/>
          <w:szCs w:val="20"/>
        </w:rPr>
        <w:t>(4</w:t>
      </w:r>
      <w:r>
        <w:rPr>
          <w:rFonts w:eastAsia="Times New Roman"/>
          <w:sz w:val="20"/>
          <w:szCs w:val="20"/>
        </w:rPr>
        <w:t>)</w:t>
      </w:r>
    </w:p>
    <w:p w14:paraId="5057A34B" w14:textId="77777777" w:rsidR="00000000" w:rsidRDefault="00832D71">
      <w:pPr>
        <w:jc w:val="both"/>
        <w:divId w:val="1170026548"/>
        <w:rPr>
          <w:rFonts w:eastAsia="Times New Roman"/>
        </w:rPr>
      </w:pPr>
      <w:r>
        <w:rPr>
          <w:rFonts w:eastAsia="Times New Roman"/>
          <w:sz w:val="20"/>
          <w:szCs w:val="20"/>
        </w:rPr>
        <w:t>Each of our named executi</w:t>
      </w:r>
      <w:r>
        <w:rPr>
          <w:rFonts w:eastAsia="Times New Roman"/>
          <w:sz w:val="20"/>
          <w:szCs w:val="20"/>
        </w:rPr>
        <w:t>ve officers will receive 156 weeks of base pay plus a sum equal to their annual target cash bonus divided by 52 and multiplied by 156 in accordance with the terms of the Executive Special Severance Plan in the event of a termination without cause or a resi</w:t>
      </w:r>
      <w:r>
        <w:rPr>
          <w:rFonts w:eastAsia="Times New Roman"/>
          <w:sz w:val="20"/>
          <w:szCs w:val="20"/>
        </w:rPr>
        <w:t>gnation with good reason in connection to a change of control. For more information on the Executive Special Severance Plan, refer to the subheading “Change of Control” in the “Compensation Discussion and Analysis.</w:t>
      </w:r>
      <w:r>
        <w:rPr>
          <w:rFonts w:eastAsia="Times New Roman"/>
          <w:sz w:val="20"/>
          <w:szCs w:val="20"/>
        </w:rPr>
        <w:t>”</w:t>
      </w:r>
    </w:p>
    <w:p w14:paraId="4D204E29" w14:textId="77777777" w:rsidR="00000000" w:rsidRDefault="00832D71">
      <w:pPr>
        <w:jc w:val="both"/>
        <w:divId w:val="656228966"/>
        <w:rPr>
          <w:rFonts w:eastAsia="Times New Roman"/>
        </w:rPr>
      </w:pPr>
      <w:r>
        <w:rPr>
          <w:rFonts w:eastAsia="Times New Roman"/>
          <w:sz w:val="20"/>
          <w:szCs w:val="20"/>
        </w:rPr>
        <w:t>(5</w:t>
      </w:r>
      <w:r>
        <w:rPr>
          <w:rFonts w:eastAsia="Times New Roman"/>
          <w:sz w:val="20"/>
          <w:szCs w:val="20"/>
        </w:rPr>
        <w:t>)</w:t>
      </w:r>
    </w:p>
    <w:p w14:paraId="6B635388" w14:textId="77777777" w:rsidR="00000000" w:rsidRDefault="00832D71">
      <w:pPr>
        <w:jc w:val="both"/>
        <w:divId w:val="1941142057"/>
        <w:rPr>
          <w:rFonts w:eastAsia="Times New Roman"/>
        </w:rPr>
      </w:pPr>
      <w:r>
        <w:rPr>
          <w:rFonts w:eastAsia="Times New Roman"/>
          <w:sz w:val="20"/>
          <w:szCs w:val="20"/>
        </w:rPr>
        <w:t>In the event of a change of control,</w:t>
      </w:r>
      <w:r>
        <w:rPr>
          <w:rFonts w:eastAsia="Times New Roman"/>
          <w:sz w:val="20"/>
          <w:szCs w:val="20"/>
        </w:rPr>
        <w:t xml:space="preserve"> all awards under the LTIP will vest immediately regardless of whether termination immediately follows. If a change of control event occurred at the conclusion of fiscal 2022, payments would have been equal to 150% of the cash value of a participant’s unve</w:t>
      </w:r>
      <w:r>
        <w:rPr>
          <w:rFonts w:eastAsia="Times New Roman"/>
          <w:sz w:val="20"/>
          <w:szCs w:val="20"/>
        </w:rPr>
        <w:t xml:space="preserve">sted phantom units plus a sum equal to 150% of a participant’s unvested phantom units multiplied by an amount equal to the cumulative, per-Common Unit distribution from the beginning of an unvested award’s three-year measurement period through the date on </w:t>
      </w:r>
      <w:r>
        <w:rPr>
          <w:rFonts w:eastAsia="Times New Roman"/>
          <w:sz w:val="20"/>
          <w:szCs w:val="20"/>
        </w:rPr>
        <w:t>which the change of control occurred. If a change of control event occurred on September 24, 2022, the fiscal 2022, fiscal 2021 and fiscal 2020 awards would have been subject to this treatment. For more information, refer to the subheading “Long-Term Incen</w:t>
      </w:r>
      <w:r>
        <w:rPr>
          <w:rFonts w:eastAsia="Times New Roman"/>
          <w:sz w:val="20"/>
          <w:szCs w:val="20"/>
        </w:rPr>
        <w:t>tive Plan” in the “Compensation Discussion and Analysis.”</w:t>
      </w:r>
      <w:r>
        <w:rPr>
          <w:rFonts w:eastAsia="Times New Roman"/>
          <w:sz w:val="20"/>
          <w:szCs w:val="20"/>
        </w:rPr>
        <w:t xml:space="preserve"> </w:t>
      </w:r>
    </w:p>
    <w:p w14:paraId="5C888409" w14:textId="77777777" w:rsidR="00000000" w:rsidRDefault="00832D71">
      <w:pPr>
        <w:pStyle w:val="a3"/>
        <w:spacing w:before="120" w:beforeAutospacing="0" w:after="0" w:afterAutospacing="0"/>
        <w:ind w:left="476"/>
        <w:jc w:val="both"/>
        <w:rPr>
          <w:sz w:val="20"/>
          <w:szCs w:val="20"/>
        </w:rPr>
      </w:pPr>
      <w:r>
        <w:rPr>
          <w:sz w:val="20"/>
          <w:szCs w:val="20"/>
        </w:rPr>
        <w:t>In the event of death, the inability to continue employment because of permanent disability, or a termination without cause or a good reason resignation unconnected to a change of control event, aw</w:t>
      </w:r>
      <w:r>
        <w:rPr>
          <w:sz w:val="20"/>
          <w:szCs w:val="20"/>
        </w:rPr>
        <w:t>ards will vest in accordance with the normal vesting schedule and will be subject to the same requirements as awards held by individuals still employed by us and will be subject to the same risks as awards held by all other participants</w:t>
      </w:r>
      <w:r>
        <w:rPr>
          <w:sz w:val="20"/>
          <w:szCs w:val="20"/>
        </w:rPr>
        <w:t>.</w:t>
      </w:r>
    </w:p>
    <w:p w14:paraId="7C3E4261" w14:textId="77777777" w:rsidR="00000000" w:rsidRDefault="00832D71">
      <w:pPr>
        <w:jc w:val="both"/>
        <w:divId w:val="1427463454"/>
        <w:rPr>
          <w:rFonts w:eastAsia="Times New Roman"/>
        </w:rPr>
      </w:pPr>
      <w:r>
        <w:rPr>
          <w:rFonts w:eastAsia="Times New Roman"/>
          <w:sz w:val="20"/>
          <w:szCs w:val="20"/>
        </w:rPr>
        <w:t>(6</w:t>
      </w:r>
      <w:r>
        <w:rPr>
          <w:rFonts w:eastAsia="Times New Roman"/>
          <w:sz w:val="20"/>
          <w:szCs w:val="20"/>
        </w:rPr>
        <w:t>)</w:t>
      </w:r>
    </w:p>
    <w:p w14:paraId="7B857FC4" w14:textId="77777777" w:rsidR="00000000" w:rsidRDefault="00832D71">
      <w:pPr>
        <w:jc w:val="both"/>
        <w:divId w:val="1471483497"/>
        <w:rPr>
          <w:rFonts w:eastAsia="Times New Roman"/>
        </w:rPr>
      </w:pPr>
      <w:r>
        <w:rPr>
          <w:rFonts w:eastAsia="Times New Roman"/>
          <w:sz w:val="20"/>
          <w:szCs w:val="20"/>
        </w:rPr>
        <w:t>The Restricted Unit Plans provide for the vesting of all unvested awards held by a participant at the time of his or her death or at the time he or she becomes permanently disabled the units shall vest six months and one day following the participant’s dat</w:t>
      </w:r>
      <w:r>
        <w:rPr>
          <w:rFonts w:eastAsia="Times New Roman"/>
          <w:sz w:val="20"/>
          <w:szCs w:val="20"/>
        </w:rPr>
        <w:t>e of death or the date on which his or her employment was terminated as a result of the disability.</w:t>
      </w:r>
      <w:r>
        <w:rPr>
          <w:rFonts w:eastAsia="Times New Roman"/>
          <w:sz w:val="20"/>
          <w:szCs w:val="20"/>
        </w:rPr>
        <w:t xml:space="preserve"> </w:t>
      </w:r>
    </w:p>
    <w:p w14:paraId="4B837E36" w14:textId="77777777" w:rsidR="00000000" w:rsidRDefault="00832D71">
      <w:pPr>
        <w:pStyle w:val="a3"/>
        <w:spacing w:before="120" w:beforeAutospacing="0" w:after="0" w:afterAutospacing="0"/>
        <w:ind w:left="476"/>
        <w:jc w:val="both"/>
        <w:rPr>
          <w:sz w:val="20"/>
          <w:szCs w:val="20"/>
        </w:rPr>
      </w:pPr>
      <w:r>
        <w:rPr>
          <w:sz w:val="20"/>
          <w:szCs w:val="20"/>
        </w:rPr>
        <w:t>Under circumstances unrelated to a change of control, if a Restricted Unit Plan award recipient’s employment is terminated without cause or he or she resig</w:t>
      </w:r>
      <w:r>
        <w:rPr>
          <w:sz w:val="20"/>
          <w:szCs w:val="20"/>
        </w:rPr>
        <w:t>ns for good reason, any restricted unit awards held by such recipient will be forfeited. Because some of Mr. Boyd’s, Mr. Brinkworth’s and Mr. Scanlon’s unvested awards were subject to the retirement provisions on the last day of fiscal 2022, if Mr. Boyd, M</w:t>
      </w:r>
      <w:r>
        <w:rPr>
          <w:sz w:val="20"/>
          <w:szCs w:val="20"/>
        </w:rPr>
        <w:t xml:space="preserve">r. Brinkworth or Mr. Scanlon had been terminated without cause on September 24, 2022, 40,624 of Mr. Boyd’s, 37,915 of Mr. Brinkworth’s and 37,565 of Mr. Scanlon’s awards would have vested in accordance with the retirement provisions of the Restricted Unit </w:t>
      </w:r>
      <w:r>
        <w:rPr>
          <w:sz w:val="20"/>
          <w:szCs w:val="20"/>
        </w:rPr>
        <w:t>Plans</w:t>
      </w:r>
      <w:r>
        <w:rPr>
          <w:sz w:val="20"/>
          <w:szCs w:val="20"/>
        </w:rPr>
        <w:t>.</w:t>
      </w:r>
    </w:p>
    <w:p w14:paraId="0E8DA8C6" w14:textId="77777777" w:rsidR="00000000" w:rsidRDefault="00832D71">
      <w:pPr>
        <w:pStyle w:val="a3"/>
        <w:spacing w:before="120" w:beforeAutospacing="0" w:after="0" w:afterAutospacing="0"/>
        <w:ind w:left="476"/>
        <w:jc w:val="both"/>
        <w:rPr>
          <w:sz w:val="20"/>
          <w:szCs w:val="20"/>
        </w:rPr>
      </w:pPr>
      <w:r>
        <w:rPr>
          <w:sz w:val="20"/>
          <w:szCs w:val="20"/>
        </w:rPr>
        <w:t>In the event of a change of control, as defined in the 2018 Restricted Unit Plan document, all unvested RUP awards will vest immediately on the date the change of control is consummated, regardless of the holding period and regardless of whether the</w:t>
      </w:r>
      <w:r>
        <w:rPr>
          <w:sz w:val="20"/>
          <w:szCs w:val="20"/>
        </w:rPr>
        <w:t xml:space="preserve"> recipient’s employment is terminated</w:t>
      </w:r>
      <w:r>
        <w:rPr>
          <w:sz w:val="20"/>
          <w:szCs w:val="20"/>
        </w:rPr>
        <w:t>.</w:t>
      </w:r>
      <w:r>
        <w:rPr>
          <w:sz w:val="20"/>
          <w:szCs w:val="20"/>
        </w:rPr>
        <w:t xml:space="preserve"> </w:t>
      </w:r>
    </w:p>
    <w:p w14:paraId="6B906E85" w14:textId="77777777" w:rsidR="00000000" w:rsidRDefault="00832D71">
      <w:pPr>
        <w:pStyle w:val="a3"/>
        <w:spacing w:before="360" w:beforeAutospacing="0" w:after="0" w:afterAutospacing="0"/>
        <w:jc w:val="both"/>
        <w:rPr>
          <w:sz w:val="20"/>
          <w:szCs w:val="20"/>
        </w:rPr>
      </w:pPr>
      <w:r>
        <w:rPr>
          <w:b/>
          <w:bCs/>
          <w:sz w:val="20"/>
          <w:szCs w:val="20"/>
        </w:rPr>
        <w:t>CEO PAY RATI</w:t>
      </w:r>
      <w:r>
        <w:rPr>
          <w:b/>
          <w:bCs/>
          <w:sz w:val="20"/>
          <w:szCs w:val="20"/>
        </w:rPr>
        <w:t>O</w:t>
      </w:r>
    </w:p>
    <w:p w14:paraId="1EECE62B" w14:textId="77777777" w:rsidR="00000000" w:rsidRDefault="00832D71">
      <w:pPr>
        <w:pStyle w:val="a3"/>
        <w:spacing w:before="120" w:beforeAutospacing="0" w:after="0" w:afterAutospacing="0"/>
        <w:ind w:firstLine="555"/>
        <w:jc w:val="both"/>
        <w:rPr>
          <w:sz w:val="20"/>
          <w:szCs w:val="20"/>
        </w:rPr>
      </w:pPr>
      <w:r>
        <w:rPr>
          <w:sz w:val="20"/>
          <w:szCs w:val="20"/>
        </w:rPr>
        <w:t>As required by Section 953(b) of the Dodd-Frank Wall Street Reform and Consumer Protection Act, and SEC rules, we are providing the following information about the relationship of the annual total compe</w:t>
      </w:r>
      <w:r>
        <w:rPr>
          <w:sz w:val="20"/>
          <w:szCs w:val="20"/>
        </w:rPr>
        <w:t>nsation of our employees and the annual total compensation of Mr. Stivala, our President and Chief Executive Officer (the “CEO)</w:t>
      </w:r>
      <w:r>
        <w:rPr>
          <w:sz w:val="20"/>
          <w:szCs w:val="20"/>
        </w:rPr>
        <w:t>:</w:t>
      </w:r>
    </w:p>
    <w:p w14:paraId="0146D139" w14:textId="77777777" w:rsidR="00000000" w:rsidRDefault="00832D71">
      <w:pPr>
        <w:pStyle w:val="a3"/>
        <w:spacing w:before="240" w:beforeAutospacing="0" w:after="0" w:afterAutospacing="0"/>
        <w:ind w:firstLine="555"/>
        <w:jc w:val="both"/>
        <w:rPr>
          <w:sz w:val="20"/>
          <w:szCs w:val="20"/>
        </w:rPr>
      </w:pPr>
      <w:r>
        <w:rPr>
          <w:sz w:val="20"/>
          <w:szCs w:val="20"/>
        </w:rPr>
        <w:t>For fiscal 2022, our last completed fiscal year</w:t>
      </w:r>
      <w:r>
        <w:rPr>
          <w:sz w:val="20"/>
          <w:szCs w:val="20"/>
        </w:rPr>
        <w:t>:</w:t>
      </w:r>
    </w:p>
    <w:p w14:paraId="14D523C5" w14:textId="77777777" w:rsidR="00000000" w:rsidRDefault="00832D71">
      <w:pPr>
        <w:jc w:val="both"/>
        <w:divId w:val="303513231"/>
        <w:rPr>
          <w:rFonts w:eastAsia="Times New Roman"/>
        </w:rPr>
      </w:pPr>
      <w:r>
        <w:rPr>
          <w:rFonts w:eastAsia="Times New Roman"/>
          <w:sz w:val="20"/>
          <w:szCs w:val="20"/>
        </w:rPr>
        <w:t>•</w:t>
      </w:r>
    </w:p>
    <w:p w14:paraId="4FC9E88D" w14:textId="77777777" w:rsidR="00000000" w:rsidRDefault="00832D71">
      <w:pPr>
        <w:jc w:val="both"/>
        <w:divId w:val="1906407132"/>
        <w:rPr>
          <w:rFonts w:eastAsia="Times New Roman"/>
        </w:rPr>
      </w:pPr>
      <w:r>
        <w:rPr>
          <w:rFonts w:eastAsia="Times New Roman"/>
          <w:sz w:val="20"/>
          <w:szCs w:val="20"/>
        </w:rPr>
        <w:t>the annual total compensation of the employee identified at median of our co</w:t>
      </w:r>
      <w:r>
        <w:rPr>
          <w:rFonts w:eastAsia="Times New Roman"/>
          <w:sz w:val="20"/>
          <w:szCs w:val="20"/>
        </w:rPr>
        <w:t>mpany (other than our CEO), was $61,290; an</w:t>
      </w:r>
      <w:r>
        <w:rPr>
          <w:rFonts w:eastAsia="Times New Roman"/>
          <w:sz w:val="20"/>
          <w:szCs w:val="20"/>
        </w:rPr>
        <w:t>d</w:t>
      </w:r>
    </w:p>
    <w:p w14:paraId="0FEB401B" w14:textId="77777777" w:rsidR="00000000" w:rsidRDefault="00832D71">
      <w:pPr>
        <w:jc w:val="both"/>
        <w:divId w:val="1687555402"/>
        <w:rPr>
          <w:rFonts w:eastAsia="Times New Roman"/>
        </w:rPr>
      </w:pPr>
      <w:r>
        <w:rPr>
          <w:rFonts w:eastAsia="Times New Roman"/>
          <w:sz w:val="20"/>
          <w:szCs w:val="20"/>
        </w:rPr>
        <w:t>•</w:t>
      </w:r>
    </w:p>
    <w:p w14:paraId="4F07038E" w14:textId="77777777" w:rsidR="00000000" w:rsidRDefault="00832D71">
      <w:pPr>
        <w:jc w:val="both"/>
        <w:divId w:val="324627503"/>
        <w:rPr>
          <w:rFonts w:eastAsia="Times New Roman"/>
        </w:rPr>
      </w:pPr>
      <w:r>
        <w:rPr>
          <w:rFonts w:eastAsia="Times New Roman"/>
          <w:sz w:val="20"/>
          <w:szCs w:val="20"/>
        </w:rPr>
        <w:t>the annual total compensation of the CEO for purposes of determining the CEO Pay Ratio was $3,960,001</w:t>
      </w:r>
      <w:r>
        <w:rPr>
          <w:rFonts w:eastAsia="Times New Roman"/>
          <w:sz w:val="20"/>
          <w:szCs w:val="20"/>
        </w:rPr>
        <w:t>.</w:t>
      </w:r>
    </w:p>
    <w:p w14:paraId="5B203DD2" w14:textId="77777777" w:rsidR="00000000" w:rsidRDefault="00832D71">
      <w:pPr>
        <w:pStyle w:val="a3"/>
        <w:spacing w:before="240" w:beforeAutospacing="0" w:after="0" w:afterAutospacing="0"/>
        <w:ind w:firstLine="555"/>
        <w:jc w:val="both"/>
        <w:rPr>
          <w:sz w:val="20"/>
          <w:szCs w:val="20"/>
        </w:rPr>
      </w:pPr>
      <w:r>
        <w:rPr>
          <w:sz w:val="20"/>
          <w:szCs w:val="20"/>
        </w:rPr>
        <w:t>Based on this information, for fiscal 2022, the ratio of the annual total compensation of Mr. Stivala, our President and Chief Executive Officer, to the median of the annual total compensation of all employees was estimated to be 65 to 1</w:t>
      </w:r>
      <w:r>
        <w:rPr>
          <w:sz w:val="20"/>
          <w:szCs w:val="20"/>
        </w:rPr>
        <w:t>.</w:t>
      </w:r>
    </w:p>
    <w:p w14:paraId="7EF075F4" w14:textId="77777777" w:rsidR="00000000" w:rsidRDefault="00832D71">
      <w:pPr>
        <w:pStyle w:val="a3"/>
        <w:spacing w:before="240" w:beforeAutospacing="0" w:after="0" w:afterAutospacing="0"/>
        <w:ind w:firstLine="555"/>
        <w:jc w:val="both"/>
        <w:rPr>
          <w:sz w:val="20"/>
          <w:szCs w:val="20"/>
        </w:rPr>
      </w:pPr>
      <w:r>
        <w:rPr>
          <w:sz w:val="20"/>
          <w:szCs w:val="20"/>
        </w:rPr>
        <w:t>This pay ratio is</w:t>
      </w:r>
      <w:r>
        <w:rPr>
          <w:sz w:val="20"/>
          <w:szCs w:val="20"/>
        </w:rPr>
        <w:t xml:space="preserve"> a reasonable estimate calculated in a manner consistent with Item 402(u) of Regulation S-K based on our payroll and employment records and the methodology described below. The SEC rules for identifying the median compensated employee and calculating the p</w:t>
      </w:r>
      <w:r>
        <w:rPr>
          <w:sz w:val="20"/>
          <w:szCs w:val="20"/>
        </w:rPr>
        <w:t>ay ratio based on that employee’s annual total compensation allow companies to adopt a variety of methodologies, to apply certain exclusions, and to make reasonable estimates and assumptions that reflect their compensation practices. As such, the pay ratio</w:t>
      </w:r>
      <w:r>
        <w:rPr>
          <w:sz w:val="20"/>
          <w:szCs w:val="20"/>
        </w:rPr>
        <w:t xml:space="preserve"> reported by other companies may not be comparable to the pay ratio reported above, as other companies may have differen</w:t>
      </w:r>
      <w:r>
        <w:rPr>
          <w:sz w:val="20"/>
          <w:szCs w:val="20"/>
        </w:rPr>
        <w:t>t</w:t>
      </w:r>
      <w:r>
        <w:rPr>
          <w:sz w:val="20"/>
          <w:szCs w:val="20"/>
        </w:rPr>
        <w:t xml:space="preserve"> </w:t>
      </w:r>
    </w:p>
    <w:p w14:paraId="69EA1B95" w14:textId="77777777" w:rsidR="00000000" w:rsidRDefault="00832D71">
      <w:pPr>
        <w:pStyle w:val="a3"/>
        <w:spacing w:before="0" w:beforeAutospacing="0" w:after="0" w:afterAutospacing="0"/>
        <w:jc w:val="center"/>
        <w:rPr>
          <w:sz w:val="20"/>
          <w:szCs w:val="20"/>
        </w:rPr>
      </w:pPr>
      <w:r>
        <w:rPr>
          <w:sz w:val="20"/>
          <w:szCs w:val="20"/>
        </w:rPr>
        <w:t> </w:t>
      </w:r>
    </w:p>
    <w:p w14:paraId="55310C67" w14:textId="77777777" w:rsidR="00000000" w:rsidRDefault="00832D71">
      <w:pPr>
        <w:pStyle w:val="a3"/>
        <w:spacing w:before="0" w:beforeAutospacing="0" w:after="0" w:afterAutospacing="0"/>
        <w:jc w:val="center"/>
        <w:rPr>
          <w:sz w:val="20"/>
          <w:szCs w:val="20"/>
        </w:rPr>
      </w:pPr>
      <w:r>
        <w:rPr>
          <w:sz w:val="20"/>
          <w:szCs w:val="20"/>
        </w:rPr>
        <w:t>8</w:t>
      </w:r>
      <w:r>
        <w:rPr>
          <w:sz w:val="20"/>
          <w:szCs w:val="20"/>
        </w:rPr>
        <w:t>2</w:t>
      </w:r>
    </w:p>
    <w:p w14:paraId="55B5AD20" w14:textId="77777777" w:rsidR="00000000" w:rsidRDefault="00832D71">
      <w:pPr>
        <w:rPr>
          <w:rFonts w:eastAsia="Times New Roman"/>
        </w:rPr>
      </w:pPr>
      <w:r>
        <w:rPr>
          <w:rFonts w:eastAsia="Times New Roman"/>
        </w:rPr>
        <w:pict w14:anchorId="55CC37E4">
          <v:rect id="_x0000_i1109" style="width:0;height:1.5pt" o:hralign="center" o:hrstd="t" o:hr="t" fillcolor="#a0a0a0" stroked="f"/>
        </w:pict>
      </w:r>
    </w:p>
    <w:p w14:paraId="35BF7912"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0D947638" w14:textId="77777777" w:rsidR="00000000" w:rsidRDefault="00832D71">
      <w:pPr>
        <w:pStyle w:val="a3"/>
        <w:spacing w:before="240" w:beforeAutospacing="0" w:after="0" w:afterAutospacing="0"/>
        <w:jc w:val="both"/>
        <w:rPr>
          <w:sz w:val="20"/>
          <w:szCs w:val="20"/>
        </w:rPr>
      </w:pPr>
      <w:r>
        <w:rPr>
          <w:sz w:val="20"/>
          <w:szCs w:val="20"/>
        </w:rPr>
        <w:t>employment and compensation practi</w:t>
      </w:r>
      <w:r>
        <w:rPr>
          <w:sz w:val="20"/>
          <w:szCs w:val="20"/>
        </w:rPr>
        <w:t>ces and may utilize different methodologies, exclusions, estimates and assumptions in calculating their own pay ratios</w:t>
      </w:r>
      <w:r>
        <w:rPr>
          <w:sz w:val="20"/>
          <w:szCs w:val="20"/>
        </w:rPr>
        <w:t>.</w:t>
      </w:r>
    </w:p>
    <w:p w14:paraId="1387EB2F" w14:textId="77777777" w:rsidR="00000000" w:rsidRDefault="00832D71">
      <w:pPr>
        <w:pStyle w:val="a3"/>
        <w:spacing w:before="240" w:beforeAutospacing="0" w:after="0" w:afterAutospacing="0"/>
        <w:ind w:firstLine="555"/>
        <w:jc w:val="both"/>
        <w:rPr>
          <w:sz w:val="20"/>
          <w:szCs w:val="20"/>
        </w:rPr>
      </w:pPr>
      <w:r>
        <w:rPr>
          <w:sz w:val="20"/>
          <w:szCs w:val="20"/>
        </w:rPr>
        <w:t>To identify the median of the annual total compensation of all our employees, as well as to determine the annual total compensation of t</w:t>
      </w:r>
      <w:r>
        <w:rPr>
          <w:sz w:val="20"/>
          <w:szCs w:val="20"/>
        </w:rPr>
        <w:t>he “median employee,” the methodology and the material assumptions, adjustments, and estimates that we used were as follows</w:t>
      </w:r>
      <w:r>
        <w:rPr>
          <w:sz w:val="20"/>
          <w:szCs w:val="20"/>
        </w:rPr>
        <w:t>:</w:t>
      </w:r>
    </w:p>
    <w:p w14:paraId="60561D53" w14:textId="77777777" w:rsidR="00000000" w:rsidRDefault="00832D71">
      <w:pPr>
        <w:pStyle w:val="a3"/>
        <w:spacing w:before="240" w:beforeAutospacing="0" w:after="0" w:afterAutospacing="0"/>
        <w:ind w:firstLine="555"/>
        <w:jc w:val="both"/>
        <w:rPr>
          <w:sz w:val="20"/>
          <w:szCs w:val="20"/>
        </w:rPr>
      </w:pPr>
      <w:r>
        <w:rPr>
          <w:sz w:val="20"/>
          <w:szCs w:val="20"/>
        </w:rPr>
        <w:t>We determined that, as of August 15, 2022, our employee population consisted of approximately 3,306 individuals. We selected August</w:t>
      </w:r>
      <w:r>
        <w:rPr>
          <w:sz w:val="20"/>
          <w:szCs w:val="20"/>
        </w:rPr>
        <w:t xml:space="preserve"> 15, 2022, which is within the last three months of fiscal 2022, as the date upon which we would identify the “median employee” to allow sufficient time to identify the median employee</w:t>
      </w:r>
      <w:r>
        <w:rPr>
          <w:sz w:val="20"/>
          <w:szCs w:val="20"/>
        </w:rPr>
        <w:t>.</w:t>
      </w:r>
    </w:p>
    <w:p w14:paraId="62AFDC48" w14:textId="77777777" w:rsidR="00000000" w:rsidRDefault="00832D71">
      <w:pPr>
        <w:pStyle w:val="a3"/>
        <w:spacing w:before="240" w:beforeAutospacing="0" w:after="0" w:afterAutospacing="0"/>
        <w:ind w:firstLine="555"/>
        <w:jc w:val="both"/>
        <w:rPr>
          <w:sz w:val="20"/>
          <w:szCs w:val="20"/>
        </w:rPr>
      </w:pPr>
      <w:r>
        <w:rPr>
          <w:sz w:val="20"/>
          <w:szCs w:val="20"/>
        </w:rPr>
        <w:t>To identify the “median employee” from our employee population, we col</w:t>
      </w:r>
      <w:r>
        <w:rPr>
          <w:sz w:val="20"/>
          <w:szCs w:val="20"/>
        </w:rPr>
        <w:t>lected all W-2 wages paid to each employee during the twelve-month period ending on August 15, 2022. This included each employee’s actual base salary and any overtime, any cash bonuses, the value of any Restricted Unit Plan awards that vested during the pe</w:t>
      </w:r>
      <w:r>
        <w:rPr>
          <w:sz w:val="20"/>
          <w:szCs w:val="20"/>
        </w:rPr>
        <w:t>riod, and any other miscellaneous forms of W-2-related compensation added to our employees’ earnings record during the period. In making this determination, we annualized the salaries of all newly hired permanent employees during this period</w:t>
      </w:r>
      <w:r>
        <w:rPr>
          <w:sz w:val="20"/>
          <w:szCs w:val="20"/>
        </w:rPr>
        <w:t>.</w:t>
      </w:r>
    </w:p>
    <w:p w14:paraId="0FA29BEA" w14:textId="77777777" w:rsidR="00000000" w:rsidRDefault="00832D71">
      <w:pPr>
        <w:pStyle w:val="a3"/>
        <w:spacing w:before="240" w:beforeAutospacing="0" w:after="0" w:afterAutospacing="0"/>
        <w:ind w:firstLine="555"/>
        <w:jc w:val="both"/>
        <w:rPr>
          <w:sz w:val="20"/>
          <w:szCs w:val="20"/>
        </w:rPr>
      </w:pPr>
      <w:r>
        <w:rPr>
          <w:sz w:val="20"/>
          <w:szCs w:val="20"/>
        </w:rPr>
        <w:t>After we iden</w:t>
      </w:r>
      <w:r>
        <w:rPr>
          <w:sz w:val="20"/>
          <w:szCs w:val="20"/>
        </w:rPr>
        <w:t>tified our median employee, we calculated such employee’s annual total compensation for fiscal 2022 utilizing the same methodology used to determine the CEO’s compensation, resulting in annual total compensation of $61,290</w:t>
      </w:r>
      <w:r>
        <w:rPr>
          <w:sz w:val="20"/>
          <w:szCs w:val="20"/>
        </w:rPr>
        <w:t>.</w:t>
      </w:r>
    </w:p>
    <w:p w14:paraId="6C4406BE" w14:textId="77777777" w:rsidR="00000000" w:rsidRDefault="00832D71">
      <w:pPr>
        <w:pStyle w:val="a3"/>
        <w:spacing w:before="0" w:beforeAutospacing="0" w:after="0" w:afterAutospacing="0"/>
        <w:jc w:val="both"/>
        <w:rPr>
          <w:sz w:val="20"/>
          <w:szCs w:val="20"/>
        </w:rPr>
      </w:pPr>
      <w:r>
        <w:rPr>
          <w:sz w:val="20"/>
          <w:szCs w:val="20"/>
        </w:rPr>
        <w:t> </w:t>
      </w:r>
    </w:p>
    <w:p w14:paraId="08C3A3B5" w14:textId="77777777" w:rsidR="00000000" w:rsidRDefault="00832D71">
      <w:pPr>
        <w:pStyle w:val="a3"/>
        <w:spacing w:before="160" w:beforeAutospacing="0" w:after="0" w:afterAutospacing="0"/>
        <w:jc w:val="both"/>
        <w:rPr>
          <w:sz w:val="20"/>
          <w:szCs w:val="20"/>
        </w:rPr>
      </w:pPr>
      <w:r>
        <w:rPr>
          <w:b/>
          <w:bCs/>
          <w:sz w:val="20"/>
          <w:szCs w:val="20"/>
        </w:rPr>
        <w:t>SUPERVISORS’ COMPENSATIO</w:t>
      </w:r>
      <w:r>
        <w:rPr>
          <w:b/>
          <w:bCs/>
          <w:sz w:val="20"/>
          <w:szCs w:val="20"/>
        </w:rPr>
        <w:t>N</w:t>
      </w:r>
    </w:p>
    <w:p w14:paraId="546C13D2" w14:textId="77777777" w:rsidR="00000000" w:rsidRDefault="00832D71">
      <w:pPr>
        <w:pStyle w:val="a3"/>
        <w:spacing w:before="120" w:beforeAutospacing="0" w:after="0" w:afterAutospacing="0"/>
        <w:ind w:firstLine="555"/>
        <w:jc w:val="both"/>
        <w:rPr>
          <w:sz w:val="20"/>
          <w:szCs w:val="20"/>
        </w:rPr>
      </w:pPr>
      <w:r>
        <w:rPr>
          <w:sz w:val="20"/>
          <w:szCs w:val="20"/>
        </w:rPr>
        <w:t xml:space="preserve">The </w:t>
      </w:r>
      <w:r>
        <w:rPr>
          <w:sz w:val="20"/>
          <w:szCs w:val="20"/>
        </w:rPr>
        <w:t>following table sets forth the compensation of the non-employee members of the Board of Supervisors of the Partnership during fiscal 2022</w:t>
      </w:r>
      <w:r>
        <w:rPr>
          <w:sz w:val="20"/>
          <w:szCs w:val="20"/>
        </w:rPr>
        <w:t>.</w:t>
      </w:r>
    </w:p>
    <w:p w14:paraId="51413A8D" w14:textId="77777777" w:rsidR="00000000" w:rsidRDefault="00832D71">
      <w:pPr>
        <w:pStyle w:val="a3"/>
        <w:spacing w:before="0" w:beforeAutospacing="0" w:after="0" w:afterAutospacing="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258"/>
        <w:gridCol w:w="110"/>
        <w:gridCol w:w="160"/>
        <w:gridCol w:w="710"/>
        <w:gridCol w:w="110"/>
        <w:gridCol w:w="110"/>
        <w:gridCol w:w="160"/>
        <w:gridCol w:w="812"/>
        <w:gridCol w:w="110"/>
        <w:gridCol w:w="110"/>
        <w:gridCol w:w="160"/>
        <w:gridCol w:w="710"/>
        <w:gridCol w:w="125"/>
      </w:tblGrid>
      <w:tr w:rsidR="00000000" w14:paraId="0DE42516" w14:textId="77777777">
        <w:trPr>
          <w:tblCellSpacing w:w="15" w:type="dxa"/>
        </w:trPr>
        <w:tc>
          <w:tcPr>
            <w:tcW w:w="2672" w:type="pct"/>
            <w:vAlign w:val="center"/>
            <w:hideMark/>
          </w:tcPr>
          <w:p w14:paraId="4E701634" w14:textId="77777777" w:rsidR="00000000" w:rsidRDefault="00832D71">
            <w:pPr>
              <w:rPr>
                <w:sz w:val="20"/>
                <w:szCs w:val="20"/>
              </w:rPr>
            </w:pPr>
          </w:p>
        </w:tc>
        <w:tc>
          <w:tcPr>
            <w:tcW w:w="90" w:type="pct"/>
            <w:vAlign w:val="center"/>
            <w:hideMark/>
          </w:tcPr>
          <w:p w14:paraId="3D10A0B5" w14:textId="77777777" w:rsidR="00000000" w:rsidRDefault="00832D71">
            <w:pPr>
              <w:rPr>
                <w:rFonts w:eastAsia="Times New Roman"/>
                <w:sz w:val="20"/>
                <w:szCs w:val="20"/>
              </w:rPr>
            </w:pPr>
          </w:p>
        </w:tc>
        <w:tc>
          <w:tcPr>
            <w:tcW w:w="50" w:type="pct"/>
            <w:vAlign w:val="center"/>
            <w:hideMark/>
          </w:tcPr>
          <w:p w14:paraId="41F21519" w14:textId="77777777" w:rsidR="00000000" w:rsidRDefault="00832D71">
            <w:pPr>
              <w:rPr>
                <w:rFonts w:eastAsia="Times New Roman"/>
                <w:sz w:val="20"/>
                <w:szCs w:val="20"/>
              </w:rPr>
            </w:pPr>
          </w:p>
        </w:tc>
        <w:tc>
          <w:tcPr>
            <w:tcW w:w="473" w:type="pct"/>
            <w:vAlign w:val="center"/>
            <w:hideMark/>
          </w:tcPr>
          <w:p w14:paraId="7F2035A6" w14:textId="77777777" w:rsidR="00000000" w:rsidRDefault="00832D71">
            <w:pPr>
              <w:rPr>
                <w:rFonts w:eastAsia="Times New Roman"/>
                <w:sz w:val="20"/>
                <w:szCs w:val="20"/>
              </w:rPr>
            </w:pPr>
          </w:p>
        </w:tc>
        <w:tc>
          <w:tcPr>
            <w:tcW w:w="50" w:type="pct"/>
            <w:vAlign w:val="center"/>
            <w:hideMark/>
          </w:tcPr>
          <w:p w14:paraId="11B70BC8" w14:textId="77777777" w:rsidR="00000000" w:rsidRDefault="00832D71">
            <w:pPr>
              <w:rPr>
                <w:rFonts w:eastAsia="Times New Roman"/>
                <w:sz w:val="20"/>
                <w:szCs w:val="20"/>
              </w:rPr>
            </w:pPr>
          </w:p>
        </w:tc>
        <w:tc>
          <w:tcPr>
            <w:tcW w:w="90" w:type="pct"/>
            <w:vAlign w:val="center"/>
            <w:hideMark/>
          </w:tcPr>
          <w:p w14:paraId="364BAF7B" w14:textId="77777777" w:rsidR="00000000" w:rsidRDefault="00832D71">
            <w:pPr>
              <w:rPr>
                <w:rFonts w:eastAsia="Times New Roman"/>
                <w:sz w:val="20"/>
                <w:szCs w:val="20"/>
              </w:rPr>
            </w:pPr>
          </w:p>
        </w:tc>
        <w:tc>
          <w:tcPr>
            <w:tcW w:w="50" w:type="pct"/>
            <w:vAlign w:val="center"/>
            <w:hideMark/>
          </w:tcPr>
          <w:p w14:paraId="1097C187" w14:textId="77777777" w:rsidR="00000000" w:rsidRDefault="00832D71">
            <w:pPr>
              <w:rPr>
                <w:rFonts w:eastAsia="Times New Roman"/>
                <w:sz w:val="20"/>
                <w:szCs w:val="20"/>
              </w:rPr>
            </w:pPr>
          </w:p>
        </w:tc>
        <w:tc>
          <w:tcPr>
            <w:tcW w:w="810" w:type="pct"/>
            <w:vAlign w:val="center"/>
            <w:hideMark/>
          </w:tcPr>
          <w:p w14:paraId="28E8023B" w14:textId="77777777" w:rsidR="00000000" w:rsidRDefault="00832D71">
            <w:pPr>
              <w:rPr>
                <w:rFonts w:eastAsia="Times New Roman"/>
                <w:sz w:val="20"/>
                <w:szCs w:val="20"/>
              </w:rPr>
            </w:pPr>
          </w:p>
        </w:tc>
        <w:tc>
          <w:tcPr>
            <w:tcW w:w="50" w:type="pct"/>
            <w:vAlign w:val="center"/>
            <w:hideMark/>
          </w:tcPr>
          <w:p w14:paraId="67AA4F06" w14:textId="77777777" w:rsidR="00000000" w:rsidRDefault="00832D71">
            <w:pPr>
              <w:rPr>
                <w:rFonts w:eastAsia="Times New Roman"/>
                <w:sz w:val="20"/>
                <w:szCs w:val="20"/>
              </w:rPr>
            </w:pPr>
          </w:p>
        </w:tc>
        <w:tc>
          <w:tcPr>
            <w:tcW w:w="90" w:type="pct"/>
            <w:vAlign w:val="center"/>
            <w:hideMark/>
          </w:tcPr>
          <w:p w14:paraId="0BA67EDC" w14:textId="77777777" w:rsidR="00000000" w:rsidRDefault="00832D71">
            <w:pPr>
              <w:rPr>
                <w:rFonts w:eastAsia="Times New Roman"/>
                <w:sz w:val="20"/>
                <w:szCs w:val="20"/>
              </w:rPr>
            </w:pPr>
          </w:p>
        </w:tc>
        <w:tc>
          <w:tcPr>
            <w:tcW w:w="50" w:type="pct"/>
            <w:vAlign w:val="center"/>
            <w:hideMark/>
          </w:tcPr>
          <w:p w14:paraId="0D5D840F" w14:textId="77777777" w:rsidR="00000000" w:rsidRDefault="00832D71">
            <w:pPr>
              <w:rPr>
                <w:rFonts w:eastAsia="Times New Roman"/>
                <w:sz w:val="20"/>
                <w:szCs w:val="20"/>
              </w:rPr>
            </w:pPr>
          </w:p>
        </w:tc>
        <w:tc>
          <w:tcPr>
            <w:tcW w:w="472" w:type="pct"/>
            <w:vAlign w:val="center"/>
            <w:hideMark/>
          </w:tcPr>
          <w:p w14:paraId="579FE786" w14:textId="77777777" w:rsidR="00000000" w:rsidRDefault="00832D71">
            <w:pPr>
              <w:rPr>
                <w:rFonts w:eastAsia="Times New Roman"/>
                <w:sz w:val="20"/>
                <w:szCs w:val="20"/>
              </w:rPr>
            </w:pPr>
          </w:p>
        </w:tc>
        <w:tc>
          <w:tcPr>
            <w:tcW w:w="50" w:type="pct"/>
            <w:vAlign w:val="center"/>
            <w:hideMark/>
          </w:tcPr>
          <w:p w14:paraId="2C81E2BD" w14:textId="77777777" w:rsidR="00000000" w:rsidRDefault="00832D71">
            <w:pPr>
              <w:rPr>
                <w:rFonts w:eastAsia="Times New Roman"/>
                <w:sz w:val="20"/>
                <w:szCs w:val="20"/>
              </w:rPr>
            </w:pPr>
          </w:p>
        </w:tc>
      </w:tr>
      <w:tr w:rsidR="00000000" w14:paraId="6949586C" w14:textId="77777777">
        <w:trPr>
          <w:trHeight w:val="160"/>
          <w:tblCellSpacing w:w="15" w:type="dxa"/>
        </w:trPr>
        <w:tc>
          <w:tcPr>
            <w:tcW w:w="0" w:type="auto"/>
            <w:vAlign w:val="bottom"/>
            <w:hideMark/>
          </w:tcPr>
          <w:p w14:paraId="046F67DB" w14:textId="77777777" w:rsidR="00000000" w:rsidRDefault="00832D71">
            <w:pPr>
              <w:pStyle w:val="a3"/>
              <w:spacing w:before="0" w:beforeAutospacing="0" w:after="0" w:afterAutospacing="0"/>
              <w:jc w:val="center"/>
              <w:rPr>
                <w:sz w:val="16"/>
                <w:szCs w:val="16"/>
              </w:rPr>
            </w:pPr>
            <w:r>
              <w:rPr>
                <w:b/>
                <w:bCs/>
                <w:sz w:val="16"/>
                <w:szCs w:val="16"/>
              </w:rPr>
              <w:t>Superviso</w:t>
            </w:r>
            <w:r>
              <w:rPr>
                <w:b/>
                <w:bCs/>
                <w:sz w:val="16"/>
                <w:szCs w:val="16"/>
              </w:rPr>
              <w:t>r</w:t>
            </w:r>
          </w:p>
        </w:tc>
        <w:tc>
          <w:tcPr>
            <w:tcW w:w="0" w:type="auto"/>
            <w:hideMark/>
          </w:tcPr>
          <w:p w14:paraId="40EFEC2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F42E1AA" w14:textId="77777777" w:rsidR="00000000" w:rsidRDefault="00832D71">
            <w:pPr>
              <w:pStyle w:val="a3"/>
              <w:spacing w:before="0" w:beforeAutospacing="0" w:after="0" w:afterAutospacing="0"/>
              <w:jc w:val="center"/>
              <w:rPr>
                <w:sz w:val="16"/>
                <w:szCs w:val="16"/>
              </w:rPr>
            </w:pPr>
            <w:r>
              <w:rPr>
                <w:b/>
                <w:bCs/>
                <w:sz w:val="16"/>
                <w:szCs w:val="16"/>
              </w:rPr>
              <w:t>Fees Earned or</w:t>
            </w:r>
            <w:r>
              <w:rPr>
                <w:b/>
                <w:bCs/>
                <w:sz w:val="16"/>
                <w:szCs w:val="16"/>
              </w:rPr>
              <w:br/>
              <w:t>Paid in Cash (1</w:t>
            </w:r>
            <w:r>
              <w:rPr>
                <w:b/>
                <w:bCs/>
                <w:sz w:val="16"/>
                <w:szCs w:val="16"/>
              </w:rPr>
              <w:t>)</w:t>
            </w:r>
          </w:p>
        </w:tc>
        <w:tc>
          <w:tcPr>
            <w:tcW w:w="0" w:type="auto"/>
            <w:vAlign w:val="bottom"/>
            <w:hideMark/>
          </w:tcPr>
          <w:p w14:paraId="53D826A0"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64EA93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2BF25DC" w14:textId="77777777" w:rsidR="00000000" w:rsidRDefault="00832D71">
            <w:pPr>
              <w:pStyle w:val="a3"/>
              <w:spacing w:before="0" w:beforeAutospacing="0" w:after="0" w:afterAutospacing="0"/>
              <w:jc w:val="center"/>
              <w:rPr>
                <w:sz w:val="16"/>
                <w:szCs w:val="16"/>
              </w:rPr>
            </w:pPr>
            <w:r>
              <w:rPr>
                <w:b/>
                <w:bCs/>
                <w:sz w:val="16"/>
                <w:szCs w:val="16"/>
              </w:rPr>
              <w:t>Unit Awards (2</w:t>
            </w:r>
            <w:r>
              <w:rPr>
                <w:b/>
                <w:bCs/>
                <w:sz w:val="16"/>
                <w:szCs w:val="16"/>
              </w:rPr>
              <w:t>)</w:t>
            </w:r>
          </w:p>
        </w:tc>
        <w:tc>
          <w:tcPr>
            <w:tcW w:w="0" w:type="auto"/>
            <w:vAlign w:val="bottom"/>
            <w:hideMark/>
          </w:tcPr>
          <w:p w14:paraId="6A1C3233"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6BEC11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F028524" w14:textId="77777777" w:rsidR="00000000" w:rsidRDefault="00832D71">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14:paraId="4EBAA499"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5D445003" w14:textId="77777777">
        <w:trPr>
          <w:trHeight w:val="200"/>
          <w:tblCellSpacing w:w="15" w:type="dxa"/>
        </w:trPr>
        <w:tc>
          <w:tcPr>
            <w:tcW w:w="0" w:type="auto"/>
            <w:hideMark/>
          </w:tcPr>
          <w:p w14:paraId="3DD21514" w14:textId="77777777" w:rsidR="00000000" w:rsidRDefault="00832D71">
            <w:pPr>
              <w:pStyle w:val="a3"/>
              <w:spacing w:before="0" w:beforeAutospacing="0" w:after="0" w:afterAutospacing="0"/>
              <w:rPr>
                <w:sz w:val="20"/>
                <w:szCs w:val="20"/>
              </w:rPr>
            </w:pPr>
            <w:r>
              <w:rPr>
                <w:sz w:val="20"/>
                <w:szCs w:val="20"/>
              </w:rPr>
              <w:t>Matthew J. Chani</w:t>
            </w:r>
            <w:r>
              <w:rPr>
                <w:sz w:val="20"/>
                <w:szCs w:val="20"/>
              </w:rPr>
              <w:t>n</w:t>
            </w:r>
          </w:p>
        </w:tc>
        <w:tc>
          <w:tcPr>
            <w:tcW w:w="0" w:type="auto"/>
            <w:hideMark/>
          </w:tcPr>
          <w:p w14:paraId="3F7F850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A1FDC9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35EBF1C" w14:textId="77777777" w:rsidR="00000000" w:rsidRDefault="00832D71">
            <w:pPr>
              <w:pStyle w:val="a3"/>
              <w:spacing w:before="0" w:beforeAutospacing="0" w:after="0" w:afterAutospacing="0"/>
              <w:jc w:val="right"/>
              <w:rPr>
                <w:sz w:val="20"/>
                <w:szCs w:val="20"/>
              </w:rPr>
            </w:pPr>
            <w:r>
              <w:rPr>
                <w:sz w:val="20"/>
                <w:szCs w:val="20"/>
              </w:rPr>
              <w:t>135,00</w:t>
            </w:r>
            <w:r>
              <w:rPr>
                <w:sz w:val="20"/>
                <w:szCs w:val="20"/>
              </w:rPr>
              <w:t>0</w:t>
            </w:r>
          </w:p>
        </w:tc>
        <w:tc>
          <w:tcPr>
            <w:tcW w:w="0" w:type="auto"/>
            <w:noWrap/>
            <w:vAlign w:val="bottom"/>
            <w:hideMark/>
          </w:tcPr>
          <w:p w14:paraId="74D673B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222AF9D"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67B7FC6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85B5B4E" w14:textId="77777777" w:rsidR="00000000" w:rsidRDefault="00832D71">
            <w:pPr>
              <w:pStyle w:val="a3"/>
              <w:spacing w:before="0" w:beforeAutospacing="0" w:after="0" w:afterAutospacing="0"/>
              <w:jc w:val="right"/>
              <w:rPr>
                <w:sz w:val="20"/>
                <w:szCs w:val="20"/>
              </w:rPr>
            </w:pPr>
            <w:r>
              <w:rPr>
                <w:sz w:val="20"/>
                <w:szCs w:val="20"/>
              </w:rPr>
              <w:t>372,12</w:t>
            </w:r>
            <w:r>
              <w:rPr>
                <w:sz w:val="20"/>
                <w:szCs w:val="20"/>
              </w:rPr>
              <w:t>4</w:t>
            </w:r>
          </w:p>
        </w:tc>
        <w:tc>
          <w:tcPr>
            <w:tcW w:w="0" w:type="auto"/>
            <w:noWrap/>
            <w:vAlign w:val="bottom"/>
            <w:hideMark/>
          </w:tcPr>
          <w:p w14:paraId="03CA8F4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CE7B618"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304170A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98B06B6" w14:textId="77777777" w:rsidR="00000000" w:rsidRDefault="00832D71">
            <w:pPr>
              <w:pStyle w:val="a3"/>
              <w:spacing w:before="0" w:beforeAutospacing="0" w:after="0" w:afterAutospacing="0"/>
              <w:jc w:val="right"/>
              <w:rPr>
                <w:sz w:val="20"/>
                <w:szCs w:val="20"/>
              </w:rPr>
            </w:pPr>
            <w:r>
              <w:rPr>
                <w:sz w:val="20"/>
                <w:szCs w:val="20"/>
              </w:rPr>
              <w:t>507,12</w:t>
            </w:r>
            <w:r>
              <w:rPr>
                <w:sz w:val="20"/>
                <w:szCs w:val="20"/>
              </w:rPr>
              <w:t>4</w:t>
            </w:r>
          </w:p>
        </w:tc>
        <w:tc>
          <w:tcPr>
            <w:tcW w:w="0" w:type="auto"/>
            <w:noWrap/>
            <w:vAlign w:val="bottom"/>
            <w:hideMark/>
          </w:tcPr>
          <w:p w14:paraId="458D6ABB" w14:textId="77777777" w:rsidR="00000000" w:rsidRDefault="00832D71">
            <w:pPr>
              <w:pStyle w:val="a3"/>
              <w:spacing w:before="0" w:beforeAutospacing="0" w:after="0" w:afterAutospacing="0"/>
              <w:rPr>
                <w:sz w:val="20"/>
                <w:szCs w:val="20"/>
              </w:rPr>
            </w:pPr>
            <w:r>
              <w:rPr>
                <w:sz w:val="20"/>
                <w:szCs w:val="20"/>
              </w:rPr>
              <w:t> </w:t>
            </w:r>
          </w:p>
        </w:tc>
      </w:tr>
      <w:tr w:rsidR="00000000" w14:paraId="29805793" w14:textId="77777777">
        <w:trPr>
          <w:trHeight w:val="200"/>
          <w:tblCellSpacing w:w="15" w:type="dxa"/>
        </w:trPr>
        <w:tc>
          <w:tcPr>
            <w:tcW w:w="0" w:type="auto"/>
            <w:hideMark/>
          </w:tcPr>
          <w:p w14:paraId="20BE7941" w14:textId="77777777" w:rsidR="00000000" w:rsidRDefault="00832D71">
            <w:pPr>
              <w:pStyle w:val="a3"/>
              <w:spacing w:before="0" w:beforeAutospacing="0" w:after="0" w:afterAutospacing="0"/>
              <w:rPr>
                <w:sz w:val="20"/>
                <w:szCs w:val="20"/>
              </w:rPr>
            </w:pPr>
            <w:r>
              <w:rPr>
                <w:sz w:val="20"/>
                <w:szCs w:val="20"/>
              </w:rPr>
              <w:t>Lawrence C. Caldwel</w:t>
            </w:r>
            <w:r>
              <w:rPr>
                <w:sz w:val="20"/>
                <w:szCs w:val="20"/>
              </w:rPr>
              <w:t>l</w:t>
            </w:r>
          </w:p>
        </w:tc>
        <w:tc>
          <w:tcPr>
            <w:tcW w:w="0" w:type="auto"/>
            <w:hideMark/>
          </w:tcPr>
          <w:p w14:paraId="463E773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571946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15768E5" w14:textId="77777777" w:rsidR="00000000" w:rsidRDefault="00832D71">
            <w:pPr>
              <w:pStyle w:val="a3"/>
              <w:spacing w:before="0" w:beforeAutospacing="0" w:after="0" w:afterAutospacing="0"/>
              <w:jc w:val="right"/>
              <w:rPr>
                <w:sz w:val="20"/>
                <w:szCs w:val="20"/>
              </w:rPr>
            </w:pPr>
            <w:r>
              <w:rPr>
                <w:sz w:val="20"/>
                <w:szCs w:val="20"/>
              </w:rPr>
              <w:t>95,00</w:t>
            </w:r>
            <w:r>
              <w:rPr>
                <w:sz w:val="20"/>
                <w:szCs w:val="20"/>
              </w:rPr>
              <w:t>0</w:t>
            </w:r>
          </w:p>
        </w:tc>
        <w:tc>
          <w:tcPr>
            <w:tcW w:w="0" w:type="auto"/>
            <w:noWrap/>
            <w:vAlign w:val="bottom"/>
            <w:hideMark/>
          </w:tcPr>
          <w:p w14:paraId="215FF07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8998FF9"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363535E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26093F0" w14:textId="77777777" w:rsidR="00000000" w:rsidRDefault="00832D71">
            <w:pPr>
              <w:pStyle w:val="a3"/>
              <w:spacing w:before="0" w:beforeAutospacing="0" w:after="0" w:afterAutospacing="0"/>
              <w:jc w:val="right"/>
              <w:rPr>
                <w:sz w:val="20"/>
                <w:szCs w:val="20"/>
              </w:rPr>
            </w:pPr>
            <w:r>
              <w:rPr>
                <w:sz w:val="20"/>
                <w:szCs w:val="20"/>
              </w:rPr>
              <w:t>289,44</w:t>
            </w:r>
            <w:r>
              <w:rPr>
                <w:sz w:val="20"/>
                <w:szCs w:val="20"/>
              </w:rPr>
              <w:t>0</w:t>
            </w:r>
          </w:p>
        </w:tc>
        <w:tc>
          <w:tcPr>
            <w:tcW w:w="0" w:type="auto"/>
            <w:noWrap/>
            <w:vAlign w:val="bottom"/>
            <w:hideMark/>
          </w:tcPr>
          <w:p w14:paraId="3E18358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1CB5A7C"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315B0EF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D5A750D" w14:textId="77777777" w:rsidR="00000000" w:rsidRDefault="00832D71">
            <w:pPr>
              <w:pStyle w:val="a3"/>
              <w:spacing w:before="0" w:beforeAutospacing="0" w:after="0" w:afterAutospacing="0"/>
              <w:jc w:val="right"/>
              <w:rPr>
                <w:sz w:val="20"/>
                <w:szCs w:val="20"/>
              </w:rPr>
            </w:pPr>
            <w:r>
              <w:rPr>
                <w:sz w:val="20"/>
                <w:szCs w:val="20"/>
              </w:rPr>
              <w:t>384,44</w:t>
            </w:r>
            <w:r>
              <w:rPr>
                <w:sz w:val="20"/>
                <w:szCs w:val="20"/>
              </w:rPr>
              <w:t>0</w:t>
            </w:r>
          </w:p>
        </w:tc>
        <w:tc>
          <w:tcPr>
            <w:tcW w:w="0" w:type="auto"/>
            <w:noWrap/>
            <w:vAlign w:val="bottom"/>
            <w:hideMark/>
          </w:tcPr>
          <w:p w14:paraId="62491A3C" w14:textId="77777777" w:rsidR="00000000" w:rsidRDefault="00832D71">
            <w:pPr>
              <w:pStyle w:val="a3"/>
              <w:spacing w:before="0" w:beforeAutospacing="0" w:after="0" w:afterAutospacing="0"/>
              <w:rPr>
                <w:sz w:val="20"/>
                <w:szCs w:val="20"/>
              </w:rPr>
            </w:pPr>
            <w:r>
              <w:rPr>
                <w:sz w:val="20"/>
                <w:szCs w:val="20"/>
              </w:rPr>
              <w:t> </w:t>
            </w:r>
          </w:p>
        </w:tc>
      </w:tr>
      <w:tr w:rsidR="00000000" w14:paraId="760F4521" w14:textId="77777777">
        <w:trPr>
          <w:trHeight w:val="200"/>
          <w:tblCellSpacing w:w="15" w:type="dxa"/>
        </w:trPr>
        <w:tc>
          <w:tcPr>
            <w:tcW w:w="0" w:type="auto"/>
            <w:hideMark/>
          </w:tcPr>
          <w:p w14:paraId="3BAC6BD5" w14:textId="77777777" w:rsidR="00000000" w:rsidRDefault="00832D71">
            <w:pPr>
              <w:pStyle w:val="a3"/>
              <w:spacing w:before="0" w:beforeAutospacing="0" w:after="0" w:afterAutospacing="0"/>
              <w:rPr>
                <w:sz w:val="20"/>
                <w:szCs w:val="20"/>
              </w:rPr>
            </w:pPr>
            <w:r>
              <w:rPr>
                <w:sz w:val="20"/>
                <w:szCs w:val="20"/>
              </w:rPr>
              <w:t>Terence J. Connor</w:t>
            </w:r>
            <w:r>
              <w:rPr>
                <w:sz w:val="20"/>
                <w:szCs w:val="20"/>
              </w:rPr>
              <w:t>s</w:t>
            </w:r>
          </w:p>
        </w:tc>
        <w:tc>
          <w:tcPr>
            <w:tcW w:w="0" w:type="auto"/>
            <w:hideMark/>
          </w:tcPr>
          <w:p w14:paraId="60B1A48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A01498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E6D7C68" w14:textId="77777777" w:rsidR="00000000" w:rsidRDefault="00832D71">
            <w:pPr>
              <w:pStyle w:val="a3"/>
              <w:spacing w:before="0" w:beforeAutospacing="0" w:after="0" w:afterAutospacing="0"/>
              <w:jc w:val="right"/>
              <w:rPr>
                <w:sz w:val="20"/>
                <w:szCs w:val="20"/>
              </w:rPr>
            </w:pPr>
            <w:r>
              <w:rPr>
                <w:sz w:val="20"/>
                <w:szCs w:val="20"/>
              </w:rPr>
              <w:t>115,00</w:t>
            </w:r>
            <w:r>
              <w:rPr>
                <w:sz w:val="20"/>
                <w:szCs w:val="20"/>
              </w:rPr>
              <w:t>0</w:t>
            </w:r>
          </w:p>
        </w:tc>
        <w:tc>
          <w:tcPr>
            <w:tcW w:w="0" w:type="auto"/>
            <w:noWrap/>
            <w:vAlign w:val="bottom"/>
            <w:hideMark/>
          </w:tcPr>
          <w:p w14:paraId="094A718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7F145E5"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4E13287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0049255" w14:textId="77777777" w:rsidR="00000000" w:rsidRDefault="00832D71">
            <w:pPr>
              <w:pStyle w:val="a3"/>
              <w:spacing w:before="0" w:beforeAutospacing="0" w:after="0" w:afterAutospacing="0"/>
              <w:jc w:val="right"/>
              <w:rPr>
                <w:sz w:val="20"/>
                <w:szCs w:val="20"/>
              </w:rPr>
            </w:pPr>
            <w:r>
              <w:rPr>
                <w:sz w:val="20"/>
                <w:szCs w:val="20"/>
              </w:rPr>
              <w:t>289,44</w:t>
            </w:r>
            <w:r>
              <w:rPr>
                <w:sz w:val="20"/>
                <w:szCs w:val="20"/>
              </w:rPr>
              <w:t>0</w:t>
            </w:r>
          </w:p>
        </w:tc>
        <w:tc>
          <w:tcPr>
            <w:tcW w:w="0" w:type="auto"/>
            <w:noWrap/>
            <w:vAlign w:val="bottom"/>
            <w:hideMark/>
          </w:tcPr>
          <w:p w14:paraId="5A6EA1B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13DE2D5"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1E33F5E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A6E31D4" w14:textId="77777777" w:rsidR="00000000" w:rsidRDefault="00832D71">
            <w:pPr>
              <w:pStyle w:val="a3"/>
              <w:spacing w:before="0" w:beforeAutospacing="0" w:after="0" w:afterAutospacing="0"/>
              <w:jc w:val="right"/>
              <w:rPr>
                <w:sz w:val="20"/>
                <w:szCs w:val="20"/>
              </w:rPr>
            </w:pPr>
            <w:r>
              <w:rPr>
                <w:sz w:val="20"/>
                <w:szCs w:val="20"/>
              </w:rPr>
              <w:t>404,44</w:t>
            </w:r>
            <w:r>
              <w:rPr>
                <w:sz w:val="20"/>
                <w:szCs w:val="20"/>
              </w:rPr>
              <w:t>0</w:t>
            </w:r>
          </w:p>
        </w:tc>
        <w:tc>
          <w:tcPr>
            <w:tcW w:w="0" w:type="auto"/>
            <w:noWrap/>
            <w:vAlign w:val="bottom"/>
            <w:hideMark/>
          </w:tcPr>
          <w:p w14:paraId="007A7CB8" w14:textId="77777777" w:rsidR="00000000" w:rsidRDefault="00832D71">
            <w:pPr>
              <w:pStyle w:val="a3"/>
              <w:spacing w:before="0" w:beforeAutospacing="0" w:after="0" w:afterAutospacing="0"/>
              <w:rPr>
                <w:sz w:val="20"/>
                <w:szCs w:val="20"/>
              </w:rPr>
            </w:pPr>
            <w:r>
              <w:rPr>
                <w:sz w:val="20"/>
                <w:szCs w:val="20"/>
              </w:rPr>
              <w:t> </w:t>
            </w:r>
          </w:p>
        </w:tc>
      </w:tr>
      <w:tr w:rsidR="00000000" w14:paraId="22FB52F0" w14:textId="77777777">
        <w:trPr>
          <w:trHeight w:val="200"/>
          <w:tblCellSpacing w:w="15" w:type="dxa"/>
        </w:trPr>
        <w:tc>
          <w:tcPr>
            <w:tcW w:w="0" w:type="auto"/>
            <w:hideMark/>
          </w:tcPr>
          <w:p w14:paraId="42DBFC39" w14:textId="77777777" w:rsidR="00000000" w:rsidRDefault="00832D71">
            <w:pPr>
              <w:pStyle w:val="a3"/>
              <w:spacing w:before="0" w:beforeAutospacing="0" w:after="0" w:afterAutospacing="0"/>
              <w:rPr>
                <w:sz w:val="20"/>
                <w:szCs w:val="20"/>
              </w:rPr>
            </w:pPr>
            <w:r>
              <w:rPr>
                <w:sz w:val="20"/>
                <w:szCs w:val="20"/>
              </w:rPr>
              <w:t>William M. Landuy</w:t>
            </w:r>
            <w:r>
              <w:rPr>
                <w:sz w:val="20"/>
                <w:szCs w:val="20"/>
              </w:rPr>
              <w:t>t</w:t>
            </w:r>
          </w:p>
        </w:tc>
        <w:tc>
          <w:tcPr>
            <w:tcW w:w="0" w:type="auto"/>
            <w:hideMark/>
          </w:tcPr>
          <w:p w14:paraId="0C67F80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BA36F9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7FD23DD" w14:textId="77777777" w:rsidR="00000000" w:rsidRDefault="00832D71">
            <w:pPr>
              <w:pStyle w:val="a3"/>
              <w:spacing w:before="0" w:beforeAutospacing="0" w:after="0" w:afterAutospacing="0"/>
              <w:jc w:val="right"/>
              <w:rPr>
                <w:sz w:val="20"/>
                <w:szCs w:val="20"/>
              </w:rPr>
            </w:pPr>
            <w:r>
              <w:rPr>
                <w:sz w:val="20"/>
                <w:szCs w:val="20"/>
              </w:rPr>
              <w:t>95,00</w:t>
            </w:r>
            <w:r>
              <w:rPr>
                <w:sz w:val="20"/>
                <w:szCs w:val="20"/>
              </w:rPr>
              <w:t>0</w:t>
            </w:r>
          </w:p>
        </w:tc>
        <w:tc>
          <w:tcPr>
            <w:tcW w:w="0" w:type="auto"/>
            <w:noWrap/>
            <w:vAlign w:val="bottom"/>
            <w:hideMark/>
          </w:tcPr>
          <w:p w14:paraId="6555A29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14C25E5"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0156994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242555C" w14:textId="77777777" w:rsidR="00000000" w:rsidRDefault="00832D71">
            <w:pPr>
              <w:pStyle w:val="a3"/>
              <w:spacing w:before="0" w:beforeAutospacing="0" w:after="0" w:afterAutospacing="0"/>
              <w:jc w:val="right"/>
              <w:rPr>
                <w:sz w:val="20"/>
                <w:szCs w:val="20"/>
              </w:rPr>
            </w:pPr>
            <w:r>
              <w:rPr>
                <w:sz w:val="20"/>
                <w:szCs w:val="20"/>
              </w:rPr>
              <w:t>289,44</w:t>
            </w:r>
            <w:r>
              <w:rPr>
                <w:sz w:val="20"/>
                <w:szCs w:val="20"/>
              </w:rPr>
              <w:t>0</w:t>
            </w:r>
          </w:p>
        </w:tc>
        <w:tc>
          <w:tcPr>
            <w:tcW w:w="0" w:type="auto"/>
            <w:noWrap/>
            <w:vAlign w:val="bottom"/>
            <w:hideMark/>
          </w:tcPr>
          <w:p w14:paraId="75D1A93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754FBCC"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624C74B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A272FE8" w14:textId="77777777" w:rsidR="00000000" w:rsidRDefault="00832D71">
            <w:pPr>
              <w:pStyle w:val="a3"/>
              <w:spacing w:before="0" w:beforeAutospacing="0" w:after="0" w:afterAutospacing="0"/>
              <w:jc w:val="right"/>
              <w:rPr>
                <w:sz w:val="20"/>
                <w:szCs w:val="20"/>
              </w:rPr>
            </w:pPr>
            <w:r>
              <w:rPr>
                <w:sz w:val="20"/>
                <w:szCs w:val="20"/>
              </w:rPr>
              <w:t>384,44</w:t>
            </w:r>
            <w:r>
              <w:rPr>
                <w:sz w:val="20"/>
                <w:szCs w:val="20"/>
              </w:rPr>
              <w:t>0</w:t>
            </w:r>
          </w:p>
        </w:tc>
        <w:tc>
          <w:tcPr>
            <w:tcW w:w="0" w:type="auto"/>
            <w:noWrap/>
            <w:vAlign w:val="bottom"/>
            <w:hideMark/>
          </w:tcPr>
          <w:p w14:paraId="3C65A86E" w14:textId="77777777" w:rsidR="00000000" w:rsidRDefault="00832D71">
            <w:pPr>
              <w:pStyle w:val="a3"/>
              <w:spacing w:before="0" w:beforeAutospacing="0" w:after="0" w:afterAutospacing="0"/>
              <w:rPr>
                <w:sz w:val="20"/>
                <w:szCs w:val="20"/>
              </w:rPr>
            </w:pPr>
            <w:r>
              <w:rPr>
                <w:sz w:val="20"/>
                <w:szCs w:val="20"/>
              </w:rPr>
              <w:t> </w:t>
            </w:r>
          </w:p>
        </w:tc>
      </w:tr>
      <w:tr w:rsidR="00000000" w14:paraId="24CC374F" w14:textId="77777777">
        <w:trPr>
          <w:trHeight w:val="200"/>
          <w:tblCellSpacing w:w="15" w:type="dxa"/>
        </w:trPr>
        <w:tc>
          <w:tcPr>
            <w:tcW w:w="0" w:type="auto"/>
            <w:hideMark/>
          </w:tcPr>
          <w:p w14:paraId="1EA985E6" w14:textId="77777777" w:rsidR="00000000" w:rsidRDefault="00832D71">
            <w:pPr>
              <w:pStyle w:val="a3"/>
              <w:spacing w:before="0" w:beforeAutospacing="0" w:after="0" w:afterAutospacing="0"/>
              <w:rPr>
                <w:sz w:val="20"/>
                <w:szCs w:val="20"/>
              </w:rPr>
            </w:pPr>
            <w:r>
              <w:rPr>
                <w:sz w:val="20"/>
                <w:szCs w:val="20"/>
              </w:rPr>
              <w:t>Harold R. Logan Jr</w:t>
            </w:r>
            <w:r>
              <w:rPr>
                <w:sz w:val="20"/>
                <w:szCs w:val="20"/>
              </w:rPr>
              <w:t>.</w:t>
            </w:r>
          </w:p>
        </w:tc>
        <w:tc>
          <w:tcPr>
            <w:tcW w:w="0" w:type="auto"/>
            <w:hideMark/>
          </w:tcPr>
          <w:p w14:paraId="688291A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41BCB3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94F618E" w14:textId="77777777" w:rsidR="00000000" w:rsidRDefault="00832D71">
            <w:pPr>
              <w:pStyle w:val="a3"/>
              <w:spacing w:before="0" w:beforeAutospacing="0" w:after="0" w:afterAutospacing="0"/>
              <w:jc w:val="right"/>
              <w:rPr>
                <w:sz w:val="20"/>
                <w:szCs w:val="20"/>
              </w:rPr>
            </w:pPr>
            <w:r>
              <w:rPr>
                <w:sz w:val="20"/>
                <w:szCs w:val="20"/>
              </w:rPr>
              <w:t>95,00</w:t>
            </w:r>
            <w:r>
              <w:rPr>
                <w:sz w:val="20"/>
                <w:szCs w:val="20"/>
              </w:rPr>
              <w:t>0</w:t>
            </w:r>
          </w:p>
        </w:tc>
        <w:tc>
          <w:tcPr>
            <w:tcW w:w="0" w:type="auto"/>
            <w:noWrap/>
            <w:vAlign w:val="bottom"/>
            <w:hideMark/>
          </w:tcPr>
          <w:p w14:paraId="255E728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35BAA9C"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5EAD042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E853212" w14:textId="77777777" w:rsidR="00000000" w:rsidRDefault="00832D71">
            <w:pPr>
              <w:pStyle w:val="a3"/>
              <w:spacing w:before="0" w:beforeAutospacing="0" w:after="0" w:afterAutospacing="0"/>
              <w:jc w:val="right"/>
              <w:rPr>
                <w:sz w:val="20"/>
                <w:szCs w:val="20"/>
              </w:rPr>
            </w:pPr>
            <w:r>
              <w:rPr>
                <w:sz w:val="20"/>
                <w:szCs w:val="20"/>
              </w:rPr>
              <w:t>289,44</w:t>
            </w:r>
            <w:r>
              <w:rPr>
                <w:sz w:val="20"/>
                <w:szCs w:val="20"/>
              </w:rPr>
              <w:t>0</w:t>
            </w:r>
          </w:p>
        </w:tc>
        <w:tc>
          <w:tcPr>
            <w:tcW w:w="0" w:type="auto"/>
            <w:noWrap/>
            <w:vAlign w:val="bottom"/>
            <w:hideMark/>
          </w:tcPr>
          <w:p w14:paraId="46DEB79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93576D7"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431CFA4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9BA96BD" w14:textId="77777777" w:rsidR="00000000" w:rsidRDefault="00832D71">
            <w:pPr>
              <w:pStyle w:val="a3"/>
              <w:spacing w:before="0" w:beforeAutospacing="0" w:after="0" w:afterAutospacing="0"/>
              <w:jc w:val="right"/>
              <w:rPr>
                <w:sz w:val="20"/>
                <w:szCs w:val="20"/>
              </w:rPr>
            </w:pPr>
            <w:r>
              <w:rPr>
                <w:sz w:val="20"/>
                <w:szCs w:val="20"/>
              </w:rPr>
              <w:t>384,44</w:t>
            </w:r>
            <w:r>
              <w:rPr>
                <w:sz w:val="20"/>
                <w:szCs w:val="20"/>
              </w:rPr>
              <w:t>0</w:t>
            </w:r>
          </w:p>
        </w:tc>
        <w:tc>
          <w:tcPr>
            <w:tcW w:w="0" w:type="auto"/>
            <w:noWrap/>
            <w:vAlign w:val="bottom"/>
            <w:hideMark/>
          </w:tcPr>
          <w:p w14:paraId="1635B0CC" w14:textId="77777777" w:rsidR="00000000" w:rsidRDefault="00832D71">
            <w:pPr>
              <w:pStyle w:val="a3"/>
              <w:spacing w:before="0" w:beforeAutospacing="0" w:after="0" w:afterAutospacing="0"/>
              <w:rPr>
                <w:sz w:val="20"/>
                <w:szCs w:val="20"/>
              </w:rPr>
            </w:pPr>
            <w:r>
              <w:rPr>
                <w:sz w:val="20"/>
                <w:szCs w:val="20"/>
              </w:rPr>
              <w:t> </w:t>
            </w:r>
          </w:p>
        </w:tc>
      </w:tr>
      <w:tr w:rsidR="00000000" w14:paraId="02EC2C73" w14:textId="77777777">
        <w:trPr>
          <w:trHeight w:val="200"/>
          <w:tblCellSpacing w:w="15" w:type="dxa"/>
        </w:trPr>
        <w:tc>
          <w:tcPr>
            <w:tcW w:w="0" w:type="auto"/>
            <w:hideMark/>
          </w:tcPr>
          <w:p w14:paraId="4972AA30" w14:textId="77777777" w:rsidR="00000000" w:rsidRDefault="00832D71">
            <w:pPr>
              <w:pStyle w:val="a3"/>
              <w:spacing w:before="0" w:beforeAutospacing="0" w:after="0" w:afterAutospacing="0"/>
              <w:rPr>
                <w:sz w:val="20"/>
                <w:szCs w:val="20"/>
              </w:rPr>
            </w:pPr>
            <w:r>
              <w:rPr>
                <w:sz w:val="20"/>
                <w:szCs w:val="20"/>
              </w:rPr>
              <w:t>Jane Swif</w:t>
            </w:r>
            <w:r>
              <w:rPr>
                <w:sz w:val="20"/>
                <w:szCs w:val="20"/>
              </w:rPr>
              <w:t>t</w:t>
            </w:r>
          </w:p>
        </w:tc>
        <w:tc>
          <w:tcPr>
            <w:tcW w:w="0" w:type="auto"/>
            <w:hideMark/>
          </w:tcPr>
          <w:p w14:paraId="4EF7E12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684AC3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ACEC1A4" w14:textId="77777777" w:rsidR="00000000" w:rsidRDefault="00832D71">
            <w:pPr>
              <w:pStyle w:val="a3"/>
              <w:spacing w:before="0" w:beforeAutospacing="0" w:after="0" w:afterAutospacing="0"/>
              <w:jc w:val="right"/>
              <w:rPr>
                <w:sz w:val="20"/>
                <w:szCs w:val="20"/>
              </w:rPr>
            </w:pPr>
            <w:r>
              <w:rPr>
                <w:sz w:val="20"/>
                <w:szCs w:val="20"/>
              </w:rPr>
              <w:t>110,00</w:t>
            </w:r>
            <w:r>
              <w:rPr>
                <w:sz w:val="20"/>
                <w:szCs w:val="20"/>
              </w:rPr>
              <w:t>0</w:t>
            </w:r>
          </w:p>
        </w:tc>
        <w:tc>
          <w:tcPr>
            <w:tcW w:w="0" w:type="auto"/>
            <w:noWrap/>
            <w:vAlign w:val="bottom"/>
            <w:hideMark/>
          </w:tcPr>
          <w:p w14:paraId="68E7BBB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D196786"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72A545C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9741700" w14:textId="77777777" w:rsidR="00000000" w:rsidRDefault="00832D71">
            <w:pPr>
              <w:pStyle w:val="a3"/>
              <w:spacing w:before="0" w:beforeAutospacing="0" w:after="0" w:afterAutospacing="0"/>
              <w:jc w:val="right"/>
              <w:rPr>
                <w:sz w:val="20"/>
                <w:szCs w:val="20"/>
              </w:rPr>
            </w:pPr>
            <w:r>
              <w:rPr>
                <w:sz w:val="20"/>
                <w:szCs w:val="20"/>
              </w:rPr>
              <w:t>289,44</w:t>
            </w:r>
            <w:r>
              <w:rPr>
                <w:sz w:val="20"/>
                <w:szCs w:val="20"/>
              </w:rPr>
              <w:t>0</w:t>
            </w:r>
          </w:p>
        </w:tc>
        <w:tc>
          <w:tcPr>
            <w:tcW w:w="0" w:type="auto"/>
            <w:noWrap/>
            <w:vAlign w:val="bottom"/>
            <w:hideMark/>
          </w:tcPr>
          <w:p w14:paraId="05A33E2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2935DBD"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4A800F2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DD114F2" w14:textId="77777777" w:rsidR="00000000" w:rsidRDefault="00832D71">
            <w:pPr>
              <w:pStyle w:val="a3"/>
              <w:spacing w:before="0" w:beforeAutospacing="0" w:after="0" w:afterAutospacing="0"/>
              <w:jc w:val="right"/>
              <w:rPr>
                <w:sz w:val="20"/>
                <w:szCs w:val="20"/>
              </w:rPr>
            </w:pPr>
            <w:r>
              <w:rPr>
                <w:sz w:val="20"/>
                <w:szCs w:val="20"/>
              </w:rPr>
              <w:t>399,44</w:t>
            </w:r>
            <w:r>
              <w:rPr>
                <w:sz w:val="20"/>
                <w:szCs w:val="20"/>
              </w:rPr>
              <w:t>0</w:t>
            </w:r>
          </w:p>
        </w:tc>
        <w:tc>
          <w:tcPr>
            <w:tcW w:w="0" w:type="auto"/>
            <w:noWrap/>
            <w:vAlign w:val="bottom"/>
            <w:hideMark/>
          </w:tcPr>
          <w:p w14:paraId="491D44FB" w14:textId="77777777" w:rsidR="00000000" w:rsidRDefault="00832D71">
            <w:pPr>
              <w:pStyle w:val="a3"/>
              <w:spacing w:before="0" w:beforeAutospacing="0" w:after="0" w:afterAutospacing="0"/>
              <w:rPr>
                <w:sz w:val="20"/>
                <w:szCs w:val="20"/>
              </w:rPr>
            </w:pPr>
            <w:r>
              <w:rPr>
                <w:sz w:val="20"/>
                <w:szCs w:val="20"/>
              </w:rPr>
              <w:t> </w:t>
            </w:r>
          </w:p>
        </w:tc>
      </w:tr>
    </w:tbl>
    <w:p w14:paraId="3971F465" w14:textId="77777777" w:rsidR="00000000" w:rsidRDefault="00832D71">
      <w:pPr>
        <w:jc w:val="both"/>
        <w:divId w:val="1164736589"/>
        <w:rPr>
          <w:rFonts w:eastAsia="Times New Roman"/>
        </w:rPr>
      </w:pPr>
      <w:r>
        <w:rPr>
          <w:rFonts w:eastAsia="Times New Roman"/>
          <w:sz w:val="20"/>
          <w:szCs w:val="20"/>
        </w:rPr>
        <w:t>(1</w:t>
      </w:r>
      <w:r>
        <w:rPr>
          <w:rFonts w:eastAsia="Times New Roman"/>
          <w:sz w:val="20"/>
          <w:szCs w:val="20"/>
        </w:rPr>
        <w:t>)</w:t>
      </w:r>
    </w:p>
    <w:p w14:paraId="63B99E82" w14:textId="77777777" w:rsidR="00000000" w:rsidRDefault="00832D71">
      <w:pPr>
        <w:jc w:val="both"/>
        <w:divId w:val="1664816138"/>
        <w:rPr>
          <w:rFonts w:eastAsia="Times New Roman"/>
        </w:rPr>
      </w:pPr>
      <w:r>
        <w:rPr>
          <w:rFonts w:eastAsia="Times New Roman"/>
          <w:sz w:val="20"/>
          <w:szCs w:val="20"/>
        </w:rPr>
        <w:t>This includes amounts earned for fiscal 2022, including quarterly retainer installments for the fourth quarter of 2022 that were paid in November 2022</w:t>
      </w:r>
      <w:r>
        <w:rPr>
          <w:rFonts w:eastAsia="Times New Roman"/>
          <w:sz w:val="20"/>
          <w:szCs w:val="20"/>
        </w:rPr>
        <w:t>.</w:t>
      </w:r>
    </w:p>
    <w:p w14:paraId="6302CD92" w14:textId="77777777" w:rsidR="00000000" w:rsidRDefault="00832D71">
      <w:pPr>
        <w:jc w:val="both"/>
        <w:divId w:val="478040257"/>
        <w:rPr>
          <w:rFonts w:eastAsia="Times New Roman"/>
        </w:rPr>
      </w:pPr>
      <w:r>
        <w:rPr>
          <w:rFonts w:eastAsia="Times New Roman"/>
          <w:sz w:val="20"/>
          <w:szCs w:val="20"/>
        </w:rPr>
        <w:t>(2</w:t>
      </w:r>
      <w:r>
        <w:rPr>
          <w:rFonts w:eastAsia="Times New Roman"/>
          <w:sz w:val="20"/>
          <w:szCs w:val="20"/>
        </w:rPr>
        <w:t>)</w:t>
      </w:r>
    </w:p>
    <w:p w14:paraId="7D954CE7" w14:textId="77777777" w:rsidR="00000000" w:rsidRDefault="00832D71">
      <w:pPr>
        <w:jc w:val="both"/>
        <w:divId w:val="987824686"/>
        <w:rPr>
          <w:rFonts w:eastAsia="Times New Roman"/>
        </w:rPr>
      </w:pPr>
      <w:r>
        <w:rPr>
          <w:rFonts w:eastAsia="Times New Roman"/>
          <w:sz w:val="20"/>
          <w:szCs w:val="20"/>
        </w:rPr>
        <w:t xml:space="preserve">At the end of fiscal 2022, Mr. Chanin held 28,691 unvested restricted units and Messieurs Caldwell, </w:t>
      </w:r>
      <w:r>
        <w:rPr>
          <w:rFonts w:eastAsia="Times New Roman"/>
          <w:sz w:val="20"/>
          <w:szCs w:val="20"/>
        </w:rPr>
        <w:t>Chanin, Connors, Landuyt and Ms. Swift each held 22,316 unvested restricted units.</w:t>
      </w:r>
      <w:r>
        <w:rPr>
          <w:rFonts w:eastAsia="Times New Roman"/>
          <w:sz w:val="20"/>
          <w:szCs w:val="20"/>
        </w:rPr>
        <w:t xml:space="preserve"> </w:t>
      </w:r>
    </w:p>
    <w:p w14:paraId="63B42537" w14:textId="77777777" w:rsidR="00000000" w:rsidRDefault="00832D71">
      <w:pPr>
        <w:pStyle w:val="a3"/>
        <w:spacing w:before="240" w:beforeAutospacing="0" w:after="0" w:afterAutospacing="0"/>
        <w:ind w:firstLine="555"/>
        <w:jc w:val="both"/>
        <w:rPr>
          <w:sz w:val="20"/>
          <w:szCs w:val="20"/>
        </w:rPr>
      </w:pPr>
      <w:r>
        <w:rPr>
          <w:sz w:val="20"/>
          <w:szCs w:val="20"/>
        </w:rPr>
        <w:t>Note: The columns for reporting option awards, non-equity incentive plan compensation, changes in pension value and non-qualified deferred compensation plan earnings and al</w:t>
      </w:r>
      <w:r>
        <w:rPr>
          <w:sz w:val="20"/>
          <w:szCs w:val="20"/>
        </w:rPr>
        <w:t>l other forms of compensation were omitted from the Supervisor’s Compensation Table because the Partnership does not provide these forms of compensation to its non-employee supervisors</w:t>
      </w:r>
      <w:r>
        <w:rPr>
          <w:sz w:val="20"/>
          <w:szCs w:val="20"/>
        </w:rPr>
        <w:t>.</w:t>
      </w:r>
    </w:p>
    <w:p w14:paraId="11048D05" w14:textId="77777777" w:rsidR="00000000" w:rsidRDefault="00832D71">
      <w:pPr>
        <w:pStyle w:val="a3"/>
        <w:spacing w:before="360" w:beforeAutospacing="0" w:after="0" w:afterAutospacing="0"/>
        <w:jc w:val="both"/>
        <w:rPr>
          <w:sz w:val="20"/>
          <w:szCs w:val="20"/>
        </w:rPr>
      </w:pPr>
      <w:r>
        <w:rPr>
          <w:b/>
          <w:bCs/>
          <w:sz w:val="20"/>
          <w:szCs w:val="20"/>
        </w:rPr>
        <w:t>Fees and Benefit Plans for Non-Employee Supervisor</w:t>
      </w:r>
      <w:r>
        <w:rPr>
          <w:b/>
          <w:bCs/>
          <w:sz w:val="20"/>
          <w:szCs w:val="20"/>
        </w:rPr>
        <w:t>s</w:t>
      </w:r>
    </w:p>
    <w:p w14:paraId="76A2AAB7" w14:textId="77777777" w:rsidR="00000000" w:rsidRDefault="00832D71">
      <w:pPr>
        <w:pStyle w:val="a3"/>
        <w:spacing w:before="120" w:beforeAutospacing="0" w:after="0" w:afterAutospacing="0"/>
        <w:ind w:firstLine="555"/>
        <w:jc w:val="both"/>
        <w:rPr>
          <w:sz w:val="20"/>
          <w:szCs w:val="20"/>
        </w:rPr>
      </w:pPr>
      <w:r>
        <w:rPr>
          <w:b/>
          <w:bCs/>
          <w:sz w:val="20"/>
          <w:szCs w:val="20"/>
        </w:rPr>
        <w:t>Annual Cash Retain</w:t>
      </w:r>
      <w:r>
        <w:rPr>
          <w:b/>
          <w:bCs/>
          <w:sz w:val="20"/>
          <w:szCs w:val="20"/>
        </w:rPr>
        <w:t>er Fee</w:t>
      </w:r>
      <w:r>
        <w:rPr>
          <w:b/>
          <w:bCs/>
          <w:sz w:val="20"/>
          <w:szCs w:val="20"/>
        </w:rPr>
        <w:t>s</w:t>
      </w:r>
      <w:r>
        <w:rPr>
          <w:sz w:val="20"/>
          <w:szCs w:val="20"/>
        </w:rPr>
        <w:t>. As the Chairman of the Board of Supervisors, Mr. Chanin receives an annual cash retainer of $135,000, payable in quarterly installments of $33,750 each. Each of the other non-employee Supervisors receives an annual cash retainer of $95,000 each, p</w:t>
      </w:r>
      <w:r>
        <w:rPr>
          <w:sz w:val="20"/>
          <w:szCs w:val="20"/>
        </w:rPr>
        <w:t>ayable in quarterly installments of $23,750. As Chair of the Compensation Committee, Ms. Swift receives an additional annual cash retainer of $15,000, payable in quarterly installments of $3,750 each. As Chair of the Audit Committee, Mr. Connors receives a</w:t>
      </w:r>
      <w:r>
        <w:rPr>
          <w:sz w:val="20"/>
          <w:szCs w:val="20"/>
        </w:rPr>
        <w:t>n additional annual cash retainer of $20,000, payable in quarterly installments of $5,000 each</w:t>
      </w:r>
      <w:r>
        <w:rPr>
          <w:sz w:val="20"/>
          <w:szCs w:val="20"/>
        </w:rPr>
        <w:t>.</w:t>
      </w:r>
    </w:p>
    <w:p w14:paraId="597C2DA2" w14:textId="77777777" w:rsidR="00000000" w:rsidRDefault="00832D71">
      <w:pPr>
        <w:pStyle w:val="a3"/>
        <w:spacing w:before="240" w:beforeAutospacing="0" w:after="0" w:afterAutospacing="0"/>
        <w:ind w:firstLine="555"/>
        <w:jc w:val="both"/>
        <w:rPr>
          <w:sz w:val="20"/>
          <w:szCs w:val="20"/>
        </w:rPr>
      </w:pPr>
      <w:r>
        <w:rPr>
          <w:b/>
          <w:bCs/>
          <w:sz w:val="20"/>
          <w:szCs w:val="20"/>
        </w:rPr>
        <w:t>Meeting Fees</w:t>
      </w:r>
      <w:r>
        <w:rPr>
          <w:b/>
          <w:bCs/>
          <w:sz w:val="20"/>
          <w:szCs w:val="20"/>
        </w:rPr>
        <w:t>.</w:t>
      </w:r>
      <w:r>
        <w:rPr>
          <w:sz w:val="20"/>
          <w:szCs w:val="20"/>
        </w:rPr>
        <w:t xml:space="preserve"> The members of our Board of Supervisors receive no additional remuneration for attendance at regularly scheduled meetings of the Board or its Comm</w:t>
      </w:r>
      <w:r>
        <w:rPr>
          <w:sz w:val="20"/>
          <w:szCs w:val="20"/>
        </w:rPr>
        <w:t>ittees, other than reimbursement of reasonable expenses incurred in connection with such attendance</w:t>
      </w:r>
      <w:r>
        <w:rPr>
          <w:sz w:val="20"/>
          <w:szCs w:val="20"/>
        </w:rPr>
        <w:t>.</w:t>
      </w:r>
    </w:p>
    <w:p w14:paraId="0BEF8323" w14:textId="77777777" w:rsidR="00000000" w:rsidRDefault="00832D71">
      <w:pPr>
        <w:pStyle w:val="a3"/>
        <w:spacing w:before="240" w:beforeAutospacing="0" w:after="0" w:afterAutospacing="0"/>
        <w:ind w:firstLine="555"/>
        <w:jc w:val="both"/>
        <w:rPr>
          <w:sz w:val="20"/>
          <w:szCs w:val="20"/>
        </w:rPr>
      </w:pPr>
      <w:r>
        <w:rPr>
          <w:b/>
          <w:bCs/>
          <w:sz w:val="20"/>
          <w:szCs w:val="20"/>
        </w:rPr>
        <w:t>Restricted Unit Plans</w:t>
      </w:r>
      <w:r>
        <w:rPr>
          <w:b/>
          <w:bCs/>
          <w:sz w:val="20"/>
          <w:szCs w:val="20"/>
        </w:rPr>
        <w:t>.</w:t>
      </w:r>
      <w:r>
        <w:rPr>
          <w:sz w:val="20"/>
          <w:szCs w:val="20"/>
        </w:rPr>
        <w:t xml:space="preserve"> Each non-employee Supervisor is eligible to participate in our Restricted Unit Plans. All awards vest in accordance with the provisi</w:t>
      </w:r>
      <w:r>
        <w:rPr>
          <w:sz w:val="20"/>
          <w:szCs w:val="20"/>
        </w:rPr>
        <w:t>ons of the plan document (see “Compensation Discussion and Analysis” section titled “Restricted Unit Plans” for a description of the vesting schedule). Upon vesting, all awards are settled by issuing Common Units</w:t>
      </w:r>
      <w:r>
        <w:rPr>
          <w:sz w:val="20"/>
          <w:szCs w:val="20"/>
        </w:rPr>
        <w:t>.</w:t>
      </w:r>
      <w:r>
        <w:rPr>
          <w:sz w:val="20"/>
          <w:szCs w:val="20"/>
        </w:rPr>
        <w:t xml:space="preserve"> </w:t>
      </w:r>
    </w:p>
    <w:p w14:paraId="7E867CAD" w14:textId="77777777" w:rsidR="00000000" w:rsidRDefault="00832D71">
      <w:pPr>
        <w:pStyle w:val="a3"/>
        <w:spacing w:before="0" w:beforeAutospacing="0" w:after="0" w:afterAutospacing="0"/>
        <w:jc w:val="center"/>
        <w:rPr>
          <w:sz w:val="20"/>
          <w:szCs w:val="20"/>
        </w:rPr>
      </w:pPr>
      <w:r>
        <w:rPr>
          <w:sz w:val="20"/>
          <w:szCs w:val="20"/>
        </w:rPr>
        <w:t> </w:t>
      </w:r>
    </w:p>
    <w:p w14:paraId="0869E413" w14:textId="77777777" w:rsidR="00000000" w:rsidRDefault="00832D71">
      <w:pPr>
        <w:pStyle w:val="a3"/>
        <w:spacing w:before="0" w:beforeAutospacing="0" w:after="0" w:afterAutospacing="0"/>
        <w:jc w:val="center"/>
        <w:rPr>
          <w:sz w:val="20"/>
          <w:szCs w:val="20"/>
        </w:rPr>
      </w:pPr>
      <w:r>
        <w:rPr>
          <w:sz w:val="20"/>
          <w:szCs w:val="20"/>
        </w:rPr>
        <w:t>8</w:t>
      </w:r>
      <w:r>
        <w:rPr>
          <w:sz w:val="20"/>
          <w:szCs w:val="20"/>
        </w:rPr>
        <w:t>3</w:t>
      </w:r>
    </w:p>
    <w:p w14:paraId="615F5DAE" w14:textId="77777777" w:rsidR="00000000" w:rsidRDefault="00832D71">
      <w:pPr>
        <w:rPr>
          <w:rFonts w:eastAsia="Times New Roman"/>
        </w:rPr>
      </w:pPr>
      <w:r>
        <w:rPr>
          <w:rFonts w:eastAsia="Times New Roman"/>
        </w:rPr>
        <w:pict w14:anchorId="16890703">
          <v:rect id="_x0000_i1110" style="width:0;height:1.5pt" o:hralign="center" o:hrstd="t" o:hr="t" fillcolor="#a0a0a0" stroked="f"/>
        </w:pict>
      </w:r>
    </w:p>
    <w:p w14:paraId="2299BF91"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7F56F1F7" w14:textId="77777777" w:rsidR="00000000" w:rsidRDefault="00832D71">
      <w:pPr>
        <w:pStyle w:val="a3"/>
        <w:spacing w:before="240" w:beforeAutospacing="0" w:after="0" w:afterAutospacing="0"/>
        <w:ind w:firstLine="555"/>
        <w:jc w:val="both"/>
        <w:rPr>
          <w:sz w:val="20"/>
          <w:szCs w:val="20"/>
        </w:rPr>
      </w:pPr>
      <w:r>
        <w:rPr>
          <w:b/>
          <w:bCs/>
          <w:sz w:val="20"/>
          <w:szCs w:val="20"/>
        </w:rPr>
        <w:t>Additional Supervisor Compensation</w:t>
      </w:r>
      <w:r>
        <w:rPr>
          <w:b/>
          <w:bCs/>
          <w:sz w:val="20"/>
          <w:szCs w:val="20"/>
        </w:rPr>
        <w:t>.</w:t>
      </w:r>
      <w:r>
        <w:rPr>
          <w:sz w:val="20"/>
          <w:szCs w:val="20"/>
        </w:rPr>
        <w:t xml:space="preserve"> Non-employee Supervisors receive no other forms of remuneration from us. </w:t>
      </w:r>
      <w:r>
        <w:rPr>
          <w:sz w:val="20"/>
          <w:szCs w:val="20"/>
        </w:rPr>
        <w:t>The only perquisite provided to the members of the Board of Supervisors is the ability to purchase propane at the same discounted rate that we offer propane to our employees, the value of which was less than $10,000 in fiscal 2022 for each Supervisor</w:t>
      </w:r>
      <w:r>
        <w:rPr>
          <w:sz w:val="20"/>
          <w:szCs w:val="20"/>
        </w:rPr>
        <w:t>.</w:t>
      </w:r>
    </w:p>
    <w:p w14:paraId="458D9E32" w14:textId="77777777" w:rsidR="00000000" w:rsidRDefault="00832D71">
      <w:pPr>
        <w:pStyle w:val="a3"/>
        <w:spacing w:before="0" w:beforeAutospacing="0" w:after="0" w:afterAutospacing="0"/>
        <w:rPr>
          <w:sz w:val="20"/>
          <w:szCs w:val="20"/>
        </w:rPr>
      </w:pPr>
      <w:r>
        <w:rPr>
          <w:sz w:val="20"/>
          <w:szCs w:val="20"/>
        </w:rPr>
        <w:t> </w:t>
      </w:r>
    </w:p>
    <w:p w14:paraId="64FABB9A" w14:textId="77777777" w:rsidR="00000000" w:rsidRDefault="00832D71">
      <w:pPr>
        <w:pStyle w:val="a3"/>
        <w:spacing w:before="0" w:beforeAutospacing="0" w:after="0" w:afterAutospacing="0"/>
        <w:jc w:val="center"/>
        <w:rPr>
          <w:sz w:val="20"/>
          <w:szCs w:val="20"/>
        </w:rPr>
      </w:pPr>
      <w:r>
        <w:rPr>
          <w:sz w:val="20"/>
          <w:szCs w:val="20"/>
        </w:rPr>
        <w:t> </w:t>
      </w:r>
    </w:p>
    <w:p w14:paraId="01FC022D" w14:textId="77777777" w:rsidR="00000000" w:rsidRDefault="00832D71">
      <w:pPr>
        <w:pStyle w:val="a3"/>
        <w:spacing w:before="0" w:beforeAutospacing="0" w:after="0" w:afterAutospacing="0"/>
        <w:jc w:val="center"/>
        <w:rPr>
          <w:sz w:val="20"/>
          <w:szCs w:val="20"/>
        </w:rPr>
      </w:pPr>
      <w:r>
        <w:rPr>
          <w:sz w:val="20"/>
          <w:szCs w:val="20"/>
        </w:rPr>
        <w:t>8</w:t>
      </w:r>
      <w:r>
        <w:rPr>
          <w:sz w:val="20"/>
          <w:szCs w:val="20"/>
        </w:rPr>
        <w:t>4</w:t>
      </w:r>
    </w:p>
    <w:p w14:paraId="3BEC3C29" w14:textId="77777777" w:rsidR="00000000" w:rsidRDefault="00832D71">
      <w:pPr>
        <w:rPr>
          <w:rFonts w:eastAsia="Times New Roman"/>
        </w:rPr>
      </w:pPr>
      <w:r>
        <w:rPr>
          <w:rFonts w:eastAsia="Times New Roman"/>
        </w:rPr>
        <w:pict w14:anchorId="21DEC81F">
          <v:rect id="_x0000_i1111" style="width:0;height:1.5pt" o:hralign="center" o:hrstd="t" o:hr="t" fillcolor="#a0a0a0" stroked="f"/>
        </w:pict>
      </w:r>
    </w:p>
    <w:p w14:paraId="70CCB321"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7800FFB5" w14:textId="77777777" w:rsidR="00000000" w:rsidRDefault="00832D71">
      <w:pPr>
        <w:pStyle w:val="a3"/>
        <w:spacing w:before="0" w:beforeAutospacing="0" w:after="0" w:afterAutospacing="0"/>
        <w:ind w:hanging="1400"/>
        <w:rPr>
          <w:sz w:val="20"/>
          <w:szCs w:val="20"/>
        </w:rPr>
      </w:pPr>
      <w:r>
        <w:rPr>
          <w:b/>
          <w:bCs/>
          <w:sz w:val="20"/>
          <w:szCs w:val="20"/>
        </w:rPr>
        <w:t>ITEM 12. SECURITY OWNERSHIP OF CE</w:t>
      </w:r>
      <w:r>
        <w:rPr>
          <w:b/>
          <w:bCs/>
          <w:sz w:val="20"/>
          <w:szCs w:val="20"/>
        </w:rPr>
        <w:t>R</w:t>
      </w:r>
      <w:r>
        <w:rPr>
          <w:b/>
          <w:bCs/>
          <w:sz w:val="20"/>
          <w:szCs w:val="20"/>
        </w:rPr>
        <w:t>TAIN BENEFICIAL OWNERS AND MANAGEMENT AND RELATED UNITHOLDER MATTER</w:t>
      </w:r>
      <w:r>
        <w:rPr>
          <w:b/>
          <w:bCs/>
          <w:sz w:val="20"/>
          <w:szCs w:val="20"/>
        </w:rPr>
        <w:t>S</w:t>
      </w:r>
    </w:p>
    <w:p w14:paraId="595EB35F" w14:textId="77777777" w:rsidR="00000000" w:rsidRDefault="00832D71">
      <w:pPr>
        <w:pStyle w:val="a3"/>
        <w:spacing w:before="120" w:beforeAutospacing="0" w:after="0" w:afterAutospacing="0"/>
        <w:ind w:firstLine="555"/>
        <w:jc w:val="both"/>
        <w:rPr>
          <w:sz w:val="20"/>
          <w:szCs w:val="20"/>
        </w:rPr>
      </w:pPr>
      <w:r>
        <w:rPr>
          <w:sz w:val="20"/>
          <w:szCs w:val="20"/>
        </w:rPr>
        <w:t>The following table sets forth certain information as o</w:t>
      </w:r>
      <w:r>
        <w:rPr>
          <w:sz w:val="20"/>
          <w:szCs w:val="20"/>
        </w:rPr>
        <w:t>f November 21, 2022 regarding the beneficial ownership of Common Units by (a) each person or group known to the Partnership, based upon its review of filings under Section 13(d) or (g) under the Securities Act, to own more than 5% of the outstanding Common</w:t>
      </w:r>
      <w:r>
        <w:rPr>
          <w:sz w:val="20"/>
          <w:szCs w:val="20"/>
        </w:rPr>
        <w:t xml:space="preserve"> Units; (b) each member of the Board of Supervisors; (c) each executive officer named in the Summary Compensation Table in Item 11 of this Annual Report; and (d) all members of the Board of Supervisors and executive officers as a group. Except as set forth</w:t>
      </w:r>
      <w:r>
        <w:rPr>
          <w:sz w:val="20"/>
          <w:szCs w:val="20"/>
        </w:rPr>
        <w:t xml:space="preserve"> in the notes to the table, each individual or entity has sole voting and investment power over the Common Units reported</w:t>
      </w:r>
      <w:r>
        <w:rPr>
          <w:sz w:val="20"/>
          <w:szCs w:val="20"/>
        </w:rPr>
        <w:t>.</w:t>
      </w:r>
    </w:p>
    <w:p w14:paraId="21141DA7" w14:textId="77777777" w:rsidR="00000000" w:rsidRDefault="00832D71">
      <w:pPr>
        <w:pStyle w:val="a3"/>
        <w:spacing w:before="0" w:beforeAutospacing="0" w:after="0" w:afterAutospacing="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836"/>
        <w:gridCol w:w="120"/>
        <w:gridCol w:w="110"/>
        <w:gridCol w:w="1102"/>
        <w:gridCol w:w="110"/>
        <w:gridCol w:w="152"/>
        <w:gridCol w:w="1215"/>
      </w:tblGrid>
      <w:tr w:rsidR="00000000" w14:paraId="3032C138" w14:textId="77777777">
        <w:trPr>
          <w:tblCellSpacing w:w="15" w:type="dxa"/>
        </w:trPr>
        <w:tc>
          <w:tcPr>
            <w:tcW w:w="2963" w:type="pct"/>
            <w:vAlign w:val="center"/>
            <w:hideMark/>
          </w:tcPr>
          <w:p w14:paraId="1BC256DA" w14:textId="77777777" w:rsidR="00000000" w:rsidRDefault="00832D71">
            <w:pPr>
              <w:rPr>
                <w:sz w:val="20"/>
                <w:szCs w:val="20"/>
              </w:rPr>
            </w:pPr>
          </w:p>
        </w:tc>
        <w:tc>
          <w:tcPr>
            <w:tcW w:w="76" w:type="pct"/>
            <w:vAlign w:val="center"/>
            <w:hideMark/>
          </w:tcPr>
          <w:p w14:paraId="098AB21B" w14:textId="77777777" w:rsidR="00000000" w:rsidRDefault="00832D71">
            <w:pPr>
              <w:rPr>
                <w:rFonts w:eastAsia="Times New Roman"/>
                <w:sz w:val="20"/>
                <w:szCs w:val="20"/>
              </w:rPr>
            </w:pPr>
          </w:p>
        </w:tc>
        <w:tc>
          <w:tcPr>
            <w:tcW w:w="50" w:type="pct"/>
            <w:vAlign w:val="center"/>
            <w:hideMark/>
          </w:tcPr>
          <w:p w14:paraId="28DF5F2C" w14:textId="77777777" w:rsidR="00000000" w:rsidRDefault="00832D71">
            <w:pPr>
              <w:rPr>
                <w:rFonts w:eastAsia="Times New Roman"/>
                <w:sz w:val="20"/>
                <w:szCs w:val="20"/>
              </w:rPr>
            </w:pPr>
          </w:p>
        </w:tc>
        <w:tc>
          <w:tcPr>
            <w:tcW w:w="841" w:type="pct"/>
            <w:vAlign w:val="center"/>
            <w:hideMark/>
          </w:tcPr>
          <w:p w14:paraId="1C52D8A7" w14:textId="77777777" w:rsidR="00000000" w:rsidRDefault="00832D71">
            <w:pPr>
              <w:rPr>
                <w:rFonts w:eastAsia="Times New Roman"/>
                <w:sz w:val="20"/>
                <w:szCs w:val="20"/>
              </w:rPr>
            </w:pPr>
          </w:p>
        </w:tc>
        <w:tc>
          <w:tcPr>
            <w:tcW w:w="50" w:type="pct"/>
            <w:vAlign w:val="center"/>
            <w:hideMark/>
          </w:tcPr>
          <w:p w14:paraId="314E44F4" w14:textId="77777777" w:rsidR="00000000" w:rsidRDefault="00832D71">
            <w:pPr>
              <w:rPr>
                <w:rFonts w:eastAsia="Times New Roman"/>
                <w:sz w:val="20"/>
                <w:szCs w:val="20"/>
              </w:rPr>
            </w:pPr>
          </w:p>
        </w:tc>
        <w:tc>
          <w:tcPr>
            <w:tcW w:w="100" w:type="pct"/>
            <w:vAlign w:val="center"/>
            <w:hideMark/>
          </w:tcPr>
          <w:p w14:paraId="22B806A8" w14:textId="77777777" w:rsidR="00000000" w:rsidRDefault="00832D71">
            <w:pPr>
              <w:rPr>
                <w:rFonts w:eastAsia="Times New Roman"/>
                <w:sz w:val="20"/>
                <w:szCs w:val="20"/>
              </w:rPr>
            </w:pPr>
          </w:p>
        </w:tc>
        <w:tc>
          <w:tcPr>
            <w:tcW w:w="917" w:type="pct"/>
            <w:vAlign w:val="center"/>
            <w:hideMark/>
          </w:tcPr>
          <w:p w14:paraId="08E40F7C" w14:textId="77777777" w:rsidR="00000000" w:rsidRDefault="00832D71">
            <w:pPr>
              <w:rPr>
                <w:rFonts w:eastAsia="Times New Roman"/>
                <w:sz w:val="20"/>
                <w:szCs w:val="20"/>
              </w:rPr>
            </w:pPr>
          </w:p>
        </w:tc>
      </w:tr>
      <w:tr w:rsidR="00000000" w14:paraId="779F3F8D" w14:textId="77777777">
        <w:trPr>
          <w:trHeight w:val="160"/>
          <w:tblCellSpacing w:w="15" w:type="dxa"/>
        </w:trPr>
        <w:tc>
          <w:tcPr>
            <w:tcW w:w="0" w:type="auto"/>
            <w:vAlign w:val="bottom"/>
            <w:hideMark/>
          </w:tcPr>
          <w:p w14:paraId="262B4B86" w14:textId="77777777" w:rsidR="00000000" w:rsidRDefault="00832D71">
            <w:pPr>
              <w:pStyle w:val="a3"/>
              <w:spacing w:before="0" w:beforeAutospacing="0" w:after="0" w:afterAutospacing="0"/>
              <w:jc w:val="center"/>
              <w:rPr>
                <w:sz w:val="16"/>
                <w:szCs w:val="16"/>
              </w:rPr>
            </w:pPr>
            <w:r>
              <w:rPr>
                <w:b/>
                <w:bCs/>
                <w:sz w:val="16"/>
                <w:szCs w:val="16"/>
              </w:rPr>
              <w:t>Name of Beneficial Owne</w:t>
            </w:r>
            <w:r>
              <w:rPr>
                <w:b/>
                <w:bCs/>
                <w:sz w:val="16"/>
                <w:szCs w:val="16"/>
              </w:rPr>
              <w:t>r</w:t>
            </w:r>
          </w:p>
        </w:tc>
        <w:tc>
          <w:tcPr>
            <w:tcW w:w="0" w:type="auto"/>
            <w:vAlign w:val="bottom"/>
            <w:hideMark/>
          </w:tcPr>
          <w:p w14:paraId="65FD26C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BC564A1" w14:textId="77777777" w:rsidR="00000000" w:rsidRDefault="00832D71">
            <w:pPr>
              <w:pStyle w:val="a3"/>
              <w:spacing w:before="0" w:beforeAutospacing="0" w:after="0" w:afterAutospacing="0"/>
              <w:jc w:val="center"/>
              <w:rPr>
                <w:sz w:val="16"/>
                <w:szCs w:val="16"/>
              </w:rPr>
            </w:pPr>
            <w:r>
              <w:rPr>
                <w:b/>
                <w:bCs/>
                <w:sz w:val="16"/>
                <w:szCs w:val="16"/>
              </w:rPr>
              <w:t>Amount and Nature of Beneficial Ownership (1</w:t>
            </w:r>
            <w:r>
              <w:rPr>
                <w:b/>
                <w:bCs/>
                <w:sz w:val="16"/>
                <w:szCs w:val="16"/>
              </w:rPr>
              <w:t>)</w:t>
            </w:r>
          </w:p>
        </w:tc>
        <w:tc>
          <w:tcPr>
            <w:tcW w:w="0" w:type="auto"/>
            <w:vAlign w:val="bottom"/>
            <w:hideMark/>
          </w:tcPr>
          <w:p w14:paraId="1EB2412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779D4F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7EB4412" w14:textId="77777777" w:rsidR="00000000" w:rsidRDefault="00832D71">
            <w:pPr>
              <w:pStyle w:val="a3"/>
              <w:spacing w:before="0" w:beforeAutospacing="0" w:after="0" w:afterAutospacing="0"/>
              <w:jc w:val="center"/>
              <w:rPr>
                <w:sz w:val="16"/>
                <w:szCs w:val="16"/>
              </w:rPr>
            </w:pPr>
            <w:r>
              <w:rPr>
                <w:b/>
                <w:bCs/>
                <w:sz w:val="16"/>
                <w:szCs w:val="16"/>
              </w:rPr>
              <w:t>Percent of Class (2</w:t>
            </w:r>
            <w:r>
              <w:rPr>
                <w:b/>
                <w:bCs/>
                <w:sz w:val="16"/>
                <w:szCs w:val="16"/>
              </w:rPr>
              <w:t>)</w:t>
            </w:r>
          </w:p>
        </w:tc>
      </w:tr>
      <w:tr w:rsidR="00000000" w14:paraId="1753F9CF" w14:textId="77777777">
        <w:trPr>
          <w:trHeight w:val="200"/>
          <w:tblCellSpacing w:w="15" w:type="dxa"/>
        </w:trPr>
        <w:tc>
          <w:tcPr>
            <w:tcW w:w="0" w:type="auto"/>
            <w:vAlign w:val="bottom"/>
            <w:hideMark/>
          </w:tcPr>
          <w:p w14:paraId="3355FC55" w14:textId="77777777" w:rsidR="00000000" w:rsidRDefault="00832D71">
            <w:pPr>
              <w:pStyle w:val="a3"/>
              <w:spacing w:before="0" w:beforeAutospacing="0" w:after="0" w:afterAutospacing="0"/>
              <w:rPr>
                <w:sz w:val="20"/>
                <w:szCs w:val="20"/>
              </w:rPr>
            </w:pPr>
            <w:r>
              <w:rPr>
                <w:sz w:val="20"/>
                <w:szCs w:val="20"/>
              </w:rPr>
              <w:t>Invesco Ltd. (a</w:t>
            </w:r>
            <w:r>
              <w:rPr>
                <w:sz w:val="20"/>
                <w:szCs w:val="20"/>
              </w:rPr>
              <w:t>)</w:t>
            </w:r>
          </w:p>
        </w:tc>
        <w:tc>
          <w:tcPr>
            <w:tcW w:w="0" w:type="auto"/>
            <w:vAlign w:val="bottom"/>
            <w:hideMark/>
          </w:tcPr>
          <w:p w14:paraId="04BE295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E43B32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63C0DB8" w14:textId="77777777" w:rsidR="00000000" w:rsidRDefault="00832D71">
            <w:pPr>
              <w:pStyle w:val="a3"/>
              <w:spacing w:before="0" w:beforeAutospacing="0" w:after="0" w:afterAutospacing="0"/>
              <w:jc w:val="right"/>
              <w:rPr>
                <w:sz w:val="20"/>
                <w:szCs w:val="20"/>
              </w:rPr>
            </w:pPr>
            <w:r>
              <w:rPr>
                <w:sz w:val="20"/>
                <w:szCs w:val="20"/>
              </w:rPr>
              <w:t>4,301,69</w:t>
            </w:r>
            <w:r>
              <w:rPr>
                <w:sz w:val="20"/>
                <w:szCs w:val="20"/>
              </w:rPr>
              <w:t>9</w:t>
            </w:r>
          </w:p>
        </w:tc>
        <w:tc>
          <w:tcPr>
            <w:tcW w:w="0" w:type="auto"/>
            <w:noWrap/>
            <w:vAlign w:val="bottom"/>
            <w:hideMark/>
          </w:tcPr>
          <w:p w14:paraId="58E73B0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9D0B76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718391E" w14:textId="77777777" w:rsidR="00000000" w:rsidRDefault="00832D71">
            <w:pPr>
              <w:pStyle w:val="a3"/>
              <w:spacing w:before="0" w:beforeAutospacing="0" w:after="0" w:afterAutospacing="0"/>
              <w:jc w:val="center"/>
              <w:rPr>
                <w:sz w:val="20"/>
                <w:szCs w:val="20"/>
              </w:rPr>
            </w:pPr>
            <w:r>
              <w:rPr>
                <w:sz w:val="20"/>
                <w:szCs w:val="20"/>
              </w:rPr>
              <w:t>6.8</w:t>
            </w:r>
            <w:r>
              <w:rPr>
                <w:sz w:val="20"/>
                <w:szCs w:val="20"/>
              </w:rPr>
              <w:t>%</w:t>
            </w:r>
          </w:p>
        </w:tc>
      </w:tr>
      <w:tr w:rsidR="00000000" w14:paraId="5EAD1A10" w14:textId="77777777">
        <w:trPr>
          <w:trHeight w:val="200"/>
          <w:tblCellSpacing w:w="15" w:type="dxa"/>
        </w:trPr>
        <w:tc>
          <w:tcPr>
            <w:tcW w:w="0" w:type="auto"/>
            <w:hideMark/>
          </w:tcPr>
          <w:p w14:paraId="0BA33FBC" w14:textId="77777777" w:rsidR="00000000" w:rsidRDefault="00832D71">
            <w:pPr>
              <w:pStyle w:val="a3"/>
              <w:spacing w:before="0" w:beforeAutospacing="0" w:after="0" w:afterAutospacing="0"/>
              <w:rPr>
                <w:sz w:val="20"/>
                <w:szCs w:val="20"/>
              </w:rPr>
            </w:pPr>
            <w:r>
              <w:rPr>
                <w:sz w:val="20"/>
                <w:szCs w:val="20"/>
              </w:rPr>
              <w:t>Michael A. Stivala (b</w:t>
            </w:r>
            <w:r>
              <w:rPr>
                <w:sz w:val="20"/>
                <w:szCs w:val="20"/>
              </w:rPr>
              <w:t>)</w:t>
            </w:r>
          </w:p>
        </w:tc>
        <w:tc>
          <w:tcPr>
            <w:tcW w:w="0" w:type="auto"/>
            <w:hideMark/>
          </w:tcPr>
          <w:p w14:paraId="10D0D85B"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3708D25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87AC8D8" w14:textId="77777777" w:rsidR="00000000" w:rsidRDefault="00832D71">
            <w:pPr>
              <w:pStyle w:val="a3"/>
              <w:spacing w:before="0" w:beforeAutospacing="0" w:after="0" w:afterAutospacing="0"/>
              <w:jc w:val="right"/>
              <w:rPr>
                <w:sz w:val="20"/>
                <w:szCs w:val="20"/>
              </w:rPr>
            </w:pPr>
            <w:r>
              <w:rPr>
                <w:sz w:val="20"/>
                <w:szCs w:val="20"/>
              </w:rPr>
              <w:t>196,23</w:t>
            </w:r>
            <w:r>
              <w:rPr>
                <w:sz w:val="20"/>
                <w:szCs w:val="20"/>
              </w:rPr>
              <w:t>9</w:t>
            </w:r>
          </w:p>
        </w:tc>
        <w:tc>
          <w:tcPr>
            <w:tcW w:w="0" w:type="auto"/>
            <w:noWrap/>
            <w:hideMark/>
          </w:tcPr>
          <w:p w14:paraId="4977F3D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9D3469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948F35D" w14:textId="77777777" w:rsidR="00000000" w:rsidRDefault="00832D71">
            <w:pPr>
              <w:pStyle w:val="a3"/>
              <w:spacing w:before="0" w:beforeAutospacing="0" w:after="0" w:afterAutospacing="0"/>
              <w:jc w:val="center"/>
              <w:rPr>
                <w:sz w:val="20"/>
                <w:szCs w:val="20"/>
              </w:rPr>
            </w:pPr>
            <w:r>
              <w:rPr>
                <w:sz w:val="20"/>
                <w:szCs w:val="20"/>
              </w:rPr>
              <w:t>*</w:t>
            </w:r>
          </w:p>
        </w:tc>
      </w:tr>
      <w:tr w:rsidR="00000000" w14:paraId="24425394" w14:textId="77777777">
        <w:trPr>
          <w:trHeight w:val="200"/>
          <w:tblCellSpacing w:w="15" w:type="dxa"/>
        </w:trPr>
        <w:tc>
          <w:tcPr>
            <w:tcW w:w="0" w:type="auto"/>
            <w:hideMark/>
          </w:tcPr>
          <w:p w14:paraId="31CDCB81" w14:textId="77777777" w:rsidR="00000000" w:rsidRDefault="00832D71">
            <w:pPr>
              <w:pStyle w:val="a3"/>
              <w:spacing w:before="0" w:beforeAutospacing="0" w:after="0" w:afterAutospacing="0"/>
              <w:rPr>
                <w:sz w:val="20"/>
                <w:szCs w:val="20"/>
              </w:rPr>
            </w:pPr>
            <w:r>
              <w:rPr>
                <w:sz w:val="20"/>
                <w:szCs w:val="20"/>
              </w:rPr>
              <w:t>Michael A. Kuglin (c</w:t>
            </w:r>
            <w:r>
              <w:rPr>
                <w:sz w:val="20"/>
                <w:szCs w:val="20"/>
              </w:rPr>
              <w:t>)</w:t>
            </w:r>
          </w:p>
        </w:tc>
        <w:tc>
          <w:tcPr>
            <w:tcW w:w="0" w:type="auto"/>
            <w:hideMark/>
          </w:tcPr>
          <w:p w14:paraId="3F04D8B9"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37FB084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47941D1" w14:textId="77777777" w:rsidR="00000000" w:rsidRDefault="00832D71">
            <w:pPr>
              <w:pStyle w:val="a3"/>
              <w:spacing w:before="0" w:beforeAutospacing="0" w:after="0" w:afterAutospacing="0"/>
              <w:jc w:val="right"/>
              <w:rPr>
                <w:sz w:val="20"/>
                <w:szCs w:val="20"/>
              </w:rPr>
            </w:pPr>
            <w:r>
              <w:rPr>
                <w:sz w:val="20"/>
                <w:szCs w:val="20"/>
              </w:rPr>
              <w:t>93,03</w:t>
            </w:r>
            <w:r>
              <w:rPr>
                <w:sz w:val="20"/>
                <w:szCs w:val="20"/>
              </w:rPr>
              <w:t>3</w:t>
            </w:r>
          </w:p>
        </w:tc>
        <w:tc>
          <w:tcPr>
            <w:tcW w:w="0" w:type="auto"/>
            <w:noWrap/>
            <w:hideMark/>
          </w:tcPr>
          <w:p w14:paraId="2ADEC75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F923B5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7FB06D7" w14:textId="77777777" w:rsidR="00000000" w:rsidRDefault="00832D71">
            <w:pPr>
              <w:pStyle w:val="a3"/>
              <w:spacing w:before="0" w:beforeAutospacing="0" w:after="0" w:afterAutospacing="0"/>
              <w:jc w:val="center"/>
              <w:rPr>
                <w:sz w:val="20"/>
                <w:szCs w:val="20"/>
              </w:rPr>
            </w:pPr>
            <w:r>
              <w:rPr>
                <w:sz w:val="20"/>
                <w:szCs w:val="20"/>
              </w:rPr>
              <w:t>*</w:t>
            </w:r>
          </w:p>
        </w:tc>
      </w:tr>
      <w:tr w:rsidR="00000000" w14:paraId="0E6288E7" w14:textId="77777777">
        <w:trPr>
          <w:trHeight w:val="200"/>
          <w:tblCellSpacing w:w="15" w:type="dxa"/>
        </w:trPr>
        <w:tc>
          <w:tcPr>
            <w:tcW w:w="0" w:type="auto"/>
            <w:hideMark/>
          </w:tcPr>
          <w:p w14:paraId="1F8D16B4" w14:textId="77777777" w:rsidR="00000000" w:rsidRDefault="00832D71">
            <w:pPr>
              <w:pStyle w:val="a3"/>
              <w:spacing w:before="0" w:beforeAutospacing="0" w:after="0" w:afterAutospacing="0"/>
              <w:rPr>
                <w:sz w:val="20"/>
                <w:szCs w:val="20"/>
              </w:rPr>
            </w:pPr>
            <w:r>
              <w:rPr>
                <w:sz w:val="20"/>
                <w:szCs w:val="20"/>
              </w:rPr>
              <w:t>Steven C. Boyd (c</w:t>
            </w:r>
            <w:r>
              <w:rPr>
                <w:sz w:val="20"/>
                <w:szCs w:val="20"/>
              </w:rPr>
              <w:t>)</w:t>
            </w:r>
          </w:p>
        </w:tc>
        <w:tc>
          <w:tcPr>
            <w:tcW w:w="0" w:type="auto"/>
            <w:hideMark/>
          </w:tcPr>
          <w:p w14:paraId="02ACCB3D"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39FDA07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2014BF2" w14:textId="77777777" w:rsidR="00000000" w:rsidRDefault="00832D71">
            <w:pPr>
              <w:pStyle w:val="a3"/>
              <w:spacing w:before="0" w:beforeAutospacing="0" w:after="0" w:afterAutospacing="0"/>
              <w:jc w:val="right"/>
              <w:rPr>
                <w:sz w:val="20"/>
                <w:szCs w:val="20"/>
              </w:rPr>
            </w:pPr>
            <w:r>
              <w:rPr>
                <w:sz w:val="20"/>
                <w:szCs w:val="20"/>
              </w:rPr>
              <w:t>127,26</w:t>
            </w:r>
            <w:r>
              <w:rPr>
                <w:sz w:val="20"/>
                <w:szCs w:val="20"/>
              </w:rPr>
              <w:t>9</w:t>
            </w:r>
          </w:p>
        </w:tc>
        <w:tc>
          <w:tcPr>
            <w:tcW w:w="0" w:type="auto"/>
            <w:noWrap/>
            <w:hideMark/>
          </w:tcPr>
          <w:p w14:paraId="16CB708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5A907A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097108C" w14:textId="77777777" w:rsidR="00000000" w:rsidRDefault="00832D71">
            <w:pPr>
              <w:pStyle w:val="a3"/>
              <w:spacing w:before="0" w:beforeAutospacing="0" w:after="0" w:afterAutospacing="0"/>
              <w:jc w:val="center"/>
              <w:rPr>
                <w:sz w:val="20"/>
                <w:szCs w:val="20"/>
              </w:rPr>
            </w:pPr>
            <w:r>
              <w:rPr>
                <w:sz w:val="20"/>
                <w:szCs w:val="20"/>
              </w:rPr>
              <w:t>*</w:t>
            </w:r>
          </w:p>
        </w:tc>
      </w:tr>
      <w:tr w:rsidR="00000000" w14:paraId="6671DFD1" w14:textId="77777777">
        <w:trPr>
          <w:trHeight w:val="200"/>
          <w:tblCellSpacing w:w="15" w:type="dxa"/>
        </w:trPr>
        <w:tc>
          <w:tcPr>
            <w:tcW w:w="0" w:type="auto"/>
            <w:hideMark/>
          </w:tcPr>
          <w:p w14:paraId="752AC8AD" w14:textId="77777777" w:rsidR="00000000" w:rsidRDefault="00832D71">
            <w:pPr>
              <w:pStyle w:val="a3"/>
              <w:spacing w:before="0" w:beforeAutospacing="0" w:after="0" w:afterAutospacing="0"/>
              <w:rPr>
                <w:sz w:val="20"/>
                <w:szCs w:val="20"/>
              </w:rPr>
            </w:pPr>
            <w:r>
              <w:rPr>
                <w:sz w:val="20"/>
                <w:szCs w:val="20"/>
              </w:rPr>
              <w:t>Douglas T. Brinkworth (d</w:t>
            </w:r>
            <w:r>
              <w:rPr>
                <w:sz w:val="20"/>
                <w:szCs w:val="20"/>
              </w:rPr>
              <w:t>)</w:t>
            </w:r>
          </w:p>
        </w:tc>
        <w:tc>
          <w:tcPr>
            <w:tcW w:w="0" w:type="auto"/>
            <w:hideMark/>
          </w:tcPr>
          <w:p w14:paraId="05618EFC"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0AB7100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BEE6BAE" w14:textId="77777777" w:rsidR="00000000" w:rsidRDefault="00832D71">
            <w:pPr>
              <w:pStyle w:val="a3"/>
              <w:spacing w:before="0" w:beforeAutospacing="0" w:after="0" w:afterAutospacing="0"/>
              <w:jc w:val="right"/>
              <w:rPr>
                <w:sz w:val="20"/>
                <w:szCs w:val="20"/>
              </w:rPr>
            </w:pPr>
            <w:r>
              <w:rPr>
                <w:sz w:val="20"/>
                <w:szCs w:val="20"/>
              </w:rPr>
              <w:t>101,34</w:t>
            </w:r>
            <w:r>
              <w:rPr>
                <w:sz w:val="20"/>
                <w:szCs w:val="20"/>
              </w:rPr>
              <w:t>3</w:t>
            </w:r>
          </w:p>
        </w:tc>
        <w:tc>
          <w:tcPr>
            <w:tcW w:w="0" w:type="auto"/>
            <w:noWrap/>
            <w:hideMark/>
          </w:tcPr>
          <w:p w14:paraId="74A5C03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5CBB4D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2E5015B" w14:textId="77777777" w:rsidR="00000000" w:rsidRDefault="00832D71">
            <w:pPr>
              <w:pStyle w:val="a3"/>
              <w:spacing w:before="0" w:beforeAutospacing="0" w:after="0" w:afterAutospacing="0"/>
              <w:jc w:val="center"/>
              <w:rPr>
                <w:sz w:val="20"/>
                <w:szCs w:val="20"/>
              </w:rPr>
            </w:pPr>
            <w:r>
              <w:rPr>
                <w:sz w:val="20"/>
                <w:szCs w:val="20"/>
              </w:rPr>
              <w:t>*</w:t>
            </w:r>
          </w:p>
        </w:tc>
      </w:tr>
      <w:tr w:rsidR="00000000" w14:paraId="11C09F79" w14:textId="77777777">
        <w:trPr>
          <w:trHeight w:val="200"/>
          <w:tblCellSpacing w:w="15" w:type="dxa"/>
        </w:trPr>
        <w:tc>
          <w:tcPr>
            <w:tcW w:w="0" w:type="auto"/>
            <w:hideMark/>
          </w:tcPr>
          <w:p w14:paraId="39A43403" w14:textId="77777777" w:rsidR="00000000" w:rsidRDefault="00832D71">
            <w:pPr>
              <w:pStyle w:val="a3"/>
              <w:spacing w:before="0" w:beforeAutospacing="0" w:after="0" w:afterAutospacing="0"/>
              <w:rPr>
                <w:sz w:val="20"/>
                <w:szCs w:val="20"/>
              </w:rPr>
            </w:pPr>
            <w:r>
              <w:rPr>
                <w:sz w:val="20"/>
                <w:szCs w:val="20"/>
              </w:rPr>
              <w:t>Neil Scanlon (e</w:t>
            </w:r>
            <w:r>
              <w:rPr>
                <w:sz w:val="20"/>
                <w:szCs w:val="20"/>
              </w:rPr>
              <w:t>)</w:t>
            </w:r>
          </w:p>
        </w:tc>
        <w:tc>
          <w:tcPr>
            <w:tcW w:w="0" w:type="auto"/>
            <w:hideMark/>
          </w:tcPr>
          <w:p w14:paraId="6B6C1DD2"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2DC0ED1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D5533B2" w14:textId="77777777" w:rsidR="00000000" w:rsidRDefault="00832D71">
            <w:pPr>
              <w:pStyle w:val="a3"/>
              <w:spacing w:before="0" w:beforeAutospacing="0" w:after="0" w:afterAutospacing="0"/>
              <w:jc w:val="right"/>
              <w:rPr>
                <w:sz w:val="20"/>
                <w:szCs w:val="20"/>
              </w:rPr>
            </w:pPr>
            <w:r>
              <w:rPr>
                <w:sz w:val="20"/>
                <w:szCs w:val="20"/>
              </w:rPr>
              <w:t>112,01</w:t>
            </w:r>
            <w:r>
              <w:rPr>
                <w:sz w:val="20"/>
                <w:szCs w:val="20"/>
              </w:rPr>
              <w:t>4</w:t>
            </w:r>
          </w:p>
        </w:tc>
        <w:tc>
          <w:tcPr>
            <w:tcW w:w="0" w:type="auto"/>
            <w:noWrap/>
            <w:hideMark/>
          </w:tcPr>
          <w:p w14:paraId="28AD1C6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427E5C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9A7B466" w14:textId="77777777" w:rsidR="00000000" w:rsidRDefault="00832D71">
            <w:pPr>
              <w:pStyle w:val="a3"/>
              <w:spacing w:before="0" w:beforeAutospacing="0" w:after="0" w:afterAutospacing="0"/>
              <w:jc w:val="center"/>
              <w:rPr>
                <w:sz w:val="20"/>
                <w:szCs w:val="20"/>
              </w:rPr>
            </w:pPr>
            <w:r>
              <w:rPr>
                <w:sz w:val="20"/>
                <w:szCs w:val="20"/>
              </w:rPr>
              <w:t>*</w:t>
            </w:r>
          </w:p>
        </w:tc>
      </w:tr>
      <w:tr w:rsidR="00000000" w14:paraId="61944021" w14:textId="77777777">
        <w:trPr>
          <w:trHeight w:val="200"/>
          <w:tblCellSpacing w:w="15" w:type="dxa"/>
        </w:trPr>
        <w:tc>
          <w:tcPr>
            <w:tcW w:w="0" w:type="auto"/>
            <w:hideMark/>
          </w:tcPr>
          <w:p w14:paraId="25B2A672" w14:textId="77777777" w:rsidR="00000000" w:rsidRDefault="00832D71">
            <w:pPr>
              <w:pStyle w:val="a3"/>
              <w:spacing w:before="0" w:beforeAutospacing="0" w:after="0" w:afterAutospacing="0"/>
              <w:rPr>
                <w:sz w:val="20"/>
                <w:szCs w:val="20"/>
              </w:rPr>
            </w:pPr>
            <w:r>
              <w:rPr>
                <w:sz w:val="20"/>
                <w:szCs w:val="20"/>
              </w:rPr>
              <w:t>Matthew J. Chanin (f</w:t>
            </w:r>
            <w:r>
              <w:rPr>
                <w:sz w:val="20"/>
                <w:szCs w:val="20"/>
              </w:rPr>
              <w:t>)</w:t>
            </w:r>
          </w:p>
        </w:tc>
        <w:tc>
          <w:tcPr>
            <w:tcW w:w="0" w:type="auto"/>
            <w:hideMark/>
          </w:tcPr>
          <w:p w14:paraId="51A833D0"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3CD8889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9FC83AF" w14:textId="77777777" w:rsidR="00000000" w:rsidRDefault="00832D71">
            <w:pPr>
              <w:pStyle w:val="a3"/>
              <w:spacing w:before="0" w:beforeAutospacing="0" w:after="0" w:afterAutospacing="0"/>
              <w:jc w:val="right"/>
              <w:rPr>
                <w:sz w:val="20"/>
                <w:szCs w:val="20"/>
              </w:rPr>
            </w:pPr>
            <w:r>
              <w:rPr>
                <w:sz w:val="20"/>
                <w:szCs w:val="20"/>
              </w:rPr>
              <w:t>46,56</w:t>
            </w:r>
            <w:r>
              <w:rPr>
                <w:sz w:val="20"/>
                <w:szCs w:val="20"/>
              </w:rPr>
              <w:t>7</w:t>
            </w:r>
          </w:p>
        </w:tc>
        <w:tc>
          <w:tcPr>
            <w:tcW w:w="0" w:type="auto"/>
            <w:noWrap/>
            <w:hideMark/>
          </w:tcPr>
          <w:p w14:paraId="4754BC5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8C9774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3F177F9" w14:textId="77777777" w:rsidR="00000000" w:rsidRDefault="00832D71">
            <w:pPr>
              <w:pStyle w:val="a3"/>
              <w:spacing w:before="0" w:beforeAutospacing="0" w:after="0" w:afterAutospacing="0"/>
              <w:jc w:val="center"/>
              <w:rPr>
                <w:sz w:val="20"/>
                <w:szCs w:val="20"/>
              </w:rPr>
            </w:pPr>
            <w:r>
              <w:rPr>
                <w:sz w:val="20"/>
                <w:szCs w:val="20"/>
              </w:rPr>
              <w:t>*</w:t>
            </w:r>
          </w:p>
        </w:tc>
      </w:tr>
      <w:tr w:rsidR="00000000" w14:paraId="39455D80" w14:textId="77777777">
        <w:trPr>
          <w:trHeight w:val="200"/>
          <w:tblCellSpacing w:w="15" w:type="dxa"/>
        </w:trPr>
        <w:tc>
          <w:tcPr>
            <w:tcW w:w="0" w:type="auto"/>
            <w:hideMark/>
          </w:tcPr>
          <w:p w14:paraId="0F6D266E" w14:textId="77777777" w:rsidR="00000000" w:rsidRDefault="00832D71">
            <w:pPr>
              <w:pStyle w:val="a3"/>
              <w:spacing w:before="0" w:beforeAutospacing="0" w:after="0" w:afterAutospacing="0"/>
              <w:rPr>
                <w:sz w:val="20"/>
                <w:szCs w:val="20"/>
              </w:rPr>
            </w:pPr>
            <w:r>
              <w:rPr>
                <w:sz w:val="20"/>
                <w:szCs w:val="20"/>
              </w:rPr>
              <w:t>Harold R. Logan, Jr. (g</w:t>
            </w:r>
            <w:r>
              <w:rPr>
                <w:sz w:val="20"/>
                <w:szCs w:val="20"/>
              </w:rPr>
              <w:t>)</w:t>
            </w:r>
          </w:p>
        </w:tc>
        <w:tc>
          <w:tcPr>
            <w:tcW w:w="0" w:type="auto"/>
            <w:hideMark/>
          </w:tcPr>
          <w:p w14:paraId="696807C6"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6FF318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71B4EBA" w14:textId="77777777" w:rsidR="00000000" w:rsidRDefault="00832D71">
            <w:pPr>
              <w:pStyle w:val="a3"/>
              <w:spacing w:before="0" w:beforeAutospacing="0" w:after="0" w:afterAutospacing="0"/>
              <w:jc w:val="right"/>
              <w:rPr>
                <w:sz w:val="20"/>
                <w:szCs w:val="20"/>
              </w:rPr>
            </w:pPr>
            <w:r>
              <w:rPr>
                <w:sz w:val="20"/>
                <w:szCs w:val="20"/>
              </w:rPr>
              <w:t>32,03</w:t>
            </w:r>
            <w:r>
              <w:rPr>
                <w:sz w:val="20"/>
                <w:szCs w:val="20"/>
              </w:rPr>
              <w:t>8</w:t>
            </w:r>
          </w:p>
        </w:tc>
        <w:tc>
          <w:tcPr>
            <w:tcW w:w="0" w:type="auto"/>
            <w:noWrap/>
            <w:hideMark/>
          </w:tcPr>
          <w:p w14:paraId="0DA7EAC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DE6600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9FFE6C9" w14:textId="77777777" w:rsidR="00000000" w:rsidRDefault="00832D71">
            <w:pPr>
              <w:pStyle w:val="a3"/>
              <w:spacing w:before="0" w:beforeAutospacing="0" w:after="0" w:afterAutospacing="0"/>
              <w:jc w:val="center"/>
              <w:rPr>
                <w:sz w:val="20"/>
                <w:szCs w:val="20"/>
              </w:rPr>
            </w:pPr>
            <w:r>
              <w:rPr>
                <w:sz w:val="20"/>
                <w:szCs w:val="20"/>
              </w:rPr>
              <w:t>*</w:t>
            </w:r>
          </w:p>
        </w:tc>
      </w:tr>
      <w:tr w:rsidR="00000000" w14:paraId="77478829" w14:textId="77777777">
        <w:trPr>
          <w:trHeight w:val="200"/>
          <w:tblCellSpacing w:w="15" w:type="dxa"/>
        </w:trPr>
        <w:tc>
          <w:tcPr>
            <w:tcW w:w="0" w:type="auto"/>
            <w:hideMark/>
          </w:tcPr>
          <w:p w14:paraId="3520BEFC" w14:textId="77777777" w:rsidR="00000000" w:rsidRDefault="00832D71">
            <w:pPr>
              <w:pStyle w:val="a3"/>
              <w:spacing w:before="0" w:beforeAutospacing="0" w:after="0" w:afterAutospacing="0"/>
              <w:rPr>
                <w:sz w:val="20"/>
                <w:szCs w:val="20"/>
              </w:rPr>
            </w:pPr>
            <w:r>
              <w:rPr>
                <w:sz w:val="20"/>
                <w:szCs w:val="20"/>
              </w:rPr>
              <w:t>Jane Swift (g</w:t>
            </w:r>
            <w:r>
              <w:rPr>
                <w:sz w:val="20"/>
                <w:szCs w:val="20"/>
              </w:rPr>
              <w:t>)</w:t>
            </w:r>
          </w:p>
        </w:tc>
        <w:tc>
          <w:tcPr>
            <w:tcW w:w="0" w:type="auto"/>
            <w:hideMark/>
          </w:tcPr>
          <w:p w14:paraId="444B87F6"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20ABCDF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A09889E" w14:textId="77777777" w:rsidR="00000000" w:rsidRDefault="00832D71">
            <w:pPr>
              <w:pStyle w:val="a3"/>
              <w:spacing w:before="0" w:beforeAutospacing="0" w:after="0" w:afterAutospacing="0"/>
              <w:jc w:val="right"/>
              <w:rPr>
                <w:sz w:val="20"/>
                <w:szCs w:val="20"/>
              </w:rPr>
            </w:pPr>
            <w:r>
              <w:rPr>
                <w:sz w:val="20"/>
                <w:szCs w:val="20"/>
              </w:rPr>
              <w:t>16,25</w:t>
            </w:r>
            <w:r>
              <w:rPr>
                <w:sz w:val="20"/>
                <w:szCs w:val="20"/>
              </w:rPr>
              <w:t>8</w:t>
            </w:r>
          </w:p>
        </w:tc>
        <w:tc>
          <w:tcPr>
            <w:tcW w:w="0" w:type="auto"/>
            <w:noWrap/>
            <w:hideMark/>
          </w:tcPr>
          <w:p w14:paraId="5ACB1A5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CBD9E9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17B03A4" w14:textId="77777777" w:rsidR="00000000" w:rsidRDefault="00832D71">
            <w:pPr>
              <w:pStyle w:val="a3"/>
              <w:spacing w:before="0" w:beforeAutospacing="0" w:after="0" w:afterAutospacing="0"/>
              <w:jc w:val="center"/>
              <w:rPr>
                <w:sz w:val="20"/>
                <w:szCs w:val="20"/>
              </w:rPr>
            </w:pPr>
            <w:r>
              <w:rPr>
                <w:sz w:val="20"/>
                <w:szCs w:val="20"/>
              </w:rPr>
              <w:t>*</w:t>
            </w:r>
          </w:p>
        </w:tc>
      </w:tr>
      <w:tr w:rsidR="00000000" w14:paraId="0A17359D" w14:textId="77777777">
        <w:trPr>
          <w:trHeight w:val="200"/>
          <w:tblCellSpacing w:w="15" w:type="dxa"/>
        </w:trPr>
        <w:tc>
          <w:tcPr>
            <w:tcW w:w="0" w:type="auto"/>
            <w:hideMark/>
          </w:tcPr>
          <w:p w14:paraId="0E3F8814" w14:textId="77777777" w:rsidR="00000000" w:rsidRDefault="00832D71">
            <w:pPr>
              <w:pStyle w:val="a3"/>
              <w:spacing w:before="0" w:beforeAutospacing="0" w:after="0" w:afterAutospacing="0"/>
              <w:rPr>
                <w:sz w:val="20"/>
                <w:szCs w:val="20"/>
              </w:rPr>
            </w:pPr>
            <w:r>
              <w:rPr>
                <w:sz w:val="20"/>
                <w:szCs w:val="20"/>
              </w:rPr>
              <w:t>Lawrence C. Caldwell (g</w:t>
            </w:r>
            <w:r>
              <w:rPr>
                <w:sz w:val="20"/>
                <w:szCs w:val="20"/>
              </w:rPr>
              <w:t>)</w:t>
            </w:r>
          </w:p>
        </w:tc>
        <w:tc>
          <w:tcPr>
            <w:tcW w:w="0" w:type="auto"/>
            <w:hideMark/>
          </w:tcPr>
          <w:p w14:paraId="3654326B"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71F13D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E488780" w14:textId="77777777" w:rsidR="00000000" w:rsidRDefault="00832D71">
            <w:pPr>
              <w:pStyle w:val="a3"/>
              <w:spacing w:before="0" w:beforeAutospacing="0" w:after="0" w:afterAutospacing="0"/>
              <w:jc w:val="right"/>
              <w:rPr>
                <w:sz w:val="20"/>
                <w:szCs w:val="20"/>
              </w:rPr>
            </w:pPr>
            <w:r>
              <w:rPr>
                <w:sz w:val="20"/>
                <w:szCs w:val="20"/>
              </w:rPr>
              <w:t>47,51</w:t>
            </w:r>
            <w:r>
              <w:rPr>
                <w:sz w:val="20"/>
                <w:szCs w:val="20"/>
              </w:rPr>
              <w:t>3</w:t>
            </w:r>
          </w:p>
        </w:tc>
        <w:tc>
          <w:tcPr>
            <w:tcW w:w="0" w:type="auto"/>
            <w:noWrap/>
            <w:hideMark/>
          </w:tcPr>
          <w:p w14:paraId="1F83316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70A6E6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63AD557" w14:textId="77777777" w:rsidR="00000000" w:rsidRDefault="00832D71">
            <w:pPr>
              <w:pStyle w:val="a3"/>
              <w:spacing w:before="0" w:beforeAutospacing="0" w:after="0" w:afterAutospacing="0"/>
              <w:jc w:val="center"/>
              <w:rPr>
                <w:sz w:val="20"/>
                <w:szCs w:val="20"/>
              </w:rPr>
            </w:pPr>
            <w:r>
              <w:rPr>
                <w:sz w:val="20"/>
                <w:szCs w:val="20"/>
              </w:rPr>
              <w:t>*</w:t>
            </w:r>
          </w:p>
        </w:tc>
      </w:tr>
      <w:tr w:rsidR="00000000" w14:paraId="3AC34317" w14:textId="77777777">
        <w:trPr>
          <w:trHeight w:val="200"/>
          <w:tblCellSpacing w:w="15" w:type="dxa"/>
        </w:trPr>
        <w:tc>
          <w:tcPr>
            <w:tcW w:w="0" w:type="auto"/>
            <w:hideMark/>
          </w:tcPr>
          <w:p w14:paraId="377074B1" w14:textId="77777777" w:rsidR="00000000" w:rsidRDefault="00832D71">
            <w:pPr>
              <w:pStyle w:val="a3"/>
              <w:spacing w:before="0" w:beforeAutospacing="0" w:after="0" w:afterAutospacing="0"/>
              <w:rPr>
                <w:sz w:val="20"/>
                <w:szCs w:val="20"/>
              </w:rPr>
            </w:pPr>
            <w:r>
              <w:rPr>
                <w:sz w:val="20"/>
                <w:szCs w:val="20"/>
              </w:rPr>
              <w:t>Terence J. Connors (g</w:t>
            </w:r>
            <w:r>
              <w:rPr>
                <w:sz w:val="20"/>
                <w:szCs w:val="20"/>
              </w:rPr>
              <w:t>)</w:t>
            </w:r>
          </w:p>
        </w:tc>
        <w:tc>
          <w:tcPr>
            <w:tcW w:w="0" w:type="auto"/>
            <w:hideMark/>
          </w:tcPr>
          <w:p w14:paraId="70398E07"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6B0A99A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0B67ADC" w14:textId="77777777" w:rsidR="00000000" w:rsidRDefault="00832D71">
            <w:pPr>
              <w:pStyle w:val="a3"/>
              <w:spacing w:before="0" w:beforeAutospacing="0" w:after="0" w:afterAutospacing="0"/>
              <w:jc w:val="right"/>
              <w:rPr>
                <w:sz w:val="20"/>
                <w:szCs w:val="20"/>
              </w:rPr>
            </w:pPr>
            <w:r>
              <w:rPr>
                <w:sz w:val="20"/>
                <w:szCs w:val="20"/>
              </w:rPr>
              <w:t>35,70</w:t>
            </w:r>
            <w:r>
              <w:rPr>
                <w:sz w:val="20"/>
                <w:szCs w:val="20"/>
              </w:rPr>
              <w:t>6</w:t>
            </w:r>
          </w:p>
        </w:tc>
        <w:tc>
          <w:tcPr>
            <w:tcW w:w="0" w:type="auto"/>
            <w:noWrap/>
            <w:hideMark/>
          </w:tcPr>
          <w:p w14:paraId="43940AE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1726C7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DB74448" w14:textId="77777777" w:rsidR="00000000" w:rsidRDefault="00832D71">
            <w:pPr>
              <w:pStyle w:val="a3"/>
              <w:spacing w:before="0" w:beforeAutospacing="0" w:after="0" w:afterAutospacing="0"/>
              <w:jc w:val="center"/>
              <w:rPr>
                <w:sz w:val="20"/>
                <w:szCs w:val="20"/>
              </w:rPr>
            </w:pPr>
            <w:r>
              <w:rPr>
                <w:sz w:val="20"/>
                <w:szCs w:val="20"/>
              </w:rPr>
              <w:t>*</w:t>
            </w:r>
          </w:p>
        </w:tc>
      </w:tr>
      <w:tr w:rsidR="00000000" w14:paraId="37F1F87F" w14:textId="77777777">
        <w:trPr>
          <w:trHeight w:val="200"/>
          <w:tblCellSpacing w:w="15" w:type="dxa"/>
        </w:trPr>
        <w:tc>
          <w:tcPr>
            <w:tcW w:w="0" w:type="auto"/>
            <w:hideMark/>
          </w:tcPr>
          <w:p w14:paraId="6FF1A763" w14:textId="77777777" w:rsidR="00000000" w:rsidRDefault="00832D71">
            <w:pPr>
              <w:pStyle w:val="a3"/>
              <w:spacing w:before="0" w:beforeAutospacing="0" w:after="0" w:afterAutospacing="0"/>
              <w:rPr>
                <w:sz w:val="20"/>
                <w:szCs w:val="20"/>
              </w:rPr>
            </w:pPr>
            <w:r>
              <w:rPr>
                <w:sz w:val="20"/>
                <w:szCs w:val="20"/>
              </w:rPr>
              <w:t>William M. Landuyt (g</w:t>
            </w:r>
            <w:r>
              <w:rPr>
                <w:sz w:val="20"/>
                <w:szCs w:val="20"/>
              </w:rPr>
              <w:t>)</w:t>
            </w:r>
          </w:p>
        </w:tc>
        <w:tc>
          <w:tcPr>
            <w:tcW w:w="0" w:type="auto"/>
            <w:hideMark/>
          </w:tcPr>
          <w:p w14:paraId="24AF7F98"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BBEC32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051C6AC" w14:textId="77777777" w:rsidR="00000000" w:rsidRDefault="00832D71">
            <w:pPr>
              <w:pStyle w:val="a3"/>
              <w:spacing w:before="0" w:beforeAutospacing="0" w:after="0" w:afterAutospacing="0"/>
              <w:jc w:val="right"/>
              <w:rPr>
                <w:sz w:val="20"/>
                <w:szCs w:val="20"/>
              </w:rPr>
            </w:pPr>
            <w:r>
              <w:rPr>
                <w:sz w:val="20"/>
                <w:szCs w:val="20"/>
              </w:rPr>
              <w:t>46,20</w:t>
            </w:r>
            <w:r>
              <w:rPr>
                <w:sz w:val="20"/>
                <w:szCs w:val="20"/>
              </w:rPr>
              <w:t>6</w:t>
            </w:r>
          </w:p>
        </w:tc>
        <w:tc>
          <w:tcPr>
            <w:tcW w:w="0" w:type="auto"/>
            <w:noWrap/>
            <w:hideMark/>
          </w:tcPr>
          <w:p w14:paraId="3C3F991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EE1C53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657234C" w14:textId="77777777" w:rsidR="00000000" w:rsidRDefault="00832D71">
            <w:pPr>
              <w:pStyle w:val="a3"/>
              <w:spacing w:before="0" w:beforeAutospacing="0" w:after="0" w:afterAutospacing="0"/>
              <w:jc w:val="center"/>
              <w:rPr>
                <w:sz w:val="20"/>
                <w:szCs w:val="20"/>
              </w:rPr>
            </w:pPr>
            <w:r>
              <w:rPr>
                <w:sz w:val="20"/>
                <w:szCs w:val="20"/>
              </w:rPr>
              <w:t>*</w:t>
            </w:r>
          </w:p>
        </w:tc>
      </w:tr>
      <w:tr w:rsidR="00000000" w14:paraId="500CE1B4" w14:textId="77777777">
        <w:trPr>
          <w:trHeight w:val="200"/>
          <w:tblCellSpacing w:w="15" w:type="dxa"/>
        </w:trPr>
        <w:tc>
          <w:tcPr>
            <w:tcW w:w="0" w:type="auto"/>
            <w:hideMark/>
          </w:tcPr>
          <w:p w14:paraId="58D6EA77" w14:textId="77777777" w:rsidR="00000000" w:rsidRDefault="00832D71">
            <w:pPr>
              <w:pStyle w:val="a3"/>
              <w:spacing w:before="0" w:beforeAutospacing="0" w:after="0" w:afterAutospacing="0"/>
              <w:rPr>
                <w:sz w:val="20"/>
                <w:szCs w:val="20"/>
              </w:rPr>
            </w:pPr>
            <w:r>
              <w:rPr>
                <w:sz w:val="20"/>
                <w:szCs w:val="20"/>
              </w:rPr>
              <w:t>All Members of the Board of Supervisors and</w:t>
            </w:r>
            <w:r>
              <w:rPr>
                <w:sz w:val="20"/>
                <w:szCs w:val="20"/>
              </w:rPr>
              <w:br/>
              <w:t>   Executive Officers, as a group (24 persons) (h</w:t>
            </w:r>
            <w:r>
              <w:rPr>
                <w:sz w:val="20"/>
                <w:szCs w:val="20"/>
              </w:rPr>
              <w:t>)</w:t>
            </w:r>
          </w:p>
        </w:tc>
        <w:tc>
          <w:tcPr>
            <w:tcW w:w="0" w:type="auto"/>
            <w:hideMark/>
          </w:tcPr>
          <w:p w14:paraId="47EDB84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5C2C4C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C049383" w14:textId="77777777" w:rsidR="00000000" w:rsidRDefault="00832D71">
            <w:pPr>
              <w:pStyle w:val="a3"/>
              <w:spacing w:before="0" w:beforeAutospacing="0" w:after="0" w:afterAutospacing="0"/>
              <w:jc w:val="right"/>
              <w:rPr>
                <w:sz w:val="20"/>
                <w:szCs w:val="20"/>
              </w:rPr>
            </w:pPr>
            <w:r>
              <w:rPr>
                <w:sz w:val="20"/>
                <w:szCs w:val="20"/>
              </w:rPr>
              <w:t>1,299,89</w:t>
            </w:r>
            <w:r>
              <w:rPr>
                <w:sz w:val="20"/>
                <w:szCs w:val="20"/>
              </w:rPr>
              <w:t>6</w:t>
            </w:r>
          </w:p>
        </w:tc>
        <w:tc>
          <w:tcPr>
            <w:tcW w:w="0" w:type="auto"/>
            <w:noWrap/>
            <w:vAlign w:val="bottom"/>
            <w:hideMark/>
          </w:tcPr>
          <w:p w14:paraId="769BD46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330DFD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50731C4" w14:textId="77777777" w:rsidR="00000000" w:rsidRDefault="00832D71">
            <w:pPr>
              <w:pStyle w:val="a3"/>
              <w:spacing w:before="0" w:beforeAutospacing="0" w:after="0" w:afterAutospacing="0"/>
              <w:jc w:val="center"/>
              <w:rPr>
                <w:sz w:val="20"/>
                <w:szCs w:val="20"/>
              </w:rPr>
            </w:pPr>
            <w:r>
              <w:rPr>
                <w:sz w:val="20"/>
                <w:szCs w:val="20"/>
              </w:rPr>
              <w:t>2.0</w:t>
            </w:r>
            <w:r>
              <w:rPr>
                <w:sz w:val="20"/>
                <w:szCs w:val="20"/>
              </w:rPr>
              <w:t>%</w:t>
            </w:r>
          </w:p>
        </w:tc>
      </w:tr>
    </w:tbl>
    <w:p w14:paraId="193B8465" w14:textId="77777777" w:rsidR="00000000" w:rsidRDefault="00832D71">
      <w:pPr>
        <w:pStyle w:val="a3"/>
        <w:spacing w:before="0" w:beforeAutospacing="0" w:after="0" w:afterAutospacing="0"/>
        <w:rPr>
          <w:sz w:val="20"/>
          <w:szCs w:val="20"/>
        </w:rPr>
      </w:pPr>
      <w:r>
        <w:rPr>
          <w:sz w:val="20"/>
          <w:szCs w:val="20"/>
        </w:rPr>
        <w:t> </w:t>
      </w:r>
    </w:p>
    <w:p w14:paraId="1B52CD8B" w14:textId="77777777" w:rsidR="00000000" w:rsidRDefault="00832D71">
      <w:pPr>
        <w:jc w:val="both"/>
        <w:divId w:val="727069478"/>
        <w:rPr>
          <w:rFonts w:eastAsia="Times New Roman"/>
        </w:rPr>
      </w:pPr>
      <w:r>
        <w:rPr>
          <w:rFonts w:eastAsia="Times New Roman"/>
          <w:sz w:val="20"/>
          <w:szCs w:val="20"/>
        </w:rPr>
        <w:t>(1</w:t>
      </w:r>
      <w:r>
        <w:rPr>
          <w:rFonts w:eastAsia="Times New Roman"/>
          <w:sz w:val="20"/>
          <w:szCs w:val="20"/>
        </w:rPr>
        <w:t>)</w:t>
      </w:r>
    </w:p>
    <w:p w14:paraId="52A3FF79" w14:textId="77777777" w:rsidR="00000000" w:rsidRDefault="00832D71">
      <w:pPr>
        <w:jc w:val="both"/>
        <w:divId w:val="1261840451"/>
        <w:rPr>
          <w:rFonts w:eastAsia="Times New Roman"/>
        </w:rPr>
      </w:pPr>
      <w:r>
        <w:rPr>
          <w:rFonts w:eastAsia="Times New Roman"/>
          <w:sz w:val="20"/>
          <w:szCs w:val="20"/>
        </w:rPr>
        <w:t>With the exception of the 4,301,699 units held by Invesco Ltd. (of which the Partnership has no knowledge, see note (a) below) and the 784 units held by the General Partner (see note (b) below), the above listed units may be held in brokerage accounts wher</w:t>
      </w:r>
      <w:r>
        <w:rPr>
          <w:rFonts w:eastAsia="Times New Roman"/>
          <w:sz w:val="20"/>
          <w:szCs w:val="20"/>
        </w:rPr>
        <w:t>e they are pledged as security</w:t>
      </w:r>
      <w:r>
        <w:rPr>
          <w:rFonts w:eastAsia="Times New Roman"/>
          <w:sz w:val="20"/>
          <w:szCs w:val="20"/>
        </w:rPr>
        <w:t>.</w:t>
      </w:r>
    </w:p>
    <w:p w14:paraId="788CA4B6" w14:textId="77777777" w:rsidR="00000000" w:rsidRDefault="00832D71">
      <w:pPr>
        <w:jc w:val="both"/>
        <w:divId w:val="1603492732"/>
        <w:rPr>
          <w:rFonts w:eastAsia="Times New Roman"/>
        </w:rPr>
      </w:pPr>
      <w:r>
        <w:rPr>
          <w:rFonts w:eastAsia="Times New Roman"/>
          <w:sz w:val="20"/>
          <w:szCs w:val="20"/>
        </w:rPr>
        <w:t>(2</w:t>
      </w:r>
      <w:r>
        <w:rPr>
          <w:rFonts w:eastAsia="Times New Roman"/>
          <w:sz w:val="20"/>
          <w:szCs w:val="20"/>
        </w:rPr>
        <w:t>)</w:t>
      </w:r>
    </w:p>
    <w:p w14:paraId="4697DF90" w14:textId="77777777" w:rsidR="00000000" w:rsidRDefault="00832D71">
      <w:pPr>
        <w:jc w:val="both"/>
        <w:divId w:val="1408839876"/>
        <w:rPr>
          <w:rFonts w:eastAsia="Times New Roman"/>
        </w:rPr>
      </w:pPr>
      <w:r>
        <w:rPr>
          <w:rFonts w:eastAsia="Times New Roman"/>
          <w:sz w:val="20"/>
          <w:szCs w:val="20"/>
        </w:rPr>
        <w:t>Based upon 63,485,760 Common Units outstanding on November 21, 2022</w:t>
      </w:r>
      <w:r>
        <w:rPr>
          <w:rFonts w:eastAsia="Times New Roman"/>
          <w:sz w:val="20"/>
          <w:szCs w:val="20"/>
        </w:rPr>
        <w:t>.</w:t>
      </w:r>
    </w:p>
    <w:p w14:paraId="4B68847C" w14:textId="77777777" w:rsidR="00000000" w:rsidRDefault="00832D71">
      <w:pPr>
        <w:pStyle w:val="a3"/>
        <w:spacing w:before="120" w:beforeAutospacing="0" w:after="0" w:afterAutospacing="0"/>
        <w:ind w:hanging="581"/>
        <w:jc w:val="both"/>
        <w:rPr>
          <w:sz w:val="20"/>
          <w:szCs w:val="20"/>
        </w:rPr>
      </w:pPr>
      <w:r>
        <w:rPr>
          <w:sz w:val="20"/>
          <w:szCs w:val="20"/>
        </w:rPr>
        <w:t>* Less than 1%</w:t>
      </w:r>
      <w:r>
        <w:rPr>
          <w:sz w:val="20"/>
          <w:szCs w:val="20"/>
        </w:rPr>
        <w:t>.</w:t>
      </w:r>
    </w:p>
    <w:p w14:paraId="03AF557A" w14:textId="77777777" w:rsidR="00000000" w:rsidRDefault="00832D71">
      <w:pPr>
        <w:jc w:val="both"/>
        <w:divId w:val="667371775"/>
        <w:rPr>
          <w:rFonts w:eastAsia="Times New Roman"/>
        </w:rPr>
      </w:pPr>
      <w:r>
        <w:rPr>
          <w:rFonts w:eastAsia="Times New Roman"/>
          <w:sz w:val="20"/>
          <w:szCs w:val="20"/>
        </w:rPr>
        <w:t>(a</w:t>
      </w:r>
      <w:r>
        <w:rPr>
          <w:rFonts w:eastAsia="Times New Roman"/>
          <w:sz w:val="20"/>
          <w:szCs w:val="20"/>
        </w:rPr>
        <w:t>)</w:t>
      </w:r>
    </w:p>
    <w:p w14:paraId="786EE748" w14:textId="77777777" w:rsidR="00000000" w:rsidRDefault="00832D71">
      <w:pPr>
        <w:jc w:val="both"/>
        <w:divId w:val="1092779425"/>
        <w:rPr>
          <w:rFonts w:eastAsia="Times New Roman"/>
        </w:rPr>
      </w:pPr>
      <w:r>
        <w:rPr>
          <w:rFonts w:eastAsia="Times New Roman"/>
          <w:sz w:val="20"/>
          <w:szCs w:val="20"/>
        </w:rPr>
        <w:t>Based upon a Schedule 13G/A dated February 9, 2022 filed by Invesco Ltd., which indicates that as of December 31, 2021, Invesco Ltd. had the sole power to vote or to direct the vote of 4,301,699 Common Units and the sole power to dispose or to direct the d</w:t>
      </w:r>
      <w:r>
        <w:rPr>
          <w:rFonts w:eastAsia="Times New Roman"/>
          <w:sz w:val="20"/>
          <w:szCs w:val="20"/>
        </w:rPr>
        <w:t>isposition of 4,301,699 Common Units. The 13G/A indicates that Invesco Ltd. may be deemed to be a beneficial owner of these Common Units for purposes of Rule 13d-3 because it and certain affiliates have shared power to retain or dispose of Common Units bel</w:t>
      </w:r>
      <w:r>
        <w:rPr>
          <w:rFonts w:eastAsia="Times New Roman"/>
          <w:sz w:val="20"/>
          <w:szCs w:val="20"/>
        </w:rPr>
        <w:t>onging to many unrelated clients. We make no representation as to the accuracy or completeness of the information reported. The address of Invesco Ltd. is 1555 Peachtree Street NE, Suite 1800, Atlanta, GA 3030</w:t>
      </w:r>
      <w:r>
        <w:rPr>
          <w:rFonts w:eastAsia="Times New Roman"/>
          <w:sz w:val="20"/>
          <w:szCs w:val="20"/>
        </w:rPr>
        <w:t>9</w:t>
      </w:r>
      <w:r>
        <w:rPr>
          <w:rFonts w:eastAsia="Times New Roman"/>
          <w:sz w:val="20"/>
          <w:szCs w:val="20"/>
        </w:rPr>
        <w:t>.</w:t>
      </w:r>
    </w:p>
    <w:p w14:paraId="51ABBDAD" w14:textId="77777777" w:rsidR="00000000" w:rsidRDefault="00832D71">
      <w:pPr>
        <w:jc w:val="both"/>
        <w:divId w:val="1702976443"/>
        <w:rPr>
          <w:rFonts w:eastAsia="Times New Roman"/>
        </w:rPr>
      </w:pPr>
      <w:r>
        <w:rPr>
          <w:rFonts w:eastAsia="Times New Roman"/>
          <w:sz w:val="20"/>
          <w:szCs w:val="20"/>
        </w:rPr>
        <w:t>(b</w:t>
      </w:r>
      <w:r>
        <w:rPr>
          <w:rFonts w:eastAsia="Times New Roman"/>
          <w:sz w:val="20"/>
          <w:szCs w:val="20"/>
        </w:rPr>
        <w:t>)</w:t>
      </w:r>
    </w:p>
    <w:p w14:paraId="44986DE3" w14:textId="77777777" w:rsidR="00000000" w:rsidRDefault="00832D71">
      <w:pPr>
        <w:jc w:val="both"/>
        <w:divId w:val="2089226404"/>
        <w:rPr>
          <w:rFonts w:eastAsia="Times New Roman"/>
        </w:rPr>
      </w:pPr>
      <w:r>
        <w:rPr>
          <w:rFonts w:eastAsia="Times New Roman"/>
          <w:sz w:val="20"/>
          <w:szCs w:val="20"/>
        </w:rPr>
        <w:t>Includes 784 Common Units held by the Ge</w:t>
      </w:r>
      <w:r>
        <w:rPr>
          <w:rFonts w:eastAsia="Times New Roman"/>
          <w:sz w:val="20"/>
          <w:szCs w:val="20"/>
        </w:rPr>
        <w:t>neral Partner, of which Mr. Stivala is the sole member. Excludes 108,79</w:t>
      </w:r>
      <w:r>
        <w:rPr>
          <w:rFonts w:eastAsia="Times New Roman"/>
          <w:sz w:val="20"/>
          <w:szCs w:val="20"/>
        </w:rPr>
        <w:t>7</w:t>
      </w:r>
      <w:r>
        <w:rPr>
          <w:rFonts w:eastAsia="Times New Roman"/>
          <w:sz w:val="20"/>
          <w:szCs w:val="20"/>
        </w:rPr>
        <w:t xml:space="preserve"> </w:t>
      </w:r>
      <w:r>
        <w:rPr>
          <w:rFonts w:eastAsia="Times New Roman"/>
          <w:sz w:val="20"/>
          <w:szCs w:val="20"/>
        </w:rPr>
        <w:t>unvested restricted units, none of which will vest in the 60-day period following November 21, 2022</w:t>
      </w:r>
      <w:r>
        <w:rPr>
          <w:rFonts w:eastAsia="Times New Roman"/>
          <w:sz w:val="20"/>
          <w:szCs w:val="20"/>
        </w:rPr>
        <w:t>.</w:t>
      </w:r>
    </w:p>
    <w:p w14:paraId="26BC87B7" w14:textId="77777777" w:rsidR="00000000" w:rsidRDefault="00832D71">
      <w:pPr>
        <w:jc w:val="both"/>
        <w:divId w:val="1872916375"/>
        <w:rPr>
          <w:rFonts w:eastAsia="Times New Roman"/>
        </w:rPr>
      </w:pPr>
      <w:r>
        <w:rPr>
          <w:rFonts w:eastAsia="Times New Roman"/>
          <w:sz w:val="20"/>
          <w:szCs w:val="20"/>
        </w:rPr>
        <w:t>(c</w:t>
      </w:r>
      <w:r>
        <w:rPr>
          <w:rFonts w:eastAsia="Times New Roman"/>
          <w:sz w:val="20"/>
          <w:szCs w:val="20"/>
        </w:rPr>
        <w:t>)</w:t>
      </w:r>
    </w:p>
    <w:p w14:paraId="29AF40B0" w14:textId="77777777" w:rsidR="00000000" w:rsidRDefault="00832D71">
      <w:pPr>
        <w:jc w:val="both"/>
        <w:divId w:val="688290050"/>
        <w:rPr>
          <w:rFonts w:eastAsia="Times New Roman"/>
        </w:rPr>
      </w:pPr>
      <w:r>
        <w:rPr>
          <w:rFonts w:eastAsia="Times New Roman"/>
          <w:sz w:val="20"/>
          <w:szCs w:val="20"/>
        </w:rPr>
        <w:t>Excludes 76,274 unvested restricted units, none of which will vest in the 60-d</w:t>
      </w:r>
      <w:r>
        <w:rPr>
          <w:rFonts w:eastAsia="Times New Roman"/>
          <w:sz w:val="20"/>
          <w:szCs w:val="20"/>
        </w:rPr>
        <w:t>ay period following November 21, 2022.</w:t>
      </w:r>
      <w:r>
        <w:rPr>
          <w:rFonts w:eastAsia="Times New Roman"/>
          <w:sz w:val="20"/>
          <w:szCs w:val="20"/>
        </w:rPr>
        <w:t xml:space="preserve"> </w:t>
      </w:r>
    </w:p>
    <w:p w14:paraId="4351652C" w14:textId="77777777" w:rsidR="00000000" w:rsidRDefault="00832D71">
      <w:pPr>
        <w:jc w:val="both"/>
        <w:divId w:val="1968122934"/>
        <w:rPr>
          <w:rFonts w:eastAsia="Times New Roman"/>
        </w:rPr>
      </w:pPr>
      <w:r>
        <w:rPr>
          <w:rFonts w:eastAsia="Times New Roman"/>
          <w:sz w:val="20"/>
          <w:szCs w:val="20"/>
        </w:rPr>
        <w:t>(d</w:t>
      </w:r>
      <w:r>
        <w:rPr>
          <w:rFonts w:eastAsia="Times New Roman"/>
          <w:sz w:val="20"/>
          <w:szCs w:val="20"/>
        </w:rPr>
        <w:t>)</w:t>
      </w:r>
    </w:p>
    <w:p w14:paraId="24A31C88" w14:textId="77777777" w:rsidR="00000000" w:rsidRDefault="00832D71">
      <w:pPr>
        <w:jc w:val="both"/>
        <w:divId w:val="471024417"/>
        <w:rPr>
          <w:rFonts w:eastAsia="Times New Roman"/>
        </w:rPr>
      </w:pPr>
      <w:r>
        <w:rPr>
          <w:rFonts w:eastAsia="Times New Roman"/>
          <w:sz w:val="20"/>
          <w:szCs w:val="20"/>
        </w:rPr>
        <w:t>Excludes 75,270</w:t>
      </w:r>
      <w:r>
        <w:rPr>
          <w:rFonts w:eastAsia="Times New Roman"/>
          <w:sz w:val="20"/>
          <w:szCs w:val="20"/>
        </w:rPr>
        <w:t xml:space="preserve"> </w:t>
      </w:r>
      <w:r>
        <w:rPr>
          <w:rFonts w:eastAsia="Times New Roman"/>
          <w:sz w:val="20"/>
          <w:szCs w:val="20"/>
        </w:rPr>
        <w:t>unvested restricted units, none of which will vest in the 60-day period following November 21, 2022</w:t>
      </w:r>
      <w:r>
        <w:rPr>
          <w:rFonts w:eastAsia="Times New Roman"/>
          <w:sz w:val="20"/>
          <w:szCs w:val="20"/>
        </w:rPr>
        <w:t>.</w:t>
      </w:r>
    </w:p>
    <w:p w14:paraId="208A5531" w14:textId="77777777" w:rsidR="00000000" w:rsidRDefault="00832D71">
      <w:pPr>
        <w:jc w:val="both"/>
        <w:divId w:val="154417166"/>
        <w:rPr>
          <w:rFonts w:eastAsia="Times New Roman"/>
        </w:rPr>
      </w:pPr>
      <w:r>
        <w:rPr>
          <w:rFonts w:eastAsia="Times New Roman"/>
          <w:sz w:val="20"/>
          <w:szCs w:val="20"/>
        </w:rPr>
        <w:t>(e</w:t>
      </w:r>
      <w:r>
        <w:rPr>
          <w:rFonts w:eastAsia="Times New Roman"/>
          <w:sz w:val="20"/>
          <w:szCs w:val="20"/>
        </w:rPr>
        <w:t>)</w:t>
      </w:r>
    </w:p>
    <w:p w14:paraId="75F2ECB9" w14:textId="77777777" w:rsidR="00000000" w:rsidRDefault="00832D71">
      <w:pPr>
        <w:jc w:val="both"/>
        <w:divId w:val="961420520"/>
        <w:rPr>
          <w:rFonts w:eastAsia="Times New Roman"/>
        </w:rPr>
      </w:pPr>
      <w:r>
        <w:rPr>
          <w:rFonts w:eastAsia="Times New Roman"/>
          <w:sz w:val="20"/>
          <w:szCs w:val="20"/>
        </w:rPr>
        <w:t>Excludes 69,47</w:t>
      </w:r>
      <w:r>
        <w:rPr>
          <w:rFonts w:eastAsia="Times New Roman"/>
          <w:sz w:val="20"/>
          <w:szCs w:val="20"/>
        </w:rPr>
        <w:t>9</w:t>
      </w:r>
      <w:r>
        <w:rPr>
          <w:rFonts w:eastAsia="Times New Roman"/>
          <w:sz w:val="20"/>
          <w:szCs w:val="20"/>
        </w:rPr>
        <w:t xml:space="preserve"> </w:t>
      </w:r>
      <w:r>
        <w:rPr>
          <w:rFonts w:eastAsia="Times New Roman"/>
          <w:sz w:val="20"/>
          <w:szCs w:val="20"/>
        </w:rPr>
        <w:t>unvested restricted units, none of which will vest in the 60-day period following November 21, 2022</w:t>
      </w:r>
      <w:r>
        <w:rPr>
          <w:rFonts w:eastAsia="Times New Roman"/>
          <w:sz w:val="20"/>
          <w:szCs w:val="20"/>
        </w:rPr>
        <w:t>.</w:t>
      </w:r>
    </w:p>
    <w:p w14:paraId="037070B1" w14:textId="77777777" w:rsidR="00000000" w:rsidRDefault="00832D71">
      <w:pPr>
        <w:jc w:val="both"/>
        <w:divId w:val="431054227"/>
        <w:rPr>
          <w:rFonts w:eastAsia="Times New Roman"/>
        </w:rPr>
      </w:pPr>
      <w:r>
        <w:rPr>
          <w:rFonts w:eastAsia="Times New Roman"/>
          <w:sz w:val="20"/>
          <w:szCs w:val="20"/>
        </w:rPr>
        <w:t>(f</w:t>
      </w:r>
      <w:r>
        <w:rPr>
          <w:rFonts w:eastAsia="Times New Roman"/>
          <w:sz w:val="20"/>
          <w:szCs w:val="20"/>
        </w:rPr>
        <w:t>)</w:t>
      </w:r>
    </w:p>
    <w:p w14:paraId="0B9FF6F8" w14:textId="77777777" w:rsidR="00000000" w:rsidRDefault="00832D71">
      <w:pPr>
        <w:jc w:val="both"/>
        <w:divId w:val="165246251"/>
        <w:rPr>
          <w:rFonts w:eastAsia="Times New Roman"/>
        </w:rPr>
      </w:pPr>
      <w:r>
        <w:rPr>
          <w:rFonts w:eastAsia="Times New Roman"/>
          <w:sz w:val="20"/>
          <w:szCs w:val="20"/>
        </w:rPr>
        <w:t>Excludes 19,12</w:t>
      </w:r>
      <w:r>
        <w:rPr>
          <w:rFonts w:eastAsia="Times New Roman"/>
          <w:sz w:val="20"/>
          <w:szCs w:val="20"/>
        </w:rPr>
        <w:t>7</w:t>
      </w:r>
      <w:r>
        <w:rPr>
          <w:rFonts w:eastAsia="Times New Roman"/>
          <w:sz w:val="20"/>
          <w:szCs w:val="20"/>
        </w:rPr>
        <w:t xml:space="preserve"> </w:t>
      </w:r>
      <w:r>
        <w:rPr>
          <w:rFonts w:eastAsia="Times New Roman"/>
          <w:sz w:val="20"/>
          <w:szCs w:val="20"/>
        </w:rPr>
        <w:t>unvested restricted units, none of which will vest in the 60-day period following November 21, 2022</w:t>
      </w:r>
      <w:r>
        <w:rPr>
          <w:rFonts w:eastAsia="Times New Roman"/>
          <w:sz w:val="20"/>
          <w:szCs w:val="20"/>
        </w:rPr>
        <w:t>.</w:t>
      </w:r>
    </w:p>
    <w:p w14:paraId="12D23235" w14:textId="77777777" w:rsidR="00000000" w:rsidRDefault="00832D71">
      <w:pPr>
        <w:jc w:val="both"/>
        <w:divId w:val="679696427"/>
        <w:rPr>
          <w:rFonts w:eastAsia="Times New Roman"/>
        </w:rPr>
      </w:pPr>
      <w:r>
        <w:rPr>
          <w:rFonts w:eastAsia="Times New Roman"/>
          <w:sz w:val="20"/>
          <w:szCs w:val="20"/>
        </w:rPr>
        <w:t>(g</w:t>
      </w:r>
      <w:r>
        <w:rPr>
          <w:rFonts w:eastAsia="Times New Roman"/>
          <w:sz w:val="20"/>
          <w:szCs w:val="20"/>
        </w:rPr>
        <w:t>)</w:t>
      </w:r>
    </w:p>
    <w:p w14:paraId="24DCD1E1" w14:textId="77777777" w:rsidR="00000000" w:rsidRDefault="00832D71">
      <w:pPr>
        <w:jc w:val="both"/>
        <w:divId w:val="112754451"/>
        <w:rPr>
          <w:rFonts w:eastAsia="Times New Roman"/>
        </w:rPr>
      </w:pPr>
      <w:r>
        <w:rPr>
          <w:rFonts w:eastAsia="Times New Roman"/>
          <w:sz w:val="20"/>
          <w:szCs w:val="20"/>
        </w:rPr>
        <w:t>Excludes 14,87</w:t>
      </w:r>
      <w:r>
        <w:rPr>
          <w:rFonts w:eastAsia="Times New Roman"/>
          <w:sz w:val="20"/>
          <w:szCs w:val="20"/>
        </w:rPr>
        <w:t>7</w:t>
      </w:r>
      <w:r>
        <w:rPr>
          <w:rFonts w:eastAsia="Times New Roman"/>
          <w:sz w:val="20"/>
          <w:szCs w:val="20"/>
        </w:rPr>
        <w:t xml:space="preserve"> </w:t>
      </w:r>
      <w:r>
        <w:rPr>
          <w:rFonts w:eastAsia="Times New Roman"/>
          <w:sz w:val="20"/>
          <w:szCs w:val="20"/>
        </w:rPr>
        <w:t>unvested restr</w:t>
      </w:r>
      <w:r>
        <w:rPr>
          <w:rFonts w:eastAsia="Times New Roman"/>
          <w:sz w:val="20"/>
          <w:szCs w:val="20"/>
        </w:rPr>
        <w:t>icted units, none of which will vest in the 60-day period following November 21, 2022</w:t>
      </w:r>
      <w:r>
        <w:rPr>
          <w:rFonts w:eastAsia="Times New Roman"/>
          <w:sz w:val="20"/>
          <w:szCs w:val="20"/>
        </w:rPr>
        <w:t>.</w:t>
      </w:r>
    </w:p>
    <w:p w14:paraId="466C682C" w14:textId="77777777" w:rsidR="00000000" w:rsidRDefault="00832D71">
      <w:pPr>
        <w:jc w:val="both"/>
        <w:divId w:val="177424780"/>
        <w:rPr>
          <w:rFonts w:eastAsia="Times New Roman"/>
        </w:rPr>
      </w:pPr>
      <w:r>
        <w:rPr>
          <w:rFonts w:eastAsia="Times New Roman"/>
          <w:sz w:val="20"/>
          <w:szCs w:val="20"/>
        </w:rPr>
        <w:t>(h</w:t>
      </w:r>
      <w:r>
        <w:rPr>
          <w:rFonts w:eastAsia="Times New Roman"/>
          <w:sz w:val="20"/>
          <w:szCs w:val="20"/>
        </w:rPr>
        <w:t>)</w:t>
      </w:r>
    </w:p>
    <w:p w14:paraId="47E54C1B" w14:textId="77777777" w:rsidR="00000000" w:rsidRDefault="00832D71">
      <w:pPr>
        <w:jc w:val="both"/>
        <w:divId w:val="85425858"/>
        <w:rPr>
          <w:rFonts w:eastAsia="Times New Roman"/>
        </w:rPr>
      </w:pPr>
      <w:r>
        <w:rPr>
          <w:rFonts w:eastAsia="Times New Roman"/>
          <w:sz w:val="20"/>
          <w:szCs w:val="20"/>
        </w:rPr>
        <w:t>Inclusive of the unvested restricted units referred to in footnotes (b), (c), (d), (e), (f), and (g), above, the reported number of units excludes 873,48</w:t>
      </w:r>
      <w:r>
        <w:rPr>
          <w:rFonts w:eastAsia="Times New Roman"/>
          <w:sz w:val="20"/>
          <w:szCs w:val="20"/>
        </w:rPr>
        <w:t>2</w:t>
      </w:r>
      <w:r>
        <w:rPr>
          <w:rFonts w:eastAsia="Times New Roman"/>
          <w:sz w:val="20"/>
          <w:szCs w:val="20"/>
        </w:rPr>
        <w:t xml:space="preserve"> </w:t>
      </w:r>
      <w:r>
        <w:rPr>
          <w:rFonts w:eastAsia="Times New Roman"/>
          <w:sz w:val="20"/>
          <w:szCs w:val="20"/>
        </w:rPr>
        <w:t>unvested r</w:t>
      </w:r>
      <w:r>
        <w:rPr>
          <w:rFonts w:eastAsia="Times New Roman"/>
          <w:sz w:val="20"/>
          <w:szCs w:val="20"/>
        </w:rPr>
        <w:t>estricted units, none of which will vest in the 60-day period following November 21, 2022</w:t>
      </w:r>
      <w:r>
        <w:rPr>
          <w:rFonts w:eastAsia="Times New Roman"/>
          <w:sz w:val="20"/>
          <w:szCs w:val="20"/>
        </w:rPr>
        <w:t>.</w:t>
      </w:r>
    </w:p>
    <w:p w14:paraId="42A585C5" w14:textId="77777777" w:rsidR="00000000" w:rsidRDefault="00832D71">
      <w:pPr>
        <w:pStyle w:val="a3"/>
        <w:spacing w:before="0" w:beforeAutospacing="0" w:after="0" w:afterAutospacing="0"/>
        <w:jc w:val="center"/>
        <w:rPr>
          <w:sz w:val="20"/>
          <w:szCs w:val="20"/>
        </w:rPr>
      </w:pPr>
      <w:r>
        <w:rPr>
          <w:sz w:val="20"/>
          <w:szCs w:val="20"/>
        </w:rPr>
        <w:t> </w:t>
      </w:r>
    </w:p>
    <w:p w14:paraId="6309A7DD" w14:textId="77777777" w:rsidR="00000000" w:rsidRDefault="00832D71">
      <w:pPr>
        <w:pStyle w:val="a3"/>
        <w:spacing w:before="0" w:beforeAutospacing="0" w:after="0" w:afterAutospacing="0"/>
        <w:jc w:val="center"/>
        <w:rPr>
          <w:sz w:val="20"/>
          <w:szCs w:val="20"/>
        </w:rPr>
      </w:pPr>
      <w:r>
        <w:rPr>
          <w:sz w:val="20"/>
          <w:szCs w:val="20"/>
        </w:rPr>
        <w:t>8</w:t>
      </w:r>
      <w:r>
        <w:rPr>
          <w:sz w:val="20"/>
          <w:szCs w:val="20"/>
        </w:rPr>
        <w:t>5</w:t>
      </w:r>
    </w:p>
    <w:p w14:paraId="0479A633" w14:textId="77777777" w:rsidR="00000000" w:rsidRDefault="00832D71">
      <w:pPr>
        <w:rPr>
          <w:rFonts w:eastAsia="Times New Roman"/>
        </w:rPr>
      </w:pPr>
      <w:r>
        <w:rPr>
          <w:rFonts w:eastAsia="Times New Roman"/>
        </w:rPr>
        <w:pict w14:anchorId="7AB0126B">
          <v:rect id="_x0000_i1112" style="width:0;height:1.5pt" o:hralign="center" o:hrstd="t" o:hr="t" fillcolor="#a0a0a0" stroked="f"/>
        </w:pict>
      </w:r>
    </w:p>
    <w:p w14:paraId="49E9AEFF"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24EB3685" w14:textId="77777777" w:rsidR="00000000" w:rsidRDefault="00832D71">
      <w:pPr>
        <w:pStyle w:val="a3"/>
        <w:spacing w:before="360" w:beforeAutospacing="0" w:after="0" w:afterAutospacing="0"/>
        <w:jc w:val="both"/>
        <w:rPr>
          <w:sz w:val="20"/>
          <w:szCs w:val="20"/>
        </w:rPr>
      </w:pPr>
      <w:r>
        <w:rPr>
          <w:b/>
          <w:bCs/>
          <w:sz w:val="20"/>
          <w:szCs w:val="20"/>
        </w:rPr>
        <w:t>Securities Authorized for Issuance Under the Restricted Unit Plan</w:t>
      </w:r>
      <w:r>
        <w:rPr>
          <w:b/>
          <w:bCs/>
          <w:sz w:val="20"/>
          <w:szCs w:val="20"/>
        </w:rPr>
        <w:t>s</w:t>
      </w:r>
    </w:p>
    <w:p w14:paraId="6E974389" w14:textId="77777777" w:rsidR="00000000" w:rsidRDefault="00832D71">
      <w:pPr>
        <w:pStyle w:val="a3"/>
        <w:spacing w:before="120" w:beforeAutospacing="0" w:after="0" w:afterAutospacing="0"/>
        <w:ind w:firstLine="555"/>
        <w:jc w:val="both"/>
        <w:rPr>
          <w:sz w:val="20"/>
          <w:szCs w:val="20"/>
        </w:rPr>
      </w:pPr>
      <w:r>
        <w:rPr>
          <w:sz w:val="20"/>
          <w:szCs w:val="20"/>
        </w:rPr>
        <w:t>The following table sets forth certain information, as of September 24, 2022, with respect to the Partnership’s Restricted Unit Plans, under which restricted units of the Partnership, as described in the Notes to the Consolidated Financial Statements incl</w:t>
      </w:r>
      <w:r>
        <w:rPr>
          <w:sz w:val="20"/>
          <w:szCs w:val="20"/>
        </w:rPr>
        <w:t>uded in this Annual Report, are authorized for issuance</w:t>
      </w:r>
      <w:r>
        <w:rPr>
          <w:sz w:val="20"/>
          <w:szCs w:val="20"/>
        </w:rPr>
        <w:t>.</w:t>
      </w:r>
    </w:p>
    <w:p w14:paraId="3C06D9F4" w14:textId="77777777" w:rsidR="00000000" w:rsidRDefault="00832D71">
      <w:pPr>
        <w:pStyle w:val="a3"/>
        <w:spacing w:before="0" w:beforeAutospacing="0" w:after="0" w:afterAutospacing="0"/>
        <w:ind w:firstLine="555"/>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730"/>
        <w:gridCol w:w="110"/>
        <w:gridCol w:w="110"/>
        <w:gridCol w:w="860"/>
        <w:gridCol w:w="110"/>
        <w:gridCol w:w="247"/>
        <w:gridCol w:w="161"/>
        <w:gridCol w:w="1002"/>
        <w:gridCol w:w="110"/>
        <w:gridCol w:w="110"/>
        <w:gridCol w:w="110"/>
        <w:gridCol w:w="860"/>
        <w:gridCol w:w="125"/>
      </w:tblGrid>
      <w:tr w:rsidR="00000000" w14:paraId="324CE0ED" w14:textId="77777777">
        <w:trPr>
          <w:tblCellSpacing w:w="15" w:type="dxa"/>
        </w:trPr>
        <w:tc>
          <w:tcPr>
            <w:tcW w:w="2295" w:type="pct"/>
            <w:vAlign w:val="center"/>
            <w:hideMark/>
          </w:tcPr>
          <w:p w14:paraId="6DE430CB" w14:textId="77777777" w:rsidR="00000000" w:rsidRDefault="00832D71">
            <w:pPr>
              <w:rPr>
                <w:sz w:val="20"/>
                <w:szCs w:val="20"/>
              </w:rPr>
            </w:pPr>
          </w:p>
        </w:tc>
        <w:tc>
          <w:tcPr>
            <w:tcW w:w="54" w:type="pct"/>
            <w:vAlign w:val="center"/>
            <w:hideMark/>
          </w:tcPr>
          <w:p w14:paraId="6630BCB4" w14:textId="77777777" w:rsidR="00000000" w:rsidRDefault="00832D71">
            <w:pPr>
              <w:rPr>
                <w:rFonts w:eastAsia="Times New Roman"/>
                <w:sz w:val="20"/>
                <w:szCs w:val="20"/>
              </w:rPr>
            </w:pPr>
          </w:p>
        </w:tc>
        <w:tc>
          <w:tcPr>
            <w:tcW w:w="50" w:type="pct"/>
            <w:vAlign w:val="center"/>
            <w:hideMark/>
          </w:tcPr>
          <w:p w14:paraId="76C42106" w14:textId="77777777" w:rsidR="00000000" w:rsidRDefault="00832D71">
            <w:pPr>
              <w:rPr>
                <w:rFonts w:eastAsia="Times New Roman"/>
                <w:sz w:val="20"/>
                <w:szCs w:val="20"/>
              </w:rPr>
            </w:pPr>
          </w:p>
        </w:tc>
        <w:tc>
          <w:tcPr>
            <w:tcW w:w="589" w:type="pct"/>
            <w:vAlign w:val="center"/>
            <w:hideMark/>
          </w:tcPr>
          <w:p w14:paraId="5D33E900" w14:textId="77777777" w:rsidR="00000000" w:rsidRDefault="00832D71">
            <w:pPr>
              <w:rPr>
                <w:rFonts w:eastAsia="Times New Roman"/>
                <w:sz w:val="20"/>
                <w:szCs w:val="20"/>
              </w:rPr>
            </w:pPr>
          </w:p>
        </w:tc>
        <w:tc>
          <w:tcPr>
            <w:tcW w:w="50" w:type="pct"/>
            <w:vAlign w:val="center"/>
            <w:hideMark/>
          </w:tcPr>
          <w:p w14:paraId="2B7E8EBA" w14:textId="77777777" w:rsidR="00000000" w:rsidRDefault="00832D71">
            <w:pPr>
              <w:rPr>
                <w:rFonts w:eastAsia="Times New Roman"/>
                <w:sz w:val="20"/>
                <w:szCs w:val="20"/>
              </w:rPr>
            </w:pPr>
          </w:p>
        </w:tc>
        <w:tc>
          <w:tcPr>
            <w:tcW w:w="136" w:type="pct"/>
            <w:vAlign w:val="center"/>
            <w:hideMark/>
          </w:tcPr>
          <w:p w14:paraId="3136345D" w14:textId="77777777" w:rsidR="00000000" w:rsidRDefault="00832D71">
            <w:pPr>
              <w:rPr>
                <w:rFonts w:eastAsia="Times New Roman"/>
                <w:sz w:val="20"/>
                <w:szCs w:val="20"/>
              </w:rPr>
            </w:pPr>
          </w:p>
        </w:tc>
        <w:tc>
          <w:tcPr>
            <w:tcW w:w="50" w:type="pct"/>
            <w:vAlign w:val="center"/>
            <w:hideMark/>
          </w:tcPr>
          <w:p w14:paraId="07838F82" w14:textId="77777777" w:rsidR="00000000" w:rsidRDefault="00832D71">
            <w:pPr>
              <w:rPr>
                <w:rFonts w:eastAsia="Times New Roman"/>
                <w:sz w:val="20"/>
                <w:szCs w:val="20"/>
              </w:rPr>
            </w:pPr>
          </w:p>
        </w:tc>
        <w:tc>
          <w:tcPr>
            <w:tcW w:w="920" w:type="pct"/>
            <w:vAlign w:val="center"/>
            <w:hideMark/>
          </w:tcPr>
          <w:p w14:paraId="5D2518C9" w14:textId="77777777" w:rsidR="00000000" w:rsidRDefault="00832D71">
            <w:pPr>
              <w:rPr>
                <w:rFonts w:eastAsia="Times New Roman"/>
                <w:sz w:val="20"/>
                <w:szCs w:val="20"/>
              </w:rPr>
            </w:pPr>
          </w:p>
        </w:tc>
        <w:tc>
          <w:tcPr>
            <w:tcW w:w="50" w:type="pct"/>
            <w:vAlign w:val="center"/>
            <w:hideMark/>
          </w:tcPr>
          <w:p w14:paraId="7334B773" w14:textId="77777777" w:rsidR="00000000" w:rsidRDefault="00832D71">
            <w:pPr>
              <w:rPr>
                <w:rFonts w:eastAsia="Times New Roman"/>
                <w:sz w:val="20"/>
                <w:szCs w:val="20"/>
              </w:rPr>
            </w:pPr>
          </w:p>
        </w:tc>
        <w:tc>
          <w:tcPr>
            <w:tcW w:w="114" w:type="pct"/>
            <w:vAlign w:val="center"/>
            <w:hideMark/>
          </w:tcPr>
          <w:p w14:paraId="486EAE36" w14:textId="77777777" w:rsidR="00000000" w:rsidRDefault="00832D71">
            <w:pPr>
              <w:rPr>
                <w:rFonts w:eastAsia="Times New Roman"/>
                <w:sz w:val="20"/>
                <w:szCs w:val="20"/>
              </w:rPr>
            </w:pPr>
          </w:p>
        </w:tc>
        <w:tc>
          <w:tcPr>
            <w:tcW w:w="50" w:type="pct"/>
            <w:vAlign w:val="center"/>
            <w:hideMark/>
          </w:tcPr>
          <w:p w14:paraId="591E3C23" w14:textId="77777777" w:rsidR="00000000" w:rsidRDefault="00832D71">
            <w:pPr>
              <w:rPr>
                <w:rFonts w:eastAsia="Times New Roman"/>
                <w:sz w:val="20"/>
                <w:szCs w:val="20"/>
              </w:rPr>
            </w:pPr>
          </w:p>
        </w:tc>
        <w:tc>
          <w:tcPr>
            <w:tcW w:w="590" w:type="pct"/>
            <w:vAlign w:val="center"/>
            <w:hideMark/>
          </w:tcPr>
          <w:p w14:paraId="77F5E17B" w14:textId="77777777" w:rsidR="00000000" w:rsidRDefault="00832D71">
            <w:pPr>
              <w:rPr>
                <w:rFonts w:eastAsia="Times New Roman"/>
                <w:sz w:val="20"/>
                <w:szCs w:val="20"/>
              </w:rPr>
            </w:pPr>
          </w:p>
        </w:tc>
        <w:tc>
          <w:tcPr>
            <w:tcW w:w="50" w:type="pct"/>
            <w:vAlign w:val="center"/>
            <w:hideMark/>
          </w:tcPr>
          <w:p w14:paraId="2ED81290" w14:textId="77777777" w:rsidR="00000000" w:rsidRDefault="00832D71">
            <w:pPr>
              <w:rPr>
                <w:rFonts w:eastAsia="Times New Roman"/>
                <w:sz w:val="20"/>
                <w:szCs w:val="20"/>
              </w:rPr>
            </w:pPr>
          </w:p>
        </w:tc>
      </w:tr>
      <w:tr w:rsidR="00000000" w14:paraId="4C532DB5" w14:textId="77777777">
        <w:trPr>
          <w:trHeight w:val="160"/>
          <w:tblCellSpacing w:w="15" w:type="dxa"/>
        </w:trPr>
        <w:tc>
          <w:tcPr>
            <w:tcW w:w="0" w:type="auto"/>
            <w:vAlign w:val="bottom"/>
            <w:hideMark/>
          </w:tcPr>
          <w:p w14:paraId="4A5DA9EE" w14:textId="77777777" w:rsidR="00000000" w:rsidRDefault="00832D71">
            <w:pPr>
              <w:pStyle w:val="a3"/>
              <w:spacing w:before="0" w:beforeAutospacing="0" w:after="0" w:afterAutospacing="0"/>
              <w:jc w:val="center"/>
              <w:rPr>
                <w:sz w:val="16"/>
                <w:szCs w:val="16"/>
              </w:rPr>
            </w:pPr>
            <w:r>
              <w:rPr>
                <w:b/>
                <w:bCs/>
                <w:sz w:val="16"/>
                <w:szCs w:val="16"/>
              </w:rPr>
              <w:t>Plan Categor</w:t>
            </w:r>
            <w:r>
              <w:rPr>
                <w:b/>
                <w:bCs/>
                <w:sz w:val="16"/>
                <w:szCs w:val="16"/>
              </w:rPr>
              <w:t>y</w:t>
            </w:r>
          </w:p>
        </w:tc>
        <w:tc>
          <w:tcPr>
            <w:tcW w:w="0" w:type="auto"/>
            <w:vAlign w:val="bottom"/>
            <w:hideMark/>
          </w:tcPr>
          <w:p w14:paraId="064CF46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1486D81" w14:textId="77777777" w:rsidR="00000000" w:rsidRDefault="00832D71">
            <w:pPr>
              <w:pStyle w:val="a3"/>
              <w:spacing w:before="0" w:beforeAutospacing="0" w:after="0" w:afterAutospacing="0"/>
              <w:jc w:val="center"/>
              <w:rPr>
                <w:sz w:val="16"/>
                <w:szCs w:val="16"/>
              </w:rPr>
            </w:pPr>
            <w:r>
              <w:rPr>
                <w:b/>
                <w:bCs/>
                <w:sz w:val="16"/>
                <w:szCs w:val="16"/>
              </w:rPr>
              <w:t>Number of Common Units to be issued upon vesting of restricted units</w:t>
            </w:r>
            <w:r>
              <w:rPr>
                <w:b/>
                <w:bCs/>
                <w:sz w:val="16"/>
                <w:szCs w:val="16"/>
              </w:rPr>
              <w:br/>
              <w:t>(a</w:t>
            </w:r>
            <w:r>
              <w:rPr>
                <w:b/>
                <w:bCs/>
                <w:sz w:val="16"/>
                <w:szCs w:val="16"/>
              </w:rPr>
              <w:t>)</w:t>
            </w:r>
          </w:p>
        </w:tc>
        <w:tc>
          <w:tcPr>
            <w:tcW w:w="0" w:type="auto"/>
            <w:vAlign w:val="bottom"/>
            <w:hideMark/>
          </w:tcPr>
          <w:p w14:paraId="629DCB2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A87501D"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419442D" w14:textId="77777777" w:rsidR="00000000" w:rsidRDefault="00832D71">
            <w:pPr>
              <w:pStyle w:val="a3"/>
              <w:spacing w:before="0" w:beforeAutospacing="0" w:after="0" w:afterAutospacing="0"/>
              <w:jc w:val="center"/>
              <w:rPr>
                <w:sz w:val="16"/>
                <w:szCs w:val="16"/>
              </w:rPr>
            </w:pPr>
            <w:r>
              <w:rPr>
                <w:b/>
                <w:bCs/>
                <w:sz w:val="16"/>
                <w:szCs w:val="16"/>
              </w:rPr>
              <w:t>Weighted-average grant date fair value per restricted unit</w:t>
            </w:r>
            <w:r>
              <w:rPr>
                <w:b/>
                <w:bCs/>
                <w:sz w:val="16"/>
                <w:szCs w:val="16"/>
              </w:rPr>
              <w:br/>
              <w:t>(b</w:t>
            </w:r>
            <w:r>
              <w:rPr>
                <w:b/>
                <w:bCs/>
                <w:sz w:val="16"/>
                <w:szCs w:val="16"/>
              </w:rPr>
              <w:t>)</w:t>
            </w:r>
          </w:p>
        </w:tc>
        <w:tc>
          <w:tcPr>
            <w:tcW w:w="0" w:type="auto"/>
            <w:vAlign w:val="bottom"/>
            <w:hideMark/>
          </w:tcPr>
          <w:p w14:paraId="28592B72"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FE4779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ACE0C57" w14:textId="77777777" w:rsidR="00000000" w:rsidRDefault="00832D71">
            <w:pPr>
              <w:pStyle w:val="a3"/>
              <w:spacing w:before="0" w:beforeAutospacing="0" w:after="0" w:afterAutospacing="0"/>
              <w:jc w:val="center"/>
              <w:rPr>
                <w:sz w:val="16"/>
                <w:szCs w:val="16"/>
              </w:rPr>
            </w:pPr>
            <w:r>
              <w:rPr>
                <w:b/>
                <w:bCs/>
                <w:sz w:val="16"/>
                <w:szCs w:val="16"/>
              </w:rPr>
              <w:t>Number of restricted units remaining available for future issuance under the Restricted Unit Plan (excluding securities reflected in column (a))</w:t>
            </w:r>
            <w:r>
              <w:rPr>
                <w:b/>
                <w:bCs/>
                <w:sz w:val="16"/>
                <w:szCs w:val="16"/>
              </w:rPr>
              <w:br/>
              <w:t>(c</w:t>
            </w:r>
            <w:r>
              <w:rPr>
                <w:b/>
                <w:bCs/>
                <w:sz w:val="16"/>
                <w:szCs w:val="16"/>
              </w:rPr>
              <w:t>)</w:t>
            </w:r>
          </w:p>
        </w:tc>
        <w:tc>
          <w:tcPr>
            <w:tcW w:w="0" w:type="auto"/>
            <w:vAlign w:val="bottom"/>
            <w:hideMark/>
          </w:tcPr>
          <w:p w14:paraId="4DBC4FEE"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415EA5CF" w14:textId="77777777">
        <w:trPr>
          <w:trHeight w:val="200"/>
          <w:tblCellSpacing w:w="15" w:type="dxa"/>
        </w:trPr>
        <w:tc>
          <w:tcPr>
            <w:tcW w:w="0" w:type="auto"/>
            <w:hideMark/>
          </w:tcPr>
          <w:p w14:paraId="2E0D6733" w14:textId="77777777" w:rsidR="00000000" w:rsidRDefault="00832D71">
            <w:pPr>
              <w:pStyle w:val="a3"/>
              <w:spacing w:before="0" w:beforeAutospacing="0" w:after="0" w:afterAutospacing="0"/>
              <w:rPr>
                <w:sz w:val="20"/>
                <w:szCs w:val="20"/>
              </w:rPr>
            </w:pPr>
            <w:r>
              <w:rPr>
                <w:sz w:val="20"/>
                <w:szCs w:val="20"/>
              </w:rPr>
              <w:t xml:space="preserve">Equity compensation plans approved </w:t>
            </w:r>
            <w:r>
              <w:rPr>
                <w:sz w:val="20"/>
                <w:szCs w:val="20"/>
              </w:rPr>
              <w:t>by security</w:t>
            </w:r>
            <w:r>
              <w:rPr>
                <w:sz w:val="20"/>
                <w:szCs w:val="20"/>
              </w:rPr>
              <w:br/>
              <w:t>   holders</w:t>
            </w:r>
            <w:r>
              <w:rPr>
                <w:sz w:val="20"/>
                <w:szCs w:val="20"/>
              </w:rPr>
              <w:t xml:space="preserve"> </w:t>
            </w:r>
            <w:r>
              <w:rPr>
                <w:sz w:val="16"/>
                <w:szCs w:val="16"/>
              </w:rPr>
              <w:t>(1</w:t>
            </w:r>
            <w:r>
              <w:rPr>
                <w:sz w:val="16"/>
                <w:szCs w:val="16"/>
              </w:rPr>
              <w:t>)</w:t>
            </w:r>
          </w:p>
        </w:tc>
        <w:tc>
          <w:tcPr>
            <w:tcW w:w="0" w:type="auto"/>
            <w:vAlign w:val="bottom"/>
            <w:hideMark/>
          </w:tcPr>
          <w:p w14:paraId="533CDF5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1505E2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338C054" w14:textId="77777777" w:rsidR="00000000" w:rsidRDefault="00832D71">
            <w:pPr>
              <w:pStyle w:val="a3"/>
              <w:spacing w:before="0" w:beforeAutospacing="0" w:after="0" w:afterAutospacing="0"/>
              <w:jc w:val="right"/>
              <w:rPr>
                <w:sz w:val="20"/>
                <w:szCs w:val="20"/>
              </w:rPr>
            </w:pPr>
            <w:r>
              <w:rPr>
                <w:sz w:val="20"/>
                <w:szCs w:val="20"/>
              </w:rPr>
              <w:t>1,516,22</w:t>
            </w:r>
            <w:r>
              <w:rPr>
                <w:sz w:val="20"/>
                <w:szCs w:val="20"/>
              </w:rPr>
              <w:t>9</w:t>
            </w:r>
          </w:p>
        </w:tc>
        <w:tc>
          <w:tcPr>
            <w:tcW w:w="0" w:type="auto"/>
            <w:noWrap/>
            <w:vAlign w:val="bottom"/>
            <w:hideMark/>
          </w:tcPr>
          <w:p w14:paraId="13373F4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982EAFF" w14:textId="77777777" w:rsidR="00000000" w:rsidRDefault="00832D71">
            <w:pPr>
              <w:pStyle w:val="a3"/>
              <w:spacing w:before="0" w:beforeAutospacing="0" w:after="0" w:afterAutospacing="0"/>
              <w:rPr>
                <w:sz w:val="16"/>
                <w:szCs w:val="16"/>
              </w:rPr>
            </w:pPr>
            <w:r>
              <w:rPr>
                <w:sz w:val="16"/>
                <w:szCs w:val="16"/>
              </w:rPr>
              <w:t>(2</w:t>
            </w:r>
            <w:r>
              <w:rPr>
                <w:sz w:val="16"/>
                <w:szCs w:val="16"/>
              </w:rPr>
              <w:t>)</w:t>
            </w:r>
          </w:p>
        </w:tc>
        <w:tc>
          <w:tcPr>
            <w:tcW w:w="0" w:type="auto"/>
            <w:noWrap/>
            <w:vAlign w:val="bottom"/>
            <w:hideMark/>
          </w:tcPr>
          <w:p w14:paraId="3E7E039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35B9DBB" w14:textId="77777777" w:rsidR="00000000" w:rsidRDefault="00832D71">
            <w:pPr>
              <w:pStyle w:val="a3"/>
              <w:spacing w:before="0" w:beforeAutospacing="0" w:after="0" w:afterAutospacing="0"/>
              <w:jc w:val="right"/>
              <w:rPr>
                <w:sz w:val="20"/>
                <w:szCs w:val="20"/>
              </w:rPr>
            </w:pPr>
            <w:r>
              <w:rPr>
                <w:sz w:val="20"/>
                <w:szCs w:val="20"/>
              </w:rPr>
              <w:t>13.5</w:t>
            </w:r>
            <w:r>
              <w:rPr>
                <w:sz w:val="20"/>
                <w:szCs w:val="20"/>
              </w:rPr>
              <w:t>2</w:t>
            </w:r>
          </w:p>
        </w:tc>
        <w:tc>
          <w:tcPr>
            <w:tcW w:w="0" w:type="auto"/>
            <w:noWrap/>
            <w:vAlign w:val="bottom"/>
            <w:hideMark/>
          </w:tcPr>
          <w:p w14:paraId="6CBED06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F4E8FA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3E90FF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F158584" w14:textId="77777777" w:rsidR="00000000" w:rsidRDefault="00832D71">
            <w:pPr>
              <w:pStyle w:val="a3"/>
              <w:spacing w:before="0" w:beforeAutospacing="0" w:after="0" w:afterAutospacing="0"/>
              <w:jc w:val="right"/>
              <w:rPr>
                <w:sz w:val="20"/>
                <w:szCs w:val="20"/>
              </w:rPr>
            </w:pPr>
            <w:r>
              <w:rPr>
                <w:sz w:val="20"/>
                <w:szCs w:val="20"/>
              </w:rPr>
              <w:t>1,261,16</w:t>
            </w:r>
            <w:r>
              <w:rPr>
                <w:sz w:val="20"/>
                <w:szCs w:val="20"/>
              </w:rPr>
              <w:t>5</w:t>
            </w:r>
          </w:p>
        </w:tc>
        <w:tc>
          <w:tcPr>
            <w:tcW w:w="0" w:type="auto"/>
            <w:noWrap/>
            <w:vAlign w:val="bottom"/>
            <w:hideMark/>
          </w:tcPr>
          <w:p w14:paraId="47AFE12F" w14:textId="77777777" w:rsidR="00000000" w:rsidRDefault="00832D71">
            <w:pPr>
              <w:pStyle w:val="a3"/>
              <w:spacing w:before="0" w:beforeAutospacing="0" w:after="0" w:afterAutospacing="0"/>
              <w:rPr>
                <w:sz w:val="20"/>
                <w:szCs w:val="20"/>
              </w:rPr>
            </w:pPr>
            <w:r>
              <w:rPr>
                <w:sz w:val="20"/>
                <w:szCs w:val="20"/>
              </w:rPr>
              <w:t> </w:t>
            </w:r>
          </w:p>
        </w:tc>
      </w:tr>
      <w:tr w:rsidR="00000000" w14:paraId="79328FE3" w14:textId="77777777">
        <w:trPr>
          <w:trHeight w:val="200"/>
          <w:tblCellSpacing w:w="15" w:type="dxa"/>
        </w:trPr>
        <w:tc>
          <w:tcPr>
            <w:tcW w:w="0" w:type="auto"/>
            <w:hideMark/>
          </w:tcPr>
          <w:p w14:paraId="670BD8F4" w14:textId="77777777" w:rsidR="00000000" w:rsidRDefault="00832D71">
            <w:pPr>
              <w:pStyle w:val="a3"/>
              <w:spacing w:before="0" w:beforeAutospacing="0" w:after="0" w:afterAutospacing="0"/>
              <w:rPr>
                <w:sz w:val="20"/>
                <w:szCs w:val="20"/>
              </w:rPr>
            </w:pPr>
            <w:r>
              <w:rPr>
                <w:sz w:val="20"/>
                <w:szCs w:val="20"/>
              </w:rPr>
              <w:t>Equity compensation plans not approved by</w:t>
            </w:r>
            <w:r>
              <w:rPr>
                <w:sz w:val="20"/>
                <w:szCs w:val="20"/>
              </w:rPr>
              <w:br/>
              <w:t>   security holder</w:t>
            </w:r>
            <w:r>
              <w:rPr>
                <w:sz w:val="20"/>
                <w:szCs w:val="20"/>
              </w:rPr>
              <w:t>s</w:t>
            </w:r>
          </w:p>
        </w:tc>
        <w:tc>
          <w:tcPr>
            <w:tcW w:w="0" w:type="auto"/>
            <w:hideMark/>
          </w:tcPr>
          <w:p w14:paraId="4C8EF1E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2E37FB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CA763EE"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CB149C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868002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8D9CB9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664B613"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10A9DCA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F82E64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BC93C6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21F6355" w14:textId="77777777" w:rsidR="00000000" w:rsidRDefault="00832D71">
            <w:pPr>
              <w:pStyle w:val="a3"/>
              <w:spacing w:before="0" w:beforeAutospacing="0" w:after="0" w:afterAutospacing="0"/>
              <w:jc w:val="right"/>
              <w:rPr>
                <w:sz w:val="20"/>
                <w:szCs w:val="20"/>
              </w:rPr>
            </w:pPr>
            <w:r>
              <w:rPr>
                <w:sz w:val="20"/>
                <w:szCs w:val="20"/>
              </w:rPr>
              <w:t> </w:t>
            </w:r>
          </w:p>
        </w:tc>
      </w:tr>
      <w:tr w:rsidR="00000000" w14:paraId="24C195EE" w14:textId="77777777">
        <w:trPr>
          <w:trHeight w:val="200"/>
          <w:tblCellSpacing w:w="15" w:type="dxa"/>
        </w:trPr>
        <w:tc>
          <w:tcPr>
            <w:tcW w:w="0" w:type="auto"/>
            <w:hideMark/>
          </w:tcPr>
          <w:p w14:paraId="23C6F9C4" w14:textId="77777777" w:rsidR="00000000" w:rsidRDefault="00832D71">
            <w:pPr>
              <w:pStyle w:val="a3"/>
              <w:spacing w:before="0" w:beforeAutospacing="0" w:after="0" w:afterAutospacing="0"/>
              <w:ind w:left="100"/>
              <w:rPr>
                <w:sz w:val="20"/>
                <w:szCs w:val="20"/>
              </w:rPr>
            </w:pPr>
            <w:r>
              <w:rPr>
                <w:sz w:val="20"/>
                <w:szCs w:val="20"/>
              </w:rPr>
              <w:t>Tota</w:t>
            </w:r>
            <w:r>
              <w:rPr>
                <w:sz w:val="20"/>
                <w:szCs w:val="20"/>
              </w:rPr>
              <w:t>l</w:t>
            </w:r>
          </w:p>
        </w:tc>
        <w:tc>
          <w:tcPr>
            <w:tcW w:w="0" w:type="auto"/>
            <w:hideMark/>
          </w:tcPr>
          <w:p w14:paraId="2368A94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131B5F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B1DD981" w14:textId="77777777" w:rsidR="00000000" w:rsidRDefault="00832D71">
            <w:pPr>
              <w:pStyle w:val="a3"/>
              <w:spacing w:before="0" w:beforeAutospacing="0" w:after="0" w:afterAutospacing="0"/>
              <w:jc w:val="right"/>
              <w:rPr>
                <w:sz w:val="20"/>
                <w:szCs w:val="20"/>
              </w:rPr>
            </w:pPr>
            <w:r>
              <w:rPr>
                <w:sz w:val="20"/>
                <w:szCs w:val="20"/>
              </w:rPr>
              <w:t>1,516,22</w:t>
            </w:r>
            <w:r>
              <w:rPr>
                <w:sz w:val="20"/>
                <w:szCs w:val="20"/>
              </w:rPr>
              <w:t>9</w:t>
            </w:r>
          </w:p>
        </w:tc>
        <w:tc>
          <w:tcPr>
            <w:tcW w:w="0" w:type="auto"/>
            <w:noWrap/>
            <w:vAlign w:val="bottom"/>
            <w:hideMark/>
          </w:tcPr>
          <w:p w14:paraId="732E2CD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D7B069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3B91B5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F5A8077" w14:textId="77777777" w:rsidR="00000000" w:rsidRDefault="00832D71">
            <w:pPr>
              <w:pStyle w:val="a3"/>
              <w:spacing w:before="0" w:beforeAutospacing="0" w:after="0" w:afterAutospacing="0"/>
              <w:jc w:val="right"/>
              <w:rPr>
                <w:sz w:val="20"/>
                <w:szCs w:val="20"/>
              </w:rPr>
            </w:pPr>
            <w:r>
              <w:rPr>
                <w:sz w:val="20"/>
                <w:szCs w:val="20"/>
              </w:rPr>
              <w:t>13.5</w:t>
            </w:r>
            <w:r>
              <w:rPr>
                <w:sz w:val="20"/>
                <w:szCs w:val="20"/>
              </w:rPr>
              <w:t>2</w:t>
            </w:r>
          </w:p>
        </w:tc>
        <w:tc>
          <w:tcPr>
            <w:tcW w:w="0" w:type="auto"/>
            <w:noWrap/>
            <w:vAlign w:val="bottom"/>
            <w:hideMark/>
          </w:tcPr>
          <w:p w14:paraId="7DFF475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560ED6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27FB08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7A40268" w14:textId="77777777" w:rsidR="00000000" w:rsidRDefault="00832D71">
            <w:pPr>
              <w:pStyle w:val="a3"/>
              <w:spacing w:before="0" w:beforeAutospacing="0" w:after="0" w:afterAutospacing="0"/>
              <w:jc w:val="right"/>
              <w:rPr>
                <w:sz w:val="20"/>
                <w:szCs w:val="20"/>
              </w:rPr>
            </w:pPr>
            <w:r>
              <w:rPr>
                <w:sz w:val="20"/>
                <w:szCs w:val="20"/>
              </w:rPr>
              <w:t>1,261,16</w:t>
            </w:r>
            <w:r>
              <w:rPr>
                <w:sz w:val="20"/>
                <w:szCs w:val="20"/>
              </w:rPr>
              <w:t>5</w:t>
            </w:r>
          </w:p>
        </w:tc>
        <w:tc>
          <w:tcPr>
            <w:tcW w:w="0" w:type="auto"/>
            <w:noWrap/>
            <w:vAlign w:val="bottom"/>
            <w:hideMark/>
          </w:tcPr>
          <w:p w14:paraId="19FD480B" w14:textId="77777777" w:rsidR="00000000" w:rsidRDefault="00832D71">
            <w:pPr>
              <w:pStyle w:val="a3"/>
              <w:spacing w:before="0" w:beforeAutospacing="0" w:after="0" w:afterAutospacing="0"/>
              <w:rPr>
                <w:sz w:val="20"/>
                <w:szCs w:val="20"/>
              </w:rPr>
            </w:pPr>
            <w:r>
              <w:rPr>
                <w:sz w:val="20"/>
                <w:szCs w:val="20"/>
              </w:rPr>
              <w:t> </w:t>
            </w:r>
          </w:p>
        </w:tc>
      </w:tr>
    </w:tbl>
    <w:p w14:paraId="31A18D53" w14:textId="77777777" w:rsidR="00000000" w:rsidRDefault="00832D71">
      <w:pPr>
        <w:pStyle w:val="a3"/>
        <w:spacing w:before="0" w:beforeAutospacing="0" w:after="0" w:afterAutospacing="0"/>
        <w:rPr>
          <w:sz w:val="20"/>
          <w:szCs w:val="20"/>
        </w:rPr>
      </w:pPr>
      <w:r>
        <w:rPr>
          <w:sz w:val="20"/>
          <w:szCs w:val="20"/>
        </w:rPr>
        <w:t> </w:t>
      </w:r>
    </w:p>
    <w:p w14:paraId="1DB77608" w14:textId="77777777" w:rsidR="00000000" w:rsidRDefault="00832D71">
      <w:pPr>
        <w:jc w:val="both"/>
        <w:divId w:val="878785563"/>
        <w:rPr>
          <w:rFonts w:eastAsia="Times New Roman"/>
        </w:rPr>
      </w:pPr>
      <w:r>
        <w:rPr>
          <w:rFonts w:eastAsia="Times New Roman"/>
          <w:sz w:val="20"/>
          <w:szCs w:val="20"/>
        </w:rPr>
        <w:t>(1</w:t>
      </w:r>
      <w:r>
        <w:rPr>
          <w:rFonts w:eastAsia="Times New Roman"/>
          <w:sz w:val="20"/>
          <w:szCs w:val="20"/>
        </w:rPr>
        <w:t>)</w:t>
      </w:r>
    </w:p>
    <w:p w14:paraId="2237D252" w14:textId="77777777" w:rsidR="00000000" w:rsidRDefault="00832D71">
      <w:pPr>
        <w:jc w:val="both"/>
        <w:divId w:val="1103694226"/>
        <w:rPr>
          <w:rFonts w:eastAsia="Times New Roman"/>
        </w:rPr>
      </w:pPr>
      <w:r>
        <w:rPr>
          <w:rFonts w:eastAsia="Times New Roman"/>
          <w:sz w:val="20"/>
          <w:szCs w:val="20"/>
        </w:rPr>
        <w:t>Relates to the Restricted Unit Plans</w:t>
      </w:r>
      <w:r>
        <w:rPr>
          <w:rFonts w:eastAsia="Times New Roman"/>
          <w:sz w:val="20"/>
          <w:szCs w:val="20"/>
        </w:rPr>
        <w:t>.</w:t>
      </w:r>
    </w:p>
    <w:p w14:paraId="528C5D38" w14:textId="77777777" w:rsidR="00000000" w:rsidRDefault="00832D71">
      <w:pPr>
        <w:jc w:val="both"/>
        <w:divId w:val="2101444354"/>
        <w:rPr>
          <w:rFonts w:eastAsia="Times New Roman"/>
        </w:rPr>
      </w:pPr>
      <w:r>
        <w:rPr>
          <w:rFonts w:eastAsia="Times New Roman"/>
          <w:sz w:val="20"/>
          <w:szCs w:val="20"/>
        </w:rPr>
        <w:t>(2</w:t>
      </w:r>
      <w:r>
        <w:rPr>
          <w:rFonts w:eastAsia="Times New Roman"/>
          <w:sz w:val="20"/>
          <w:szCs w:val="20"/>
        </w:rPr>
        <w:t>)</w:t>
      </w:r>
    </w:p>
    <w:p w14:paraId="6DE1077B" w14:textId="77777777" w:rsidR="00000000" w:rsidRDefault="00832D71">
      <w:pPr>
        <w:jc w:val="both"/>
        <w:divId w:val="40792749"/>
        <w:rPr>
          <w:rFonts w:eastAsia="Times New Roman"/>
        </w:rPr>
      </w:pPr>
      <w:r>
        <w:rPr>
          <w:rFonts w:eastAsia="Times New Roman"/>
          <w:sz w:val="20"/>
          <w:szCs w:val="20"/>
        </w:rPr>
        <w:t>Represents number of restricted units that, as of September 24, 2022, had been granted under the Restricted Unit Plans but had not yet vested</w:t>
      </w:r>
      <w:r>
        <w:rPr>
          <w:rFonts w:eastAsia="Times New Roman"/>
          <w:sz w:val="20"/>
          <w:szCs w:val="20"/>
        </w:rPr>
        <w:t>.</w:t>
      </w:r>
    </w:p>
    <w:p w14:paraId="6CE8E73A" w14:textId="77777777" w:rsidR="00000000" w:rsidRDefault="00832D71">
      <w:pPr>
        <w:pStyle w:val="a3"/>
        <w:spacing w:before="0" w:beforeAutospacing="0" w:after="0" w:afterAutospacing="0"/>
        <w:rPr>
          <w:sz w:val="20"/>
          <w:szCs w:val="20"/>
        </w:rPr>
      </w:pPr>
      <w:r>
        <w:rPr>
          <w:sz w:val="20"/>
          <w:szCs w:val="20"/>
        </w:rPr>
        <w:t> </w:t>
      </w:r>
    </w:p>
    <w:p w14:paraId="3DFB8B7D" w14:textId="77777777" w:rsidR="00000000" w:rsidRDefault="00832D71">
      <w:pPr>
        <w:pStyle w:val="a3"/>
        <w:spacing w:before="0" w:beforeAutospacing="0" w:after="0" w:afterAutospacing="0"/>
        <w:jc w:val="center"/>
        <w:rPr>
          <w:sz w:val="20"/>
          <w:szCs w:val="20"/>
        </w:rPr>
      </w:pPr>
      <w:r>
        <w:rPr>
          <w:sz w:val="20"/>
          <w:szCs w:val="20"/>
        </w:rPr>
        <w:t> </w:t>
      </w:r>
    </w:p>
    <w:p w14:paraId="76231824" w14:textId="77777777" w:rsidR="00000000" w:rsidRDefault="00832D71">
      <w:pPr>
        <w:pStyle w:val="a3"/>
        <w:spacing w:before="0" w:beforeAutospacing="0" w:after="0" w:afterAutospacing="0"/>
        <w:jc w:val="center"/>
        <w:rPr>
          <w:sz w:val="20"/>
          <w:szCs w:val="20"/>
        </w:rPr>
      </w:pPr>
      <w:r>
        <w:rPr>
          <w:sz w:val="20"/>
          <w:szCs w:val="20"/>
        </w:rPr>
        <w:t>8</w:t>
      </w:r>
      <w:r>
        <w:rPr>
          <w:sz w:val="20"/>
          <w:szCs w:val="20"/>
        </w:rPr>
        <w:t>6</w:t>
      </w:r>
    </w:p>
    <w:p w14:paraId="3B622633" w14:textId="77777777" w:rsidR="00000000" w:rsidRDefault="00832D71">
      <w:pPr>
        <w:rPr>
          <w:rFonts w:eastAsia="Times New Roman"/>
        </w:rPr>
      </w:pPr>
      <w:r>
        <w:rPr>
          <w:rFonts w:eastAsia="Times New Roman"/>
        </w:rPr>
        <w:pict w14:anchorId="4FBF85CF">
          <v:rect id="_x0000_i1113" style="width:0;height:1.5pt" o:hralign="center" o:hrstd="t" o:hr="t" fillcolor="#a0a0a0" stroked="f"/>
        </w:pict>
      </w:r>
    </w:p>
    <w:p w14:paraId="3F603597"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68F4AB22" w14:textId="77777777" w:rsidR="00000000" w:rsidRDefault="00832D71">
      <w:pPr>
        <w:pStyle w:val="a3"/>
        <w:spacing w:before="0" w:beforeAutospacing="0" w:after="0" w:afterAutospacing="0"/>
        <w:ind w:hanging="1400"/>
        <w:jc w:val="both"/>
        <w:rPr>
          <w:sz w:val="20"/>
          <w:szCs w:val="20"/>
        </w:rPr>
      </w:pPr>
      <w:r>
        <w:rPr>
          <w:b/>
          <w:bCs/>
          <w:sz w:val="20"/>
          <w:szCs w:val="20"/>
        </w:rPr>
        <w:t>ITEM 13. CERTAIN RELATIONSHIPS AND RELATE</w:t>
      </w:r>
      <w:r>
        <w:rPr>
          <w:b/>
          <w:bCs/>
          <w:sz w:val="20"/>
          <w:szCs w:val="20"/>
        </w:rPr>
        <w:t>D</w:t>
      </w:r>
      <w:r>
        <w:rPr>
          <w:b/>
          <w:bCs/>
          <w:sz w:val="20"/>
          <w:szCs w:val="20"/>
        </w:rPr>
        <w:t xml:space="preserve"> TRANSACTIONS, AND DIRECTOR INDEPENDENC</w:t>
      </w:r>
      <w:r>
        <w:rPr>
          <w:b/>
          <w:bCs/>
          <w:sz w:val="20"/>
          <w:szCs w:val="20"/>
        </w:rPr>
        <w:t>E</w:t>
      </w:r>
    </w:p>
    <w:p w14:paraId="0D5629EC" w14:textId="77777777" w:rsidR="00000000" w:rsidRDefault="00832D71">
      <w:pPr>
        <w:pStyle w:val="a3"/>
        <w:spacing w:before="360" w:beforeAutospacing="0" w:after="0" w:afterAutospacing="0"/>
        <w:jc w:val="both"/>
        <w:rPr>
          <w:sz w:val="20"/>
          <w:szCs w:val="20"/>
        </w:rPr>
      </w:pPr>
      <w:r>
        <w:rPr>
          <w:b/>
          <w:bCs/>
          <w:sz w:val="20"/>
          <w:szCs w:val="20"/>
        </w:rPr>
        <w:t>Related Person Transaction</w:t>
      </w:r>
      <w:r>
        <w:rPr>
          <w:b/>
          <w:bCs/>
          <w:sz w:val="20"/>
          <w:szCs w:val="20"/>
        </w:rPr>
        <w:t>s</w:t>
      </w:r>
    </w:p>
    <w:p w14:paraId="3D92EBCC" w14:textId="77777777" w:rsidR="00000000" w:rsidRDefault="00832D71">
      <w:pPr>
        <w:pStyle w:val="a3"/>
        <w:spacing w:before="120" w:beforeAutospacing="0" w:after="0" w:afterAutospacing="0"/>
        <w:ind w:firstLine="555"/>
        <w:jc w:val="both"/>
        <w:rPr>
          <w:sz w:val="20"/>
          <w:szCs w:val="20"/>
        </w:rPr>
      </w:pPr>
      <w:r>
        <w:rPr>
          <w:sz w:val="20"/>
          <w:szCs w:val="20"/>
        </w:rPr>
        <w:t xml:space="preserve">None. See “Partnership Management” </w:t>
      </w:r>
      <w:r>
        <w:rPr>
          <w:sz w:val="20"/>
          <w:szCs w:val="20"/>
        </w:rPr>
        <w:t>under Item 10 above for a description of the Audit Committee’s role in reviewing, and approving or ratifying, related party transactions</w:t>
      </w:r>
      <w:r>
        <w:rPr>
          <w:sz w:val="20"/>
          <w:szCs w:val="20"/>
        </w:rPr>
        <w:t>.</w:t>
      </w:r>
    </w:p>
    <w:p w14:paraId="486CB944" w14:textId="77777777" w:rsidR="00000000" w:rsidRDefault="00832D71">
      <w:pPr>
        <w:pStyle w:val="a3"/>
        <w:spacing w:before="360" w:beforeAutospacing="0" w:after="0" w:afterAutospacing="0"/>
        <w:jc w:val="both"/>
        <w:rPr>
          <w:sz w:val="20"/>
          <w:szCs w:val="20"/>
        </w:rPr>
      </w:pPr>
      <w:r>
        <w:rPr>
          <w:b/>
          <w:bCs/>
          <w:sz w:val="20"/>
          <w:szCs w:val="20"/>
        </w:rPr>
        <w:t>Supervisor Independenc</w:t>
      </w:r>
      <w:r>
        <w:rPr>
          <w:b/>
          <w:bCs/>
          <w:sz w:val="20"/>
          <w:szCs w:val="20"/>
        </w:rPr>
        <w:t>e</w:t>
      </w:r>
    </w:p>
    <w:p w14:paraId="0E0C3C79" w14:textId="77777777" w:rsidR="00000000" w:rsidRDefault="00832D71">
      <w:pPr>
        <w:pStyle w:val="a3"/>
        <w:spacing w:before="120" w:beforeAutospacing="0" w:after="0" w:afterAutospacing="0"/>
        <w:ind w:firstLine="555"/>
        <w:jc w:val="both"/>
        <w:rPr>
          <w:sz w:val="20"/>
          <w:szCs w:val="20"/>
        </w:rPr>
      </w:pPr>
      <w:r>
        <w:rPr>
          <w:sz w:val="20"/>
          <w:szCs w:val="20"/>
        </w:rPr>
        <w:t>The Corporate Governance Guidelines and Principles adopted by the Board of Supervisors provide</w:t>
      </w:r>
      <w:r>
        <w:rPr>
          <w:sz w:val="20"/>
          <w:szCs w:val="20"/>
        </w:rPr>
        <w:t xml:space="preserve"> that a Supervisor is deemed to be lacking a material relationship to the Partnership and is therefore independent of management if the following criteria are satisfied</w:t>
      </w:r>
      <w:r>
        <w:rPr>
          <w:sz w:val="20"/>
          <w:szCs w:val="20"/>
        </w:rPr>
        <w:t>:</w:t>
      </w:r>
    </w:p>
    <w:p w14:paraId="0678AE79" w14:textId="77777777" w:rsidR="00000000" w:rsidRDefault="00832D71">
      <w:pPr>
        <w:jc w:val="both"/>
        <w:divId w:val="882523236"/>
        <w:rPr>
          <w:rFonts w:eastAsia="Times New Roman"/>
        </w:rPr>
      </w:pPr>
      <w:r>
        <w:rPr>
          <w:rFonts w:eastAsia="Times New Roman"/>
          <w:sz w:val="20"/>
          <w:szCs w:val="20"/>
        </w:rPr>
        <w:t>1</w:t>
      </w:r>
      <w:r>
        <w:rPr>
          <w:rFonts w:eastAsia="Times New Roman"/>
          <w:sz w:val="20"/>
          <w:szCs w:val="20"/>
        </w:rPr>
        <w:t>.</w:t>
      </w:r>
    </w:p>
    <w:p w14:paraId="5ECA1A7E" w14:textId="77777777" w:rsidR="00000000" w:rsidRDefault="00832D71">
      <w:pPr>
        <w:jc w:val="both"/>
        <w:divId w:val="646978893"/>
        <w:rPr>
          <w:rFonts w:eastAsia="Times New Roman"/>
        </w:rPr>
      </w:pPr>
      <w:r>
        <w:rPr>
          <w:rFonts w:eastAsia="Times New Roman"/>
          <w:sz w:val="20"/>
          <w:szCs w:val="20"/>
        </w:rPr>
        <w:t>Within the past three years, the Supervisor</w:t>
      </w:r>
      <w:r>
        <w:rPr>
          <w:rFonts w:eastAsia="Times New Roman"/>
          <w:sz w:val="20"/>
          <w:szCs w:val="20"/>
        </w:rPr>
        <w:t>:</w:t>
      </w:r>
    </w:p>
    <w:p w14:paraId="0A673901" w14:textId="77777777" w:rsidR="00000000" w:rsidRDefault="00832D71">
      <w:pPr>
        <w:jc w:val="both"/>
        <w:divId w:val="302395895"/>
        <w:rPr>
          <w:rFonts w:eastAsia="Times New Roman"/>
        </w:rPr>
      </w:pPr>
      <w:r>
        <w:rPr>
          <w:rFonts w:eastAsia="Times New Roman"/>
          <w:sz w:val="20"/>
          <w:szCs w:val="20"/>
        </w:rPr>
        <w:t>a</w:t>
      </w:r>
      <w:r>
        <w:rPr>
          <w:rFonts w:eastAsia="Times New Roman"/>
          <w:sz w:val="20"/>
          <w:szCs w:val="20"/>
        </w:rPr>
        <w:t>.</w:t>
      </w:r>
    </w:p>
    <w:p w14:paraId="35029E0D" w14:textId="77777777" w:rsidR="00000000" w:rsidRDefault="00832D71">
      <w:pPr>
        <w:jc w:val="both"/>
        <w:divId w:val="1859923541"/>
        <w:rPr>
          <w:rFonts w:eastAsia="Times New Roman"/>
        </w:rPr>
      </w:pPr>
      <w:r>
        <w:rPr>
          <w:rFonts w:eastAsia="Times New Roman"/>
          <w:sz w:val="20"/>
          <w:szCs w:val="20"/>
        </w:rPr>
        <w:t>has not been employed by the Partne</w:t>
      </w:r>
      <w:r>
        <w:rPr>
          <w:rFonts w:eastAsia="Times New Roman"/>
          <w:sz w:val="20"/>
          <w:szCs w:val="20"/>
        </w:rPr>
        <w:t>rship and has not received more than $120,000 per year in direct compensation from the Partnership, other than Supervisor and committee fees and pension or other forms of deferred compensation for prior service</w:t>
      </w:r>
      <w:r>
        <w:rPr>
          <w:rFonts w:eastAsia="Times New Roman"/>
          <w:sz w:val="20"/>
          <w:szCs w:val="20"/>
        </w:rPr>
        <w:t>;</w:t>
      </w:r>
    </w:p>
    <w:p w14:paraId="40762586" w14:textId="77777777" w:rsidR="00000000" w:rsidRDefault="00832D71">
      <w:pPr>
        <w:jc w:val="both"/>
        <w:divId w:val="1742290614"/>
        <w:rPr>
          <w:rFonts w:eastAsia="Times New Roman"/>
        </w:rPr>
      </w:pPr>
      <w:r>
        <w:rPr>
          <w:rFonts w:eastAsia="Times New Roman"/>
          <w:sz w:val="20"/>
          <w:szCs w:val="20"/>
        </w:rPr>
        <w:t>b</w:t>
      </w:r>
      <w:r>
        <w:rPr>
          <w:rFonts w:eastAsia="Times New Roman"/>
          <w:sz w:val="20"/>
          <w:szCs w:val="20"/>
        </w:rPr>
        <w:t>.</w:t>
      </w:r>
    </w:p>
    <w:p w14:paraId="0F8A667E" w14:textId="77777777" w:rsidR="00000000" w:rsidRDefault="00832D71">
      <w:pPr>
        <w:jc w:val="both"/>
        <w:divId w:val="1503861261"/>
        <w:rPr>
          <w:rFonts w:eastAsia="Times New Roman"/>
        </w:rPr>
      </w:pPr>
      <w:r>
        <w:rPr>
          <w:rFonts w:eastAsia="Times New Roman"/>
          <w:sz w:val="20"/>
          <w:szCs w:val="20"/>
        </w:rPr>
        <w:t xml:space="preserve">has not provided significant advisory or </w:t>
      </w:r>
      <w:r>
        <w:rPr>
          <w:rFonts w:eastAsia="Times New Roman"/>
          <w:sz w:val="20"/>
          <w:szCs w:val="20"/>
        </w:rPr>
        <w:t xml:space="preserve">consultancy services to the Partnership, and has not been affiliated with a company or a firm that has provided such services to the Partnership in return for aggregate payments during any of the last three fiscal years of the Partnership in excess of the </w:t>
      </w:r>
      <w:r>
        <w:rPr>
          <w:rFonts w:eastAsia="Times New Roman"/>
          <w:sz w:val="20"/>
          <w:szCs w:val="20"/>
        </w:rPr>
        <w:t>greater of 2% of the other company’s consolidated gross revenues or $1 million</w:t>
      </w:r>
      <w:r>
        <w:rPr>
          <w:rFonts w:eastAsia="Times New Roman"/>
          <w:sz w:val="20"/>
          <w:szCs w:val="20"/>
        </w:rPr>
        <w:t>;</w:t>
      </w:r>
    </w:p>
    <w:p w14:paraId="4B8A96F6" w14:textId="77777777" w:rsidR="00000000" w:rsidRDefault="00832D71">
      <w:pPr>
        <w:jc w:val="both"/>
        <w:divId w:val="1711370422"/>
        <w:rPr>
          <w:rFonts w:eastAsia="Times New Roman"/>
        </w:rPr>
      </w:pPr>
      <w:r>
        <w:rPr>
          <w:rFonts w:eastAsia="Times New Roman"/>
          <w:sz w:val="20"/>
          <w:szCs w:val="20"/>
        </w:rPr>
        <w:t>c</w:t>
      </w:r>
      <w:r>
        <w:rPr>
          <w:rFonts w:eastAsia="Times New Roman"/>
          <w:sz w:val="20"/>
          <w:szCs w:val="20"/>
        </w:rPr>
        <w:t>.</w:t>
      </w:r>
    </w:p>
    <w:p w14:paraId="1ECE3522" w14:textId="77777777" w:rsidR="00000000" w:rsidRDefault="00832D71">
      <w:pPr>
        <w:jc w:val="both"/>
        <w:divId w:val="1732314612"/>
        <w:rPr>
          <w:rFonts w:eastAsia="Times New Roman"/>
        </w:rPr>
      </w:pPr>
      <w:r>
        <w:rPr>
          <w:rFonts w:eastAsia="Times New Roman"/>
          <w:sz w:val="20"/>
          <w:szCs w:val="20"/>
        </w:rPr>
        <w:t>has not been a significant customer or supplier of the Partnership and has not been affiliated with a company or firm that has been a customer or supplier of the Partnership</w:t>
      </w:r>
      <w:r>
        <w:rPr>
          <w:rFonts w:eastAsia="Times New Roman"/>
          <w:sz w:val="20"/>
          <w:szCs w:val="20"/>
        </w:rPr>
        <w:t xml:space="preserve"> and has either made to the Partnership or received from the Partnership payments during any of the last three fiscal years of the Partnership in excess of the greater of 2% of the other company’s consolidated gross revenues or $1 million</w:t>
      </w:r>
      <w:r>
        <w:rPr>
          <w:rFonts w:eastAsia="Times New Roman"/>
          <w:sz w:val="20"/>
          <w:szCs w:val="20"/>
        </w:rPr>
        <w:t>;</w:t>
      </w:r>
    </w:p>
    <w:p w14:paraId="67D9240E" w14:textId="77777777" w:rsidR="00000000" w:rsidRDefault="00832D71">
      <w:pPr>
        <w:jc w:val="both"/>
        <w:divId w:val="321856426"/>
        <w:rPr>
          <w:rFonts w:eastAsia="Times New Roman"/>
        </w:rPr>
      </w:pPr>
      <w:r>
        <w:rPr>
          <w:rFonts w:eastAsia="Times New Roman"/>
          <w:sz w:val="20"/>
          <w:szCs w:val="20"/>
        </w:rPr>
        <w:t>d</w:t>
      </w:r>
      <w:r>
        <w:rPr>
          <w:rFonts w:eastAsia="Times New Roman"/>
          <w:sz w:val="20"/>
          <w:szCs w:val="20"/>
        </w:rPr>
        <w:t>.</w:t>
      </w:r>
    </w:p>
    <w:p w14:paraId="10490A9A" w14:textId="77777777" w:rsidR="00000000" w:rsidRDefault="00832D71">
      <w:pPr>
        <w:jc w:val="both"/>
        <w:divId w:val="413866536"/>
        <w:rPr>
          <w:rFonts w:eastAsia="Times New Roman"/>
        </w:rPr>
      </w:pPr>
      <w:r>
        <w:rPr>
          <w:rFonts w:eastAsia="Times New Roman"/>
          <w:sz w:val="20"/>
          <w:szCs w:val="20"/>
        </w:rPr>
        <w:t xml:space="preserve">has not been </w:t>
      </w:r>
      <w:r>
        <w:rPr>
          <w:rFonts w:eastAsia="Times New Roman"/>
          <w:sz w:val="20"/>
          <w:szCs w:val="20"/>
        </w:rPr>
        <w:t>employed by or affiliated with an internal or external auditor that within the past three years provided services to the Partnership; an</w:t>
      </w:r>
      <w:r>
        <w:rPr>
          <w:rFonts w:eastAsia="Times New Roman"/>
          <w:sz w:val="20"/>
          <w:szCs w:val="20"/>
        </w:rPr>
        <w:t>d</w:t>
      </w:r>
    </w:p>
    <w:p w14:paraId="5D285D6E" w14:textId="77777777" w:rsidR="00000000" w:rsidRDefault="00832D71">
      <w:pPr>
        <w:jc w:val="both"/>
        <w:divId w:val="2075421554"/>
        <w:rPr>
          <w:rFonts w:eastAsia="Times New Roman"/>
        </w:rPr>
      </w:pPr>
      <w:r>
        <w:rPr>
          <w:rFonts w:eastAsia="Times New Roman"/>
          <w:sz w:val="20"/>
          <w:szCs w:val="20"/>
        </w:rPr>
        <w:t>e</w:t>
      </w:r>
      <w:r>
        <w:rPr>
          <w:rFonts w:eastAsia="Times New Roman"/>
          <w:sz w:val="20"/>
          <w:szCs w:val="20"/>
        </w:rPr>
        <w:t>.</w:t>
      </w:r>
    </w:p>
    <w:p w14:paraId="70953A99" w14:textId="77777777" w:rsidR="00000000" w:rsidRDefault="00832D71">
      <w:pPr>
        <w:jc w:val="both"/>
        <w:divId w:val="1392147061"/>
        <w:rPr>
          <w:rFonts w:eastAsia="Times New Roman"/>
        </w:rPr>
      </w:pPr>
      <w:r>
        <w:rPr>
          <w:rFonts w:eastAsia="Times New Roman"/>
          <w:sz w:val="20"/>
          <w:szCs w:val="20"/>
        </w:rPr>
        <w:t xml:space="preserve">has not been employed by another company where any of the Partnership’s current executives serve on that company’s </w:t>
      </w:r>
      <w:r>
        <w:rPr>
          <w:rFonts w:eastAsia="Times New Roman"/>
          <w:sz w:val="20"/>
          <w:szCs w:val="20"/>
        </w:rPr>
        <w:t>compensation committee</w:t>
      </w:r>
      <w:r>
        <w:rPr>
          <w:rFonts w:eastAsia="Times New Roman"/>
          <w:sz w:val="20"/>
          <w:szCs w:val="20"/>
        </w:rPr>
        <w:t>;</w:t>
      </w:r>
    </w:p>
    <w:p w14:paraId="27F5E02B" w14:textId="77777777" w:rsidR="00000000" w:rsidRDefault="00832D71">
      <w:pPr>
        <w:jc w:val="both"/>
        <w:divId w:val="505293835"/>
        <w:rPr>
          <w:rFonts w:eastAsia="Times New Roman"/>
        </w:rPr>
      </w:pPr>
      <w:r>
        <w:rPr>
          <w:rFonts w:eastAsia="Times New Roman"/>
          <w:sz w:val="20"/>
          <w:szCs w:val="20"/>
        </w:rPr>
        <w:t>2</w:t>
      </w:r>
      <w:r>
        <w:rPr>
          <w:rFonts w:eastAsia="Times New Roman"/>
          <w:sz w:val="20"/>
          <w:szCs w:val="20"/>
        </w:rPr>
        <w:t>.</w:t>
      </w:r>
    </w:p>
    <w:p w14:paraId="1EA58A58" w14:textId="77777777" w:rsidR="00000000" w:rsidRDefault="00832D71">
      <w:pPr>
        <w:jc w:val="both"/>
        <w:divId w:val="241066946"/>
        <w:rPr>
          <w:rFonts w:eastAsia="Times New Roman"/>
        </w:rPr>
      </w:pPr>
      <w:r>
        <w:rPr>
          <w:rFonts w:eastAsia="Times New Roman"/>
          <w:sz w:val="20"/>
          <w:szCs w:val="20"/>
        </w:rPr>
        <w:t>The Supervisor is not a spouse, parent, sibling, child, mother- or father-in-law, son- or daughter-in-law or brother- or sister-in-law of, and does not share a residence with (other than a domestic employee), a person that has (i</w:t>
      </w:r>
      <w:r>
        <w:rPr>
          <w:rFonts w:eastAsia="Times New Roman"/>
          <w:sz w:val="20"/>
          <w:szCs w:val="20"/>
        </w:rPr>
        <w:t>) received more than $120,000 from the Partnership, (ii) is an executive officer of the Partnership or the entities identified in (1)(a) through (1)(c) or (1)(e) above, or (iii) is a partner of an internal or external auditor of the Partnership, or is empl</w:t>
      </w:r>
      <w:r>
        <w:rPr>
          <w:rFonts w:eastAsia="Times New Roman"/>
          <w:sz w:val="20"/>
          <w:szCs w:val="20"/>
        </w:rPr>
        <w:t>oyed by such auditor and personally worked on the Partnership’s audit within the past three years</w:t>
      </w:r>
      <w:r>
        <w:rPr>
          <w:rFonts w:eastAsia="Times New Roman"/>
          <w:sz w:val="20"/>
          <w:szCs w:val="20"/>
        </w:rPr>
        <w:t>;</w:t>
      </w:r>
    </w:p>
    <w:p w14:paraId="4FB918B3" w14:textId="77777777" w:rsidR="00000000" w:rsidRDefault="00832D71">
      <w:pPr>
        <w:jc w:val="both"/>
        <w:divId w:val="670375271"/>
        <w:rPr>
          <w:rFonts w:eastAsia="Times New Roman"/>
        </w:rPr>
      </w:pPr>
      <w:r>
        <w:rPr>
          <w:rFonts w:eastAsia="Times New Roman"/>
          <w:sz w:val="20"/>
          <w:szCs w:val="20"/>
        </w:rPr>
        <w:t>3</w:t>
      </w:r>
      <w:r>
        <w:rPr>
          <w:rFonts w:eastAsia="Times New Roman"/>
          <w:sz w:val="20"/>
          <w:szCs w:val="20"/>
        </w:rPr>
        <w:t>.</w:t>
      </w:r>
    </w:p>
    <w:p w14:paraId="0AF576DA" w14:textId="77777777" w:rsidR="00000000" w:rsidRDefault="00832D71">
      <w:pPr>
        <w:jc w:val="both"/>
        <w:divId w:val="774714786"/>
        <w:rPr>
          <w:rFonts w:eastAsia="Times New Roman"/>
        </w:rPr>
      </w:pPr>
      <w:r>
        <w:rPr>
          <w:rFonts w:eastAsia="Times New Roman"/>
          <w:sz w:val="20"/>
          <w:szCs w:val="20"/>
        </w:rPr>
        <w:t>The Supervisor is not affiliated with a tax-exempt entity that within the past 12 months received significant contributions from the Partnership (contribu</w:t>
      </w:r>
      <w:r>
        <w:rPr>
          <w:rFonts w:eastAsia="Times New Roman"/>
          <w:sz w:val="20"/>
          <w:szCs w:val="20"/>
        </w:rPr>
        <w:t>tions of the greater of 2% of the entity’s consolidated gross revenues or $1 million are considered significant); an</w:t>
      </w:r>
      <w:r>
        <w:rPr>
          <w:rFonts w:eastAsia="Times New Roman"/>
          <w:sz w:val="20"/>
          <w:szCs w:val="20"/>
        </w:rPr>
        <w:t>d</w:t>
      </w:r>
    </w:p>
    <w:p w14:paraId="05DD4B49" w14:textId="77777777" w:rsidR="00000000" w:rsidRDefault="00832D71">
      <w:pPr>
        <w:jc w:val="both"/>
        <w:divId w:val="322122840"/>
        <w:rPr>
          <w:rFonts w:eastAsia="Times New Roman"/>
        </w:rPr>
      </w:pPr>
      <w:r>
        <w:rPr>
          <w:rFonts w:eastAsia="Times New Roman"/>
          <w:sz w:val="20"/>
          <w:szCs w:val="20"/>
        </w:rPr>
        <w:t>4</w:t>
      </w:r>
      <w:r>
        <w:rPr>
          <w:rFonts w:eastAsia="Times New Roman"/>
          <w:sz w:val="20"/>
          <w:szCs w:val="20"/>
        </w:rPr>
        <w:t>.</w:t>
      </w:r>
    </w:p>
    <w:p w14:paraId="159DEAF1" w14:textId="77777777" w:rsidR="00000000" w:rsidRDefault="00832D71">
      <w:pPr>
        <w:jc w:val="both"/>
        <w:divId w:val="226645392"/>
        <w:rPr>
          <w:rFonts w:eastAsia="Times New Roman"/>
        </w:rPr>
      </w:pPr>
      <w:r>
        <w:rPr>
          <w:rFonts w:eastAsia="Times New Roman"/>
          <w:sz w:val="20"/>
          <w:szCs w:val="20"/>
        </w:rPr>
        <w:t xml:space="preserve">The Supervisor does not have any other relationships with the Partnership or with members of senior management of the Partnership that </w:t>
      </w:r>
      <w:r>
        <w:rPr>
          <w:rFonts w:eastAsia="Times New Roman"/>
          <w:sz w:val="20"/>
          <w:szCs w:val="20"/>
        </w:rPr>
        <w:t>the Board determines to be material</w:t>
      </w:r>
      <w:r>
        <w:rPr>
          <w:rFonts w:eastAsia="Times New Roman"/>
          <w:sz w:val="20"/>
          <w:szCs w:val="20"/>
        </w:rPr>
        <w:t>.</w:t>
      </w:r>
    </w:p>
    <w:p w14:paraId="664AD499" w14:textId="77777777" w:rsidR="00000000" w:rsidRDefault="00832D71">
      <w:pPr>
        <w:pStyle w:val="a3"/>
        <w:spacing w:before="240" w:beforeAutospacing="0" w:after="0" w:afterAutospacing="0"/>
        <w:ind w:firstLine="555"/>
        <w:jc w:val="both"/>
        <w:rPr>
          <w:sz w:val="20"/>
          <w:szCs w:val="20"/>
        </w:rPr>
      </w:pPr>
      <w:r>
        <w:rPr>
          <w:sz w:val="20"/>
          <w:szCs w:val="20"/>
        </w:rPr>
        <w:t>A copy of our Corporate Governance Guidelines is available without charge from our website at</w:t>
      </w:r>
      <w:r>
        <w:rPr>
          <w:sz w:val="20"/>
          <w:szCs w:val="20"/>
        </w:rPr>
        <w:t xml:space="preserve"> </w:t>
      </w:r>
      <w:r>
        <w:rPr>
          <w:sz w:val="20"/>
          <w:szCs w:val="20"/>
          <w:u w:val="single"/>
        </w:rPr>
        <w:t>www.suburbanpropane.co</w:t>
      </w:r>
      <w:r>
        <w:rPr>
          <w:sz w:val="20"/>
          <w:szCs w:val="20"/>
          <w:u w:val="single"/>
        </w:rPr>
        <w:t>m</w:t>
      </w:r>
      <w:r>
        <w:rPr>
          <w:sz w:val="20"/>
          <w:szCs w:val="20"/>
        </w:rPr>
        <w:t xml:space="preserve"> or upon written request directed to: Suburban Propane Partners, L.P., Investor Relations, P.O. Box 20</w:t>
      </w:r>
      <w:r>
        <w:rPr>
          <w:sz w:val="20"/>
          <w:szCs w:val="20"/>
        </w:rPr>
        <w:t>6, Whippany, New Jersey 07981-0206</w:t>
      </w:r>
      <w:r>
        <w:rPr>
          <w:sz w:val="20"/>
          <w:szCs w:val="20"/>
        </w:rPr>
        <w:t>.</w:t>
      </w:r>
    </w:p>
    <w:p w14:paraId="5FCAE27F" w14:textId="77777777" w:rsidR="00000000" w:rsidRDefault="00832D71">
      <w:pPr>
        <w:pStyle w:val="a3"/>
        <w:spacing w:before="0" w:beforeAutospacing="0" w:after="0" w:afterAutospacing="0"/>
        <w:jc w:val="center"/>
        <w:rPr>
          <w:sz w:val="20"/>
          <w:szCs w:val="20"/>
        </w:rPr>
      </w:pPr>
      <w:r>
        <w:rPr>
          <w:sz w:val="20"/>
          <w:szCs w:val="20"/>
        </w:rPr>
        <w:t> </w:t>
      </w:r>
    </w:p>
    <w:p w14:paraId="05601814" w14:textId="77777777" w:rsidR="00000000" w:rsidRDefault="00832D71">
      <w:pPr>
        <w:pStyle w:val="a3"/>
        <w:spacing w:before="0" w:beforeAutospacing="0" w:after="0" w:afterAutospacing="0"/>
        <w:jc w:val="center"/>
        <w:rPr>
          <w:sz w:val="20"/>
          <w:szCs w:val="20"/>
        </w:rPr>
      </w:pPr>
      <w:r>
        <w:rPr>
          <w:sz w:val="20"/>
          <w:szCs w:val="20"/>
        </w:rPr>
        <w:t>8</w:t>
      </w:r>
      <w:r>
        <w:rPr>
          <w:sz w:val="20"/>
          <w:szCs w:val="20"/>
        </w:rPr>
        <w:t>7</w:t>
      </w:r>
    </w:p>
    <w:p w14:paraId="528866FF" w14:textId="77777777" w:rsidR="00000000" w:rsidRDefault="00832D71">
      <w:pPr>
        <w:rPr>
          <w:rFonts w:eastAsia="Times New Roman"/>
        </w:rPr>
      </w:pPr>
      <w:r>
        <w:rPr>
          <w:rFonts w:eastAsia="Times New Roman"/>
        </w:rPr>
        <w:pict w14:anchorId="017D489E">
          <v:rect id="_x0000_i1114" style="width:0;height:1.5pt" o:hralign="center" o:hrstd="t" o:hr="t" fillcolor="#a0a0a0" stroked="f"/>
        </w:pict>
      </w:r>
    </w:p>
    <w:p w14:paraId="55E41329"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29BFF386" w14:textId="77777777" w:rsidR="00000000" w:rsidRDefault="00832D71">
      <w:pPr>
        <w:pStyle w:val="a3"/>
        <w:spacing w:before="0" w:beforeAutospacing="0" w:after="0" w:afterAutospacing="0"/>
        <w:ind w:hanging="1400"/>
        <w:jc w:val="both"/>
        <w:rPr>
          <w:sz w:val="20"/>
          <w:szCs w:val="20"/>
        </w:rPr>
      </w:pPr>
      <w:r>
        <w:rPr>
          <w:b/>
          <w:bCs/>
          <w:sz w:val="20"/>
          <w:szCs w:val="20"/>
        </w:rPr>
        <w:t>ITEM 14. PRINCIPAL ACCO</w:t>
      </w:r>
      <w:r>
        <w:rPr>
          <w:b/>
          <w:bCs/>
          <w:sz w:val="20"/>
          <w:szCs w:val="20"/>
        </w:rPr>
        <w:t>U</w:t>
      </w:r>
      <w:r>
        <w:rPr>
          <w:b/>
          <w:bCs/>
          <w:sz w:val="20"/>
          <w:szCs w:val="20"/>
        </w:rPr>
        <w:t>NTING FEES AND SERVICE</w:t>
      </w:r>
      <w:r>
        <w:rPr>
          <w:b/>
          <w:bCs/>
          <w:sz w:val="20"/>
          <w:szCs w:val="20"/>
        </w:rPr>
        <w:t>S</w:t>
      </w:r>
    </w:p>
    <w:p w14:paraId="43EE172C" w14:textId="77777777" w:rsidR="00000000" w:rsidRDefault="00832D71">
      <w:pPr>
        <w:pStyle w:val="a3"/>
        <w:spacing w:before="120" w:beforeAutospacing="0" w:after="0" w:afterAutospacing="0"/>
        <w:ind w:firstLine="555"/>
        <w:jc w:val="both"/>
        <w:rPr>
          <w:sz w:val="20"/>
          <w:szCs w:val="20"/>
        </w:rPr>
      </w:pPr>
      <w:r>
        <w:rPr>
          <w:sz w:val="20"/>
          <w:szCs w:val="20"/>
        </w:rPr>
        <w:t>The following table sets forth the aggregate fees for services related to fiscal years 2022 and 2021 provided by P</w:t>
      </w:r>
      <w:r>
        <w:rPr>
          <w:sz w:val="20"/>
          <w:szCs w:val="20"/>
        </w:rPr>
        <w:t>ricewaterhouseCoopers LLP, our independent registered public accounting firm</w:t>
      </w:r>
      <w:r>
        <w:rPr>
          <w:sz w:val="20"/>
          <w:szCs w:val="20"/>
        </w:rPr>
        <w:t>.</w:t>
      </w:r>
    </w:p>
    <w:p w14:paraId="1FFBD55E" w14:textId="77777777" w:rsidR="00000000" w:rsidRDefault="00832D71">
      <w:pPr>
        <w:pStyle w:val="a3"/>
        <w:spacing w:before="0" w:beforeAutospacing="0" w:after="0" w:afterAutospacing="0"/>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56"/>
        <w:gridCol w:w="110"/>
        <w:gridCol w:w="160"/>
        <w:gridCol w:w="891"/>
        <w:gridCol w:w="110"/>
        <w:gridCol w:w="110"/>
        <w:gridCol w:w="160"/>
        <w:gridCol w:w="892"/>
        <w:gridCol w:w="125"/>
      </w:tblGrid>
      <w:tr w:rsidR="00000000" w14:paraId="68C88948" w14:textId="77777777">
        <w:trPr>
          <w:tblCellSpacing w:w="15" w:type="dxa"/>
        </w:trPr>
        <w:tc>
          <w:tcPr>
            <w:tcW w:w="2947" w:type="pct"/>
            <w:vAlign w:val="center"/>
            <w:hideMark/>
          </w:tcPr>
          <w:p w14:paraId="1B353D95" w14:textId="77777777" w:rsidR="00000000" w:rsidRDefault="00832D71">
            <w:pPr>
              <w:rPr>
                <w:sz w:val="20"/>
                <w:szCs w:val="20"/>
              </w:rPr>
            </w:pPr>
          </w:p>
        </w:tc>
        <w:tc>
          <w:tcPr>
            <w:tcW w:w="99" w:type="pct"/>
            <w:vAlign w:val="center"/>
            <w:hideMark/>
          </w:tcPr>
          <w:p w14:paraId="64884D13" w14:textId="77777777" w:rsidR="00000000" w:rsidRDefault="00832D71">
            <w:pPr>
              <w:rPr>
                <w:rFonts w:eastAsia="Times New Roman"/>
                <w:sz w:val="20"/>
                <w:szCs w:val="20"/>
              </w:rPr>
            </w:pPr>
          </w:p>
        </w:tc>
        <w:tc>
          <w:tcPr>
            <w:tcW w:w="50" w:type="pct"/>
            <w:vAlign w:val="center"/>
            <w:hideMark/>
          </w:tcPr>
          <w:p w14:paraId="5C01CAD6" w14:textId="77777777" w:rsidR="00000000" w:rsidRDefault="00832D71">
            <w:pPr>
              <w:rPr>
                <w:rFonts w:eastAsia="Times New Roman"/>
                <w:sz w:val="20"/>
                <w:szCs w:val="20"/>
              </w:rPr>
            </w:pPr>
          </w:p>
        </w:tc>
        <w:tc>
          <w:tcPr>
            <w:tcW w:w="827" w:type="pct"/>
            <w:vAlign w:val="center"/>
            <w:hideMark/>
          </w:tcPr>
          <w:p w14:paraId="4BCF5406" w14:textId="77777777" w:rsidR="00000000" w:rsidRDefault="00832D71">
            <w:pPr>
              <w:rPr>
                <w:rFonts w:eastAsia="Times New Roman"/>
                <w:sz w:val="20"/>
                <w:szCs w:val="20"/>
              </w:rPr>
            </w:pPr>
          </w:p>
        </w:tc>
        <w:tc>
          <w:tcPr>
            <w:tcW w:w="50" w:type="pct"/>
            <w:vAlign w:val="center"/>
            <w:hideMark/>
          </w:tcPr>
          <w:p w14:paraId="6BD753AD" w14:textId="77777777" w:rsidR="00000000" w:rsidRDefault="00832D71">
            <w:pPr>
              <w:rPr>
                <w:rFonts w:eastAsia="Times New Roman"/>
                <w:sz w:val="20"/>
                <w:szCs w:val="20"/>
              </w:rPr>
            </w:pPr>
          </w:p>
        </w:tc>
        <w:tc>
          <w:tcPr>
            <w:tcW w:w="99" w:type="pct"/>
            <w:vAlign w:val="center"/>
            <w:hideMark/>
          </w:tcPr>
          <w:p w14:paraId="3EB20A76" w14:textId="77777777" w:rsidR="00000000" w:rsidRDefault="00832D71">
            <w:pPr>
              <w:rPr>
                <w:rFonts w:eastAsia="Times New Roman"/>
                <w:sz w:val="20"/>
                <w:szCs w:val="20"/>
              </w:rPr>
            </w:pPr>
          </w:p>
        </w:tc>
        <w:tc>
          <w:tcPr>
            <w:tcW w:w="50" w:type="pct"/>
            <w:vAlign w:val="center"/>
            <w:hideMark/>
          </w:tcPr>
          <w:p w14:paraId="4F481906" w14:textId="77777777" w:rsidR="00000000" w:rsidRDefault="00832D71">
            <w:pPr>
              <w:rPr>
                <w:rFonts w:eastAsia="Times New Roman"/>
                <w:sz w:val="20"/>
                <w:szCs w:val="20"/>
              </w:rPr>
            </w:pPr>
          </w:p>
        </w:tc>
        <w:tc>
          <w:tcPr>
            <w:tcW w:w="827" w:type="pct"/>
            <w:vAlign w:val="center"/>
            <w:hideMark/>
          </w:tcPr>
          <w:p w14:paraId="1BF4D1F3" w14:textId="77777777" w:rsidR="00000000" w:rsidRDefault="00832D71">
            <w:pPr>
              <w:rPr>
                <w:rFonts w:eastAsia="Times New Roman"/>
                <w:sz w:val="20"/>
                <w:szCs w:val="20"/>
              </w:rPr>
            </w:pPr>
          </w:p>
        </w:tc>
        <w:tc>
          <w:tcPr>
            <w:tcW w:w="50" w:type="pct"/>
            <w:vAlign w:val="center"/>
            <w:hideMark/>
          </w:tcPr>
          <w:p w14:paraId="1A2717CB" w14:textId="77777777" w:rsidR="00000000" w:rsidRDefault="00832D71">
            <w:pPr>
              <w:rPr>
                <w:rFonts w:eastAsia="Times New Roman"/>
                <w:sz w:val="20"/>
                <w:szCs w:val="20"/>
              </w:rPr>
            </w:pPr>
          </w:p>
        </w:tc>
      </w:tr>
      <w:tr w:rsidR="00000000" w14:paraId="6ABF9CF0" w14:textId="77777777">
        <w:trPr>
          <w:trHeight w:val="160"/>
          <w:tblCellSpacing w:w="15" w:type="dxa"/>
        </w:trPr>
        <w:tc>
          <w:tcPr>
            <w:tcW w:w="0" w:type="auto"/>
            <w:vAlign w:val="bottom"/>
            <w:hideMark/>
          </w:tcPr>
          <w:p w14:paraId="70477462"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048BCA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17A1FA0" w14:textId="77777777" w:rsidR="00000000" w:rsidRDefault="00832D71">
            <w:pPr>
              <w:pStyle w:val="a3"/>
              <w:spacing w:before="0" w:beforeAutospacing="0" w:after="0" w:afterAutospacing="0"/>
              <w:jc w:val="center"/>
              <w:rPr>
                <w:sz w:val="16"/>
                <w:szCs w:val="16"/>
              </w:rPr>
            </w:pPr>
            <w:r>
              <w:rPr>
                <w:b/>
                <w:bCs/>
                <w:sz w:val="16"/>
                <w:szCs w:val="16"/>
              </w:rPr>
              <w:t>Fiscal</w:t>
            </w:r>
            <w:r>
              <w:rPr>
                <w:b/>
                <w:bCs/>
                <w:sz w:val="16"/>
                <w:szCs w:val="16"/>
              </w:rPr>
              <w:br/>
              <w:t>202</w:t>
            </w:r>
            <w:r>
              <w:rPr>
                <w:b/>
                <w:bCs/>
                <w:sz w:val="16"/>
                <w:szCs w:val="16"/>
              </w:rPr>
              <w:t>2</w:t>
            </w:r>
          </w:p>
        </w:tc>
        <w:tc>
          <w:tcPr>
            <w:tcW w:w="0" w:type="auto"/>
            <w:vAlign w:val="bottom"/>
            <w:hideMark/>
          </w:tcPr>
          <w:p w14:paraId="451BDF25"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94C621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25D2FF4" w14:textId="77777777" w:rsidR="00000000" w:rsidRDefault="00832D71">
            <w:pPr>
              <w:pStyle w:val="a3"/>
              <w:spacing w:before="0" w:beforeAutospacing="0" w:after="0" w:afterAutospacing="0"/>
              <w:jc w:val="center"/>
              <w:rPr>
                <w:sz w:val="16"/>
                <w:szCs w:val="16"/>
              </w:rPr>
            </w:pPr>
            <w:r>
              <w:rPr>
                <w:b/>
                <w:bCs/>
                <w:sz w:val="16"/>
                <w:szCs w:val="16"/>
              </w:rPr>
              <w:t>Fiscal</w:t>
            </w:r>
            <w:r>
              <w:rPr>
                <w:b/>
                <w:bCs/>
                <w:sz w:val="16"/>
                <w:szCs w:val="16"/>
              </w:rPr>
              <w:br/>
              <w:t>202</w:t>
            </w:r>
            <w:r>
              <w:rPr>
                <w:b/>
                <w:bCs/>
                <w:sz w:val="16"/>
                <w:szCs w:val="16"/>
              </w:rPr>
              <w:t>1</w:t>
            </w:r>
          </w:p>
        </w:tc>
        <w:tc>
          <w:tcPr>
            <w:tcW w:w="0" w:type="auto"/>
            <w:vAlign w:val="bottom"/>
            <w:hideMark/>
          </w:tcPr>
          <w:p w14:paraId="2C0584AD"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15AE597" w14:textId="77777777">
        <w:trPr>
          <w:trHeight w:val="200"/>
          <w:tblCellSpacing w:w="15" w:type="dxa"/>
        </w:trPr>
        <w:tc>
          <w:tcPr>
            <w:tcW w:w="0" w:type="auto"/>
            <w:hideMark/>
          </w:tcPr>
          <w:p w14:paraId="53F496F3" w14:textId="77777777" w:rsidR="00000000" w:rsidRDefault="00832D71">
            <w:pPr>
              <w:pStyle w:val="a3"/>
              <w:spacing w:before="0" w:beforeAutospacing="0" w:after="0" w:afterAutospacing="0"/>
              <w:rPr>
                <w:sz w:val="20"/>
                <w:szCs w:val="20"/>
              </w:rPr>
            </w:pPr>
            <w:r>
              <w:rPr>
                <w:sz w:val="20"/>
                <w:szCs w:val="20"/>
              </w:rPr>
              <w:t>Audit Fees (a</w:t>
            </w:r>
            <w:r>
              <w:rPr>
                <w:sz w:val="20"/>
                <w:szCs w:val="20"/>
              </w:rPr>
              <w:t>)</w:t>
            </w:r>
          </w:p>
        </w:tc>
        <w:tc>
          <w:tcPr>
            <w:tcW w:w="0" w:type="auto"/>
            <w:vAlign w:val="bottom"/>
            <w:hideMark/>
          </w:tcPr>
          <w:p w14:paraId="694FDA7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77D008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18A8AE5" w14:textId="77777777" w:rsidR="00000000" w:rsidRDefault="00832D71">
            <w:pPr>
              <w:pStyle w:val="a3"/>
              <w:spacing w:before="0" w:beforeAutospacing="0" w:after="0" w:afterAutospacing="0"/>
              <w:jc w:val="right"/>
              <w:rPr>
                <w:sz w:val="20"/>
                <w:szCs w:val="20"/>
              </w:rPr>
            </w:pPr>
            <w:r>
              <w:rPr>
                <w:sz w:val="20"/>
                <w:szCs w:val="20"/>
              </w:rPr>
              <w:t>2,104,93</w:t>
            </w:r>
            <w:r>
              <w:rPr>
                <w:sz w:val="20"/>
                <w:szCs w:val="20"/>
              </w:rPr>
              <w:t>5</w:t>
            </w:r>
          </w:p>
        </w:tc>
        <w:tc>
          <w:tcPr>
            <w:tcW w:w="0" w:type="auto"/>
            <w:noWrap/>
            <w:vAlign w:val="bottom"/>
            <w:hideMark/>
          </w:tcPr>
          <w:p w14:paraId="4AFF481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E7D461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6F7A35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5434F60" w14:textId="77777777" w:rsidR="00000000" w:rsidRDefault="00832D71">
            <w:pPr>
              <w:pStyle w:val="a3"/>
              <w:spacing w:before="0" w:beforeAutospacing="0" w:after="0" w:afterAutospacing="0"/>
              <w:jc w:val="right"/>
              <w:rPr>
                <w:sz w:val="20"/>
                <w:szCs w:val="20"/>
              </w:rPr>
            </w:pPr>
            <w:r>
              <w:rPr>
                <w:sz w:val="20"/>
                <w:szCs w:val="20"/>
              </w:rPr>
              <w:t>2,091,93</w:t>
            </w:r>
            <w:r>
              <w:rPr>
                <w:sz w:val="20"/>
                <w:szCs w:val="20"/>
              </w:rPr>
              <w:t>5</w:t>
            </w:r>
          </w:p>
        </w:tc>
        <w:tc>
          <w:tcPr>
            <w:tcW w:w="0" w:type="auto"/>
            <w:noWrap/>
            <w:vAlign w:val="bottom"/>
            <w:hideMark/>
          </w:tcPr>
          <w:p w14:paraId="4248E3E0" w14:textId="77777777" w:rsidR="00000000" w:rsidRDefault="00832D71">
            <w:pPr>
              <w:pStyle w:val="a3"/>
              <w:spacing w:before="0" w:beforeAutospacing="0" w:after="0" w:afterAutospacing="0"/>
              <w:rPr>
                <w:sz w:val="20"/>
                <w:szCs w:val="20"/>
              </w:rPr>
            </w:pPr>
            <w:r>
              <w:rPr>
                <w:sz w:val="20"/>
                <w:szCs w:val="20"/>
              </w:rPr>
              <w:t> </w:t>
            </w:r>
          </w:p>
        </w:tc>
      </w:tr>
      <w:tr w:rsidR="00000000" w14:paraId="2C93FBF9" w14:textId="77777777">
        <w:trPr>
          <w:trHeight w:val="200"/>
          <w:tblCellSpacing w:w="15" w:type="dxa"/>
        </w:trPr>
        <w:tc>
          <w:tcPr>
            <w:tcW w:w="0" w:type="auto"/>
            <w:hideMark/>
          </w:tcPr>
          <w:p w14:paraId="172683D6" w14:textId="77777777" w:rsidR="00000000" w:rsidRDefault="00832D71">
            <w:pPr>
              <w:pStyle w:val="a3"/>
              <w:spacing w:before="0" w:beforeAutospacing="0" w:after="0" w:afterAutospacing="0"/>
              <w:rPr>
                <w:sz w:val="20"/>
                <w:szCs w:val="20"/>
              </w:rPr>
            </w:pPr>
            <w:r>
              <w:rPr>
                <w:sz w:val="20"/>
                <w:szCs w:val="20"/>
              </w:rPr>
              <w:t>Tax Fees (b</w:t>
            </w:r>
            <w:r>
              <w:rPr>
                <w:sz w:val="20"/>
                <w:szCs w:val="20"/>
              </w:rPr>
              <w:t>)</w:t>
            </w:r>
          </w:p>
        </w:tc>
        <w:tc>
          <w:tcPr>
            <w:tcW w:w="0" w:type="auto"/>
            <w:vAlign w:val="bottom"/>
            <w:hideMark/>
          </w:tcPr>
          <w:p w14:paraId="3B9C622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96DC34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2EA3665" w14:textId="77777777" w:rsidR="00000000" w:rsidRDefault="00832D71">
            <w:pPr>
              <w:pStyle w:val="a3"/>
              <w:spacing w:before="0" w:beforeAutospacing="0" w:after="0" w:afterAutospacing="0"/>
              <w:jc w:val="right"/>
              <w:rPr>
                <w:sz w:val="20"/>
                <w:szCs w:val="20"/>
              </w:rPr>
            </w:pPr>
            <w:r>
              <w:rPr>
                <w:sz w:val="20"/>
                <w:szCs w:val="20"/>
              </w:rPr>
              <w:t>912,00</w:t>
            </w:r>
            <w:r>
              <w:rPr>
                <w:sz w:val="20"/>
                <w:szCs w:val="20"/>
              </w:rPr>
              <w:t>0</w:t>
            </w:r>
          </w:p>
        </w:tc>
        <w:tc>
          <w:tcPr>
            <w:tcW w:w="0" w:type="auto"/>
            <w:noWrap/>
            <w:vAlign w:val="bottom"/>
            <w:hideMark/>
          </w:tcPr>
          <w:p w14:paraId="6E3576D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41DE2A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98C7CC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D9BB7E7" w14:textId="77777777" w:rsidR="00000000" w:rsidRDefault="00832D71">
            <w:pPr>
              <w:pStyle w:val="a3"/>
              <w:spacing w:before="0" w:beforeAutospacing="0" w:after="0" w:afterAutospacing="0"/>
              <w:jc w:val="right"/>
              <w:rPr>
                <w:sz w:val="20"/>
                <w:szCs w:val="20"/>
              </w:rPr>
            </w:pPr>
            <w:r>
              <w:rPr>
                <w:sz w:val="20"/>
                <w:szCs w:val="20"/>
              </w:rPr>
              <w:t>874,88</w:t>
            </w:r>
            <w:r>
              <w:rPr>
                <w:sz w:val="20"/>
                <w:szCs w:val="20"/>
              </w:rPr>
              <w:t>5</w:t>
            </w:r>
          </w:p>
        </w:tc>
        <w:tc>
          <w:tcPr>
            <w:tcW w:w="0" w:type="auto"/>
            <w:noWrap/>
            <w:vAlign w:val="bottom"/>
            <w:hideMark/>
          </w:tcPr>
          <w:p w14:paraId="59EB2269" w14:textId="77777777" w:rsidR="00000000" w:rsidRDefault="00832D71">
            <w:pPr>
              <w:pStyle w:val="a3"/>
              <w:spacing w:before="0" w:beforeAutospacing="0" w:after="0" w:afterAutospacing="0"/>
              <w:rPr>
                <w:sz w:val="20"/>
                <w:szCs w:val="20"/>
              </w:rPr>
            </w:pPr>
            <w:r>
              <w:rPr>
                <w:sz w:val="20"/>
                <w:szCs w:val="20"/>
              </w:rPr>
              <w:t> </w:t>
            </w:r>
          </w:p>
        </w:tc>
      </w:tr>
      <w:tr w:rsidR="00000000" w14:paraId="7C3AD128" w14:textId="77777777">
        <w:trPr>
          <w:trHeight w:val="200"/>
          <w:tblCellSpacing w:w="15" w:type="dxa"/>
        </w:trPr>
        <w:tc>
          <w:tcPr>
            <w:tcW w:w="0" w:type="auto"/>
            <w:hideMark/>
          </w:tcPr>
          <w:p w14:paraId="44365387" w14:textId="77777777" w:rsidR="00000000" w:rsidRDefault="00832D71">
            <w:pPr>
              <w:pStyle w:val="a3"/>
              <w:spacing w:before="0" w:beforeAutospacing="0" w:after="0" w:afterAutospacing="0"/>
              <w:rPr>
                <w:sz w:val="20"/>
                <w:szCs w:val="20"/>
              </w:rPr>
            </w:pPr>
            <w:r>
              <w:rPr>
                <w:sz w:val="20"/>
                <w:szCs w:val="20"/>
              </w:rPr>
              <w:t>All Other Fees (c</w:t>
            </w:r>
            <w:r>
              <w:rPr>
                <w:sz w:val="20"/>
                <w:szCs w:val="20"/>
              </w:rPr>
              <w:t>)</w:t>
            </w:r>
          </w:p>
        </w:tc>
        <w:tc>
          <w:tcPr>
            <w:tcW w:w="0" w:type="auto"/>
            <w:hideMark/>
          </w:tcPr>
          <w:p w14:paraId="732F343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4F3EBF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CB03A79" w14:textId="77777777" w:rsidR="00000000" w:rsidRDefault="00832D71">
            <w:pPr>
              <w:pStyle w:val="a3"/>
              <w:spacing w:before="0" w:beforeAutospacing="0" w:after="0" w:afterAutospacing="0"/>
              <w:jc w:val="right"/>
              <w:rPr>
                <w:sz w:val="20"/>
                <w:szCs w:val="20"/>
              </w:rPr>
            </w:pPr>
            <w:r>
              <w:rPr>
                <w:sz w:val="20"/>
                <w:szCs w:val="20"/>
              </w:rPr>
              <w:t>5,50</w:t>
            </w:r>
            <w:r>
              <w:rPr>
                <w:sz w:val="20"/>
                <w:szCs w:val="20"/>
              </w:rPr>
              <w:t>0</w:t>
            </w:r>
          </w:p>
        </w:tc>
        <w:tc>
          <w:tcPr>
            <w:tcW w:w="0" w:type="auto"/>
            <w:noWrap/>
            <w:vAlign w:val="bottom"/>
            <w:hideMark/>
          </w:tcPr>
          <w:p w14:paraId="1FC0026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429307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B341EA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98941C3" w14:textId="77777777" w:rsidR="00000000" w:rsidRDefault="00832D71">
            <w:pPr>
              <w:pStyle w:val="a3"/>
              <w:spacing w:before="0" w:beforeAutospacing="0" w:after="0" w:afterAutospacing="0"/>
              <w:jc w:val="right"/>
              <w:rPr>
                <w:sz w:val="20"/>
                <w:szCs w:val="20"/>
              </w:rPr>
            </w:pPr>
            <w:r>
              <w:rPr>
                <w:sz w:val="20"/>
                <w:szCs w:val="20"/>
              </w:rPr>
              <w:t>4,50</w:t>
            </w:r>
            <w:r>
              <w:rPr>
                <w:sz w:val="20"/>
                <w:szCs w:val="20"/>
              </w:rPr>
              <w:t>0</w:t>
            </w:r>
          </w:p>
        </w:tc>
        <w:tc>
          <w:tcPr>
            <w:tcW w:w="0" w:type="auto"/>
            <w:noWrap/>
            <w:vAlign w:val="bottom"/>
            <w:hideMark/>
          </w:tcPr>
          <w:p w14:paraId="21ACC629" w14:textId="77777777" w:rsidR="00000000" w:rsidRDefault="00832D71">
            <w:pPr>
              <w:pStyle w:val="a3"/>
              <w:spacing w:before="0" w:beforeAutospacing="0" w:after="0" w:afterAutospacing="0"/>
              <w:rPr>
                <w:sz w:val="20"/>
                <w:szCs w:val="20"/>
              </w:rPr>
            </w:pPr>
            <w:r>
              <w:rPr>
                <w:sz w:val="20"/>
                <w:szCs w:val="20"/>
              </w:rPr>
              <w:t> </w:t>
            </w:r>
          </w:p>
        </w:tc>
      </w:tr>
      <w:tr w:rsidR="00000000" w14:paraId="65EAE404" w14:textId="77777777">
        <w:trPr>
          <w:trHeight w:val="200"/>
          <w:tblCellSpacing w:w="15" w:type="dxa"/>
        </w:trPr>
        <w:tc>
          <w:tcPr>
            <w:tcW w:w="0" w:type="auto"/>
            <w:hideMark/>
          </w:tcPr>
          <w:p w14:paraId="7776E98F" w14:textId="77777777" w:rsidR="00000000" w:rsidRDefault="00832D71">
            <w:pPr>
              <w:pStyle w:val="a3"/>
              <w:spacing w:before="0" w:beforeAutospacing="0" w:after="0" w:afterAutospacing="0"/>
              <w:ind w:left="200"/>
              <w:rPr>
                <w:sz w:val="20"/>
                <w:szCs w:val="20"/>
              </w:rPr>
            </w:pPr>
            <w:r>
              <w:rPr>
                <w:sz w:val="20"/>
                <w:szCs w:val="20"/>
              </w:rPr>
              <w:t>Tota</w:t>
            </w:r>
            <w:r>
              <w:rPr>
                <w:sz w:val="20"/>
                <w:szCs w:val="20"/>
              </w:rPr>
              <w:t>l</w:t>
            </w:r>
          </w:p>
        </w:tc>
        <w:tc>
          <w:tcPr>
            <w:tcW w:w="0" w:type="auto"/>
            <w:hideMark/>
          </w:tcPr>
          <w:p w14:paraId="27EB00DF"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7D8D3078"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C89540C" w14:textId="77777777" w:rsidR="00000000" w:rsidRDefault="00832D71">
            <w:pPr>
              <w:pStyle w:val="a3"/>
              <w:spacing w:before="0" w:beforeAutospacing="0" w:after="0" w:afterAutospacing="0"/>
              <w:jc w:val="right"/>
              <w:rPr>
                <w:sz w:val="20"/>
                <w:szCs w:val="20"/>
              </w:rPr>
            </w:pPr>
            <w:r>
              <w:rPr>
                <w:sz w:val="20"/>
                <w:szCs w:val="20"/>
              </w:rPr>
              <w:t>3,022,43</w:t>
            </w:r>
            <w:r>
              <w:rPr>
                <w:sz w:val="20"/>
                <w:szCs w:val="20"/>
              </w:rPr>
              <w:t>5</w:t>
            </w:r>
          </w:p>
        </w:tc>
        <w:tc>
          <w:tcPr>
            <w:tcW w:w="0" w:type="auto"/>
            <w:noWrap/>
            <w:hideMark/>
          </w:tcPr>
          <w:p w14:paraId="2B6A0BE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E586C73"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41453A17"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17D254AE" w14:textId="77777777" w:rsidR="00000000" w:rsidRDefault="00832D71">
            <w:pPr>
              <w:pStyle w:val="a3"/>
              <w:spacing w:before="0" w:beforeAutospacing="0" w:after="0" w:afterAutospacing="0"/>
              <w:jc w:val="right"/>
              <w:rPr>
                <w:sz w:val="20"/>
                <w:szCs w:val="20"/>
              </w:rPr>
            </w:pPr>
            <w:r>
              <w:rPr>
                <w:sz w:val="20"/>
                <w:szCs w:val="20"/>
              </w:rPr>
              <w:t>2,971,32</w:t>
            </w:r>
            <w:r>
              <w:rPr>
                <w:sz w:val="20"/>
                <w:szCs w:val="20"/>
              </w:rPr>
              <w:t>0</w:t>
            </w:r>
          </w:p>
        </w:tc>
        <w:tc>
          <w:tcPr>
            <w:tcW w:w="0" w:type="auto"/>
            <w:noWrap/>
            <w:hideMark/>
          </w:tcPr>
          <w:p w14:paraId="7B076642" w14:textId="77777777" w:rsidR="00000000" w:rsidRDefault="00832D71">
            <w:pPr>
              <w:pStyle w:val="a3"/>
              <w:spacing w:before="0" w:beforeAutospacing="0" w:after="0" w:afterAutospacing="0"/>
              <w:rPr>
                <w:sz w:val="20"/>
                <w:szCs w:val="20"/>
              </w:rPr>
            </w:pPr>
            <w:r>
              <w:rPr>
                <w:sz w:val="20"/>
                <w:szCs w:val="20"/>
              </w:rPr>
              <w:t> </w:t>
            </w:r>
          </w:p>
        </w:tc>
      </w:tr>
    </w:tbl>
    <w:p w14:paraId="7F3A58F9" w14:textId="77777777" w:rsidR="00000000" w:rsidRDefault="00832D71">
      <w:pPr>
        <w:pStyle w:val="a3"/>
        <w:spacing w:before="0" w:beforeAutospacing="0" w:after="0" w:afterAutospacing="0"/>
        <w:rPr>
          <w:sz w:val="20"/>
          <w:szCs w:val="20"/>
        </w:rPr>
      </w:pPr>
      <w:r>
        <w:rPr>
          <w:sz w:val="20"/>
          <w:szCs w:val="20"/>
        </w:rPr>
        <w:t> </w:t>
      </w:r>
    </w:p>
    <w:p w14:paraId="7C743B65" w14:textId="77777777" w:rsidR="00000000" w:rsidRDefault="00832D71">
      <w:pPr>
        <w:jc w:val="both"/>
        <w:divId w:val="1973828238"/>
        <w:rPr>
          <w:rFonts w:eastAsia="Times New Roman"/>
        </w:rPr>
      </w:pPr>
      <w:r>
        <w:rPr>
          <w:rFonts w:eastAsia="Times New Roman"/>
          <w:sz w:val="20"/>
          <w:szCs w:val="20"/>
        </w:rPr>
        <w:t>(a</w:t>
      </w:r>
      <w:r>
        <w:rPr>
          <w:rFonts w:eastAsia="Times New Roman"/>
          <w:sz w:val="20"/>
          <w:szCs w:val="20"/>
        </w:rPr>
        <w:t>)</w:t>
      </w:r>
    </w:p>
    <w:p w14:paraId="1217841C" w14:textId="77777777" w:rsidR="00000000" w:rsidRDefault="00832D71">
      <w:pPr>
        <w:jc w:val="both"/>
        <w:divId w:val="1413359295"/>
        <w:rPr>
          <w:rFonts w:eastAsia="Times New Roman"/>
        </w:rPr>
      </w:pPr>
      <w:r>
        <w:rPr>
          <w:rFonts w:eastAsia="Times New Roman"/>
          <w:sz w:val="20"/>
          <w:szCs w:val="20"/>
        </w:rPr>
        <w:t>Audit Fees consist of professional services rendered for the integrated audit of our annual consolidated financial statements and our internal control over financial reporting, including reviews of our quarterly financial statements, as well as the issuanc</w:t>
      </w:r>
      <w:r>
        <w:rPr>
          <w:rFonts w:eastAsia="Times New Roman"/>
          <w:sz w:val="20"/>
          <w:szCs w:val="20"/>
        </w:rPr>
        <w:t>e of consents in connection with other filings made with the SEC</w:t>
      </w:r>
      <w:r>
        <w:rPr>
          <w:rFonts w:eastAsia="Times New Roman"/>
          <w:sz w:val="20"/>
          <w:szCs w:val="20"/>
        </w:rPr>
        <w:t>.</w:t>
      </w:r>
    </w:p>
    <w:p w14:paraId="2B33E7BC" w14:textId="77777777" w:rsidR="00000000" w:rsidRDefault="00832D71">
      <w:pPr>
        <w:jc w:val="both"/>
        <w:divId w:val="1717654739"/>
        <w:rPr>
          <w:rFonts w:eastAsia="Times New Roman"/>
        </w:rPr>
      </w:pPr>
      <w:r>
        <w:rPr>
          <w:rFonts w:eastAsia="Times New Roman"/>
          <w:sz w:val="20"/>
          <w:szCs w:val="20"/>
        </w:rPr>
        <w:t>(b</w:t>
      </w:r>
      <w:r>
        <w:rPr>
          <w:rFonts w:eastAsia="Times New Roman"/>
          <w:sz w:val="20"/>
          <w:szCs w:val="20"/>
        </w:rPr>
        <w:t>)</w:t>
      </w:r>
    </w:p>
    <w:p w14:paraId="014DEEAB" w14:textId="77777777" w:rsidR="00000000" w:rsidRDefault="00832D71">
      <w:pPr>
        <w:jc w:val="both"/>
        <w:divId w:val="1781099173"/>
        <w:rPr>
          <w:rFonts w:eastAsia="Times New Roman"/>
        </w:rPr>
      </w:pPr>
      <w:r>
        <w:rPr>
          <w:rFonts w:eastAsia="Times New Roman"/>
          <w:sz w:val="20"/>
          <w:szCs w:val="20"/>
        </w:rPr>
        <w:t>Tax Fees consist of fees for professional services related to tax reporting, tax compliance and transaction services assistance</w:t>
      </w:r>
      <w:r>
        <w:rPr>
          <w:rFonts w:eastAsia="Times New Roman"/>
          <w:sz w:val="20"/>
          <w:szCs w:val="20"/>
        </w:rPr>
        <w:t>.</w:t>
      </w:r>
    </w:p>
    <w:p w14:paraId="25C9C1A8" w14:textId="77777777" w:rsidR="00000000" w:rsidRDefault="00832D71">
      <w:pPr>
        <w:jc w:val="both"/>
        <w:divId w:val="884368497"/>
        <w:rPr>
          <w:rFonts w:eastAsia="Times New Roman"/>
        </w:rPr>
      </w:pPr>
      <w:r>
        <w:rPr>
          <w:rFonts w:eastAsia="Times New Roman"/>
          <w:sz w:val="20"/>
          <w:szCs w:val="20"/>
        </w:rPr>
        <w:t>(c</w:t>
      </w:r>
      <w:r>
        <w:rPr>
          <w:rFonts w:eastAsia="Times New Roman"/>
          <w:sz w:val="20"/>
          <w:szCs w:val="20"/>
        </w:rPr>
        <w:t>)</w:t>
      </w:r>
    </w:p>
    <w:p w14:paraId="481711F7" w14:textId="77777777" w:rsidR="00000000" w:rsidRDefault="00832D71">
      <w:pPr>
        <w:jc w:val="both"/>
        <w:divId w:val="1430002828"/>
        <w:rPr>
          <w:rFonts w:eastAsia="Times New Roman"/>
        </w:rPr>
      </w:pPr>
      <w:r>
        <w:rPr>
          <w:rFonts w:eastAsia="Times New Roman"/>
          <w:sz w:val="20"/>
          <w:szCs w:val="20"/>
        </w:rPr>
        <w:t>All Other Fees represent fees for the purchase of a license to an accounting research software tool</w:t>
      </w:r>
      <w:r>
        <w:rPr>
          <w:rFonts w:eastAsia="Times New Roman"/>
          <w:sz w:val="20"/>
          <w:szCs w:val="20"/>
        </w:rPr>
        <w:t>.</w:t>
      </w:r>
    </w:p>
    <w:p w14:paraId="3818FE18" w14:textId="77777777" w:rsidR="00000000" w:rsidRDefault="00832D71">
      <w:pPr>
        <w:pStyle w:val="a3"/>
        <w:spacing w:before="240" w:beforeAutospacing="0" w:after="0" w:afterAutospacing="0"/>
        <w:ind w:firstLine="555"/>
        <w:jc w:val="both"/>
        <w:rPr>
          <w:sz w:val="20"/>
          <w:szCs w:val="20"/>
        </w:rPr>
      </w:pPr>
      <w:r>
        <w:rPr>
          <w:sz w:val="20"/>
          <w:szCs w:val="20"/>
        </w:rPr>
        <w:t>The Audit Committee of</w:t>
      </w:r>
      <w:r>
        <w:rPr>
          <w:sz w:val="20"/>
          <w:szCs w:val="20"/>
        </w:rPr>
        <w:t xml:space="preserve"> the Board of Supervisors has adopted a formal policy concerning the approval of audit and non-audit services to be provided by the independent registered public accounting firm, PricewaterhouseCoopers LLP. The policy requires that all services Pricewaterh</w:t>
      </w:r>
      <w:r>
        <w:rPr>
          <w:sz w:val="20"/>
          <w:szCs w:val="20"/>
        </w:rPr>
        <w:t>ouseCoopers LLP may provide to us, including audit services and permitted audit-related and non-audit services, be pre-approved by the Audit Committee. The Audit Committee pre-approved all audit and non-audit services provided by PricewaterhouseCoopers LLP</w:t>
      </w:r>
      <w:r>
        <w:rPr>
          <w:sz w:val="20"/>
          <w:szCs w:val="20"/>
        </w:rPr>
        <w:t xml:space="preserve"> during fiscal 2022 and fiscal 2021</w:t>
      </w:r>
      <w:r>
        <w:rPr>
          <w:sz w:val="20"/>
          <w:szCs w:val="20"/>
        </w:rPr>
        <w:t>.</w:t>
      </w:r>
    </w:p>
    <w:p w14:paraId="31D8BA48" w14:textId="77777777" w:rsidR="00000000" w:rsidRDefault="00832D71">
      <w:pPr>
        <w:pStyle w:val="a3"/>
        <w:spacing w:before="0" w:beforeAutospacing="0" w:after="0" w:afterAutospacing="0"/>
        <w:rPr>
          <w:sz w:val="20"/>
          <w:szCs w:val="20"/>
        </w:rPr>
      </w:pPr>
      <w:r>
        <w:rPr>
          <w:sz w:val="20"/>
          <w:szCs w:val="20"/>
        </w:rPr>
        <w:t> </w:t>
      </w:r>
    </w:p>
    <w:p w14:paraId="626F34A5" w14:textId="77777777" w:rsidR="00000000" w:rsidRDefault="00832D71">
      <w:pPr>
        <w:pStyle w:val="a3"/>
        <w:spacing w:before="0" w:beforeAutospacing="0" w:after="0" w:afterAutospacing="0"/>
        <w:rPr>
          <w:sz w:val="20"/>
          <w:szCs w:val="20"/>
        </w:rPr>
      </w:pPr>
      <w:r>
        <w:rPr>
          <w:sz w:val="20"/>
          <w:szCs w:val="20"/>
        </w:rPr>
        <w:t> </w:t>
      </w:r>
    </w:p>
    <w:p w14:paraId="5F438BA3" w14:textId="77777777" w:rsidR="00000000" w:rsidRDefault="00832D71">
      <w:pPr>
        <w:pStyle w:val="a3"/>
        <w:spacing w:before="0" w:beforeAutospacing="0" w:after="0" w:afterAutospacing="0"/>
        <w:jc w:val="center"/>
        <w:rPr>
          <w:sz w:val="20"/>
          <w:szCs w:val="20"/>
        </w:rPr>
      </w:pPr>
      <w:r>
        <w:rPr>
          <w:sz w:val="20"/>
          <w:szCs w:val="20"/>
        </w:rPr>
        <w:t> </w:t>
      </w:r>
    </w:p>
    <w:p w14:paraId="3D50C30F" w14:textId="77777777" w:rsidR="00000000" w:rsidRDefault="00832D71">
      <w:pPr>
        <w:pStyle w:val="a3"/>
        <w:spacing w:before="0" w:beforeAutospacing="0" w:after="0" w:afterAutospacing="0"/>
        <w:jc w:val="center"/>
        <w:rPr>
          <w:sz w:val="20"/>
          <w:szCs w:val="20"/>
        </w:rPr>
      </w:pPr>
      <w:r>
        <w:rPr>
          <w:sz w:val="20"/>
          <w:szCs w:val="20"/>
        </w:rPr>
        <w:t>8</w:t>
      </w:r>
      <w:r>
        <w:rPr>
          <w:sz w:val="20"/>
          <w:szCs w:val="20"/>
        </w:rPr>
        <w:t>8</w:t>
      </w:r>
    </w:p>
    <w:p w14:paraId="5E57DDEE" w14:textId="77777777" w:rsidR="00000000" w:rsidRDefault="00832D71">
      <w:pPr>
        <w:rPr>
          <w:rFonts w:eastAsia="Times New Roman"/>
        </w:rPr>
      </w:pPr>
      <w:r>
        <w:rPr>
          <w:rFonts w:eastAsia="Times New Roman"/>
        </w:rPr>
        <w:pict w14:anchorId="3E5796E3">
          <v:rect id="_x0000_i1115" style="width:0;height:1.5pt" o:hralign="center" o:hrstd="t" o:hr="t" fillcolor="#a0a0a0" stroked="f"/>
        </w:pict>
      </w:r>
    </w:p>
    <w:p w14:paraId="6BE9D83D"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051981C4" w14:textId="77777777" w:rsidR="00000000" w:rsidRDefault="00832D71">
      <w:pPr>
        <w:pStyle w:val="a3"/>
        <w:spacing w:before="0" w:beforeAutospacing="0" w:after="0" w:afterAutospacing="0"/>
        <w:jc w:val="center"/>
        <w:rPr>
          <w:sz w:val="20"/>
          <w:szCs w:val="20"/>
        </w:rPr>
      </w:pPr>
      <w:r>
        <w:rPr>
          <w:b/>
          <w:bCs/>
          <w:sz w:val="20"/>
          <w:szCs w:val="20"/>
        </w:rPr>
        <w:t>PAR</w:t>
      </w:r>
      <w:r>
        <w:rPr>
          <w:b/>
          <w:bCs/>
          <w:sz w:val="20"/>
          <w:szCs w:val="20"/>
        </w:rPr>
        <w:t>T</w:t>
      </w:r>
      <w:r>
        <w:rPr>
          <w:b/>
          <w:bCs/>
          <w:sz w:val="20"/>
          <w:szCs w:val="20"/>
        </w:rPr>
        <w:t xml:space="preserve"> I</w:t>
      </w:r>
      <w:r>
        <w:rPr>
          <w:b/>
          <w:bCs/>
          <w:sz w:val="20"/>
          <w:szCs w:val="20"/>
        </w:rPr>
        <w:t>V</w:t>
      </w:r>
    </w:p>
    <w:p w14:paraId="3E93FB5E" w14:textId="77777777" w:rsidR="00000000" w:rsidRDefault="00832D71">
      <w:pPr>
        <w:pStyle w:val="a3"/>
        <w:spacing w:before="240" w:beforeAutospacing="0" w:after="0" w:afterAutospacing="0"/>
        <w:ind w:hanging="1400"/>
        <w:jc w:val="both"/>
        <w:rPr>
          <w:sz w:val="20"/>
          <w:szCs w:val="20"/>
        </w:rPr>
      </w:pPr>
      <w:r>
        <w:rPr>
          <w:b/>
          <w:bCs/>
          <w:sz w:val="20"/>
          <w:szCs w:val="20"/>
        </w:rPr>
        <w:t>ITEM 15. EXHIBITS, FINA</w:t>
      </w:r>
      <w:r>
        <w:rPr>
          <w:b/>
          <w:bCs/>
          <w:sz w:val="20"/>
          <w:szCs w:val="20"/>
        </w:rPr>
        <w:t>N</w:t>
      </w:r>
      <w:r>
        <w:rPr>
          <w:b/>
          <w:bCs/>
          <w:sz w:val="20"/>
          <w:szCs w:val="20"/>
        </w:rPr>
        <w:t>CIAL STATEMENT SCHEDULE</w:t>
      </w:r>
      <w:r>
        <w:rPr>
          <w:b/>
          <w:bCs/>
          <w:sz w:val="20"/>
          <w:szCs w:val="20"/>
        </w:rPr>
        <w:t>S</w:t>
      </w:r>
    </w:p>
    <w:p w14:paraId="4E1F23B5" w14:textId="77777777" w:rsidR="00000000" w:rsidRDefault="00832D71">
      <w:pPr>
        <w:jc w:val="both"/>
        <w:divId w:val="59593863"/>
        <w:rPr>
          <w:rFonts w:eastAsia="Times New Roman"/>
        </w:rPr>
      </w:pPr>
      <w:r>
        <w:rPr>
          <w:rFonts w:eastAsia="Times New Roman"/>
          <w:sz w:val="20"/>
          <w:szCs w:val="20"/>
        </w:rPr>
        <w:t>(a</w:t>
      </w:r>
      <w:r>
        <w:rPr>
          <w:rFonts w:eastAsia="Times New Roman"/>
          <w:sz w:val="20"/>
          <w:szCs w:val="20"/>
        </w:rPr>
        <w:t>)</w:t>
      </w:r>
    </w:p>
    <w:p w14:paraId="1BA9B970" w14:textId="77777777" w:rsidR="00000000" w:rsidRDefault="00832D71">
      <w:pPr>
        <w:jc w:val="both"/>
        <w:divId w:val="1639189315"/>
        <w:rPr>
          <w:rFonts w:eastAsia="Times New Roman"/>
        </w:rPr>
      </w:pPr>
      <w:r>
        <w:rPr>
          <w:rFonts w:eastAsia="Times New Roman"/>
          <w:sz w:val="20"/>
          <w:szCs w:val="20"/>
        </w:rPr>
        <w:t>The following documents are filed as part of this Annual Report</w:t>
      </w:r>
      <w:r>
        <w:rPr>
          <w:rFonts w:eastAsia="Times New Roman"/>
          <w:sz w:val="20"/>
          <w:szCs w:val="20"/>
        </w:rPr>
        <w:t>:</w:t>
      </w:r>
    </w:p>
    <w:p w14:paraId="593BB9A1" w14:textId="77777777" w:rsidR="00000000" w:rsidRDefault="00832D71">
      <w:pPr>
        <w:jc w:val="both"/>
        <w:divId w:val="250705310"/>
        <w:rPr>
          <w:rFonts w:eastAsia="Times New Roman"/>
        </w:rPr>
      </w:pPr>
      <w:r>
        <w:rPr>
          <w:rFonts w:eastAsia="Times New Roman"/>
          <w:sz w:val="20"/>
          <w:szCs w:val="20"/>
        </w:rPr>
        <w:t>1</w:t>
      </w:r>
      <w:r>
        <w:rPr>
          <w:rFonts w:eastAsia="Times New Roman"/>
          <w:sz w:val="20"/>
          <w:szCs w:val="20"/>
        </w:rPr>
        <w:t>.</w:t>
      </w:r>
    </w:p>
    <w:p w14:paraId="634D3B50" w14:textId="77777777" w:rsidR="00000000" w:rsidRDefault="00832D71">
      <w:pPr>
        <w:jc w:val="both"/>
        <w:divId w:val="1671787231"/>
        <w:rPr>
          <w:rFonts w:eastAsia="Times New Roman"/>
        </w:rPr>
      </w:pPr>
      <w:r>
        <w:rPr>
          <w:rFonts w:eastAsia="Times New Roman"/>
          <w:sz w:val="20"/>
          <w:szCs w:val="20"/>
        </w:rPr>
        <w:t>Financial Statement</w:t>
      </w:r>
      <w:r>
        <w:rPr>
          <w:rFonts w:eastAsia="Times New Roman"/>
          <w:sz w:val="20"/>
          <w:szCs w:val="20"/>
        </w:rPr>
        <w:t>s</w:t>
      </w:r>
    </w:p>
    <w:p w14:paraId="24E9667F" w14:textId="77777777" w:rsidR="00000000" w:rsidRDefault="00832D71">
      <w:pPr>
        <w:pStyle w:val="a3"/>
        <w:spacing w:before="120" w:beforeAutospacing="0" w:after="0" w:afterAutospacing="0"/>
        <w:ind w:left="476" w:hanging="581"/>
        <w:jc w:val="both"/>
        <w:rPr>
          <w:sz w:val="20"/>
          <w:szCs w:val="20"/>
        </w:rPr>
      </w:pPr>
      <w:r>
        <w:rPr>
          <w:sz w:val="20"/>
          <w:szCs w:val="20"/>
        </w:rPr>
        <w:t>See “Index t</w:t>
      </w:r>
      <w:r>
        <w:rPr>
          <w:sz w:val="20"/>
          <w:szCs w:val="20"/>
        </w:rPr>
        <w:t>o Financial Statements” set forth on page F-1</w:t>
      </w:r>
      <w:r>
        <w:rPr>
          <w:sz w:val="20"/>
          <w:szCs w:val="20"/>
        </w:rPr>
        <w:t>.</w:t>
      </w:r>
    </w:p>
    <w:p w14:paraId="290DE856" w14:textId="77777777" w:rsidR="00000000" w:rsidRDefault="00832D71">
      <w:pPr>
        <w:jc w:val="both"/>
        <w:divId w:val="71396419"/>
        <w:rPr>
          <w:rFonts w:eastAsia="Times New Roman"/>
        </w:rPr>
      </w:pPr>
      <w:r>
        <w:rPr>
          <w:rFonts w:eastAsia="Times New Roman"/>
          <w:sz w:val="20"/>
          <w:szCs w:val="20"/>
        </w:rPr>
        <w:t>2</w:t>
      </w:r>
      <w:r>
        <w:rPr>
          <w:rFonts w:eastAsia="Times New Roman"/>
          <w:sz w:val="20"/>
          <w:szCs w:val="20"/>
        </w:rPr>
        <w:t>.</w:t>
      </w:r>
    </w:p>
    <w:p w14:paraId="1596E8B0" w14:textId="77777777" w:rsidR="00000000" w:rsidRDefault="00832D71">
      <w:pPr>
        <w:jc w:val="both"/>
        <w:divId w:val="1627857015"/>
        <w:rPr>
          <w:rFonts w:eastAsia="Times New Roman"/>
        </w:rPr>
      </w:pPr>
      <w:r>
        <w:rPr>
          <w:rFonts w:eastAsia="Times New Roman"/>
          <w:sz w:val="20"/>
          <w:szCs w:val="20"/>
        </w:rPr>
        <w:t>Financial Statement Schedul</w:t>
      </w:r>
      <w:r>
        <w:rPr>
          <w:rFonts w:eastAsia="Times New Roman"/>
          <w:sz w:val="20"/>
          <w:szCs w:val="20"/>
        </w:rPr>
        <w:t>e</w:t>
      </w:r>
    </w:p>
    <w:p w14:paraId="59695950" w14:textId="77777777" w:rsidR="00000000" w:rsidRDefault="00832D71">
      <w:pPr>
        <w:pStyle w:val="a3"/>
        <w:spacing w:before="120" w:beforeAutospacing="0" w:after="0" w:afterAutospacing="0"/>
        <w:ind w:left="476" w:hanging="581"/>
        <w:jc w:val="both"/>
        <w:rPr>
          <w:sz w:val="20"/>
          <w:szCs w:val="20"/>
        </w:rPr>
      </w:pPr>
      <w:r>
        <w:rPr>
          <w:sz w:val="20"/>
          <w:szCs w:val="20"/>
        </w:rPr>
        <w:t>See “Index to Financial Statement Schedule” set forth on page S-1</w:t>
      </w:r>
      <w:r>
        <w:rPr>
          <w:sz w:val="20"/>
          <w:szCs w:val="20"/>
        </w:rPr>
        <w:t>.</w:t>
      </w:r>
    </w:p>
    <w:p w14:paraId="399446CD" w14:textId="77777777" w:rsidR="00000000" w:rsidRDefault="00832D71">
      <w:pPr>
        <w:jc w:val="both"/>
        <w:divId w:val="2100254450"/>
        <w:rPr>
          <w:rFonts w:eastAsia="Times New Roman"/>
        </w:rPr>
      </w:pPr>
      <w:r>
        <w:rPr>
          <w:rFonts w:eastAsia="Times New Roman"/>
          <w:sz w:val="20"/>
          <w:szCs w:val="20"/>
        </w:rPr>
        <w:t>3</w:t>
      </w:r>
      <w:r>
        <w:rPr>
          <w:rFonts w:eastAsia="Times New Roman"/>
          <w:sz w:val="20"/>
          <w:szCs w:val="20"/>
        </w:rPr>
        <w:t>.</w:t>
      </w:r>
    </w:p>
    <w:p w14:paraId="086D002A" w14:textId="77777777" w:rsidR="00000000" w:rsidRDefault="00832D71">
      <w:pPr>
        <w:jc w:val="both"/>
        <w:divId w:val="1734160400"/>
        <w:rPr>
          <w:rFonts w:eastAsia="Times New Roman"/>
        </w:rPr>
      </w:pPr>
      <w:r>
        <w:rPr>
          <w:rFonts w:eastAsia="Times New Roman"/>
          <w:sz w:val="20"/>
          <w:szCs w:val="20"/>
        </w:rPr>
        <w:t>Exhibit</w:t>
      </w:r>
      <w:r>
        <w:rPr>
          <w:rFonts w:eastAsia="Times New Roman"/>
          <w:sz w:val="20"/>
          <w:szCs w:val="20"/>
        </w:rPr>
        <w:t>s</w:t>
      </w:r>
    </w:p>
    <w:p w14:paraId="58AC0EFE" w14:textId="77777777" w:rsidR="00000000" w:rsidRDefault="00832D71">
      <w:pPr>
        <w:pStyle w:val="a3"/>
        <w:spacing w:before="120" w:beforeAutospacing="0" w:after="0" w:afterAutospacing="0"/>
        <w:ind w:left="476" w:hanging="581"/>
        <w:jc w:val="both"/>
        <w:rPr>
          <w:sz w:val="20"/>
          <w:szCs w:val="20"/>
        </w:rPr>
      </w:pPr>
      <w:r>
        <w:rPr>
          <w:sz w:val="20"/>
          <w:szCs w:val="20"/>
        </w:rPr>
        <w:t>See “Index to Exhibits”. Each management contract or compensatory plan or arrangement is identifie</w:t>
      </w:r>
      <w:r>
        <w:rPr>
          <w:sz w:val="20"/>
          <w:szCs w:val="20"/>
        </w:rPr>
        <w:t>d with a “#”</w:t>
      </w:r>
      <w:r>
        <w:rPr>
          <w:sz w:val="20"/>
          <w:szCs w:val="20"/>
        </w:rPr>
        <w:t>.</w:t>
      </w:r>
    </w:p>
    <w:p w14:paraId="5BC807E7" w14:textId="77777777" w:rsidR="00000000" w:rsidRDefault="00832D71">
      <w:pPr>
        <w:pStyle w:val="a3"/>
        <w:spacing w:before="360" w:beforeAutospacing="0" w:after="0" w:afterAutospacing="0"/>
        <w:ind w:hanging="1400"/>
        <w:jc w:val="both"/>
        <w:rPr>
          <w:sz w:val="20"/>
          <w:szCs w:val="20"/>
        </w:rPr>
      </w:pPr>
      <w:r>
        <w:rPr>
          <w:b/>
          <w:bCs/>
          <w:sz w:val="20"/>
          <w:szCs w:val="20"/>
        </w:rPr>
        <w:t>ITEM 16. FORM</w:t>
      </w:r>
      <w:r>
        <w:rPr>
          <w:b/>
          <w:bCs/>
          <w:sz w:val="20"/>
          <w:szCs w:val="20"/>
        </w:rPr>
        <w:t xml:space="preserve"> </w:t>
      </w:r>
      <w:r>
        <w:rPr>
          <w:b/>
          <w:bCs/>
          <w:sz w:val="20"/>
          <w:szCs w:val="20"/>
        </w:rPr>
        <w:t>10-K SUMMAR</w:t>
      </w:r>
      <w:r>
        <w:rPr>
          <w:b/>
          <w:bCs/>
          <w:sz w:val="20"/>
          <w:szCs w:val="20"/>
        </w:rPr>
        <w:t>Y</w:t>
      </w:r>
    </w:p>
    <w:p w14:paraId="23E41CC2" w14:textId="77777777" w:rsidR="00000000" w:rsidRDefault="00832D71">
      <w:pPr>
        <w:pStyle w:val="a3"/>
        <w:spacing w:before="120" w:beforeAutospacing="0" w:after="0" w:afterAutospacing="0"/>
        <w:ind w:firstLine="555"/>
        <w:jc w:val="both"/>
        <w:rPr>
          <w:sz w:val="20"/>
          <w:szCs w:val="20"/>
        </w:rPr>
      </w:pPr>
      <w:r>
        <w:rPr>
          <w:sz w:val="20"/>
          <w:szCs w:val="20"/>
        </w:rPr>
        <w:t>None</w:t>
      </w:r>
      <w:r>
        <w:rPr>
          <w:sz w:val="20"/>
          <w:szCs w:val="20"/>
        </w:rPr>
        <w:t>.</w:t>
      </w:r>
    </w:p>
    <w:p w14:paraId="01301147" w14:textId="77777777" w:rsidR="00000000" w:rsidRDefault="00832D71">
      <w:pPr>
        <w:pStyle w:val="a3"/>
        <w:spacing w:before="0" w:beforeAutospacing="0" w:after="0" w:afterAutospacing="0"/>
        <w:ind w:hanging="1400"/>
        <w:jc w:val="both"/>
        <w:rPr>
          <w:sz w:val="20"/>
          <w:szCs w:val="20"/>
        </w:rPr>
      </w:pPr>
      <w:r>
        <w:rPr>
          <w:sz w:val="20"/>
          <w:szCs w:val="20"/>
        </w:rPr>
        <w:t> </w:t>
      </w:r>
    </w:p>
    <w:p w14:paraId="2C137941" w14:textId="77777777" w:rsidR="00000000" w:rsidRDefault="00832D71">
      <w:pPr>
        <w:pStyle w:val="a3"/>
        <w:spacing w:before="0" w:beforeAutospacing="0" w:after="0" w:afterAutospacing="0"/>
        <w:ind w:hanging="1400"/>
        <w:jc w:val="both"/>
        <w:rPr>
          <w:sz w:val="20"/>
          <w:szCs w:val="20"/>
        </w:rPr>
      </w:pPr>
      <w:r>
        <w:rPr>
          <w:sz w:val="20"/>
          <w:szCs w:val="20"/>
        </w:rPr>
        <w:t> </w:t>
      </w:r>
    </w:p>
    <w:p w14:paraId="021F8FC1" w14:textId="77777777" w:rsidR="00000000" w:rsidRDefault="00832D71">
      <w:pPr>
        <w:pStyle w:val="a3"/>
        <w:spacing w:before="120" w:beforeAutospacing="0" w:after="0" w:afterAutospacing="0"/>
        <w:ind w:left="714"/>
        <w:jc w:val="both"/>
        <w:rPr>
          <w:sz w:val="20"/>
          <w:szCs w:val="20"/>
        </w:rPr>
      </w:pPr>
      <w:r>
        <w:rPr>
          <w:sz w:val="20"/>
          <w:szCs w:val="20"/>
        </w:rPr>
        <w:t> </w:t>
      </w:r>
    </w:p>
    <w:p w14:paraId="0FDA95A0" w14:textId="77777777" w:rsidR="00000000" w:rsidRDefault="00832D71">
      <w:pPr>
        <w:pStyle w:val="a3"/>
        <w:spacing w:before="0" w:beforeAutospacing="0" w:after="0" w:afterAutospacing="0"/>
        <w:jc w:val="center"/>
        <w:rPr>
          <w:sz w:val="20"/>
          <w:szCs w:val="20"/>
        </w:rPr>
      </w:pPr>
      <w:r>
        <w:rPr>
          <w:b/>
          <w:bCs/>
          <w:sz w:val="20"/>
          <w:szCs w:val="20"/>
        </w:rPr>
        <w:t>INDEX TO EXHIBIT</w:t>
      </w:r>
      <w:r>
        <w:rPr>
          <w:b/>
          <w:bCs/>
          <w:sz w:val="20"/>
          <w:szCs w:val="20"/>
        </w:rPr>
        <w:t>S</w:t>
      </w:r>
    </w:p>
    <w:p w14:paraId="4FAAE74B" w14:textId="77777777" w:rsidR="00000000" w:rsidRDefault="00832D71">
      <w:pPr>
        <w:pStyle w:val="a3"/>
        <w:spacing w:before="240" w:beforeAutospacing="0" w:after="0" w:afterAutospacing="0"/>
        <w:ind w:firstLine="555"/>
        <w:jc w:val="both"/>
        <w:rPr>
          <w:sz w:val="20"/>
          <w:szCs w:val="20"/>
        </w:rPr>
      </w:pPr>
      <w:r>
        <w:rPr>
          <w:sz w:val="20"/>
          <w:szCs w:val="20"/>
        </w:rPr>
        <w:t xml:space="preserve">The exhibits listed on this Exhibit Index are filed as part of this Annual Report. </w:t>
      </w:r>
      <w:r>
        <w:rPr>
          <w:sz w:val="20"/>
          <w:szCs w:val="20"/>
        </w:rPr>
        <w:t>Exhibits required to be filed by Item 601 of Regulation S-K, which are not listed below, are not applicable</w:t>
      </w:r>
      <w:r>
        <w:rPr>
          <w:sz w:val="20"/>
          <w:szCs w:val="20"/>
        </w:rPr>
        <w:t>.</w:t>
      </w:r>
    </w:p>
    <w:p w14:paraId="6A77F801" w14:textId="77777777" w:rsidR="00000000" w:rsidRDefault="00832D7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2"/>
        <w:gridCol w:w="112"/>
        <w:gridCol w:w="7412"/>
      </w:tblGrid>
      <w:tr w:rsidR="00000000" w14:paraId="7909DDA1" w14:textId="77777777">
        <w:trPr>
          <w:tblCellSpacing w:w="15" w:type="dxa"/>
        </w:trPr>
        <w:tc>
          <w:tcPr>
            <w:tcW w:w="450" w:type="pct"/>
            <w:vAlign w:val="center"/>
            <w:hideMark/>
          </w:tcPr>
          <w:p w14:paraId="17723919" w14:textId="77777777" w:rsidR="00000000" w:rsidRDefault="00832D71">
            <w:pPr>
              <w:rPr>
                <w:sz w:val="20"/>
                <w:szCs w:val="20"/>
              </w:rPr>
            </w:pPr>
          </w:p>
        </w:tc>
        <w:tc>
          <w:tcPr>
            <w:tcW w:w="50" w:type="pct"/>
            <w:vAlign w:val="center"/>
            <w:hideMark/>
          </w:tcPr>
          <w:p w14:paraId="14053BCB" w14:textId="77777777" w:rsidR="00000000" w:rsidRDefault="00832D71">
            <w:pPr>
              <w:rPr>
                <w:rFonts w:eastAsia="Times New Roman"/>
                <w:sz w:val="20"/>
                <w:szCs w:val="20"/>
              </w:rPr>
            </w:pPr>
          </w:p>
        </w:tc>
        <w:tc>
          <w:tcPr>
            <w:tcW w:w="4500" w:type="pct"/>
            <w:vAlign w:val="center"/>
            <w:hideMark/>
          </w:tcPr>
          <w:p w14:paraId="27D387B4" w14:textId="77777777" w:rsidR="00000000" w:rsidRDefault="00832D71">
            <w:pPr>
              <w:rPr>
                <w:rFonts w:eastAsia="Times New Roman"/>
                <w:sz w:val="20"/>
                <w:szCs w:val="20"/>
              </w:rPr>
            </w:pPr>
          </w:p>
        </w:tc>
      </w:tr>
      <w:tr w:rsidR="00000000" w14:paraId="75328EC7" w14:textId="77777777">
        <w:trPr>
          <w:trHeight w:val="200"/>
          <w:tblCellSpacing w:w="15" w:type="dxa"/>
        </w:trPr>
        <w:tc>
          <w:tcPr>
            <w:tcW w:w="0" w:type="auto"/>
            <w:vAlign w:val="bottom"/>
            <w:hideMark/>
          </w:tcPr>
          <w:p w14:paraId="0A885025" w14:textId="77777777" w:rsidR="00000000" w:rsidRDefault="00832D71">
            <w:pPr>
              <w:pStyle w:val="a3"/>
              <w:spacing w:before="0" w:beforeAutospacing="0" w:after="0" w:afterAutospacing="0"/>
              <w:rPr>
                <w:sz w:val="20"/>
                <w:szCs w:val="20"/>
              </w:rPr>
            </w:pPr>
            <w:r>
              <w:rPr>
                <w:sz w:val="20"/>
                <w:szCs w:val="20"/>
              </w:rPr>
              <w:t>Exhibi</w:t>
            </w:r>
            <w:r>
              <w:rPr>
                <w:sz w:val="20"/>
                <w:szCs w:val="20"/>
              </w:rPr>
              <w:t>t</w:t>
            </w:r>
          </w:p>
          <w:p w14:paraId="2A774939" w14:textId="77777777" w:rsidR="00000000" w:rsidRDefault="00832D71">
            <w:pPr>
              <w:pStyle w:val="a3"/>
              <w:spacing w:before="0" w:beforeAutospacing="0" w:after="0" w:afterAutospacing="0"/>
              <w:rPr>
                <w:sz w:val="20"/>
                <w:szCs w:val="20"/>
              </w:rPr>
            </w:pPr>
            <w:r>
              <w:rPr>
                <w:sz w:val="20"/>
                <w:szCs w:val="20"/>
                <w:u w:val="single"/>
              </w:rPr>
              <w:t>Numbe</w:t>
            </w:r>
            <w:r>
              <w:rPr>
                <w:sz w:val="20"/>
                <w:szCs w:val="20"/>
                <w:u w:val="single"/>
              </w:rPr>
              <w:t>r</w:t>
            </w:r>
          </w:p>
        </w:tc>
        <w:tc>
          <w:tcPr>
            <w:tcW w:w="0" w:type="auto"/>
            <w:vAlign w:val="bottom"/>
            <w:hideMark/>
          </w:tcPr>
          <w:p w14:paraId="3D40E8D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E3292B1" w14:textId="77777777" w:rsidR="00000000" w:rsidRDefault="00832D71">
            <w:pPr>
              <w:pStyle w:val="a3"/>
              <w:spacing w:before="0" w:beforeAutospacing="0" w:after="0" w:afterAutospacing="0"/>
              <w:rPr>
                <w:sz w:val="20"/>
                <w:szCs w:val="20"/>
              </w:rPr>
            </w:pPr>
            <w:r>
              <w:rPr>
                <w:sz w:val="20"/>
                <w:szCs w:val="20"/>
                <w:u w:val="single"/>
              </w:rPr>
              <w:t>Descriptio</w:t>
            </w:r>
            <w:r>
              <w:rPr>
                <w:sz w:val="20"/>
                <w:szCs w:val="20"/>
                <w:u w:val="single"/>
              </w:rPr>
              <w:t>n</w:t>
            </w:r>
          </w:p>
        </w:tc>
      </w:tr>
      <w:tr w:rsidR="00000000" w14:paraId="65333F6B" w14:textId="77777777">
        <w:trPr>
          <w:tblCellSpacing w:w="15" w:type="dxa"/>
        </w:trPr>
        <w:tc>
          <w:tcPr>
            <w:tcW w:w="0" w:type="auto"/>
            <w:vAlign w:val="bottom"/>
            <w:hideMark/>
          </w:tcPr>
          <w:p w14:paraId="2F9C5983"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1C22BBC0"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7B898153" w14:textId="77777777" w:rsidR="00000000" w:rsidRDefault="00832D71">
            <w:pPr>
              <w:pStyle w:val="a3"/>
              <w:spacing w:before="0" w:beforeAutospacing="0" w:after="0" w:afterAutospacing="0"/>
              <w:rPr>
                <w:sz w:val="12"/>
                <w:szCs w:val="12"/>
              </w:rPr>
            </w:pPr>
            <w:r>
              <w:rPr>
                <w:sz w:val="12"/>
                <w:szCs w:val="12"/>
              </w:rPr>
              <w:t> </w:t>
            </w:r>
          </w:p>
        </w:tc>
      </w:tr>
      <w:tr w:rsidR="00000000" w14:paraId="76A5E88F" w14:textId="77777777">
        <w:trPr>
          <w:trHeight w:val="200"/>
          <w:tblCellSpacing w:w="15" w:type="dxa"/>
        </w:trPr>
        <w:tc>
          <w:tcPr>
            <w:tcW w:w="0" w:type="auto"/>
            <w:hideMark/>
          </w:tcPr>
          <w:p w14:paraId="7A14C5DB" w14:textId="77777777" w:rsidR="00000000" w:rsidRDefault="00832D71">
            <w:pPr>
              <w:pStyle w:val="a3"/>
              <w:spacing w:before="0" w:beforeAutospacing="0" w:after="0" w:afterAutospacing="0"/>
              <w:rPr>
                <w:sz w:val="20"/>
                <w:szCs w:val="20"/>
              </w:rPr>
            </w:pPr>
            <w:r>
              <w:rPr>
                <w:sz w:val="20"/>
                <w:szCs w:val="20"/>
              </w:rPr>
              <w:t>    3.</w:t>
            </w:r>
            <w:r>
              <w:rPr>
                <w:sz w:val="20"/>
                <w:szCs w:val="20"/>
              </w:rPr>
              <w:t>1</w:t>
            </w:r>
          </w:p>
        </w:tc>
        <w:tc>
          <w:tcPr>
            <w:tcW w:w="0" w:type="auto"/>
            <w:vAlign w:val="bottom"/>
            <w:hideMark/>
          </w:tcPr>
          <w:p w14:paraId="09F7688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371FA8D" w14:textId="77777777" w:rsidR="00000000" w:rsidRDefault="00832D71">
            <w:pPr>
              <w:pStyle w:val="a3"/>
              <w:spacing w:before="0" w:beforeAutospacing="0" w:after="0" w:afterAutospacing="0"/>
              <w:jc w:val="both"/>
              <w:rPr>
                <w:sz w:val="20"/>
                <w:szCs w:val="20"/>
              </w:rPr>
            </w:pPr>
            <w:hyperlink r:id="rId4" w:history="1">
              <w:r>
                <w:rPr>
                  <w:rStyle w:val="a4"/>
                  <w:sz w:val="20"/>
                  <w:szCs w:val="20"/>
                </w:rPr>
                <w:t>Third Amended and Restated Agreement of Limited Partnership of the Partnership dated as of October 19, 2006, as amended as of July 31, 2007 and January 24, 20</w:t>
              </w:r>
              <w:r>
                <w:rPr>
                  <w:rStyle w:val="a4"/>
                  <w:sz w:val="20"/>
                  <w:szCs w:val="20"/>
                </w:rPr>
                <w:t>18 and as further amended November 11, 2020. (Incorporated by reference to Exhibit 3.1 to the Partnership’s Current Report on Form 8-K filed November 16, 2020)</w:t>
              </w:r>
              <w:r>
                <w:rPr>
                  <w:rStyle w:val="a4"/>
                  <w:sz w:val="20"/>
                  <w:szCs w:val="20"/>
                </w:rPr>
                <w:t>.</w:t>
              </w:r>
            </w:hyperlink>
          </w:p>
        </w:tc>
      </w:tr>
      <w:tr w:rsidR="00000000" w14:paraId="52A5F37A" w14:textId="77777777">
        <w:trPr>
          <w:tblCellSpacing w:w="15" w:type="dxa"/>
        </w:trPr>
        <w:tc>
          <w:tcPr>
            <w:tcW w:w="0" w:type="auto"/>
            <w:hideMark/>
          </w:tcPr>
          <w:p w14:paraId="55D7A12C"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4C4EEC20"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0AC56AFC" w14:textId="77777777" w:rsidR="00000000" w:rsidRDefault="00832D71">
            <w:pPr>
              <w:pStyle w:val="a3"/>
              <w:spacing w:before="0" w:beforeAutospacing="0" w:after="0" w:afterAutospacing="0"/>
              <w:jc w:val="both"/>
              <w:rPr>
                <w:sz w:val="12"/>
                <w:szCs w:val="12"/>
              </w:rPr>
            </w:pPr>
            <w:r>
              <w:rPr>
                <w:sz w:val="12"/>
                <w:szCs w:val="12"/>
              </w:rPr>
              <w:t> </w:t>
            </w:r>
          </w:p>
        </w:tc>
      </w:tr>
      <w:tr w:rsidR="00000000" w14:paraId="2A47C54B" w14:textId="77777777">
        <w:trPr>
          <w:trHeight w:val="200"/>
          <w:tblCellSpacing w:w="15" w:type="dxa"/>
        </w:trPr>
        <w:tc>
          <w:tcPr>
            <w:tcW w:w="0" w:type="auto"/>
            <w:hideMark/>
          </w:tcPr>
          <w:p w14:paraId="437A766C" w14:textId="77777777" w:rsidR="00000000" w:rsidRDefault="00832D71">
            <w:pPr>
              <w:pStyle w:val="a3"/>
              <w:spacing w:before="0" w:beforeAutospacing="0" w:after="0" w:afterAutospacing="0"/>
              <w:rPr>
                <w:sz w:val="20"/>
                <w:szCs w:val="20"/>
              </w:rPr>
            </w:pPr>
            <w:r>
              <w:rPr>
                <w:sz w:val="20"/>
                <w:szCs w:val="20"/>
              </w:rPr>
              <w:t>    3.</w:t>
            </w:r>
            <w:r>
              <w:rPr>
                <w:sz w:val="20"/>
                <w:szCs w:val="20"/>
              </w:rPr>
              <w:t>2</w:t>
            </w:r>
          </w:p>
        </w:tc>
        <w:tc>
          <w:tcPr>
            <w:tcW w:w="0" w:type="auto"/>
            <w:vAlign w:val="bottom"/>
            <w:hideMark/>
          </w:tcPr>
          <w:p w14:paraId="4C1DE4A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1DA99B7" w14:textId="77777777" w:rsidR="00000000" w:rsidRDefault="00832D71">
            <w:pPr>
              <w:pStyle w:val="a3"/>
              <w:spacing w:before="0" w:beforeAutospacing="0" w:after="0" w:afterAutospacing="0"/>
              <w:jc w:val="both"/>
              <w:rPr>
                <w:sz w:val="20"/>
                <w:szCs w:val="20"/>
              </w:rPr>
            </w:pPr>
            <w:hyperlink r:id="rId5" w:history="1">
              <w:r>
                <w:rPr>
                  <w:rStyle w:val="a4"/>
                  <w:sz w:val="20"/>
                  <w:szCs w:val="20"/>
                </w:rPr>
                <w:t xml:space="preserve">Third Amended and Restated Agreement of Limited Partnership of the Operating Partnership dated as of October 19, 2006, as amended as of June 24, 2009 and as further amended as of January 24, 2018. (Incorporated by reference to Exhibit </w:t>
              </w:r>
              <w:r>
                <w:rPr>
                  <w:rStyle w:val="a4"/>
                  <w:sz w:val="20"/>
                  <w:szCs w:val="20"/>
                </w:rPr>
                <w:t>3.2 to the Partnership’s Current Report on Form 8-K filed January 24, 2018)</w:t>
              </w:r>
              <w:r>
                <w:rPr>
                  <w:rStyle w:val="a4"/>
                  <w:sz w:val="20"/>
                  <w:szCs w:val="20"/>
                </w:rPr>
                <w:t>.</w:t>
              </w:r>
            </w:hyperlink>
          </w:p>
        </w:tc>
      </w:tr>
      <w:tr w:rsidR="00000000" w14:paraId="34C50429" w14:textId="77777777">
        <w:trPr>
          <w:tblCellSpacing w:w="15" w:type="dxa"/>
        </w:trPr>
        <w:tc>
          <w:tcPr>
            <w:tcW w:w="0" w:type="auto"/>
            <w:hideMark/>
          </w:tcPr>
          <w:p w14:paraId="1E68907C"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2C7BAE67"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1FDE7897" w14:textId="77777777" w:rsidR="00000000" w:rsidRDefault="00832D71">
            <w:pPr>
              <w:pStyle w:val="a3"/>
              <w:spacing w:before="0" w:beforeAutospacing="0" w:after="0" w:afterAutospacing="0"/>
              <w:jc w:val="both"/>
              <w:rPr>
                <w:sz w:val="12"/>
                <w:szCs w:val="12"/>
              </w:rPr>
            </w:pPr>
            <w:r>
              <w:rPr>
                <w:sz w:val="12"/>
                <w:szCs w:val="12"/>
              </w:rPr>
              <w:t> </w:t>
            </w:r>
          </w:p>
        </w:tc>
      </w:tr>
      <w:tr w:rsidR="00000000" w14:paraId="591AFA6F" w14:textId="77777777">
        <w:trPr>
          <w:trHeight w:val="200"/>
          <w:tblCellSpacing w:w="15" w:type="dxa"/>
        </w:trPr>
        <w:tc>
          <w:tcPr>
            <w:tcW w:w="0" w:type="auto"/>
            <w:hideMark/>
          </w:tcPr>
          <w:p w14:paraId="053D616E" w14:textId="77777777" w:rsidR="00000000" w:rsidRDefault="00832D71">
            <w:pPr>
              <w:pStyle w:val="a3"/>
              <w:spacing w:before="0" w:beforeAutospacing="0" w:after="0" w:afterAutospacing="0"/>
              <w:rPr>
                <w:sz w:val="20"/>
                <w:szCs w:val="20"/>
              </w:rPr>
            </w:pPr>
            <w:r>
              <w:rPr>
                <w:sz w:val="20"/>
                <w:szCs w:val="20"/>
              </w:rPr>
              <w:t>    3.</w:t>
            </w:r>
            <w:r>
              <w:rPr>
                <w:sz w:val="20"/>
                <w:szCs w:val="20"/>
              </w:rPr>
              <w:t>3</w:t>
            </w:r>
            <w:r>
              <w:rPr>
                <w:sz w:val="20"/>
                <w:szCs w:val="20"/>
              </w:rPr>
              <w:t xml:space="preserve"> </w:t>
            </w:r>
          </w:p>
        </w:tc>
        <w:tc>
          <w:tcPr>
            <w:tcW w:w="0" w:type="auto"/>
            <w:vAlign w:val="bottom"/>
            <w:hideMark/>
          </w:tcPr>
          <w:p w14:paraId="1ECF65D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582E1BE" w14:textId="77777777" w:rsidR="00000000" w:rsidRDefault="00832D71">
            <w:pPr>
              <w:pStyle w:val="a3"/>
              <w:spacing w:before="0" w:beforeAutospacing="0" w:after="0" w:afterAutospacing="0"/>
              <w:jc w:val="both"/>
              <w:rPr>
                <w:sz w:val="20"/>
                <w:szCs w:val="20"/>
              </w:rPr>
            </w:pPr>
            <w:hyperlink r:id="rId6" w:history="1">
              <w:r>
                <w:rPr>
                  <w:rStyle w:val="a4"/>
                  <w:sz w:val="20"/>
                  <w:szCs w:val="20"/>
                </w:rPr>
                <w:t>Amended and Restated Certificate of Limited Partnership of the Partnership dated May 26, 1999 (Incorporated by reference to Exhibit 3.2 to the Partnership’</w:t>
              </w:r>
              <w:r>
                <w:rPr>
                  <w:rStyle w:val="a4"/>
                  <w:sz w:val="20"/>
                  <w:szCs w:val="20"/>
                </w:rPr>
                <w:t>s Quarterly Report on Form 10-Q filed August 6, 2009)</w:t>
              </w:r>
              <w:r>
                <w:rPr>
                  <w:rStyle w:val="a4"/>
                  <w:sz w:val="20"/>
                  <w:szCs w:val="20"/>
                </w:rPr>
                <w:t>.</w:t>
              </w:r>
            </w:hyperlink>
          </w:p>
        </w:tc>
      </w:tr>
      <w:tr w:rsidR="00000000" w14:paraId="7D407175" w14:textId="77777777">
        <w:trPr>
          <w:tblCellSpacing w:w="15" w:type="dxa"/>
        </w:trPr>
        <w:tc>
          <w:tcPr>
            <w:tcW w:w="0" w:type="auto"/>
            <w:hideMark/>
          </w:tcPr>
          <w:p w14:paraId="7B0647F1"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3B02DDAA"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77FE98FF" w14:textId="77777777" w:rsidR="00000000" w:rsidRDefault="00832D71">
            <w:pPr>
              <w:pStyle w:val="a3"/>
              <w:spacing w:before="0" w:beforeAutospacing="0" w:after="0" w:afterAutospacing="0"/>
              <w:jc w:val="both"/>
              <w:rPr>
                <w:sz w:val="12"/>
                <w:szCs w:val="12"/>
              </w:rPr>
            </w:pPr>
            <w:r>
              <w:rPr>
                <w:sz w:val="12"/>
                <w:szCs w:val="12"/>
              </w:rPr>
              <w:t> </w:t>
            </w:r>
          </w:p>
        </w:tc>
      </w:tr>
      <w:tr w:rsidR="00000000" w14:paraId="19C3C970" w14:textId="77777777">
        <w:trPr>
          <w:trHeight w:val="200"/>
          <w:tblCellSpacing w:w="15" w:type="dxa"/>
        </w:trPr>
        <w:tc>
          <w:tcPr>
            <w:tcW w:w="0" w:type="auto"/>
            <w:hideMark/>
          </w:tcPr>
          <w:p w14:paraId="2C4D9B67" w14:textId="77777777" w:rsidR="00000000" w:rsidRDefault="00832D71">
            <w:pPr>
              <w:pStyle w:val="a3"/>
              <w:spacing w:before="0" w:beforeAutospacing="0" w:after="0" w:afterAutospacing="0"/>
              <w:rPr>
                <w:sz w:val="20"/>
                <w:szCs w:val="20"/>
              </w:rPr>
            </w:pPr>
            <w:r>
              <w:rPr>
                <w:sz w:val="20"/>
                <w:szCs w:val="20"/>
              </w:rPr>
              <w:t>    3.</w:t>
            </w:r>
            <w:r>
              <w:rPr>
                <w:sz w:val="20"/>
                <w:szCs w:val="20"/>
              </w:rPr>
              <w:t>4</w:t>
            </w:r>
          </w:p>
        </w:tc>
        <w:tc>
          <w:tcPr>
            <w:tcW w:w="0" w:type="auto"/>
            <w:vAlign w:val="bottom"/>
            <w:hideMark/>
          </w:tcPr>
          <w:p w14:paraId="384F88A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E3B088C" w14:textId="77777777" w:rsidR="00000000" w:rsidRDefault="00832D71">
            <w:pPr>
              <w:pStyle w:val="a3"/>
              <w:spacing w:before="0" w:beforeAutospacing="0" w:after="0" w:afterAutospacing="0"/>
              <w:jc w:val="both"/>
              <w:rPr>
                <w:sz w:val="20"/>
                <w:szCs w:val="20"/>
              </w:rPr>
            </w:pPr>
            <w:hyperlink r:id="rId7" w:history="1">
              <w:r>
                <w:rPr>
                  <w:rStyle w:val="a4"/>
                  <w:sz w:val="20"/>
                  <w:szCs w:val="20"/>
                </w:rPr>
                <w:t>Amended and Restated Certificate of Limited Partnership of the Operating Partnershi</w:t>
              </w:r>
              <w:r>
                <w:rPr>
                  <w:rStyle w:val="a4"/>
                  <w:sz w:val="20"/>
                  <w:szCs w:val="20"/>
                </w:rPr>
                <w:t>p dated May 26, 1999 (Incorporated by reference to Exhibit 3.3 to the Partnership’s Quarterly Report on Form 10-Q filed August 6, 2009)</w:t>
              </w:r>
              <w:r>
                <w:rPr>
                  <w:rStyle w:val="a4"/>
                  <w:sz w:val="20"/>
                  <w:szCs w:val="20"/>
                </w:rPr>
                <w:t>.</w:t>
              </w:r>
            </w:hyperlink>
          </w:p>
        </w:tc>
      </w:tr>
      <w:tr w:rsidR="00000000" w14:paraId="08BC6691" w14:textId="77777777">
        <w:trPr>
          <w:tblCellSpacing w:w="15" w:type="dxa"/>
        </w:trPr>
        <w:tc>
          <w:tcPr>
            <w:tcW w:w="0" w:type="auto"/>
            <w:hideMark/>
          </w:tcPr>
          <w:p w14:paraId="07139AB8"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16232DD5"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5EA20591" w14:textId="77777777" w:rsidR="00000000" w:rsidRDefault="00832D71">
            <w:pPr>
              <w:pStyle w:val="a3"/>
              <w:spacing w:before="0" w:beforeAutospacing="0" w:after="0" w:afterAutospacing="0"/>
              <w:jc w:val="both"/>
              <w:rPr>
                <w:sz w:val="12"/>
                <w:szCs w:val="12"/>
              </w:rPr>
            </w:pPr>
            <w:r>
              <w:rPr>
                <w:sz w:val="12"/>
                <w:szCs w:val="12"/>
              </w:rPr>
              <w:t> </w:t>
            </w:r>
          </w:p>
        </w:tc>
      </w:tr>
      <w:tr w:rsidR="00000000" w14:paraId="3E4712A1" w14:textId="77777777">
        <w:trPr>
          <w:trHeight w:val="200"/>
          <w:tblCellSpacing w:w="15" w:type="dxa"/>
        </w:trPr>
        <w:tc>
          <w:tcPr>
            <w:tcW w:w="0" w:type="auto"/>
            <w:hideMark/>
          </w:tcPr>
          <w:p w14:paraId="3EB788D1" w14:textId="77777777" w:rsidR="00000000" w:rsidRDefault="00832D71">
            <w:pPr>
              <w:pStyle w:val="a3"/>
              <w:spacing w:before="0" w:beforeAutospacing="0" w:after="0" w:afterAutospacing="0"/>
              <w:rPr>
                <w:sz w:val="20"/>
                <w:szCs w:val="20"/>
              </w:rPr>
            </w:pPr>
            <w:r>
              <w:rPr>
                <w:sz w:val="20"/>
                <w:szCs w:val="20"/>
              </w:rPr>
              <w:t>    4.</w:t>
            </w:r>
            <w:r>
              <w:rPr>
                <w:sz w:val="20"/>
                <w:szCs w:val="20"/>
              </w:rPr>
              <w:t>1</w:t>
            </w:r>
          </w:p>
        </w:tc>
        <w:tc>
          <w:tcPr>
            <w:tcW w:w="0" w:type="auto"/>
            <w:vAlign w:val="bottom"/>
            <w:hideMark/>
          </w:tcPr>
          <w:p w14:paraId="22087FF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B22BA05" w14:textId="77777777" w:rsidR="00000000" w:rsidRDefault="00832D71">
            <w:pPr>
              <w:pStyle w:val="a3"/>
              <w:spacing w:before="0" w:beforeAutospacing="0" w:after="0" w:afterAutospacing="0"/>
              <w:jc w:val="both"/>
              <w:rPr>
                <w:sz w:val="20"/>
                <w:szCs w:val="20"/>
              </w:rPr>
            </w:pPr>
            <w:hyperlink r:id="rId8" w:history="1">
              <w:r>
                <w:rPr>
                  <w:rStyle w:val="a4"/>
                  <w:sz w:val="20"/>
                  <w:szCs w:val="20"/>
                </w:rPr>
                <w:t>Descript</w:t>
              </w:r>
              <w:r>
                <w:rPr>
                  <w:rStyle w:val="a4"/>
                  <w:sz w:val="20"/>
                  <w:szCs w:val="20"/>
                </w:rPr>
                <w:t>ion of Common Units of the Partnership. (Incorporated by reference to Exhibit 4.1 to the Partnership’s Current Report on Form 8-K filed October 19, 2006)</w:t>
              </w:r>
              <w:r>
                <w:rPr>
                  <w:rStyle w:val="a4"/>
                  <w:sz w:val="20"/>
                  <w:szCs w:val="20"/>
                </w:rPr>
                <w:t>.</w:t>
              </w:r>
            </w:hyperlink>
          </w:p>
        </w:tc>
      </w:tr>
      <w:tr w:rsidR="00000000" w14:paraId="7E268D9B" w14:textId="77777777">
        <w:trPr>
          <w:tblCellSpacing w:w="15" w:type="dxa"/>
        </w:trPr>
        <w:tc>
          <w:tcPr>
            <w:tcW w:w="0" w:type="auto"/>
            <w:hideMark/>
          </w:tcPr>
          <w:p w14:paraId="47A288E6"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416AB44C"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3593B229" w14:textId="77777777" w:rsidR="00000000" w:rsidRDefault="00832D71">
            <w:pPr>
              <w:pStyle w:val="a3"/>
              <w:spacing w:before="0" w:beforeAutospacing="0" w:after="0" w:afterAutospacing="0"/>
              <w:jc w:val="both"/>
              <w:rPr>
                <w:sz w:val="12"/>
                <w:szCs w:val="12"/>
              </w:rPr>
            </w:pPr>
            <w:r>
              <w:rPr>
                <w:sz w:val="12"/>
                <w:szCs w:val="12"/>
              </w:rPr>
              <w:t> </w:t>
            </w:r>
          </w:p>
        </w:tc>
      </w:tr>
      <w:tr w:rsidR="00000000" w14:paraId="61D7289B" w14:textId="77777777">
        <w:trPr>
          <w:trHeight w:val="200"/>
          <w:tblCellSpacing w:w="15" w:type="dxa"/>
        </w:trPr>
        <w:tc>
          <w:tcPr>
            <w:tcW w:w="0" w:type="auto"/>
            <w:hideMark/>
          </w:tcPr>
          <w:p w14:paraId="281374C9" w14:textId="77777777" w:rsidR="00000000" w:rsidRDefault="00832D71">
            <w:pPr>
              <w:pStyle w:val="a3"/>
              <w:spacing w:before="0" w:beforeAutospacing="0" w:after="0" w:afterAutospacing="0"/>
              <w:rPr>
                <w:sz w:val="20"/>
                <w:szCs w:val="20"/>
              </w:rPr>
            </w:pPr>
            <w:r>
              <w:rPr>
                <w:sz w:val="20"/>
                <w:szCs w:val="20"/>
              </w:rPr>
              <w:t>    4.</w:t>
            </w:r>
            <w:r>
              <w:rPr>
                <w:sz w:val="20"/>
                <w:szCs w:val="20"/>
              </w:rPr>
              <w:t>2</w:t>
            </w:r>
          </w:p>
        </w:tc>
        <w:tc>
          <w:tcPr>
            <w:tcW w:w="0" w:type="auto"/>
            <w:vAlign w:val="bottom"/>
            <w:hideMark/>
          </w:tcPr>
          <w:p w14:paraId="0D741811"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39CBFDDF" w14:textId="77777777" w:rsidR="00000000" w:rsidRDefault="00832D71">
            <w:pPr>
              <w:pStyle w:val="a3"/>
              <w:spacing w:before="0" w:beforeAutospacing="0" w:after="0" w:afterAutospacing="0"/>
              <w:jc w:val="both"/>
              <w:rPr>
                <w:sz w:val="20"/>
                <w:szCs w:val="20"/>
              </w:rPr>
            </w:pPr>
            <w:hyperlink r:id="rId9" w:history="1">
              <w:r>
                <w:rPr>
                  <w:rStyle w:val="a4"/>
                  <w:sz w:val="20"/>
                  <w:szCs w:val="20"/>
                </w:rPr>
                <w:t>Third Supplemental Indenture, dated as of February 14, 2017, to the Indenture, dated as of May 27, 2014, relating to the 5.875% Senior Notes due 2027, among</w:t>
              </w:r>
              <w:r>
                <w:rPr>
                  <w:rStyle w:val="a4"/>
                  <w:sz w:val="20"/>
                  <w:szCs w:val="20"/>
                </w:rPr>
                <w:t xml:space="preserve"> Suburban Propane Partners, L.P., Suburban Energy Finance Corp. and The Bank of New York Mellon, as Trustee. (Incorporated by reference to Exhibit 4.1 to the Partnership's Current Report on Form 8-K filed February 14, 2017)</w:t>
              </w:r>
              <w:r>
                <w:rPr>
                  <w:rStyle w:val="a4"/>
                  <w:sz w:val="20"/>
                  <w:szCs w:val="20"/>
                </w:rPr>
                <w:t>.</w:t>
              </w:r>
            </w:hyperlink>
          </w:p>
        </w:tc>
      </w:tr>
      <w:tr w:rsidR="00000000" w14:paraId="5CB88FD8" w14:textId="77777777">
        <w:trPr>
          <w:tblCellSpacing w:w="15" w:type="dxa"/>
        </w:trPr>
        <w:tc>
          <w:tcPr>
            <w:tcW w:w="0" w:type="auto"/>
            <w:hideMark/>
          </w:tcPr>
          <w:p w14:paraId="163D9EEC"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5068AB1"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770382A9" w14:textId="77777777" w:rsidR="00000000" w:rsidRDefault="00832D71">
            <w:pPr>
              <w:pStyle w:val="a3"/>
              <w:spacing w:before="0" w:beforeAutospacing="0" w:after="0" w:afterAutospacing="0"/>
              <w:jc w:val="both"/>
              <w:rPr>
                <w:sz w:val="12"/>
                <w:szCs w:val="12"/>
              </w:rPr>
            </w:pPr>
            <w:r>
              <w:rPr>
                <w:sz w:val="12"/>
                <w:szCs w:val="12"/>
              </w:rPr>
              <w:t> </w:t>
            </w:r>
          </w:p>
        </w:tc>
      </w:tr>
      <w:tr w:rsidR="00000000" w14:paraId="35BE04F5" w14:textId="77777777">
        <w:trPr>
          <w:trHeight w:val="200"/>
          <w:tblCellSpacing w:w="15" w:type="dxa"/>
        </w:trPr>
        <w:tc>
          <w:tcPr>
            <w:tcW w:w="0" w:type="auto"/>
            <w:hideMark/>
          </w:tcPr>
          <w:p w14:paraId="2F733473" w14:textId="77777777" w:rsidR="00000000" w:rsidRDefault="00832D71">
            <w:pPr>
              <w:pStyle w:val="a3"/>
              <w:spacing w:before="0" w:beforeAutospacing="0" w:after="0" w:afterAutospacing="0"/>
              <w:rPr>
                <w:sz w:val="20"/>
                <w:szCs w:val="20"/>
              </w:rPr>
            </w:pPr>
            <w:r>
              <w:rPr>
                <w:sz w:val="20"/>
                <w:szCs w:val="20"/>
              </w:rPr>
              <w:t>    4.</w:t>
            </w:r>
            <w:r>
              <w:rPr>
                <w:sz w:val="20"/>
                <w:szCs w:val="20"/>
              </w:rPr>
              <w:t>3</w:t>
            </w:r>
          </w:p>
        </w:tc>
        <w:tc>
          <w:tcPr>
            <w:tcW w:w="0" w:type="auto"/>
            <w:vAlign w:val="bottom"/>
            <w:hideMark/>
          </w:tcPr>
          <w:p w14:paraId="71AFF797"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06BA5791" w14:textId="77777777" w:rsidR="00000000" w:rsidRDefault="00832D71">
            <w:pPr>
              <w:pStyle w:val="a3"/>
              <w:spacing w:before="0" w:beforeAutospacing="0" w:after="0" w:afterAutospacing="0"/>
              <w:jc w:val="both"/>
              <w:rPr>
                <w:sz w:val="20"/>
                <w:szCs w:val="20"/>
              </w:rPr>
            </w:pPr>
            <w:hyperlink r:id="rId10" w:history="1">
              <w:r>
                <w:rPr>
                  <w:rStyle w:val="a4"/>
                  <w:sz w:val="20"/>
                  <w:szCs w:val="20"/>
                </w:rPr>
                <w:t>Indenture, dated as of May 24, 2021, relating to the 5.000% Senior Notes due 2031, among Suburban Propane Partners, L.P., Suburban Energy Finance Corp. and The Bank of Ne</w:t>
              </w:r>
              <w:r>
                <w:rPr>
                  <w:rStyle w:val="a4"/>
                  <w:sz w:val="20"/>
                  <w:szCs w:val="20"/>
                </w:rPr>
                <w:t>w York Mellon, as Trustee. (Incorporated by reference to Exhibit 4.1 to the Partnership’s Current Report on Form 8-K filed May 21, 2021)</w:t>
              </w:r>
              <w:r>
                <w:rPr>
                  <w:rStyle w:val="a4"/>
                  <w:sz w:val="20"/>
                  <w:szCs w:val="20"/>
                </w:rPr>
                <w:t>.</w:t>
              </w:r>
            </w:hyperlink>
          </w:p>
        </w:tc>
      </w:tr>
      <w:tr w:rsidR="00000000" w14:paraId="63595BDF" w14:textId="77777777">
        <w:trPr>
          <w:tblCellSpacing w:w="15" w:type="dxa"/>
        </w:trPr>
        <w:tc>
          <w:tcPr>
            <w:tcW w:w="0" w:type="auto"/>
            <w:hideMark/>
          </w:tcPr>
          <w:p w14:paraId="55D0F615"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4C7D5D9E"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007D5603" w14:textId="77777777" w:rsidR="00000000" w:rsidRDefault="00832D71">
            <w:pPr>
              <w:pStyle w:val="a3"/>
              <w:spacing w:before="0" w:beforeAutospacing="0" w:after="0" w:afterAutospacing="0"/>
              <w:jc w:val="both"/>
              <w:rPr>
                <w:sz w:val="12"/>
                <w:szCs w:val="12"/>
              </w:rPr>
            </w:pPr>
            <w:r>
              <w:rPr>
                <w:sz w:val="12"/>
                <w:szCs w:val="12"/>
              </w:rPr>
              <w:t> </w:t>
            </w:r>
          </w:p>
        </w:tc>
      </w:tr>
    </w:tbl>
    <w:p w14:paraId="76266F59" w14:textId="77777777" w:rsidR="00000000" w:rsidRDefault="00832D71">
      <w:pPr>
        <w:pStyle w:val="a3"/>
        <w:spacing w:before="0" w:beforeAutospacing="0" w:after="0" w:afterAutospacing="0"/>
        <w:jc w:val="center"/>
        <w:rPr>
          <w:sz w:val="20"/>
          <w:szCs w:val="20"/>
        </w:rPr>
      </w:pPr>
      <w:r>
        <w:rPr>
          <w:sz w:val="20"/>
          <w:szCs w:val="20"/>
        </w:rPr>
        <w:t> </w:t>
      </w:r>
    </w:p>
    <w:p w14:paraId="3B8A9FDF" w14:textId="77777777" w:rsidR="00000000" w:rsidRDefault="00832D71">
      <w:pPr>
        <w:pStyle w:val="a3"/>
        <w:spacing w:before="0" w:beforeAutospacing="0" w:after="0" w:afterAutospacing="0"/>
        <w:jc w:val="center"/>
        <w:rPr>
          <w:sz w:val="20"/>
          <w:szCs w:val="20"/>
        </w:rPr>
      </w:pPr>
      <w:r>
        <w:rPr>
          <w:sz w:val="20"/>
          <w:szCs w:val="20"/>
        </w:rPr>
        <w:t>8</w:t>
      </w:r>
      <w:r>
        <w:rPr>
          <w:sz w:val="20"/>
          <w:szCs w:val="20"/>
        </w:rPr>
        <w:t>9</w:t>
      </w:r>
    </w:p>
    <w:p w14:paraId="5023EF46" w14:textId="77777777" w:rsidR="00000000" w:rsidRDefault="00832D71">
      <w:pPr>
        <w:rPr>
          <w:rFonts w:eastAsia="Times New Roman"/>
        </w:rPr>
      </w:pPr>
      <w:r>
        <w:rPr>
          <w:rFonts w:eastAsia="Times New Roman"/>
        </w:rPr>
        <w:pict w14:anchorId="414452DD">
          <v:rect id="_x0000_i1116" style="width:0;height:1.5pt" o:hralign="center" o:hrstd="t" o:hr="t" fillcolor="#a0a0a0" stroked="f"/>
        </w:pict>
      </w:r>
    </w:p>
    <w:p w14:paraId="0D9F324A"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2"/>
        <w:gridCol w:w="112"/>
        <w:gridCol w:w="7412"/>
      </w:tblGrid>
      <w:tr w:rsidR="00000000" w14:paraId="71A19882" w14:textId="77777777">
        <w:trPr>
          <w:tblCellSpacing w:w="15" w:type="dxa"/>
        </w:trPr>
        <w:tc>
          <w:tcPr>
            <w:tcW w:w="450" w:type="pct"/>
            <w:vAlign w:val="center"/>
            <w:hideMark/>
          </w:tcPr>
          <w:p w14:paraId="2F58FCE7" w14:textId="77777777" w:rsidR="00000000" w:rsidRDefault="00832D71">
            <w:pPr>
              <w:rPr>
                <w:sz w:val="20"/>
                <w:szCs w:val="20"/>
              </w:rPr>
            </w:pPr>
          </w:p>
        </w:tc>
        <w:tc>
          <w:tcPr>
            <w:tcW w:w="50" w:type="pct"/>
            <w:vAlign w:val="center"/>
            <w:hideMark/>
          </w:tcPr>
          <w:p w14:paraId="03EAF05B" w14:textId="77777777" w:rsidR="00000000" w:rsidRDefault="00832D71">
            <w:pPr>
              <w:rPr>
                <w:rFonts w:eastAsia="Times New Roman"/>
                <w:sz w:val="20"/>
                <w:szCs w:val="20"/>
              </w:rPr>
            </w:pPr>
          </w:p>
        </w:tc>
        <w:tc>
          <w:tcPr>
            <w:tcW w:w="4500" w:type="pct"/>
            <w:vAlign w:val="center"/>
            <w:hideMark/>
          </w:tcPr>
          <w:p w14:paraId="67137CA4" w14:textId="77777777" w:rsidR="00000000" w:rsidRDefault="00832D71">
            <w:pPr>
              <w:rPr>
                <w:rFonts w:eastAsia="Times New Roman"/>
                <w:sz w:val="20"/>
                <w:szCs w:val="20"/>
              </w:rPr>
            </w:pPr>
          </w:p>
        </w:tc>
      </w:tr>
      <w:tr w:rsidR="00000000" w14:paraId="74E60813" w14:textId="77777777">
        <w:trPr>
          <w:trHeight w:val="200"/>
          <w:tblCellSpacing w:w="15" w:type="dxa"/>
        </w:trPr>
        <w:tc>
          <w:tcPr>
            <w:tcW w:w="0" w:type="auto"/>
            <w:hideMark/>
          </w:tcPr>
          <w:p w14:paraId="5F64B9DF" w14:textId="77777777" w:rsidR="00000000" w:rsidRDefault="00832D71">
            <w:pPr>
              <w:pStyle w:val="a3"/>
              <w:spacing w:before="0" w:beforeAutospacing="0" w:after="0" w:afterAutospacing="0"/>
              <w:jc w:val="both"/>
              <w:rPr>
                <w:sz w:val="20"/>
                <w:szCs w:val="20"/>
              </w:rPr>
            </w:pPr>
            <w:r>
              <w:rPr>
                <w:sz w:val="20"/>
                <w:szCs w:val="20"/>
              </w:rPr>
              <w:t>   </w:t>
            </w:r>
            <w:r>
              <w:rPr>
                <w:sz w:val="20"/>
                <w:szCs w:val="20"/>
              </w:rPr>
              <w:t>10.</w:t>
            </w:r>
            <w:r>
              <w:rPr>
                <w:sz w:val="20"/>
                <w:szCs w:val="20"/>
              </w:rPr>
              <w:t>1</w:t>
            </w:r>
          </w:p>
        </w:tc>
        <w:tc>
          <w:tcPr>
            <w:tcW w:w="0" w:type="auto"/>
            <w:vAlign w:val="bottom"/>
            <w:hideMark/>
          </w:tcPr>
          <w:p w14:paraId="363B8996"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251A16B6" w14:textId="77777777" w:rsidR="00000000" w:rsidRDefault="00832D71">
            <w:pPr>
              <w:pStyle w:val="a3"/>
              <w:spacing w:before="0" w:beforeAutospacing="0" w:after="0" w:afterAutospacing="0"/>
              <w:jc w:val="both"/>
              <w:rPr>
                <w:sz w:val="20"/>
                <w:szCs w:val="20"/>
              </w:rPr>
            </w:pPr>
            <w:hyperlink r:id="rId11" w:history="1">
              <w:r>
                <w:rPr>
                  <w:rStyle w:val="a4"/>
                  <w:sz w:val="20"/>
                  <w:szCs w:val="20"/>
                </w:rPr>
                <w:t>Suburban Propane Partners, L.P. 2009 Restricted Unit Plan, effective August 1, 2009, as amended on November 13, 2012, August 6, 2013 and May 13, 201</w:t>
              </w:r>
              <w:r>
                <w:rPr>
                  <w:rStyle w:val="a4"/>
                  <w:sz w:val="20"/>
                  <w:szCs w:val="20"/>
                </w:rPr>
                <w:t>5. (Incorporated by reference to Exhibit 10.1 to the Partnership’s Current Report on Form 8-K filed May 14, 2015)</w:t>
              </w:r>
              <w:r>
                <w:rPr>
                  <w:rStyle w:val="a4"/>
                  <w:sz w:val="20"/>
                  <w:szCs w:val="20"/>
                </w:rPr>
                <w:t>.</w:t>
              </w:r>
            </w:hyperlink>
            <w:r>
              <w:rPr>
                <w:sz w:val="20"/>
                <w:szCs w:val="20"/>
              </w:rPr>
              <w:t xml:space="preserve"> </w:t>
            </w:r>
            <w:r>
              <w:rPr>
                <w:sz w:val="20"/>
                <w:szCs w:val="20"/>
              </w:rPr>
              <w:t>#</w:t>
            </w:r>
          </w:p>
        </w:tc>
      </w:tr>
      <w:tr w:rsidR="00000000" w14:paraId="247782C1" w14:textId="77777777">
        <w:trPr>
          <w:tblCellSpacing w:w="15" w:type="dxa"/>
        </w:trPr>
        <w:tc>
          <w:tcPr>
            <w:tcW w:w="0" w:type="auto"/>
            <w:hideMark/>
          </w:tcPr>
          <w:p w14:paraId="37D0B771"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D1A2B50"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4FFC7DEB" w14:textId="77777777" w:rsidR="00000000" w:rsidRDefault="00832D71">
            <w:pPr>
              <w:pStyle w:val="a3"/>
              <w:spacing w:before="0" w:beforeAutospacing="0" w:after="0" w:afterAutospacing="0"/>
              <w:jc w:val="both"/>
              <w:rPr>
                <w:sz w:val="12"/>
                <w:szCs w:val="12"/>
              </w:rPr>
            </w:pPr>
            <w:r>
              <w:rPr>
                <w:sz w:val="12"/>
                <w:szCs w:val="12"/>
              </w:rPr>
              <w:t> </w:t>
            </w:r>
          </w:p>
        </w:tc>
      </w:tr>
      <w:tr w:rsidR="00000000" w14:paraId="5D6AB6D9" w14:textId="77777777">
        <w:trPr>
          <w:trHeight w:val="200"/>
          <w:tblCellSpacing w:w="15" w:type="dxa"/>
        </w:trPr>
        <w:tc>
          <w:tcPr>
            <w:tcW w:w="0" w:type="auto"/>
            <w:hideMark/>
          </w:tcPr>
          <w:p w14:paraId="17DFEC8C" w14:textId="77777777" w:rsidR="00000000" w:rsidRDefault="00832D71">
            <w:pPr>
              <w:pStyle w:val="a3"/>
              <w:spacing w:before="0" w:beforeAutospacing="0" w:after="0" w:afterAutospacing="0"/>
              <w:jc w:val="both"/>
              <w:rPr>
                <w:sz w:val="20"/>
                <w:szCs w:val="20"/>
              </w:rPr>
            </w:pPr>
            <w:r>
              <w:rPr>
                <w:sz w:val="20"/>
                <w:szCs w:val="20"/>
              </w:rPr>
              <w:t>   10.</w:t>
            </w:r>
            <w:r>
              <w:rPr>
                <w:sz w:val="20"/>
                <w:szCs w:val="20"/>
              </w:rPr>
              <w:t>2</w:t>
            </w:r>
          </w:p>
        </w:tc>
        <w:tc>
          <w:tcPr>
            <w:tcW w:w="0" w:type="auto"/>
            <w:vAlign w:val="bottom"/>
            <w:hideMark/>
          </w:tcPr>
          <w:p w14:paraId="048286D0"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1E7A85C6" w14:textId="77777777" w:rsidR="00000000" w:rsidRDefault="00832D71">
            <w:pPr>
              <w:pStyle w:val="a3"/>
              <w:spacing w:before="0" w:beforeAutospacing="0" w:after="0" w:afterAutospacing="0"/>
              <w:jc w:val="both"/>
              <w:rPr>
                <w:sz w:val="20"/>
                <w:szCs w:val="20"/>
              </w:rPr>
            </w:pPr>
            <w:hyperlink r:id="rId12" w:history="1">
              <w:r>
                <w:rPr>
                  <w:rStyle w:val="a4"/>
                  <w:sz w:val="20"/>
                  <w:szCs w:val="20"/>
                </w:rPr>
                <w:t>Amended and Restated</w:t>
              </w:r>
              <w:r>
                <w:rPr>
                  <w:rStyle w:val="a4"/>
                  <w:sz w:val="20"/>
                  <w:szCs w:val="20"/>
                </w:rPr>
                <w:t xml:space="preserve"> 2018 Restricted Unit Plan of Suburban Propane Partners, L.P. (Incorporated by reference to Exhibit 10.1 to the Partnership’s Current Report on Form 8-K filed on May 18, 2021)</w:t>
              </w:r>
              <w:r>
                <w:rPr>
                  <w:rStyle w:val="a4"/>
                  <w:sz w:val="20"/>
                  <w:szCs w:val="20"/>
                </w:rPr>
                <w:t>.</w:t>
              </w:r>
            </w:hyperlink>
            <w:r>
              <w:rPr>
                <w:sz w:val="20"/>
                <w:szCs w:val="20"/>
              </w:rPr>
              <w:t xml:space="preserve"> </w:t>
            </w:r>
            <w:r>
              <w:rPr>
                <w:sz w:val="20"/>
                <w:szCs w:val="20"/>
              </w:rPr>
              <w:t>#</w:t>
            </w:r>
          </w:p>
        </w:tc>
      </w:tr>
      <w:tr w:rsidR="00000000" w14:paraId="0C708557" w14:textId="77777777">
        <w:trPr>
          <w:tblCellSpacing w:w="15" w:type="dxa"/>
        </w:trPr>
        <w:tc>
          <w:tcPr>
            <w:tcW w:w="0" w:type="auto"/>
            <w:hideMark/>
          </w:tcPr>
          <w:p w14:paraId="61F58C54"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24156921"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646EDF11" w14:textId="77777777" w:rsidR="00000000" w:rsidRDefault="00832D71">
            <w:pPr>
              <w:pStyle w:val="a3"/>
              <w:spacing w:before="0" w:beforeAutospacing="0" w:after="0" w:afterAutospacing="0"/>
              <w:jc w:val="both"/>
              <w:rPr>
                <w:sz w:val="12"/>
                <w:szCs w:val="12"/>
              </w:rPr>
            </w:pPr>
            <w:r>
              <w:rPr>
                <w:sz w:val="12"/>
                <w:szCs w:val="12"/>
              </w:rPr>
              <w:t> </w:t>
            </w:r>
          </w:p>
        </w:tc>
      </w:tr>
      <w:tr w:rsidR="00000000" w14:paraId="4E58A871" w14:textId="77777777">
        <w:trPr>
          <w:trHeight w:val="200"/>
          <w:tblCellSpacing w:w="15" w:type="dxa"/>
        </w:trPr>
        <w:tc>
          <w:tcPr>
            <w:tcW w:w="0" w:type="auto"/>
            <w:hideMark/>
          </w:tcPr>
          <w:p w14:paraId="53B81F3D" w14:textId="77777777" w:rsidR="00000000" w:rsidRDefault="00832D71">
            <w:pPr>
              <w:pStyle w:val="a3"/>
              <w:spacing w:before="0" w:beforeAutospacing="0" w:after="0" w:afterAutospacing="0"/>
              <w:rPr>
                <w:sz w:val="20"/>
                <w:szCs w:val="20"/>
              </w:rPr>
            </w:pPr>
            <w:r>
              <w:rPr>
                <w:sz w:val="20"/>
                <w:szCs w:val="20"/>
              </w:rPr>
              <w:t>   10.</w:t>
            </w:r>
            <w:r>
              <w:rPr>
                <w:sz w:val="20"/>
                <w:szCs w:val="20"/>
              </w:rPr>
              <w:t>3</w:t>
            </w:r>
          </w:p>
        </w:tc>
        <w:tc>
          <w:tcPr>
            <w:tcW w:w="0" w:type="auto"/>
            <w:vAlign w:val="bottom"/>
            <w:hideMark/>
          </w:tcPr>
          <w:p w14:paraId="59934FAF"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0364D554" w14:textId="77777777" w:rsidR="00000000" w:rsidRDefault="00832D71">
            <w:pPr>
              <w:pStyle w:val="a3"/>
              <w:spacing w:before="0" w:beforeAutospacing="0" w:after="0" w:afterAutospacing="0"/>
              <w:jc w:val="both"/>
              <w:rPr>
                <w:sz w:val="20"/>
                <w:szCs w:val="20"/>
              </w:rPr>
            </w:pPr>
            <w:hyperlink r:id="rId13" w:history="1">
              <w:r>
                <w:rPr>
                  <w:rStyle w:val="a4"/>
                  <w:sz w:val="20"/>
                  <w:szCs w:val="20"/>
                </w:rPr>
                <w:t>Suburban Propane, L.P. Severance Protection Plan, as amended on January 24, 2008, January 20, 2009 and November 10, 2009. (Incorporated by reference to Exhibit 10.8 to the Partnership’s Annual Report on Form 10-K filed on November 25, 2009)</w:t>
              </w:r>
              <w:r>
                <w:rPr>
                  <w:rStyle w:val="a4"/>
                  <w:sz w:val="20"/>
                  <w:szCs w:val="20"/>
                </w:rPr>
                <w:t>.</w:t>
              </w:r>
            </w:hyperlink>
            <w:r>
              <w:rPr>
                <w:sz w:val="20"/>
                <w:szCs w:val="20"/>
              </w:rPr>
              <w:t xml:space="preserve"> </w:t>
            </w:r>
            <w:r>
              <w:rPr>
                <w:sz w:val="20"/>
                <w:szCs w:val="20"/>
              </w:rPr>
              <w:t>#</w:t>
            </w:r>
          </w:p>
        </w:tc>
      </w:tr>
      <w:tr w:rsidR="00000000" w14:paraId="10E77F86" w14:textId="77777777">
        <w:trPr>
          <w:tblCellSpacing w:w="15" w:type="dxa"/>
        </w:trPr>
        <w:tc>
          <w:tcPr>
            <w:tcW w:w="0" w:type="auto"/>
            <w:hideMark/>
          </w:tcPr>
          <w:p w14:paraId="3A42E858"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33D84406"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0AB65BAC" w14:textId="77777777" w:rsidR="00000000" w:rsidRDefault="00832D71">
            <w:pPr>
              <w:pStyle w:val="a3"/>
              <w:spacing w:before="0" w:beforeAutospacing="0" w:after="0" w:afterAutospacing="0"/>
              <w:jc w:val="both"/>
              <w:rPr>
                <w:sz w:val="12"/>
                <w:szCs w:val="12"/>
              </w:rPr>
            </w:pPr>
            <w:r>
              <w:rPr>
                <w:sz w:val="12"/>
                <w:szCs w:val="12"/>
              </w:rPr>
              <w:t> </w:t>
            </w:r>
          </w:p>
        </w:tc>
      </w:tr>
      <w:tr w:rsidR="00000000" w14:paraId="7C0C1909" w14:textId="77777777">
        <w:trPr>
          <w:trHeight w:val="200"/>
          <w:tblCellSpacing w:w="15" w:type="dxa"/>
        </w:trPr>
        <w:tc>
          <w:tcPr>
            <w:tcW w:w="0" w:type="auto"/>
            <w:hideMark/>
          </w:tcPr>
          <w:p w14:paraId="1C13E756" w14:textId="77777777" w:rsidR="00000000" w:rsidRDefault="00832D71">
            <w:pPr>
              <w:pStyle w:val="a3"/>
              <w:spacing w:before="0" w:beforeAutospacing="0" w:after="0" w:afterAutospacing="0"/>
              <w:rPr>
                <w:sz w:val="20"/>
                <w:szCs w:val="20"/>
              </w:rPr>
            </w:pPr>
            <w:r>
              <w:rPr>
                <w:sz w:val="20"/>
                <w:szCs w:val="20"/>
              </w:rPr>
              <w:t>   1</w:t>
            </w:r>
            <w:r>
              <w:rPr>
                <w:sz w:val="20"/>
                <w:szCs w:val="20"/>
              </w:rPr>
              <w:t>0.</w:t>
            </w:r>
            <w:r>
              <w:rPr>
                <w:sz w:val="20"/>
                <w:szCs w:val="20"/>
              </w:rPr>
              <w:t>4</w:t>
            </w:r>
          </w:p>
        </w:tc>
        <w:tc>
          <w:tcPr>
            <w:tcW w:w="0" w:type="auto"/>
            <w:vAlign w:val="bottom"/>
            <w:hideMark/>
          </w:tcPr>
          <w:p w14:paraId="429E95CD"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58E59EDB" w14:textId="77777777" w:rsidR="00000000" w:rsidRDefault="00832D71">
            <w:pPr>
              <w:pStyle w:val="a3"/>
              <w:spacing w:before="0" w:beforeAutospacing="0" w:after="0" w:afterAutospacing="0"/>
              <w:jc w:val="both"/>
              <w:rPr>
                <w:sz w:val="20"/>
                <w:szCs w:val="20"/>
              </w:rPr>
            </w:pPr>
            <w:hyperlink r:id="rId14" w:history="1">
              <w:r>
                <w:rPr>
                  <w:rStyle w:val="a4"/>
                  <w:sz w:val="20"/>
                  <w:szCs w:val="20"/>
                </w:rPr>
                <w:t>Suburban Propane, L.P. Executive Special Severance Plan, effective January 1, 2020. (Incorporated by reference to Exhibit 10.1 to the Partnership’s Cu</w:t>
              </w:r>
              <w:r>
                <w:rPr>
                  <w:rStyle w:val="a4"/>
                  <w:sz w:val="20"/>
                  <w:szCs w:val="20"/>
                </w:rPr>
                <w:t>rrent Report on Form 8-K filed on November 19, 2019)</w:t>
              </w:r>
              <w:r>
                <w:rPr>
                  <w:rStyle w:val="a4"/>
                  <w:sz w:val="20"/>
                  <w:szCs w:val="20"/>
                </w:rPr>
                <w:t>.</w:t>
              </w:r>
            </w:hyperlink>
            <w:r>
              <w:rPr>
                <w:sz w:val="20"/>
                <w:szCs w:val="20"/>
              </w:rPr>
              <w:t xml:space="preserve"> </w:t>
            </w:r>
            <w:r>
              <w:rPr>
                <w:sz w:val="20"/>
                <w:szCs w:val="20"/>
              </w:rPr>
              <w:t>#</w:t>
            </w:r>
          </w:p>
        </w:tc>
      </w:tr>
      <w:tr w:rsidR="00000000" w14:paraId="55073C7B" w14:textId="77777777">
        <w:trPr>
          <w:trHeight w:val="144"/>
          <w:tblCellSpacing w:w="15" w:type="dxa"/>
        </w:trPr>
        <w:tc>
          <w:tcPr>
            <w:tcW w:w="0" w:type="auto"/>
            <w:hideMark/>
          </w:tcPr>
          <w:p w14:paraId="77297A88"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0D4EB4D0"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1F7B375A" w14:textId="77777777" w:rsidR="00000000" w:rsidRDefault="00832D71">
            <w:pPr>
              <w:pStyle w:val="a3"/>
              <w:spacing w:before="0" w:beforeAutospacing="0" w:after="0" w:afterAutospacing="0"/>
              <w:jc w:val="both"/>
              <w:rPr>
                <w:sz w:val="12"/>
                <w:szCs w:val="12"/>
              </w:rPr>
            </w:pPr>
            <w:r>
              <w:rPr>
                <w:sz w:val="12"/>
                <w:szCs w:val="12"/>
              </w:rPr>
              <w:t> </w:t>
            </w:r>
          </w:p>
        </w:tc>
      </w:tr>
      <w:tr w:rsidR="00000000" w14:paraId="042F97F0" w14:textId="77777777">
        <w:trPr>
          <w:trHeight w:val="200"/>
          <w:tblCellSpacing w:w="15" w:type="dxa"/>
        </w:trPr>
        <w:tc>
          <w:tcPr>
            <w:tcW w:w="0" w:type="auto"/>
            <w:hideMark/>
          </w:tcPr>
          <w:p w14:paraId="11A80AC9" w14:textId="77777777" w:rsidR="00000000" w:rsidRDefault="00832D71">
            <w:pPr>
              <w:pStyle w:val="a3"/>
              <w:spacing w:before="0" w:beforeAutospacing="0" w:after="0" w:afterAutospacing="0"/>
              <w:rPr>
                <w:sz w:val="20"/>
                <w:szCs w:val="20"/>
              </w:rPr>
            </w:pPr>
            <w:r>
              <w:rPr>
                <w:sz w:val="20"/>
                <w:szCs w:val="20"/>
              </w:rPr>
              <w:t>   10.</w:t>
            </w:r>
            <w:r>
              <w:rPr>
                <w:sz w:val="20"/>
                <w:szCs w:val="20"/>
              </w:rPr>
              <w:t>5</w:t>
            </w:r>
          </w:p>
        </w:tc>
        <w:tc>
          <w:tcPr>
            <w:tcW w:w="0" w:type="auto"/>
            <w:vAlign w:val="bottom"/>
            <w:hideMark/>
          </w:tcPr>
          <w:p w14:paraId="76B27B29"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382BD24D" w14:textId="77777777" w:rsidR="00000000" w:rsidRDefault="00832D71">
            <w:pPr>
              <w:pStyle w:val="a3"/>
              <w:spacing w:before="0" w:beforeAutospacing="0" w:after="0" w:afterAutospacing="0"/>
              <w:jc w:val="both"/>
              <w:rPr>
                <w:sz w:val="20"/>
                <w:szCs w:val="20"/>
              </w:rPr>
            </w:pPr>
            <w:hyperlink r:id="rId15" w:history="1">
              <w:r>
                <w:rPr>
                  <w:rStyle w:val="a4"/>
                  <w:sz w:val="20"/>
                  <w:szCs w:val="20"/>
                </w:rPr>
                <w:t xml:space="preserve">Suburban Propane, L.P. 2014 Long-Term Incentive Plan, effective October 1, 2013, </w:t>
              </w:r>
              <w:r>
                <w:rPr>
                  <w:rStyle w:val="a4"/>
                  <w:sz w:val="20"/>
                  <w:szCs w:val="20"/>
                </w:rPr>
                <w:t>as amended on November 14, 2016, January 22, 2019 and November 12, 2019. (Incorporated by reference to Exhibit 10.5 to the Partnership’s Annual Report on Form 10-K filed on November 27, 2019)</w:t>
              </w:r>
              <w:r>
                <w:rPr>
                  <w:rStyle w:val="a4"/>
                  <w:sz w:val="20"/>
                  <w:szCs w:val="20"/>
                </w:rPr>
                <w:t>.</w:t>
              </w:r>
            </w:hyperlink>
            <w:r>
              <w:rPr>
                <w:sz w:val="20"/>
                <w:szCs w:val="20"/>
              </w:rPr>
              <w:t> </w:t>
            </w:r>
            <w:r>
              <w:rPr>
                <w:sz w:val="20"/>
                <w:szCs w:val="20"/>
              </w:rPr>
              <w:t>#</w:t>
            </w:r>
          </w:p>
        </w:tc>
      </w:tr>
      <w:tr w:rsidR="00000000" w14:paraId="4CBA3DC3" w14:textId="77777777">
        <w:trPr>
          <w:tblCellSpacing w:w="15" w:type="dxa"/>
        </w:trPr>
        <w:tc>
          <w:tcPr>
            <w:tcW w:w="0" w:type="auto"/>
            <w:hideMark/>
          </w:tcPr>
          <w:p w14:paraId="30E47C00"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4875CD1D"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6A4AA574" w14:textId="77777777" w:rsidR="00000000" w:rsidRDefault="00832D71">
            <w:pPr>
              <w:pStyle w:val="a3"/>
              <w:spacing w:before="0" w:beforeAutospacing="0" w:after="0" w:afterAutospacing="0"/>
              <w:jc w:val="both"/>
              <w:rPr>
                <w:sz w:val="12"/>
                <w:szCs w:val="12"/>
              </w:rPr>
            </w:pPr>
            <w:r>
              <w:rPr>
                <w:sz w:val="12"/>
                <w:szCs w:val="12"/>
              </w:rPr>
              <w:t> </w:t>
            </w:r>
          </w:p>
        </w:tc>
      </w:tr>
      <w:tr w:rsidR="00000000" w14:paraId="1E087746" w14:textId="77777777">
        <w:trPr>
          <w:trHeight w:val="200"/>
          <w:tblCellSpacing w:w="15" w:type="dxa"/>
        </w:trPr>
        <w:tc>
          <w:tcPr>
            <w:tcW w:w="0" w:type="auto"/>
            <w:hideMark/>
          </w:tcPr>
          <w:p w14:paraId="1FE04DE4" w14:textId="77777777" w:rsidR="00000000" w:rsidRDefault="00832D71">
            <w:pPr>
              <w:pStyle w:val="a3"/>
              <w:spacing w:before="0" w:beforeAutospacing="0" w:after="0" w:afterAutospacing="0"/>
              <w:rPr>
                <w:sz w:val="20"/>
                <w:szCs w:val="20"/>
              </w:rPr>
            </w:pPr>
            <w:r>
              <w:rPr>
                <w:sz w:val="20"/>
                <w:szCs w:val="20"/>
              </w:rPr>
              <w:t>   10.</w:t>
            </w:r>
            <w:r>
              <w:rPr>
                <w:sz w:val="20"/>
                <w:szCs w:val="20"/>
              </w:rPr>
              <w:t>6</w:t>
            </w:r>
          </w:p>
        </w:tc>
        <w:tc>
          <w:tcPr>
            <w:tcW w:w="0" w:type="auto"/>
            <w:vAlign w:val="bottom"/>
            <w:hideMark/>
          </w:tcPr>
          <w:p w14:paraId="7B18D474"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029B61ED" w14:textId="77777777" w:rsidR="00000000" w:rsidRDefault="00832D71">
            <w:pPr>
              <w:pStyle w:val="a3"/>
              <w:spacing w:before="0" w:beforeAutospacing="0" w:after="0" w:afterAutospacing="0"/>
              <w:jc w:val="both"/>
              <w:rPr>
                <w:sz w:val="20"/>
                <w:szCs w:val="20"/>
              </w:rPr>
            </w:pPr>
            <w:hyperlink r:id="rId16" w:history="1">
              <w:r>
                <w:rPr>
                  <w:rStyle w:val="a4"/>
                  <w:sz w:val="20"/>
                  <w:szCs w:val="20"/>
                </w:rPr>
                <w:t>Suburban Propane, L.P. 2021 Long-Term Incentive Plan, effective September 27, 2020, as amended on February 5, 2022 (Incorporated by reference to Exhibit 10.1</w:t>
              </w:r>
              <w:r>
                <w:rPr>
                  <w:rStyle w:val="a4"/>
                  <w:sz w:val="20"/>
                  <w:szCs w:val="20"/>
                </w:rPr>
                <w:t xml:space="preserve"> to the Partnership’s Quarterly Report on Form 10-Q filed February 23, 2022)</w:t>
              </w:r>
              <w:r>
                <w:rPr>
                  <w:rStyle w:val="a4"/>
                  <w:sz w:val="20"/>
                  <w:szCs w:val="20"/>
                </w:rPr>
                <w:t>.</w:t>
              </w:r>
              <w:r>
                <w:rPr>
                  <w:rStyle w:val="a4"/>
                  <w:sz w:val="20"/>
                  <w:szCs w:val="20"/>
                </w:rPr>
                <w:t xml:space="preserve"> </w:t>
              </w:r>
              <w:r>
                <w:rPr>
                  <w:rStyle w:val="a4"/>
                  <w:sz w:val="20"/>
                  <w:szCs w:val="20"/>
                </w:rPr>
                <w:t>#</w:t>
              </w:r>
            </w:hyperlink>
          </w:p>
        </w:tc>
      </w:tr>
      <w:tr w:rsidR="00000000" w14:paraId="5D11E56E" w14:textId="77777777">
        <w:trPr>
          <w:tblCellSpacing w:w="15" w:type="dxa"/>
        </w:trPr>
        <w:tc>
          <w:tcPr>
            <w:tcW w:w="0" w:type="auto"/>
            <w:hideMark/>
          </w:tcPr>
          <w:p w14:paraId="45D4786C"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031C965D"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7AC11A11" w14:textId="77777777" w:rsidR="00000000" w:rsidRDefault="00832D71">
            <w:pPr>
              <w:pStyle w:val="a3"/>
              <w:spacing w:before="0" w:beforeAutospacing="0" w:after="0" w:afterAutospacing="0"/>
              <w:jc w:val="both"/>
              <w:rPr>
                <w:sz w:val="12"/>
                <w:szCs w:val="12"/>
              </w:rPr>
            </w:pPr>
            <w:r>
              <w:rPr>
                <w:sz w:val="12"/>
                <w:szCs w:val="12"/>
              </w:rPr>
              <w:t> </w:t>
            </w:r>
          </w:p>
        </w:tc>
      </w:tr>
      <w:tr w:rsidR="00000000" w14:paraId="46965B8A" w14:textId="77777777">
        <w:trPr>
          <w:trHeight w:val="200"/>
          <w:tblCellSpacing w:w="15" w:type="dxa"/>
        </w:trPr>
        <w:tc>
          <w:tcPr>
            <w:tcW w:w="0" w:type="auto"/>
            <w:hideMark/>
          </w:tcPr>
          <w:p w14:paraId="129B830F" w14:textId="77777777" w:rsidR="00000000" w:rsidRDefault="00832D71">
            <w:pPr>
              <w:pStyle w:val="a3"/>
              <w:spacing w:before="0" w:beforeAutospacing="0" w:after="0" w:afterAutospacing="0"/>
              <w:rPr>
                <w:sz w:val="20"/>
                <w:szCs w:val="20"/>
              </w:rPr>
            </w:pPr>
            <w:r>
              <w:rPr>
                <w:sz w:val="20"/>
                <w:szCs w:val="20"/>
              </w:rPr>
              <w:t>   10.</w:t>
            </w:r>
            <w:r>
              <w:rPr>
                <w:sz w:val="20"/>
                <w:szCs w:val="20"/>
              </w:rPr>
              <w:t>7</w:t>
            </w:r>
          </w:p>
        </w:tc>
        <w:tc>
          <w:tcPr>
            <w:tcW w:w="0" w:type="auto"/>
            <w:vAlign w:val="bottom"/>
            <w:hideMark/>
          </w:tcPr>
          <w:p w14:paraId="72FF7E9C"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4EA90E4C" w14:textId="77777777" w:rsidR="00000000" w:rsidRDefault="00832D71">
            <w:pPr>
              <w:pStyle w:val="a3"/>
              <w:spacing w:before="0" w:beforeAutospacing="0" w:after="0" w:afterAutospacing="0"/>
              <w:jc w:val="both"/>
              <w:rPr>
                <w:sz w:val="20"/>
                <w:szCs w:val="20"/>
              </w:rPr>
            </w:pPr>
            <w:hyperlink r:id="rId17" w:history="1">
              <w:r>
                <w:rPr>
                  <w:rStyle w:val="a4"/>
                  <w:sz w:val="20"/>
                  <w:szCs w:val="20"/>
                </w:rPr>
                <w:t>Suburban Propane Partners, L.P. 2022 Phantom Equity Plan, ef</w:t>
              </w:r>
              <w:r>
                <w:rPr>
                  <w:rStyle w:val="a4"/>
                  <w:sz w:val="20"/>
                  <w:szCs w:val="20"/>
                </w:rPr>
                <w:t>fective November 8, 2022 (Incorporated by reference to Exhibit 10.1 to the Partnership’s Current Report on Form 8-K filed November 15, 2022)</w:t>
              </w:r>
              <w:r>
                <w:rPr>
                  <w:rStyle w:val="a4"/>
                  <w:sz w:val="20"/>
                  <w:szCs w:val="20"/>
                </w:rPr>
                <w:t>.</w:t>
              </w:r>
              <w:r>
                <w:rPr>
                  <w:rStyle w:val="a4"/>
                  <w:sz w:val="20"/>
                  <w:szCs w:val="20"/>
                </w:rPr>
                <w:t xml:space="preserve"> </w:t>
              </w:r>
            </w:hyperlink>
          </w:p>
        </w:tc>
      </w:tr>
      <w:tr w:rsidR="00000000" w14:paraId="785C906F" w14:textId="77777777">
        <w:trPr>
          <w:tblCellSpacing w:w="15" w:type="dxa"/>
        </w:trPr>
        <w:tc>
          <w:tcPr>
            <w:tcW w:w="0" w:type="auto"/>
            <w:hideMark/>
          </w:tcPr>
          <w:p w14:paraId="1142A67C"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44F9A55C"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38498ABF" w14:textId="77777777" w:rsidR="00000000" w:rsidRDefault="00832D71">
            <w:pPr>
              <w:pStyle w:val="a3"/>
              <w:spacing w:before="0" w:beforeAutospacing="0" w:after="0" w:afterAutospacing="0"/>
              <w:jc w:val="both"/>
              <w:rPr>
                <w:sz w:val="12"/>
                <w:szCs w:val="12"/>
              </w:rPr>
            </w:pPr>
            <w:r>
              <w:rPr>
                <w:sz w:val="12"/>
                <w:szCs w:val="12"/>
              </w:rPr>
              <w:t> </w:t>
            </w:r>
          </w:p>
        </w:tc>
      </w:tr>
      <w:tr w:rsidR="00000000" w14:paraId="3CB70DB2" w14:textId="77777777">
        <w:trPr>
          <w:trHeight w:val="200"/>
          <w:tblCellSpacing w:w="15" w:type="dxa"/>
        </w:trPr>
        <w:tc>
          <w:tcPr>
            <w:tcW w:w="0" w:type="auto"/>
            <w:hideMark/>
          </w:tcPr>
          <w:p w14:paraId="121DE45E" w14:textId="77777777" w:rsidR="00000000" w:rsidRDefault="00832D71">
            <w:pPr>
              <w:pStyle w:val="a3"/>
              <w:spacing w:before="0" w:beforeAutospacing="0" w:after="0" w:afterAutospacing="0"/>
              <w:rPr>
                <w:sz w:val="20"/>
                <w:szCs w:val="20"/>
              </w:rPr>
            </w:pPr>
            <w:r>
              <w:rPr>
                <w:sz w:val="20"/>
                <w:szCs w:val="20"/>
              </w:rPr>
              <w:t>   10.</w:t>
            </w:r>
            <w:r>
              <w:rPr>
                <w:sz w:val="20"/>
                <w:szCs w:val="20"/>
              </w:rPr>
              <w:t>8</w:t>
            </w:r>
          </w:p>
        </w:tc>
        <w:tc>
          <w:tcPr>
            <w:tcW w:w="0" w:type="auto"/>
            <w:vAlign w:val="bottom"/>
            <w:hideMark/>
          </w:tcPr>
          <w:p w14:paraId="1FCEAF4F"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57283646" w14:textId="77777777" w:rsidR="00000000" w:rsidRDefault="00832D71">
            <w:pPr>
              <w:pStyle w:val="a3"/>
              <w:spacing w:before="0" w:beforeAutospacing="0" w:after="0" w:afterAutospacing="0"/>
              <w:jc w:val="both"/>
              <w:rPr>
                <w:sz w:val="20"/>
                <w:szCs w:val="20"/>
              </w:rPr>
            </w:pPr>
            <w:hyperlink r:id="rId18" w:history="1">
              <w:r>
                <w:rPr>
                  <w:rStyle w:val="a4"/>
                  <w:sz w:val="20"/>
                  <w:szCs w:val="20"/>
                </w:rPr>
                <w:t>Amended and Restated Retirement Savings and Investment Plan of Suburban Propane (effective as of January 1, 2013). (Incorporated by reference to Exhibit 10.4 to the Partnership’s Annual Report on Form 10-K filed on November 23, 2016)</w:t>
              </w:r>
              <w:r>
                <w:rPr>
                  <w:rStyle w:val="a4"/>
                  <w:sz w:val="20"/>
                  <w:szCs w:val="20"/>
                </w:rPr>
                <w:t>.</w:t>
              </w:r>
            </w:hyperlink>
            <w:r>
              <w:rPr>
                <w:sz w:val="20"/>
                <w:szCs w:val="20"/>
              </w:rPr>
              <w:t> </w:t>
            </w:r>
            <w:r>
              <w:rPr>
                <w:sz w:val="20"/>
                <w:szCs w:val="20"/>
              </w:rPr>
              <w:t>#</w:t>
            </w:r>
          </w:p>
        </w:tc>
      </w:tr>
      <w:tr w:rsidR="00000000" w14:paraId="02539154" w14:textId="77777777">
        <w:trPr>
          <w:tblCellSpacing w:w="15" w:type="dxa"/>
        </w:trPr>
        <w:tc>
          <w:tcPr>
            <w:tcW w:w="0" w:type="auto"/>
            <w:hideMark/>
          </w:tcPr>
          <w:p w14:paraId="55953F94"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9B4E968"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0C6B100E" w14:textId="77777777" w:rsidR="00000000" w:rsidRDefault="00832D71">
            <w:pPr>
              <w:pStyle w:val="a3"/>
              <w:spacing w:before="0" w:beforeAutospacing="0" w:after="0" w:afterAutospacing="0"/>
              <w:jc w:val="both"/>
              <w:rPr>
                <w:sz w:val="12"/>
                <w:szCs w:val="12"/>
              </w:rPr>
            </w:pPr>
            <w:r>
              <w:rPr>
                <w:sz w:val="12"/>
                <w:szCs w:val="12"/>
              </w:rPr>
              <w:t> </w:t>
            </w:r>
          </w:p>
        </w:tc>
      </w:tr>
      <w:tr w:rsidR="00000000" w14:paraId="25C95736" w14:textId="77777777">
        <w:trPr>
          <w:trHeight w:val="200"/>
          <w:tblCellSpacing w:w="15" w:type="dxa"/>
        </w:trPr>
        <w:tc>
          <w:tcPr>
            <w:tcW w:w="0" w:type="auto"/>
            <w:hideMark/>
          </w:tcPr>
          <w:p w14:paraId="5AFAE562" w14:textId="77777777" w:rsidR="00000000" w:rsidRDefault="00832D71">
            <w:pPr>
              <w:pStyle w:val="a3"/>
              <w:spacing w:before="0" w:beforeAutospacing="0" w:after="0" w:afterAutospacing="0"/>
              <w:rPr>
                <w:sz w:val="20"/>
                <w:szCs w:val="20"/>
              </w:rPr>
            </w:pPr>
            <w:r>
              <w:rPr>
                <w:sz w:val="20"/>
                <w:szCs w:val="20"/>
              </w:rPr>
              <w:t>   </w:t>
            </w:r>
            <w:r>
              <w:rPr>
                <w:sz w:val="20"/>
                <w:szCs w:val="20"/>
              </w:rPr>
              <w:t>10.</w:t>
            </w:r>
            <w:r>
              <w:rPr>
                <w:sz w:val="20"/>
                <w:szCs w:val="20"/>
              </w:rPr>
              <w:t>9</w:t>
            </w:r>
          </w:p>
        </w:tc>
        <w:tc>
          <w:tcPr>
            <w:tcW w:w="0" w:type="auto"/>
            <w:vAlign w:val="bottom"/>
            <w:hideMark/>
          </w:tcPr>
          <w:p w14:paraId="663EBE56"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1018E301" w14:textId="77777777" w:rsidR="00000000" w:rsidRDefault="00832D71">
            <w:pPr>
              <w:pStyle w:val="a3"/>
              <w:spacing w:before="0" w:beforeAutospacing="0" w:after="0" w:afterAutospacing="0"/>
              <w:jc w:val="both"/>
              <w:rPr>
                <w:sz w:val="20"/>
                <w:szCs w:val="20"/>
              </w:rPr>
            </w:pPr>
            <w:hyperlink r:id="rId19" w:history="1">
              <w:r>
                <w:rPr>
                  <w:rStyle w:val="a4"/>
                  <w:sz w:val="20"/>
                  <w:szCs w:val="20"/>
                </w:rPr>
                <w:t xml:space="preserve">First Amendment to the Retirement Savings and Investment Plan of Suburban Propane (effective January 1, 2015). (Incorporated by reference to Exhibit </w:t>
              </w:r>
              <w:r>
                <w:rPr>
                  <w:rStyle w:val="a4"/>
                  <w:sz w:val="20"/>
                  <w:szCs w:val="20"/>
                </w:rPr>
                <w:t>10.5 to the Partnership’s Annual Report on Form 10-K filed on November 23, 2016)</w:t>
              </w:r>
              <w:r>
                <w:rPr>
                  <w:rStyle w:val="a4"/>
                  <w:sz w:val="20"/>
                  <w:szCs w:val="20"/>
                </w:rPr>
                <w:t>.</w:t>
              </w:r>
            </w:hyperlink>
            <w:r>
              <w:rPr>
                <w:sz w:val="20"/>
                <w:szCs w:val="20"/>
              </w:rPr>
              <w:t> </w:t>
            </w:r>
            <w:r>
              <w:rPr>
                <w:sz w:val="20"/>
                <w:szCs w:val="20"/>
              </w:rPr>
              <w:t>#</w:t>
            </w:r>
          </w:p>
        </w:tc>
      </w:tr>
      <w:tr w:rsidR="00000000" w14:paraId="5AFD5197" w14:textId="77777777">
        <w:trPr>
          <w:tblCellSpacing w:w="15" w:type="dxa"/>
        </w:trPr>
        <w:tc>
          <w:tcPr>
            <w:tcW w:w="0" w:type="auto"/>
            <w:hideMark/>
          </w:tcPr>
          <w:p w14:paraId="38236EC9"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425DE964"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27CF6909" w14:textId="77777777" w:rsidR="00000000" w:rsidRDefault="00832D71">
            <w:pPr>
              <w:pStyle w:val="a3"/>
              <w:spacing w:before="0" w:beforeAutospacing="0" w:after="0" w:afterAutospacing="0"/>
              <w:jc w:val="both"/>
              <w:rPr>
                <w:sz w:val="12"/>
                <w:szCs w:val="12"/>
              </w:rPr>
            </w:pPr>
            <w:r>
              <w:rPr>
                <w:sz w:val="12"/>
                <w:szCs w:val="12"/>
              </w:rPr>
              <w:t> </w:t>
            </w:r>
          </w:p>
        </w:tc>
      </w:tr>
      <w:tr w:rsidR="00000000" w14:paraId="48735074" w14:textId="77777777">
        <w:trPr>
          <w:trHeight w:val="200"/>
          <w:tblCellSpacing w:w="15" w:type="dxa"/>
        </w:trPr>
        <w:tc>
          <w:tcPr>
            <w:tcW w:w="0" w:type="auto"/>
            <w:hideMark/>
          </w:tcPr>
          <w:p w14:paraId="432FE718" w14:textId="77777777" w:rsidR="00000000" w:rsidRDefault="00832D71">
            <w:pPr>
              <w:pStyle w:val="a3"/>
              <w:spacing w:before="0" w:beforeAutospacing="0" w:after="0" w:afterAutospacing="0"/>
              <w:rPr>
                <w:sz w:val="20"/>
                <w:szCs w:val="20"/>
              </w:rPr>
            </w:pPr>
            <w:r>
              <w:rPr>
                <w:sz w:val="20"/>
                <w:szCs w:val="20"/>
              </w:rPr>
              <w:t>   10.1</w:t>
            </w:r>
            <w:r>
              <w:rPr>
                <w:sz w:val="20"/>
                <w:szCs w:val="20"/>
              </w:rPr>
              <w:t>0</w:t>
            </w:r>
          </w:p>
        </w:tc>
        <w:tc>
          <w:tcPr>
            <w:tcW w:w="0" w:type="auto"/>
            <w:vAlign w:val="bottom"/>
            <w:hideMark/>
          </w:tcPr>
          <w:p w14:paraId="1FC16A5F"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5A1A9281" w14:textId="77777777" w:rsidR="00000000" w:rsidRDefault="00832D71">
            <w:pPr>
              <w:pStyle w:val="a3"/>
              <w:spacing w:before="0" w:beforeAutospacing="0" w:after="0" w:afterAutospacing="0"/>
              <w:jc w:val="both"/>
              <w:rPr>
                <w:sz w:val="20"/>
                <w:szCs w:val="20"/>
              </w:rPr>
            </w:pPr>
            <w:hyperlink r:id="rId20" w:history="1">
              <w:r>
                <w:rPr>
                  <w:rStyle w:val="a4"/>
                  <w:sz w:val="20"/>
                  <w:szCs w:val="20"/>
                </w:rPr>
                <w:t>Second Amendment to the Retirement Savings and Invest</w:t>
              </w:r>
              <w:r>
                <w:rPr>
                  <w:rStyle w:val="a4"/>
                  <w:sz w:val="20"/>
                  <w:szCs w:val="20"/>
                </w:rPr>
                <w:t>ment Plan of Suburban Propane (effective January 1, 2016). (Incorporated by reference to Exhibit 10.6 to the Partnership’s Annual Report on Form 10-K filed on November 23, 2016)</w:t>
              </w:r>
              <w:r>
                <w:rPr>
                  <w:rStyle w:val="a4"/>
                  <w:sz w:val="20"/>
                  <w:szCs w:val="20"/>
                </w:rPr>
                <w:t>.</w:t>
              </w:r>
            </w:hyperlink>
            <w:r>
              <w:rPr>
                <w:sz w:val="20"/>
                <w:szCs w:val="20"/>
              </w:rPr>
              <w:t> </w:t>
            </w:r>
            <w:r>
              <w:rPr>
                <w:sz w:val="20"/>
                <w:szCs w:val="20"/>
              </w:rPr>
              <w:t>#</w:t>
            </w:r>
          </w:p>
        </w:tc>
      </w:tr>
      <w:tr w:rsidR="00000000" w14:paraId="27E0B5A0" w14:textId="77777777">
        <w:trPr>
          <w:tblCellSpacing w:w="15" w:type="dxa"/>
        </w:trPr>
        <w:tc>
          <w:tcPr>
            <w:tcW w:w="0" w:type="auto"/>
            <w:hideMark/>
          </w:tcPr>
          <w:p w14:paraId="0AE25A12"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28A6158B"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06954766" w14:textId="77777777" w:rsidR="00000000" w:rsidRDefault="00832D71">
            <w:pPr>
              <w:pStyle w:val="a3"/>
              <w:spacing w:before="0" w:beforeAutospacing="0" w:after="0" w:afterAutospacing="0"/>
              <w:jc w:val="both"/>
              <w:rPr>
                <w:sz w:val="12"/>
                <w:szCs w:val="12"/>
              </w:rPr>
            </w:pPr>
            <w:r>
              <w:rPr>
                <w:sz w:val="12"/>
                <w:szCs w:val="12"/>
              </w:rPr>
              <w:t> </w:t>
            </w:r>
          </w:p>
        </w:tc>
      </w:tr>
      <w:tr w:rsidR="00000000" w14:paraId="63FB9B47" w14:textId="77777777">
        <w:trPr>
          <w:trHeight w:val="200"/>
          <w:tblCellSpacing w:w="15" w:type="dxa"/>
        </w:trPr>
        <w:tc>
          <w:tcPr>
            <w:tcW w:w="0" w:type="auto"/>
            <w:hideMark/>
          </w:tcPr>
          <w:p w14:paraId="72A47CFC" w14:textId="77777777" w:rsidR="00000000" w:rsidRDefault="00832D71">
            <w:pPr>
              <w:pStyle w:val="a3"/>
              <w:spacing w:before="0" w:beforeAutospacing="0" w:after="0" w:afterAutospacing="0"/>
              <w:rPr>
                <w:sz w:val="20"/>
                <w:szCs w:val="20"/>
              </w:rPr>
            </w:pPr>
            <w:r>
              <w:rPr>
                <w:sz w:val="20"/>
                <w:szCs w:val="20"/>
              </w:rPr>
              <w:t>   10.1</w:t>
            </w:r>
            <w:r>
              <w:rPr>
                <w:sz w:val="20"/>
                <w:szCs w:val="20"/>
              </w:rPr>
              <w:t>1</w:t>
            </w:r>
          </w:p>
        </w:tc>
        <w:tc>
          <w:tcPr>
            <w:tcW w:w="0" w:type="auto"/>
            <w:vAlign w:val="bottom"/>
            <w:hideMark/>
          </w:tcPr>
          <w:p w14:paraId="2B5BC2CA"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7A4C80F1" w14:textId="77777777" w:rsidR="00000000" w:rsidRDefault="00832D71">
            <w:pPr>
              <w:pStyle w:val="a3"/>
              <w:spacing w:before="0" w:beforeAutospacing="0" w:after="0" w:afterAutospacing="0"/>
              <w:jc w:val="both"/>
              <w:rPr>
                <w:sz w:val="20"/>
                <w:szCs w:val="20"/>
              </w:rPr>
            </w:pPr>
            <w:hyperlink r:id="rId21" w:history="1">
              <w:r>
                <w:rPr>
                  <w:rStyle w:val="a4"/>
                  <w:sz w:val="20"/>
                  <w:szCs w:val="20"/>
                </w:rPr>
                <w:t>Third Amendment to the Retirement Savings and Investment Plan of Suburban Propane (effective August 1, 2016). (Incorporated by reference to Exhibit 10.7 to the Partnership’s Annual Report on Form 10-K filed on November 22, 2017)</w:t>
              </w:r>
              <w:r>
                <w:rPr>
                  <w:rStyle w:val="a4"/>
                  <w:sz w:val="20"/>
                  <w:szCs w:val="20"/>
                </w:rPr>
                <w:t>.</w:t>
              </w:r>
            </w:hyperlink>
            <w:r>
              <w:rPr>
                <w:sz w:val="20"/>
                <w:szCs w:val="20"/>
              </w:rPr>
              <w:t> </w:t>
            </w:r>
            <w:r>
              <w:rPr>
                <w:sz w:val="20"/>
                <w:szCs w:val="20"/>
              </w:rPr>
              <w:t>#</w:t>
            </w:r>
          </w:p>
        </w:tc>
      </w:tr>
      <w:tr w:rsidR="00000000" w14:paraId="59B59D7E" w14:textId="77777777">
        <w:trPr>
          <w:tblCellSpacing w:w="15" w:type="dxa"/>
        </w:trPr>
        <w:tc>
          <w:tcPr>
            <w:tcW w:w="0" w:type="auto"/>
            <w:hideMark/>
          </w:tcPr>
          <w:p w14:paraId="4680EB34"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ACBFFC2"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5F1F9575" w14:textId="77777777" w:rsidR="00000000" w:rsidRDefault="00832D71">
            <w:pPr>
              <w:pStyle w:val="a3"/>
              <w:spacing w:before="0" w:beforeAutospacing="0" w:after="0" w:afterAutospacing="0"/>
              <w:jc w:val="both"/>
              <w:rPr>
                <w:sz w:val="12"/>
                <w:szCs w:val="12"/>
              </w:rPr>
            </w:pPr>
            <w:r>
              <w:rPr>
                <w:sz w:val="12"/>
                <w:szCs w:val="12"/>
              </w:rPr>
              <w:t> </w:t>
            </w:r>
          </w:p>
        </w:tc>
      </w:tr>
      <w:tr w:rsidR="00000000" w14:paraId="45A28D52" w14:textId="77777777">
        <w:trPr>
          <w:trHeight w:val="200"/>
          <w:tblCellSpacing w:w="15" w:type="dxa"/>
        </w:trPr>
        <w:tc>
          <w:tcPr>
            <w:tcW w:w="0" w:type="auto"/>
            <w:hideMark/>
          </w:tcPr>
          <w:p w14:paraId="2767CB82" w14:textId="77777777" w:rsidR="00000000" w:rsidRDefault="00832D71">
            <w:pPr>
              <w:pStyle w:val="a3"/>
              <w:spacing w:before="0" w:beforeAutospacing="0" w:after="0" w:afterAutospacing="0"/>
              <w:rPr>
                <w:sz w:val="20"/>
                <w:szCs w:val="20"/>
              </w:rPr>
            </w:pPr>
            <w:r>
              <w:rPr>
                <w:sz w:val="20"/>
                <w:szCs w:val="20"/>
              </w:rPr>
              <w:t>   10.1</w:t>
            </w:r>
            <w:r>
              <w:rPr>
                <w:sz w:val="20"/>
                <w:szCs w:val="20"/>
              </w:rPr>
              <w:t>2</w:t>
            </w:r>
          </w:p>
        </w:tc>
        <w:tc>
          <w:tcPr>
            <w:tcW w:w="0" w:type="auto"/>
            <w:vAlign w:val="bottom"/>
            <w:hideMark/>
          </w:tcPr>
          <w:p w14:paraId="53F700CF"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45E6E316" w14:textId="77777777" w:rsidR="00000000" w:rsidRDefault="00832D71">
            <w:pPr>
              <w:pStyle w:val="a3"/>
              <w:spacing w:before="0" w:beforeAutospacing="0" w:after="0" w:afterAutospacing="0"/>
              <w:jc w:val="both"/>
              <w:rPr>
                <w:sz w:val="20"/>
                <w:szCs w:val="20"/>
              </w:rPr>
            </w:pPr>
            <w:hyperlink r:id="rId22" w:history="1">
              <w:r>
                <w:rPr>
                  <w:rStyle w:val="a4"/>
                  <w:sz w:val="20"/>
                  <w:szCs w:val="20"/>
                </w:rPr>
                <w:t xml:space="preserve">Fourth Amendment to the Retirement Savings and Investment Plan of Suburban Propane (effective January 1, 2017). (Incorporated by reference to Exhibit 10.8 </w:t>
              </w:r>
              <w:r>
                <w:rPr>
                  <w:rStyle w:val="a4"/>
                  <w:sz w:val="20"/>
                  <w:szCs w:val="20"/>
                </w:rPr>
                <w:t>to the Partnership’s Annual Report on Form 10-K filed on November 22, 2017)</w:t>
              </w:r>
              <w:r>
                <w:rPr>
                  <w:rStyle w:val="a4"/>
                  <w:sz w:val="20"/>
                  <w:szCs w:val="20"/>
                </w:rPr>
                <w:t>.</w:t>
              </w:r>
            </w:hyperlink>
            <w:r>
              <w:rPr>
                <w:sz w:val="20"/>
                <w:szCs w:val="20"/>
              </w:rPr>
              <w:t> </w:t>
            </w:r>
            <w:r>
              <w:rPr>
                <w:sz w:val="20"/>
                <w:szCs w:val="20"/>
              </w:rPr>
              <w:t>#</w:t>
            </w:r>
          </w:p>
        </w:tc>
      </w:tr>
      <w:tr w:rsidR="00000000" w14:paraId="0841E637" w14:textId="77777777">
        <w:trPr>
          <w:tblCellSpacing w:w="15" w:type="dxa"/>
        </w:trPr>
        <w:tc>
          <w:tcPr>
            <w:tcW w:w="0" w:type="auto"/>
            <w:hideMark/>
          </w:tcPr>
          <w:p w14:paraId="081463D3"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114651BF"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51BAD9C9" w14:textId="77777777" w:rsidR="00000000" w:rsidRDefault="00832D71">
            <w:pPr>
              <w:pStyle w:val="a3"/>
              <w:spacing w:before="0" w:beforeAutospacing="0" w:after="0" w:afterAutospacing="0"/>
              <w:jc w:val="both"/>
              <w:rPr>
                <w:sz w:val="12"/>
                <w:szCs w:val="12"/>
              </w:rPr>
            </w:pPr>
            <w:r>
              <w:rPr>
                <w:sz w:val="12"/>
                <w:szCs w:val="12"/>
              </w:rPr>
              <w:t> </w:t>
            </w:r>
          </w:p>
        </w:tc>
      </w:tr>
      <w:tr w:rsidR="00000000" w14:paraId="0B924E3C" w14:textId="77777777">
        <w:trPr>
          <w:trHeight w:val="200"/>
          <w:tblCellSpacing w:w="15" w:type="dxa"/>
        </w:trPr>
        <w:tc>
          <w:tcPr>
            <w:tcW w:w="0" w:type="auto"/>
            <w:hideMark/>
          </w:tcPr>
          <w:p w14:paraId="63297890" w14:textId="77777777" w:rsidR="00000000" w:rsidRDefault="00832D71">
            <w:pPr>
              <w:pStyle w:val="a3"/>
              <w:spacing w:before="0" w:beforeAutospacing="0" w:after="0" w:afterAutospacing="0"/>
              <w:rPr>
                <w:sz w:val="20"/>
                <w:szCs w:val="20"/>
              </w:rPr>
            </w:pPr>
            <w:r>
              <w:rPr>
                <w:sz w:val="20"/>
                <w:szCs w:val="20"/>
              </w:rPr>
              <w:t>   10.1</w:t>
            </w:r>
            <w:r>
              <w:rPr>
                <w:sz w:val="20"/>
                <w:szCs w:val="20"/>
              </w:rPr>
              <w:t>3</w:t>
            </w:r>
          </w:p>
        </w:tc>
        <w:tc>
          <w:tcPr>
            <w:tcW w:w="0" w:type="auto"/>
            <w:vAlign w:val="bottom"/>
            <w:hideMark/>
          </w:tcPr>
          <w:p w14:paraId="49030913"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147FF2CD" w14:textId="77777777" w:rsidR="00000000" w:rsidRDefault="00832D71">
            <w:pPr>
              <w:pStyle w:val="a3"/>
              <w:spacing w:before="0" w:beforeAutospacing="0" w:after="0" w:afterAutospacing="0"/>
              <w:jc w:val="both"/>
              <w:rPr>
                <w:sz w:val="20"/>
                <w:szCs w:val="20"/>
              </w:rPr>
            </w:pPr>
            <w:hyperlink r:id="rId23" w:history="1">
              <w:r>
                <w:rPr>
                  <w:rStyle w:val="a4"/>
                  <w:sz w:val="20"/>
                  <w:szCs w:val="20"/>
                </w:rPr>
                <w:t xml:space="preserve">Fifth Amendment to the Retirement Savings and Investment </w:t>
              </w:r>
              <w:r>
                <w:rPr>
                  <w:rStyle w:val="a4"/>
                  <w:sz w:val="20"/>
                  <w:szCs w:val="20"/>
                </w:rPr>
                <w:t>Plan of Suburban Propane (effective April 1, 2018). (Incorporated by reference to Exhibit 10.2 to the Partnership’s Quarterly Report on Form 10-Q filed on August 9, 2018)</w:t>
              </w:r>
              <w:r>
                <w:rPr>
                  <w:rStyle w:val="a4"/>
                  <w:sz w:val="20"/>
                  <w:szCs w:val="20"/>
                </w:rPr>
                <w:t>.</w:t>
              </w:r>
            </w:hyperlink>
            <w:r>
              <w:rPr>
                <w:sz w:val="20"/>
                <w:szCs w:val="20"/>
              </w:rPr>
              <w:t> </w:t>
            </w:r>
            <w:r>
              <w:rPr>
                <w:sz w:val="20"/>
                <w:szCs w:val="20"/>
              </w:rPr>
              <w:t>#</w:t>
            </w:r>
          </w:p>
        </w:tc>
      </w:tr>
      <w:tr w:rsidR="00000000" w14:paraId="488A9827" w14:textId="77777777">
        <w:trPr>
          <w:tblCellSpacing w:w="15" w:type="dxa"/>
        </w:trPr>
        <w:tc>
          <w:tcPr>
            <w:tcW w:w="0" w:type="auto"/>
            <w:hideMark/>
          </w:tcPr>
          <w:p w14:paraId="06D00A46"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7626D4ED"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4AC37C76" w14:textId="77777777" w:rsidR="00000000" w:rsidRDefault="00832D71">
            <w:pPr>
              <w:pStyle w:val="a3"/>
              <w:spacing w:before="0" w:beforeAutospacing="0" w:after="0" w:afterAutospacing="0"/>
              <w:jc w:val="both"/>
              <w:rPr>
                <w:sz w:val="12"/>
                <w:szCs w:val="12"/>
              </w:rPr>
            </w:pPr>
            <w:r>
              <w:rPr>
                <w:sz w:val="12"/>
                <w:szCs w:val="12"/>
              </w:rPr>
              <w:t> </w:t>
            </w:r>
          </w:p>
        </w:tc>
      </w:tr>
      <w:tr w:rsidR="00000000" w14:paraId="35533C71" w14:textId="77777777">
        <w:trPr>
          <w:trHeight w:val="200"/>
          <w:tblCellSpacing w:w="15" w:type="dxa"/>
        </w:trPr>
        <w:tc>
          <w:tcPr>
            <w:tcW w:w="0" w:type="auto"/>
            <w:hideMark/>
          </w:tcPr>
          <w:p w14:paraId="07FBEF7B" w14:textId="77777777" w:rsidR="00000000" w:rsidRDefault="00832D71">
            <w:pPr>
              <w:pStyle w:val="a3"/>
              <w:spacing w:before="0" w:beforeAutospacing="0" w:after="0" w:afterAutospacing="0"/>
              <w:rPr>
                <w:sz w:val="20"/>
                <w:szCs w:val="20"/>
              </w:rPr>
            </w:pPr>
            <w:r>
              <w:rPr>
                <w:sz w:val="20"/>
                <w:szCs w:val="20"/>
              </w:rPr>
              <w:t>   10.1</w:t>
            </w:r>
            <w:r>
              <w:rPr>
                <w:sz w:val="20"/>
                <w:szCs w:val="20"/>
              </w:rPr>
              <w:t>4</w:t>
            </w:r>
          </w:p>
        </w:tc>
        <w:tc>
          <w:tcPr>
            <w:tcW w:w="0" w:type="auto"/>
            <w:vAlign w:val="bottom"/>
            <w:hideMark/>
          </w:tcPr>
          <w:p w14:paraId="671EF6F5"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29F4F477" w14:textId="77777777" w:rsidR="00000000" w:rsidRDefault="00832D71">
            <w:pPr>
              <w:pStyle w:val="a3"/>
              <w:spacing w:before="0" w:beforeAutospacing="0" w:after="0" w:afterAutospacing="0"/>
              <w:jc w:val="both"/>
              <w:rPr>
                <w:sz w:val="20"/>
                <w:szCs w:val="20"/>
              </w:rPr>
            </w:pPr>
            <w:hyperlink r:id="rId24" w:history="1">
              <w:r>
                <w:rPr>
                  <w:rStyle w:val="a4"/>
                  <w:sz w:val="20"/>
                  <w:szCs w:val="20"/>
                </w:rPr>
                <w:t>Sixth Amendment to the Retirement Savings and Investment Plan of Suburban Propane (effective January 1, 2019). (Incorporated by reference to Exhibit 10.4 t</w:t>
              </w:r>
              <w:r>
                <w:rPr>
                  <w:rStyle w:val="a4"/>
                  <w:sz w:val="20"/>
                  <w:szCs w:val="20"/>
                </w:rPr>
                <w:t>o the Partnership’s Quarterly Report on Form 10-Q filed on August 8, 2019)</w:t>
              </w:r>
              <w:r>
                <w:rPr>
                  <w:rStyle w:val="a4"/>
                  <w:sz w:val="20"/>
                  <w:szCs w:val="20"/>
                </w:rPr>
                <w:t>.</w:t>
              </w:r>
            </w:hyperlink>
            <w:r>
              <w:rPr>
                <w:sz w:val="20"/>
                <w:szCs w:val="20"/>
              </w:rPr>
              <w:t> </w:t>
            </w:r>
            <w:r>
              <w:rPr>
                <w:sz w:val="20"/>
                <w:szCs w:val="20"/>
              </w:rPr>
              <w:t>#</w:t>
            </w:r>
          </w:p>
        </w:tc>
      </w:tr>
      <w:tr w:rsidR="00000000" w14:paraId="79494D1A" w14:textId="77777777">
        <w:trPr>
          <w:tblCellSpacing w:w="15" w:type="dxa"/>
        </w:trPr>
        <w:tc>
          <w:tcPr>
            <w:tcW w:w="0" w:type="auto"/>
            <w:hideMark/>
          </w:tcPr>
          <w:p w14:paraId="55429244"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75F22506"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65834DB7" w14:textId="77777777" w:rsidR="00000000" w:rsidRDefault="00832D71">
            <w:pPr>
              <w:pStyle w:val="a3"/>
              <w:spacing w:before="0" w:beforeAutospacing="0" w:after="0" w:afterAutospacing="0"/>
              <w:jc w:val="both"/>
              <w:rPr>
                <w:sz w:val="12"/>
                <w:szCs w:val="12"/>
              </w:rPr>
            </w:pPr>
            <w:r>
              <w:rPr>
                <w:sz w:val="12"/>
                <w:szCs w:val="12"/>
              </w:rPr>
              <w:t> </w:t>
            </w:r>
          </w:p>
        </w:tc>
      </w:tr>
      <w:tr w:rsidR="00000000" w14:paraId="01029E53" w14:textId="77777777">
        <w:trPr>
          <w:trHeight w:val="200"/>
          <w:tblCellSpacing w:w="15" w:type="dxa"/>
        </w:trPr>
        <w:tc>
          <w:tcPr>
            <w:tcW w:w="0" w:type="auto"/>
            <w:hideMark/>
          </w:tcPr>
          <w:p w14:paraId="0C1FE6AB" w14:textId="77777777" w:rsidR="00000000" w:rsidRDefault="00832D71">
            <w:pPr>
              <w:pStyle w:val="a3"/>
              <w:spacing w:before="0" w:beforeAutospacing="0" w:after="0" w:afterAutospacing="0"/>
              <w:rPr>
                <w:sz w:val="20"/>
                <w:szCs w:val="20"/>
              </w:rPr>
            </w:pPr>
            <w:r>
              <w:rPr>
                <w:sz w:val="20"/>
                <w:szCs w:val="20"/>
              </w:rPr>
              <w:t>   10.1</w:t>
            </w:r>
            <w:r>
              <w:rPr>
                <w:sz w:val="20"/>
                <w:szCs w:val="20"/>
              </w:rPr>
              <w:t>5</w:t>
            </w:r>
          </w:p>
        </w:tc>
        <w:tc>
          <w:tcPr>
            <w:tcW w:w="0" w:type="auto"/>
            <w:vAlign w:val="bottom"/>
            <w:hideMark/>
          </w:tcPr>
          <w:p w14:paraId="3EE0EA4A"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5588ED40" w14:textId="77777777" w:rsidR="00000000" w:rsidRDefault="00832D71">
            <w:pPr>
              <w:pStyle w:val="a3"/>
              <w:spacing w:before="0" w:beforeAutospacing="0" w:after="0" w:afterAutospacing="0"/>
              <w:jc w:val="both"/>
              <w:rPr>
                <w:sz w:val="20"/>
                <w:szCs w:val="20"/>
              </w:rPr>
            </w:pPr>
            <w:hyperlink r:id="rId25" w:history="1">
              <w:r>
                <w:rPr>
                  <w:rStyle w:val="a4"/>
                  <w:sz w:val="20"/>
                  <w:szCs w:val="20"/>
                </w:rPr>
                <w:t>Suburban Propane Partners, L.P. Distribution Equivalent Right</w:t>
              </w:r>
              <w:r>
                <w:rPr>
                  <w:rStyle w:val="a4"/>
                  <w:sz w:val="20"/>
                  <w:szCs w:val="20"/>
                </w:rPr>
                <w:t>s Plan, effective January 17, 2017, as amended November 8, 2022 (Incorporated by reference to Exhibit 10.3 to the Partnership’s Current Report on Form 8-K filed November 15, 2022)</w:t>
              </w:r>
              <w:r>
                <w:rPr>
                  <w:rStyle w:val="a4"/>
                  <w:sz w:val="20"/>
                  <w:szCs w:val="20"/>
                </w:rPr>
                <w:t>.</w:t>
              </w:r>
            </w:hyperlink>
            <w:r>
              <w:rPr>
                <w:sz w:val="20"/>
                <w:szCs w:val="20"/>
              </w:rPr>
              <w:t> </w:t>
            </w:r>
            <w:r>
              <w:rPr>
                <w:sz w:val="20"/>
                <w:szCs w:val="20"/>
              </w:rPr>
              <w:t>#</w:t>
            </w:r>
            <w:r>
              <w:rPr>
                <w:sz w:val="12"/>
                <w:szCs w:val="12"/>
              </w:rPr>
              <w:t xml:space="preserve"> </w:t>
            </w:r>
          </w:p>
        </w:tc>
      </w:tr>
      <w:tr w:rsidR="00000000" w14:paraId="6EB13E51" w14:textId="77777777">
        <w:trPr>
          <w:tblCellSpacing w:w="15" w:type="dxa"/>
        </w:trPr>
        <w:tc>
          <w:tcPr>
            <w:tcW w:w="0" w:type="auto"/>
            <w:hideMark/>
          </w:tcPr>
          <w:p w14:paraId="5C80831C"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4932A26A"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368D8843" w14:textId="77777777" w:rsidR="00000000" w:rsidRDefault="00832D71">
            <w:pPr>
              <w:pStyle w:val="a3"/>
              <w:spacing w:before="0" w:beforeAutospacing="0" w:after="0" w:afterAutospacing="0"/>
              <w:jc w:val="both"/>
              <w:rPr>
                <w:sz w:val="12"/>
                <w:szCs w:val="12"/>
              </w:rPr>
            </w:pPr>
            <w:r>
              <w:rPr>
                <w:sz w:val="12"/>
                <w:szCs w:val="12"/>
              </w:rPr>
              <w:t> </w:t>
            </w:r>
          </w:p>
        </w:tc>
      </w:tr>
      <w:tr w:rsidR="00000000" w14:paraId="6584C8E1" w14:textId="77777777">
        <w:trPr>
          <w:trHeight w:val="200"/>
          <w:tblCellSpacing w:w="15" w:type="dxa"/>
        </w:trPr>
        <w:tc>
          <w:tcPr>
            <w:tcW w:w="0" w:type="auto"/>
            <w:hideMark/>
          </w:tcPr>
          <w:p w14:paraId="20B08A4F" w14:textId="77777777" w:rsidR="00000000" w:rsidRDefault="00832D71">
            <w:pPr>
              <w:pStyle w:val="a3"/>
              <w:spacing w:before="0" w:beforeAutospacing="0" w:after="0" w:afterAutospacing="0"/>
              <w:jc w:val="both"/>
              <w:rPr>
                <w:sz w:val="20"/>
                <w:szCs w:val="20"/>
              </w:rPr>
            </w:pPr>
            <w:r>
              <w:rPr>
                <w:sz w:val="20"/>
                <w:szCs w:val="20"/>
              </w:rPr>
              <w:t>   10.1</w:t>
            </w:r>
            <w:r>
              <w:rPr>
                <w:sz w:val="20"/>
                <w:szCs w:val="20"/>
              </w:rPr>
              <w:t>6</w:t>
            </w:r>
          </w:p>
        </w:tc>
        <w:tc>
          <w:tcPr>
            <w:tcW w:w="0" w:type="auto"/>
            <w:vAlign w:val="bottom"/>
            <w:hideMark/>
          </w:tcPr>
          <w:p w14:paraId="2FB6CD4B"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12EE92DC" w14:textId="77777777" w:rsidR="00000000" w:rsidRDefault="00832D71">
            <w:pPr>
              <w:pStyle w:val="a3"/>
              <w:spacing w:before="0" w:beforeAutospacing="0" w:after="0" w:afterAutospacing="0"/>
              <w:jc w:val="both"/>
              <w:rPr>
                <w:sz w:val="20"/>
                <w:szCs w:val="20"/>
              </w:rPr>
            </w:pPr>
            <w:hyperlink r:id="rId26" w:history="1">
              <w:r>
                <w:rPr>
                  <w:rStyle w:val="a4"/>
                  <w:sz w:val="20"/>
                  <w:szCs w:val="20"/>
                </w:rPr>
                <w:t xml:space="preserve">Third Amendment to the Pension Plan for Eligible Employees of Suburban Propane, L.P. and Subsidiaries (effective June 1, 2017). (Incorporated by reference to Exhibit 10.10 to the Partnership’s Annual Report </w:t>
              </w:r>
              <w:r>
                <w:rPr>
                  <w:rStyle w:val="a4"/>
                  <w:sz w:val="20"/>
                  <w:szCs w:val="20"/>
                </w:rPr>
                <w:t>on Form 10-K filed on November 22, 2017)</w:t>
              </w:r>
              <w:r>
                <w:rPr>
                  <w:rStyle w:val="a4"/>
                  <w:sz w:val="20"/>
                  <w:szCs w:val="20"/>
                </w:rPr>
                <w:t>.</w:t>
              </w:r>
            </w:hyperlink>
            <w:r>
              <w:rPr>
                <w:sz w:val="20"/>
                <w:szCs w:val="20"/>
              </w:rPr>
              <w:t> </w:t>
            </w:r>
            <w:r>
              <w:rPr>
                <w:sz w:val="20"/>
                <w:szCs w:val="20"/>
              </w:rPr>
              <w:t>#</w:t>
            </w:r>
          </w:p>
        </w:tc>
      </w:tr>
      <w:tr w:rsidR="00000000" w14:paraId="11C32CEA" w14:textId="77777777">
        <w:trPr>
          <w:tblCellSpacing w:w="15" w:type="dxa"/>
        </w:trPr>
        <w:tc>
          <w:tcPr>
            <w:tcW w:w="0" w:type="auto"/>
            <w:hideMark/>
          </w:tcPr>
          <w:p w14:paraId="321B3A1A"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990D388"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240FEB50" w14:textId="77777777" w:rsidR="00000000" w:rsidRDefault="00832D71">
            <w:pPr>
              <w:pStyle w:val="a3"/>
              <w:spacing w:before="0" w:beforeAutospacing="0" w:after="0" w:afterAutospacing="0"/>
              <w:jc w:val="both"/>
              <w:rPr>
                <w:sz w:val="12"/>
                <w:szCs w:val="12"/>
              </w:rPr>
            </w:pPr>
            <w:r>
              <w:rPr>
                <w:sz w:val="12"/>
                <w:szCs w:val="12"/>
              </w:rPr>
              <w:t> </w:t>
            </w:r>
          </w:p>
        </w:tc>
      </w:tr>
      <w:tr w:rsidR="00000000" w14:paraId="685E4D02" w14:textId="77777777">
        <w:trPr>
          <w:trHeight w:val="200"/>
          <w:tblCellSpacing w:w="15" w:type="dxa"/>
        </w:trPr>
        <w:tc>
          <w:tcPr>
            <w:tcW w:w="0" w:type="auto"/>
            <w:hideMark/>
          </w:tcPr>
          <w:p w14:paraId="079EC01D" w14:textId="77777777" w:rsidR="00000000" w:rsidRDefault="00832D71">
            <w:pPr>
              <w:pStyle w:val="a3"/>
              <w:spacing w:before="0" w:beforeAutospacing="0" w:after="0" w:afterAutospacing="0"/>
              <w:rPr>
                <w:sz w:val="20"/>
                <w:szCs w:val="20"/>
              </w:rPr>
            </w:pPr>
            <w:r>
              <w:rPr>
                <w:sz w:val="20"/>
                <w:szCs w:val="20"/>
              </w:rPr>
              <w:t>   10.1</w:t>
            </w:r>
            <w:r>
              <w:rPr>
                <w:sz w:val="20"/>
                <w:szCs w:val="20"/>
              </w:rPr>
              <w:t>7</w:t>
            </w:r>
          </w:p>
        </w:tc>
        <w:tc>
          <w:tcPr>
            <w:tcW w:w="0" w:type="auto"/>
            <w:vAlign w:val="bottom"/>
            <w:hideMark/>
          </w:tcPr>
          <w:p w14:paraId="703CC75D"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66B928C7" w14:textId="77777777" w:rsidR="00000000" w:rsidRDefault="00832D71">
            <w:pPr>
              <w:pStyle w:val="a3"/>
              <w:spacing w:before="0" w:beforeAutospacing="0" w:after="0" w:afterAutospacing="0"/>
              <w:jc w:val="both"/>
              <w:rPr>
                <w:sz w:val="20"/>
                <w:szCs w:val="20"/>
              </w:rPr>
            </w:pPr>
            <w:hyperlink r:id="rId27" w:history="1">
              <w:r>
                <w:rPr>
                  <w:rStyle w:val="a4"/>
                  <w:sz w:val="20"/>
                  <w:szCs w:val="20"/>
                </w:rPr>
                <w:t>Fourth Amendment to the Pension Plan for Eligible Employees of Suburban Propane, L.P. and Subsidiaries (effective January 1, 2019). (Incorporated by reference to Exhibit 10.3 to the Partnership’s Quarterly Report on Form 10-Q filed February 7, 2019)</w:t>
              </w:r>
              <w:r>
                <w:rPr>
                  <w:rStyle w:val="a4"/>
                  <w:sz w:val="20"/>
                  <w:szCs w:val="20"/>
                </w:rPr>
                <w:t>.</w:t>
              </w:r>
            </w:hyperlink>
            <w:r>
              <w:rPr>
                <w:sz w:val="20"/>
                <w:szCs w:val="20"/>
              </w:rPr>
              <w:t xml:space="preserve"> </w:t>
            </w:r>
            <w:r>
              <w:rPr>
                <w:sz w:val="20"/>
                <w:szCs w:val="20"/>
              </w:rPr>
              <w:t>#</w:t>
            </w:r>
          </w:p>
        </w:tc>
      </w:tr>
      <w:tr w:rsidR="00000000" w14:paraId="1A0DDAF7" w14:textId="77777777">
        <w:trPr>
          <w:tblCellSpacing w:w="15" w:type="dxa"/>
        </w:trPr>
        <w:tc>
          <w:tcPr>
            <w:tcW w:w="0" w:type="auto"/>
            <w:hideMark/>
          </w:tcPr>
          <w:p w14:paraId="04BD2317"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66F7E944"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4FBCD395" w14:textId="77777777" w:rsidR="00000000" w:rsidRDefault="00832D71">
            <w:pPr>
              <w:pStyle w:val="a3"/>
              <w:spacing w:before="0" w:beforeAutospacing="0" w:after="0" w:afterAutospacing="0"/>
              <w:jc w:val="both"/>
              <w:rPr>
                <w:sz w:val="12"/>
                <w:szCs w:val="12"/>
              </w:rPr>
            </w:pPr>
            <w:r>
              <w:rPr>
                <w:sz w:val="12"/>
                <w:szCs w:val="12"/>
              </w:rPr>
              <w:t> </w:t>
            </w:r>
          </w:p>
        </w:tc>
      </w:tr>
      <w:tr w:rsidR="00000000" w14:paraId="639242AF" w14:textId="77777777">
        <w:trPr>
          <w:trHeight w:val="200"/>
          <w:tblCellSpacing w:w="15" w:type="dxa"/>
        </w:trPr>
        <w:tc>
          <w:tcPr>
            <w:tcW w:w="0" w:type="auto"/>
            <w:hideMark/>
          </w:tcPr>
          <w:p w14:paraId="2095F56C" w14:textId="77777777" w:rsidR="00000000" w:rsidRDefault="00832D71">
            <w:pPr>
              <w:pStyle w:val="a3"/>
              <w:spacing w:before="0" w:beforeAutospacing="0" w:after="0" w:afterAutospacing="0"/>
              <w:rPr>
                <w:sz w:val="20"/>
                <w:szCs w:val="20"/>
              </w:rPr>
            </w:pPr>
            <w:r>
              <w:rPr>
                <w:sz w:val="20"/>
                <w:szCs w:val="20"/>
              </w:rPr>
              <w:t>   10.1</w:t>
            </w:r>
            <w:r>
              <w:rPr>
                <w:sz w:val="20"/>
                <w:szCs w:val="20"/>
              </w:rPr>
              <w:t>8</w:t>
            </w:r>
          </w:p>
        </w:tc>
        <w:tc>
          <w:tcPr>
            <w:tcW w:w="0" w:type="auto"/>
            <w:vAlign w:val="bottom"/>
            <w:hideMark/>
          </w:tcPr>
          <w:p w14:paraId="33F4F2D9"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571534AA" w14:textId="77777777" w:rsidR="00000000" w:rsidRDefault="00832D71">
            <w:pPr>
              <w:pStyle w:val="a3"/>
              <w:spacing w:before="0" w:beforeAutospacing="0" w:after="0" w:afterAutospacing="0"/>
              <w:jc w:val="both"/>
              <w:rPr>
                <w:sz w:val="20"/>
                <w:szCs w:val="20"/>
              </w:rPr>
            </w:pPr>
            <w:hyperlink r:id="rId28" w:history="1">
              <w:r>
                <w:rPr>
                  <w:rStyle w:val="a4"/>
                  <w:sz w:val="20"/>
                  <w:szCs w:val="20"/>
                </w:rPr>
                <w:t>Fifth Amendment to the Pension Plan for Eligible Employees of Suburban Propane, L.P. and Subsidiaries (effective January 1, 2019 and Octob</w:t>
              </w:r>
              <w:r>
                <w:rPr>
                  <w:rStyle w:val="a4"/>
                  <w:sz w:val="20"/>
                  <w:szCs w:val="20"/>
                </w:rPr>
                <w:t>er 1, 2019, as applicable). (Incorporated by reference to Exhibit 10.16 to the Partnership’s Annual Report on Form 10-K filed on November 27, 2019)</w:t>
              </w:r>
              <w:r>
                <w:rPr>
                  <w:rStyle w:val="a4"/>
                  <w:sz w:val="20"/>
                  <w:szCs w:val="20"/>
                </w:rPr>
                <w:t>.</w:t>
              </w:r>
              <w:r>
                <w:rPr>
                  <w:rStyle w:val="a4"/>
                  <w:sz w:val="20"/>
                  <w:szCs w:val="20"/>
                </w:rPr>
                <w:t xml:space="preserve"> </w:t>
              </w:r>
              <w:r>
                <w:rPr>
                  <w:rStyle w:val="a4"/>
                  <w:sz w:val="20"/>
                  <w:szCs w:val="20"/>
                </w:rPr>
                <w:t>#</w:t>
              </w:r>
            </w:hyperlink>
          </w:p>
        </w:tc>
      </w:tr>
      <w:tr w:rsidR="00000000" w14:paraId="2BB1A417" w14:textId="77777777">
        <w:trPr>
          <w:tblCellSpacing w:w="15" w:type="dxa"/>
        </w:trPr>
        <w:tc>
          <w:tcPr>
            <w:tcW w:w="0" w:type="auto"/>
            <w:hideMark/>
          </w:tcPr>
          <w:p w14:paraId="7D15271C"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2F8A60D2"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6AB137AC" w14:textId="77777777" w:rsidR="00000000" w:rsidRDefault="00832D71">
            <w:pPr>
              <w:pStyle w:val="a3"/>
              <w:spacing w:before="0" w:beforeAutospacing="0" w:after="0" w:afterAutospacing="0"/>
              <w:jc w:val="both"/>
              <w:rPr>
                <w:sz w:val="12"/>
                <w:szCs w:val="12"/>
              </w:rPr>
            </w:pPr>
            <w:r>
              <w:rPr>
                <w:sz w:val="12"/>
                <w:szCs w:val="12"/>
              </w:rPr>
              <w:t> </w:t>
            </w:r>
          </w:p>
        </w:tc>
      </w:tr>
    </w:tbl>
    <w:p w14:paraId="58F0E1B1" w14:textId="77777777" w:rsidR="00000000" w:rsidRDefault="00832D71">
      <w:pPr>
        <w:pStyle w:val="a3"/>
        <w:spacing w:before="0" w:beforeAutospacing="0" w:after="0" w:afterAutospacing="0"/>
        <w:jc w:val="center"/>
        <w:rPr>
          <w:sz w:val="20"/>
          <w:szCs w:val="20"/>
        </w:rPr>
      </w:pPr>
      <w:r>
        <w:rPr>
          <w:sz w:val="20"/>
          <w:szCs w:val="20"/>
        </w:rPr>
        <w:t> </w:t>
      </w:r>
    </w:p>
    <w:p w14:paraId="2C0F2D40" w14:textId="77777777" w:rsidR="00000000" w:rsidRDefault="00832D71">
      <w:pPr>
        <w:pStyle w:val="a3"/>
        <w:spacing w:before="0" w:beforeAutospacing="0" w:after="0" w:afterAutospacing="0"/>
        <w:jc w:val="center"/>
        <w:rPr>
          <w:sz w:val="20"/>
          <w:szCs w:val="20"/>
        </w:rPr>
      </w:pPr>
      <w:r>
        <w:rPr>
          <w:sz w:val="20"/>
          <w:szCs w:val="20"/>
        </w:rPr>
        <w:t>9</w:t>
      </w:r>
      <w:r>
        <w:rPr>
          <w:sz w:val="20"/>
          <w:szCs w:val="20"/>
        </w:rPr>
        <w:t>0</w:t>
      </w:r>
    </w:p>
    <w:p w14:paraId="5D47C3F2" w14:textId="77777777" w:rsidR="00000000" w:rsidRDefault="00832D71">
      <w:pPr>
        <w:rPr>
          <w:rFonts w:eastAsia="Times New Roman"/>
        </w:rPr>
      </w:pPr>
      <w:r>
        <w:rPr>
          <w:rFonts w:eastAsia="Times New Roman"/>
        </w:rPr>
        <w:pict w14:anchorId="752BC9C4">
          <v:rect id="_x0000_i1117" style="width:0;height:1.5pt" o:hralign="center" o:hrstd="t" o:hr="t" fillcolor="#a0a0a0" stroked="f"/>
        </w:pict>
      </w:r>
    </w:p>
    <w:p w14:paraId="2534F0A2"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5"/>
        <w:gridCol w:w="110"/>
        <w:gridCol w:w="7371"/>
      </w:tblGrid>
      <w:tr w:rsidR="00000000" w14:paraId="732141B5" w14:textId="77777777">
        <w:trPr>
          <w:tblCellSpacing w:w="15" w:type="dxa"/>
        </w:trPr>
        <w:tc>
          <w:tcPr>
            <w:tcW w:w="450" w:type="pct"/>
            <w:vAlign w:val="center"/>
            <w:hideMark/>
          </w:tcPr>
          <w:p w14:paraId="7B0048E5" w14:textId="77777777" w:rsidR="00000000" w:rsidRDefault="00832D71">
            <w:pPr>
              <w:rPr>
                <w:sz w:val="20"/>
                <w:szCs w:val="20"/>
              </w:rPr>
            </w:pPr>
          </w:p>
        </w:tc>
        <w:tc>
          <w:tcPr>
            <w:tcW w:w="50" w:type="pct"/>
            <w:vAlign w:val="center"/>
            <w:hideMark/>
          </w:tcPr>
          <w:p w14:paraId="54F9756C" w14:textId="77777777" w:rsidR="00000000" w:rsidRDefault="00832D71">
            <w:pPr>
              <w:rPr>
                <w:rFonts w:eastAsia="Times New Roman"/>
                <w:sz w:val="20"/>
                <w:szCs w:val="20"/>
              </w:rPr>
            </w:pPr>
          </w:p>
        </w:tc>
        <w:tc>
          <w:tcPr>
            <w:tcW w:w="4500" w:type="pct"/>
            <w:vAlign w:val="center"/>
            <w:hideMark/>
          </w:tcPr>
          <w:p w14:paraId="011A905F" w14:textId="77777777" w:rsidR="00000000" w:rsidRDefault="00832D71">
            <w:pPr>
              <w:rPr>
                <w:rFonts w:eastAsia="Times New Roman"/>
                <w:sz w:val="20"/>
                <w:szCs w:val="20"/>
              </w:rPr>
            </w:pPr>
          </w:p>
        </w:tc>
      </w:tr>
      <w:tr w:rsidR="00000000" w14:paraId="126DCDCB" w14:textId="77777777">
        <w:trPr>
          <w:trHeight w:val="200"/>
          <w:tblCellSpacing w:w="15" w:type="dxa"/>
        </w:trPr>
        <w:tc>
          <w:tcPr>
            <w:tcW w:w="0" w:type="auto"/>
            <w:hideMark/>
          </w:tcPr>
          <w:p w14:paraId="5DE2BB9B" w14:textId="77777777" w:rsidR="00000000" w:rsidRDefault="00832D71">
            <w:pPr>
              <w:pStyle w:val="a3"/>
              <w:spacing w:before="0" w:beforeAutospacing="0" w:after="0" w:afterAutospacing="0"/>
              <w:rPr>
                <w:sz w:val="20"/>
                <w:szCs w:val="20"/>
              </w:rPr>
            </w:pPr>
            <w:r>
              <w:rPr>
                <w:sz w:val="20"/>
                <w:szCs w:val="20"/>
              </w:rPr>
              <w:t>   10.1</w:t>
            </w:r>
            <w:r>
              <w:rPr>
                <w:sz w:val="20"/>
                <w:szCs w:val="20"/>
              </w:rPr>
              <w:t>9</w:t>
            </w:r>
          </w:p>
        </w:tc>
        <w:tc>
          <w:tcPr>
            <w:tcW w:w="0" w:type="auto"/>
            <w:vAlign w:val="bottom"/>
            <w:hideMark/>
          </w:tcPr>
          <w:p w14:paraId="5E44229E"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76F0E428" w14:textId="77777777" w:rsidR="00000000" w:rsidRDefault="00832D71">
            <w:pPr>
              <w:pStyle w:val="a3"/>
              <w:spacing w:before="0" w:beforeAutospacing="0" w:after="0" w:afterAutospacing="0"/>
              <w:jc w:val="both"/>
              <w:rPr>
                <w:sz w:val="20"/>
                <w:szCs w:val="20"/>
              </w:rPr>
            </w:pPr>
            <w:hyperlink r:id="rId29" w:history="1">
              <w:r>
                <w:rPr>
                  <w:rStyle w:val="a4"/>
                  <w:sz w:val="20"/>
                  <w:szCs w:val="20"/>
                </w:rPr>
                <w:t>Sixth Amendment to the Pension Plan for Eligible Employees of Suburban Propane, L.P. and Subsidiaries (effective December 20, 2019). (Incorporated by refer</w:t>
              </w:r>
              <w:r>
                <w:rPr>
                  <w:rStyle w:val="a4"/>
                  <w:sz w:val="20"/>
                  <w:szCs w:val="20"/>
                </w:rPr>
                <w:t>ence to Exhibit 10.1 to the Partnership’s Quarterly Report on Form 10-Q filed February 6, 2020)</w:t>
              </w:r>
              <w:r>
                <w:rPr>
                  <w:rStyle w:val="a4"/>
                  <w:sz w:val="20"/>
                  <w:szCs w:val="20"/>
                </w:rPr>
                <w:t>.</w:t>
              </w:r>
              <w:r>
                <w:rPr>
                  <w:rStyle w:val="a4"/>
                  <w:sz w:val="20"/>
                  <w:szCs w:val="20"/>
                </w:rPr>
                <w:t xml:space="preserve"> </w:t>
              </w:r>
              <w:r>
                <w:rPr>
                  <w:rStyle w:val="a4"/>
                  <w:sz w:val="20"/>
                  <w:szCs w:val="20"/>
                </w:rPr>
                <w:t>#</w:t>
              </w:r>
            </w:hyperlink>
          </w:p>
        </w:tc>
      </w:tr>
      <w:tr w:rsidR="00000000" w14:paraId="7F1BC807" w14:textId="77777777">
        <w:trPr>
          <w:tblCellSpacing w:w="15" w:type="dxa"/>
        </w:trPr>
        <w:tc>
          <w:tcPr>
            <w:tcW w:w="0" w:type="auto"/>
            <w:hideMark/>
          </w:tcPr>
          <w:p w14:paraId="197C9095"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AC36192"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1482F5C8" w14:textId="77777777" w:rsidR="00000000" w:rsidRDefault="00832D71">
            <w:pPr>
              <w:pStyle w:val="a3"/>
              <w:spacing w:before="0" w:beforeAutospacing="0" w:after="0" w:afterAutospacing="0"/>
              <w:jc w:val="both"/>
              <w:rPr>
                <w:sz w:val="12"/>
                <w:szCs w:val="12"/>
              </w:rPr>
            </w:pPr>
            <w:r>
              <w:rPr>
                <w:sz w:val="12"/>
                <w:szCs w:val="12"/>
              </w:rPr>
              <w:t> </w:t>
            </w:r>
          </w:p>
        </w:tc>
      </w:tr>
      <w:tr w:rsidR="00000000" w14:paraId="27A9C4D1" w14:textId="77777777">
        <w:trPr>
          <w:trHeight w:val="200"/>
          <w:tblCellSpacing w:w="15" w:type="dxa"/>
        </w:trPr>
        <w:tc>
          <w:tcPr>
            <w:tcW w:w="0" w:type="auto"/>
            <w:hideMark/>
          </w:tcPr>
          <w:p w14:paraId="67D5B498" w14:textId="77777777" w:rsidR="00000000" w:rsidRDefault="00832D71">
            <w:pPr>
              <w:pStyle w:val="a3"/>
              <w:spacing w:before="0" w:beforeAutospacing="0" w:after="0" w:afterAutospacing="0"/>
              <w:rPr>
                <w:sz w:val="20"/>
                <w:szCs w:val="20"/>
              </w:rPr>
            </w:pPr>
            <w:r>
              <w:rPr>
                <w:sz w:val="20"/>
                <w:szCs w:val="20"/>
              </w:rPr>
              <w:t>   10.2</w:t>
            </w:r>
            <w:r>
              <w:rPr>
                <w:sz w:val="20"/>
                <w:szCs w:val="20"/>
              </w:rPr>
              <w:t>0</w:t>
            </w:r>
          </w:p>
        </w:tc>
        <w:tc>
          <w:tcPr>
            <w:tcW w:w="0" w:type="auto"/>
            <w:vAlign w:val="bottom"/>
            <w:hideMark/>
          </w:tcPr>
          <w:p w14:paraId="0C7E1565"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5C0785ED" w14:textId="77777777" w:rsidR="00000000" w:rsidRDefault="00832D71">
            <w:pPr>
              <w:pStyle w:val="a3"/>
              <w:spacing w:before="0" w:beforeAutospacing="0" w:after="0" w:afterAutospacing="0"/>
              <w:jc w:val="both"/>
              <w:rPr>
                <w:sz w:val="20"/>
                <w:szCs w:val="20"/>
              </w:rPr>
            </w:pPr>
            <w:hyperlink r:id="rId30" w:history="1">
              <w:r>
                <w:rPr>
                  <w:rStyle w:val="a4"/>
                  <w:sz w:val="20"/>
                  <w:szCs w:val="20"/>
                </w:rPr>
                <w:t>Seventh Amendment to the Pension Pla</w:t>
              </w:r>
              <w:r>
                <w:rPr>
                  <w:rStyle w:val="a4"/>
                  <w:sz w:val="20"/>
                  <w:szCs w:val="20"/>
                </w:rPr>
                <w:t>n for Eligible Employees of Suburban Propane, L.P. and Subsidiaries (effective January 1, 2016). (Incorporated by reference to Exhibit 10.19 to the Partnership's Annual Report on Form 10-K filed on November Filed on November 24, 2021)</w:t>
              </w:r>
              <w:r>
                <w:rPr>
                  <w:rStyle w:val="a4"/>
                  <w:sz w:val="20"/>
                  <w:szCs w:val="20"/>
                </w:rPr>
                <w:t>.</w:t>
              </w:r>
              <w:r>
                <w:rPr>
                  <w:rStyle w:val="a4"/>
                  <w:sz w:val="20"/>
                  <w:szCs w:val="20"/>
                </w:rPr>
                <w:t xml:space="preserve"> </w:t>
              </w:r>
              <w:r>
                <w:rPr>
                  <w:rStyle w:val="a4"/>
                  <w:sz w:val="20"/>
                  <w:szCs w:val="20"/>
                </w:rPr>
                <w:t>#</w:t>
              </w:r>
            </w:hyperlink>
          </w:p>
        </w:tc>
      </w:tr>
      <w:tr w:rsidR="00000000" w14:paraId="2CB45862" w14:textId="77777777">
        <w:trPr>
          <w:tblCellSpacing w:w="15" w:type="dxa"/>
        </w:trPr>
        <w:tc>
          <w:tcPr>
            <w:tcW w:w="0" w:type="auto"/>
            <w:hideMark/>
          </w:tcPr>
          <w:p w14:paraId="36F05919"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3D96DF63"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6004A17E" w14:textId="77777777" w:rsidR="00000000" w:rsidRDefault="00832D71">
            <w:pPr>
              <w:pStyle w:val="a3"/>
              <w:spacing w:before="0" w:beforeAutospacing="0" w:after="0" w:afterAutospacing="0"/>
              <w:jc w:val="both"/>
              <w:rPr>
                <w:sz w:val="12"/>
                <w:szCs w:val="12"/>
              </w:rPr>
            </w:pPr>
            <w:r>
              <w:rPr>
                <w:sz w:val="12"/>
                <w:szCs w:val="12"/>
              </w:rPr>
              <w:t> </w:t>
            </w:r>
          </w:p>
        </w:tc>
      </w:tr>
      <w:tr w:rsidR="00000000" w14:paraId="36C26654" w14:textId="77777777">
        <w:trPr>
          <w:trHeight w:val="200"/>
          <w:tblCellSpacing w:w="15" w:type="dxa"/>
        </w:trPr>
        <w:tc>
          <w:tcPr>
            <w:tcW w:w="0" w:type="auto"/>
            <w:hideMark/>
          </w:tcPr>
          <w:p w14:paraId="1DAF79E0" w14:textId="77777777" w:rsidR="00000000" w:rsidRDefault="00832D71">
            <w:pPr>
              <w:pStyle w:val="a3"/>
              <w:spacing w:before="0" w:beforeAutospacing="0" w:after="0" w:afterAutospacing="0"/>
              <w:rPr>
                <w:sz w:val="20"/>
                <w:szCs w:val="20"/>
              </w:rPr>
            </w:pPr>
            <w:r>
              <w:rPr>
                <w:sz w:val="20"/>
                <w:szCs w:val="20"/>
              </w:rPr>
              <w:t>   10.2</w:t>
            </w:r>
            <w:r>
              <w:rPr>
                <w:sz w:val="20"/>
                <w:szCs w:val="20"/>
              </w:rPr>
              <w:t>1</w:t>
            </w:r>
          </w:p>
        </w:tc>
        <w:tc>
          <w:tcPr>
            <w:tcW w:w="0" w:type="auto"/>
            <w:vAlign w:val="bottom"/>
            <w:hideMark/>
          </w:tcPr>
          <w:p w14:paraId="6FE34AC8"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7DB8D4A3" w14:textId="77777777" w:rsidR="00000000" w:rsidRDefault="00832D71">
            <w:pPr>
              <w:pStyle w:val="a3"/>
              <w:spacing w:before="0" w:beforeAutospacing="0" w:after="0" w:afterAutospacing="0"/>
              <w:jc w:val="both"/>
              <w:rPr>
                <w:sz w:val="20"/>
                <w:szCs w:val="20"/>
              </w:rPr>
            </w:pPr>
            <w:hyperlink r:id="rId31" w:history="1">
              <w:r>
                <w:rPr>
                  <w:rStyle w:val="a4"/>
                  <w:sz w:val="20"/>
                  <w:szCs w:val="20"/>
                </w:rPr>
                <w:t xml:space="preserve">Third Amended and Restated Credit Agreement among the Operating Partnership, the Partnership and Bank of America, N.A., as Administrative Agent, and the </w:t>
              </w:r>
              <w:r>
                <w:rPr>
                  <w:rStyle w:val="a4"/>
                  <w:sz w:val="20"/>
                  <w:szCs w:val="20"/>
                </w:rPr>
                <w:t>Lenders party thereto, dated March 5, 2020. (Incorporated by reference to Exhibit 10.1 to the Partnership’s Current Report on Form 8-K filed on March 5, 2020)</w:t>
              </w:r>
              <w:r>
                <w:rPr>
                  <w:rStyle w:val="a4"/>
                  <w:sz w:val="20"/>
                  <w:szCs w:val="20"/>
                </w:rPr>
                <w:t>.</w:t>
              </w:r>
            </w:hyperlink>
          </w:p>
        </w:tc>
      </w:tr>
      <w:tr w:rsidR="00000000" w14:paraId="29E4C1A5" w14:textId="77777777">
        <w:trPr>
          <w:tblCellSpacing w:w="15" w:type="dxa"/>
        </w:trPr>
        <w:tc>
          <w:tcPr>
            <w:tcW w:w="0" w:type="auto"/>
            <w:hideMark/>
          </w:tcPr>
          <w:p w14:paraId="5ADC7AC2"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75E40F0"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55EE1692" w14:textId="77777777" w:rsidR="00000000" w:rsidRDefault="00832D71">
            <w:pPr>
              <w:pStyle w:val="a3"/>
              <w:spacing w:before="0" w:beforeAutospacing="0" w:after="0" w:afterAutospacing="0"/>
              <w:jc w:val="both"/>
              <w:rPr>
                <w:sz w:val="12"/>
                <w:szCs w:val="12"/>
              </w:rPr>
            </w:pPr>
            <w:r>
              <w:rPr>
                <w:sz w:val="12"/>
                <w:szCs w:val="12"/>
              </w:rPr>
              <w:t> </w:t>
            </w:r>
          </w:p>
        </w:tc>
      </w:tr>
      <w:tr w:rsidR="00000000" w14:paraId="06943391" w14:textId="77777777">
        <w:trPr>
          <w:trHeight w:val="200"/>
          <w:tblCellSpacing w:w="15" w:type="dxa"/>
        </w:trPr>
        <w:tc>
          <w:tcPr>
            <w:tcW w:w="0" w:type="auto"/>
            <w:hideMark/>
          </w:tcPr>
          <w:p w14:paraId="47E5B247" w14:textId="77777777" w:rsidR="00000000" w:rsidRDefault="00832D71">
            <w:pPr>
              <w:pStyle w:val="a3"/>
              <w:spacing w:before="0" w:beforeAutospacing="0" w:after="0" w:afterAutospacing="0"/>
              <w:rPr>
                <w:sz w:val="20"/>
                <w:szCs w:val="20"/>
              </w:rPr>
            </w:pPr>
            <w:r>
              <w:rPr>
                <w:sz w:val="20"/>
                <w:szCs w:val="20"/>
              </w:rPr>
              <w:t>   21.</w:t>
            </w:r>
            <w:r>
              <w:rPr>
                <w:sz w:val="20"/>
                <w:szCs w:val="20"/>
              </w:rPr>
              <w:t>1</w:t>
            </w:r>
          </w:p>
        </w:tc>
        <w:tc>
          <w:tcPr>
            <w:tcW w:w="0" w:type="auto"/>
            <w:vAlign w:val="bottom"/>
            <w:hideMark/>
          </w:tcPr>
          <w:p w14:paraId="51F537BE"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476847B8" w14:textId="77777777" w:rsidR="00000000" w:rsidRDefault="00832D71">
            <w:pPr>
              <w:pStyle w:val="a3"/>
              <w:spacing w:before="0" w:beforeAutospacing="0" w:after="0" w:afterAutospacing="0"/>
              <w:jc w:val="both"/>
              <w:rPr>
                <w:sz w:val="20"/>
                <w:szCs w:val="20"/>
              </w:rPr>
            </w:pPr>
            <w:hyperlink r:id="rId32" w:history="1">
              <w:r>
                <w:rPr>
                  <w:rStyle w:val="a4"/>
                  <w:sz w:val="20"/>
                  <w:szCs w:val="20"/>
                </w:rPr>
                <w:t>Subsidiaries of Suburban Propane Partners, L.P.</w:t>
              </w:r>
              <w:r>
                <w:rPr>
                  <w:rStyle w:val="a4"/>
                  <w:sz w:val="20"/>
                  <w:szCs w:val="20"/>
                </w:rPr>
                <w:t xml:space="preserve"> (Filed herewith)</w:t>
              </w:r>
              <w:r>
                <w:rPr>
                  <w:rStyle w:val="a4"/>
                  <w:sz w:val="20"/>
                  <w:szCs w:val="20"/>
                </w:rPr>
                <w:t>.</w:t>
              </w:r>
            </w:hyperlink>
          </w:p>
        </w:tc>
      </w:tr>
      <w:tr w:rsidR="00000000" w14:paraId="6A94A803" w14:textId="77777777">
        <w:trPr>
          <w:tblCellSpacing w:w="15" w:type="dxa"/>
        </w:trPr>
        <w:tc>
          <w:tcPr>
            <w:tcW w:w="0" w:type="auto"/>
            <w:hideMark/>
          </w:tcPr>
          <w:p w14:paraId="7E8AED5B"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32C0B84A"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266ACF05" w14:textId="77777777" w:rsidR="00000000" w:rsidRDefault="00832D71">
            <w:pPr>
              <w:pStyle w:val="a3"/>
              <w:spacing w:before="0" w:beforeAutospacing="0" w:after="0" w:afterAutospacing="0"/>
              <w:jc w:val="both"/>
              <w:rPr>
                <w:sz w:val="12"/>
                <w:szCs w:val="12"/>
              </w:rPr>
            </w:pPr>
            <w:r>
              <w:rPr>
                <w:sz w:val="12"/>
                <w:szCs w:val="12"/>
              </w:rPr>
              <w:t> </w:t>
            </w:r>
          </w:p>
        </w:tc>
      </w:tr>
      <w:tr w:rsidR="00000000" w14:paraId="01EB986B" w14:textId="77777777">
        <w:trPr>
          <w:trHeight w:val="200"/>
          <w:tblCellSpacing w:w="15" w:type="dxa"/>
        </w:trPr>
        <w:tc>
          <w:tcPr>
            <w:tcW w:w="0" w:type="auto"/>
            <w:hideMark/>
          </w:tcPr>
          <w:p w14:paraId="63FE79F1" w14:textId="77777777" w:rsidR="00000000" w:rsidRDefault="00832D71">
            <w:pPr>
              <w:pStyle w:val="a3"/>
              <w:spacing w:before="0" w:beforeAutospacing="0" w:after="0" w:afterAutospacing="0"/>
              <w:rPr>
                <w:sz w:val="20"/>
                <w:szCs w:val="20"/>
              </w:rPr>
            </w:pPr>
            <w:r>
              <w:rPr>
                <w:sz w:val="20"/>
                <w:szCs w:val="20"/>
              </w:rPr>
              <w:t>   23.</w:t>
            </w:r>
            <w:r>
              <w:rPr>
                <w:sz w:val="20"/>
                <w:szCs w:val="20"/>
              </w:rPr>
              <w:t>1</w:t>
            </w:r>
          </w:p>
        </w:tc>
        <w:tc>
          <w:tcPr>
            <w:tcW w:w="0" w:type="auto"/>
            <w:vAlign w:val="bottom"/>
            <w:hideMark/>
          </w:tcPr>
          <w:p w14:paraId="3499003F"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6CAB47BA" w14:textId="77777777" w:rsidR="00000000" w:rsidRDefault="00832D71">
            <w:pPr>
              <w:pStyle w:val="a3"/>
              <w:spacing w:before="0" w:beforeAutospacing="0" w:after="0" w:afterAutospacing="0"/>
              <w:jc w:val="both"/>
              <w:rPr>
                <w:sz w:val="20"/>
                <w:szCs w:val="20"/>
              </w:rPr>
            </w:pPr>
            <w:hyperlink r:id="rId33" w:history="1">
              <w:r>
                <w:rPr>
                  <w:rStyle w:val="a4"/>
                  <w:sz w:val="20"/>
                  <w:szCs w:val="20"/>
                </w:rPr>
                <w:t>Consent of PricewaterhouseCoopers LLP. (Filed herewith)</w:t>
              </w:r>
              <w:r>
                <w:rPr>
                  <w:rStyle w:val="a4"/>
                  <w:sz w:val="20"/>
                  <w:szCs w:val="20"/>
                </w:rPr>
                <w:t>.</w:t>
              </w:r>
            </w:hyperlink>
          </w:p>
        </w:tc>
      </w:tr>
      <w:tr w:rsidR="00000000" w14:paraId="014D5FA6" w14:textId="77777777">
        <w:trPr>
          <w:tblCellSpacing w:w="15" w:type="dxa"/>
        </w:trPr>
        <w:tc>
          <w:tcPr>
            <w:tcW w:w="0" w:type="auto"/>
            <w:hideMark/>
          </w:tcPr>
          <w:p w14:paraId="4642FF70"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134E38DE"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3AE86A93" w14:textId="77777777" w:rsidR="00000000" w:rsidRDefault="00832D71">
            <w:pPr>
              <w:pStyle w:val="a3"/>
              <w:spacing w:before="0" w:beforeAutospacing="0" w:after="0" w:afterAutospacing="0"/>
              <w:jc w:val="both"/>
              <w:rPr>
                <w:sz w:val="12"/>
                <w:szCs w:val="12"/>
              </w:rPr>
            </w:pPr>
            <w:r>
              <w:rPr>
                <w:sz w:val="12"/>
                <w:szCs w:val="12"/>
              </w:rPr>
              <w:t> </w:t>
            </w:r>
          </w:p>
        </w:tc>
      </w:tr>
      <w:tr w:rsidR="00000000" w14:paraId="6DC120C0" w14:textId="77777777">
        <w:trPr>
          <w:trHeight w:val="200"/>
          <w:tblCellSpacing w:w="15" w:type="dxa"/>
        </w:trPr>
        <w:tc>
          <w:tcPr>
            <w:tcW w:w="0" w:type="auto"/>
            <w:hideMark/>
          </w:tcPr>
          <w:p w14:paraId="105B1968" w14:textId="77777777" w:rsidR="00000000" w:rsidRDefault="00832D71">
            <w:pPr>
              <w:pStyle w:val="a3"/>
              <w:spacing w:before="0" w:beforeAutospacing="0" w:after="0" w:afterAutospacing="0"/>
              <w:rPr>
                <w:sz w:val="20"/>
                <w:szCs w:val="20"/>
              </w:rPr>
            </w:pPr>
            <w:r>
              <w:rPr>
                <w:sz w:val="20"/>
                <w:szCs w:val="20"/>
              </w:rPr>
              <w:t>   31.</w:t>
            </w:r>
            <w:r>
              <w:rPr>
                <w:sz w:val="20"/>
                <w:szCs w:val="20"/>
              </w:rPr>
              <w:t>1</w:t>
            </w:r>
          </w:p>
        </w:tc>
        <w:tc>
          <w:tcPr>
            <w:tcW w:w="0" w:type="auto"/>
            <w:vAlign w:val="bottom"/>
            <w:hideMark/>
          </w:tcPr>
          <w:p w14:paraId="11EA63CE"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68039D94" w14:textId="77777777" w:rsidR="00000000" w:rsidRDefault="00832D71">
            <w:pPr>
              <w:pStyle w:val="a3"/>
              <w:spacing w:before="0" w:beforeAutospacing="0" w:after="0" w:afterAutospacing="0"/>
              <w:jc w:val="both"/>
              <w:rPr>
                <w:sz w:val="20"/>
                <w:szCs w:val="20"/>
              </w:rPr>
            </w:pPr>
            <w:hyperlink r:id="rId34" w:history="1">
              <w:r>
                <w:rPr>
                  <w:rStyle w:val="a4"/>
                  <w:sz w:val="20"/>
                  <w:szCs w:val="20"/>
                </w:rPr>
                <w:t>Certification of the President and Chief Executive Officer Pursuant to Section 302 of the Sarbanes-Oxley Act of 2002. (Filed herewith)</w:t>
              </w:r>
              <w:r>
                <w:rPr>
                  <w:rStyle w:val="a4"/>
                  <w:sz w:val="20"/>
                  <w:szCs w:val="20"/>
                </w:rPr>
                <w:t>.</w:t>
              </w:r>
            </w:hyperlink>
          </w:p>
        </w:tc>
      </w:tr>
      <w:tr w:rsidR="00000000" w14:paraId="278CAE5D" w14:textId="77777777">
        <w:trPr>
          <w:tblCellSpacing w:w="15" w:type="dxa"/>
        </w:trPr>
        <w:tc>
          <w:tcPr>
            <w:tcW w:w="0" w:type="auto"/>
            <w:hideMark/>
          </w:tcPr>
          <w:p w14:paraId="25125026"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4A9998F2"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018D5F46" w14:textId="77777777" w:rsidR="00000000" w:rsidRDefault="00832D71">
            <w:pPr>
              <w:pStyle w:val="a3"/>
              <w:spacing w:before="0" w:beforeAutospacing="0" w:after="0" w:afterAutospacing="0"/>
              <w:jc w:val="both"/>
              <w:rPr>
                <w:sz w:val="12"/>
                <w:szCs w:val="12"/>
              </w:rPr>
            </w:pPr>
            <w:r>
              <w:rPr>
                <w:sz w:val="12"/>
                <w:szCs w:val="12"/>
              </w:rPr>
              <w:t> </w:t>
            </w:r>
          </w:p>
        </w:tc>
      </w:tr>
      <w:tr w:rsidR="00000000" w14:paraId="6C5133F3" w14:textId="77777777">
        <w:trPr>
          <w:trHeight w:val="200"/>
          <w:tblCellSpacing w:w="15" w:type="dxa"/>
        </w:trPr>
        <w:tc>
          <w:tcPr>
            <w:tcW w:w="0" w:type="auto"/>
            <w:hideMark/>
          </w:tcPr>
          <w:p w14:paraId="5B09E686" w14:textId="77777777" w:rsidR="00000000" w:rsidRDefault="00832D71">
            <w:pPr>
              <w:pStyle w:val="a3"/>
              <w:spacing w:before="0" w:beforeAutospacing="0" w:after="0" w:afterAutospacing="0"/>
              <w:rPr>
                <w:sz w:val="20"/>
                <w:szCs w:val="20"/>
              </w:rPr>
            </w:pPr>
            <w:r>
              <w:rPr>
                <w:sz w:val="20"/>
                <w:szCs w:val="20"/>
              </w:rPr>
              <w:t>   31.</w:t>
            </w:r>
            <w:r>
              <w:rPr>
                <w:sz w:val="20"/>
                <w:szCs w:val="20"/>
              </w:rPr>
              <w:t>2</w:t>
            </w:r>
          </w:p>
        </w:tc>
        <w:tc>
          <w:tcPr>
            <w:tcW w:w="0" w:type="auto"/>
            <w:vAlign w:val="bottom"/>
            <w:hideMark/>
          </w:tcPr>
          <w:p w14:paraId="25DD85A0"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3E5C0C50" w14:textId="77777777" w:rsidR="00000000" w:rsidRDefault="00832D71">
            <w:pPr>
              <w:pStyle w:val="a3"/>
              <w:spacing w:before="0" w:beforeAutospacing="0" w:after="0" w:afterAutospacing="0"/>
              <w:jc w:val="both"/>
              <w:rPr>
                <w:sz w:val="20"/>
                <w:szCs w:val="20"/>
              </w:rPr>
            </w:pPr>
            <w:hyperlink r:id="rId35" w:history="1">
              <w:r>
                <w:rPr>
                  <w:rStyle w:val="a4"/>
                  <w:sz w:val="20"/>
                  <w:szCs w:val="20"/>
                </w:rPr>
                <w:t>Certification of the Chief Financial Officer Pursuant to Section 302 of</w:t>
              </w:r>
              <w:r>
                <w:rPr>
                  <w:rStyle w:val="a4"/>
                  <w:sz w:val="20"/>
                  <w:szCs w:val="20"/>
                </w:rPr>
                <w:t xml:space="preserve"> the Sarbanes-Oxley Act of 2002. (Filed herewith)</w:t>
              </w:r>
              <w:r>
                <w:rPr>
                  <w:rStyle w:val="a4"/>
                  <w:sz w:val="20"/>
                  <w:szCs w:val="20"/>
                </w:rPr>
                <w:t>.</w:t>
              </w:r>
            </w:hyperlink>
          </w:p>
        </w:tc>
      </w:tr>
      <w:tr w:rsidR="00000000" w14:paraId="0F45AC76" w14:textId="77777777">
        <w:trPr>
          <w:tblCellSpacing w:w="15" w:type="dxa"/>
        </w:trPr>
        <w:tc>
          <w:tcPr>
            <w:tcW w:w="0" w:type="auto"/>
            <w:hideMark/>
          </w:tcPr>
          <w:p w14:paraId="0242D7C9"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95CD9B7"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5A1914F4" w14:textId="77777777" w:rsidR="00000000" w:rsidRDefault="00832D71">
            <w:pPr>
              <w:pStyle w:val="a3"/>
              <w:spacing w:before="0" w:beforeAutospacing="0" w:after="0" w:afterAutospacing="0"/>
              <w:jc w:val="both"/>
              <w:rPr>
                <w:sz w:val="12"/>
                <w:szCs w:val="12"/>
              </w:rPr>
            </w:pPr>
            <w:r>
              <w:rPr>
                <w:sz w:val="12"/>
                <w:szCs w:val="12"/>
              </w:rPr>
              <w:t> </w:t>
            </w:r>
          </w:p>
        </w:tc>
      </w:tr>
      <w:tr w:rsidR="00000000" w14:paraId="035A46E6" w14:textId="77777777">
        <w:trPr>
          <w:trHeight w:val="200"/>
          <w:tblCellSpacing w:w="15" w:type="dxa"/>
        </w:trPr>
        <w:tc>
          <w:tcPr>
            <w:tcW w:w="0" w:type="auto"/>
            <w:hideMark/>
          </w:tcPr>
          <w:p w14:paraId="7EF5D9D8" w14:textId="77777777" w:rsidR="00000000" w:rsidRDefault="00832D71">
            <w:pPr>
              <w:pStyle w:val="a3"/>
              <w:spacing w:before="0" w:beforeAutospacing="0" w:after="0" w:afterAutospacing="0"/>
              <w:rPr>
                <w:sz w:val="20"/>
                <w:szCs w:val="20"/>
              </w:rPr>
            </w:pPr>
            <w:r>
              <w:rPr>
                <w:sz w:val="20"/>
                <w:szCs w:val="20"/>
              </w:rPr>
              <w:t>   32.</w:t>
            </w:r>
            <w:r>
              <w:rPr>
                <w:sz w:val="20"/>
                <w:szCs w:val="20"/>
              </w:rPr>
              <w:t>1</w:t>
            </w:r>
          </w:p>
        </w:tc>
        <w:tc>
          <w:tcPr>
            <w:tcW w:w="0" w:type="auto"/>
            <w:vAlign w:val="bottom"/>
            <w:hideMark/>
          </w:tcPr>
          <w:p w14:paraId="38B32F67"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4D2E46AD" w14:textId="77777777" w:rsidR="00000000" w:rsidRDefault="00832D71">
            <w:pPr>
              <w:pStyle w:val="a3"/>
              <w:spacing w:before="0" w:beforeAutospacing="0" w:after="0" w:afterAutospacing="0"/>
              <w:jc w:val="both"/>
              <w:rPr>
                <w:sz w:val="20"/>
                <w:szCs w:val="20"/>
              </w:rPr>
            </w:pPr>
            <w:hyperlink r:id="rId36" w:history="1">
              <w:r>
                <w:rPr>
                  <w:rStyle w:val="a4"/>
                  <w:sz w:val="20"/>
                  <w:szCs w:val="20"/>
                </w:rPr>
                <w:t>Certification of the President and Chief Executive Officer Pursuant to 18 U.S.C. Section 1350, as Adopted Pursuant to Section 906 of the Sarbanes-Oxley Act of 2002. (Furnished herewith)</w:t>
              </w:r>
              <w:r>
                <w:rPr>
                  <w:rStyle w:val="a4"/>
                  <w:sz w:val="20"/>
                  <w:szCs w:val="20"/>
                </w:rPr>
                <w:t>.</w:t>
              </w:r>
            </w:hyperlink>
          </w:p>
        </w:tc>
      </w:tr>
      <w:tr w:rsidR="00000000" w14:paraId="60D89120" w14:textId="77777777">
        <w:trPr>
          <w:tblCellSpacing w:w="15" w:type="dxa"/>
        </w:trPr>
        <w:tc>
          <w:tcPr>
            <w:tcW w:w="0" w:type="auto"/>
            <w:hideMark/>
          </w:tcPr>
          <w:p w14:paraId="395E962F"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7CB45E7D"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2E99E450" w14:textId="77777777" w:rsidR="00000000" w:rsidRDefault="00832D71">
            <w:pPr>
              <w:pStyle w:val="a3"/>
              <w:spacing w:before="0" w:beforeAutospacing="0" w:after="0" w:afterAutospacing="0"/>
              <w:jc w:val="both"/>
              <w:rPr>
                <w:sz w:val="12"/>
                <w:szCs w:val="12"/>
              </w:rPr>
            </w:pPr>
            <w:r>
              <w:rPr>
                <w:sz w:val="12"/>
                <w:szCs w:val="12"/>
              </w:rPr>
              <w:t> </w:t>
            </w:r>
          </w:p>
        </w:tc>
      </w:tr>
      <w:tr w:rsidR="00000000" w14:paraId="6E3C3F39" w14:textId="77777777">
        <w:trPr>
          <w:trHeight w:val="200"/>
          <w:tblCellSpacing w:w="15" w:type="dxa"/>
        </w:trPr>
        <w:tc>
          <w:tcPr>
            <w:tcW w:w="0" w:type="auto"/>
            <w:hideMark/>
          </w:tcPr>
          <w:p w14:paraId="6F445E13" w14:textId="77777777" w:rsidR="00000000" w:rsidRDefault="00832D71">
            <w:pPr>
              <w:pStyle w:val="a3"/>
              <w:spacing w:before="0" w:beforeAutospacing="0" w:after="0" w:afterAutospacing="0"/>
              <w:rPr>
                <w:sz w:val="20"/>
                <w:szCs w:val="20"/>
              </w:rPr>
            </w:pPr>
            <w:r>
              <w:rPr>
                <w:sz w:val="20"/>
                <w:szCs w:val="20"/>
              </w:rPr>
              <w:t>   32.</w:t>
            </w:r>
            <w:r>
              <w:rPr>
                <w:sz w:val="20"/>
                <w:szCs w:val="20"/>
              </w:rPr>
              <w:t>2</w:t>
            </w:r>
          </w:p>
        </w:tc>
        <w:tc>
          <w:tcPr>
            <w:tcW w:w="0" w:type="auto"/>
            <w:vAlign w:val="bottom"/>
            <w:hideMark/>
          </w:tcPr>
          <w:p w14:paraId="2CD9FCDC"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41C6446F" w14:textId="77777777" w:rsidR="00000000" w:rsidRDefault="00832D71">
            <w:pPr>
              <w:pStyle w:val="a3"/>
              <w:spacing w:before="0" w:beforeAutospacing="0" w:after="0" w:afterAutospacing="0"/>
              <w:jc w:val="both"/>
              <w:rPr>
                <w:sz w:val="20"/>
                <w:szCs w:val="20"/>
              </w:rPr>
            </w:pPr>
            <w:hyperlink r:id="rId37" w:history="1">
              <w:r>
                <w:rPr>
                  <w:rStyle w:val="a4"/>
                  <w:sz w:val="20"/>
                  <w:szCs w:val="20"/>
                </w:rPr>
                <w:t>Certification of the Chief Financial Officer Pursuant to 18 U.S.C. Section 1350, as Adopted Pursuant to Section 906 of the Sarbanes-Oxley Act of 2002. (Furnished herewith)</w:t>
              </w:r>
              <w:r>
                <w:rPr>
                  <w:rStyle w:val="a4"/>
                  <w:sz w:val="20"/>
                  <w:szCs w:val="20"/>
                </w:rPr>
                <w:t>.</w:t>
              </w:r>
            </w:hyperlink>
          </w:p>
        </w:tc>
      </w:tr>
      <w:tr w:rsidR="00000000" w14:paraId="03A80A0D" w14:textId="77777777">
        <w:trPr>
          <w:tblCellSpacing w:w="15" w:type="dxa"/>
        </w:trPr>
        <w:tc>
          <w:tcPr>
            <w:tcW w:w="0" w:type="auto"/>
            <w:hideMark/>
          </w:tcPr>
          <w:p w14:paraId="185252F0"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294483F3"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4486D50C" w14:textId="77777777" w:rsidR="00000000" w:rsidRDefault="00832D71">
            <w:pPr>
              <w:pStyle w:val="a3"/>
              <w:spacing w:before="0" w:beforeAutospacing="0" w:after="0" w:afterAutospacing="0"/>
              <w:jc w:val="both"/>
              <w:rPr>
                <w:sz w:val="12"/>
                <w:szCs w:val="12"/>
              </w:rPr>
            </w:pPr>
            <w:r>
              <w:rPr>
                <w:sz w:val="12"/>
                <w:szCs w:val="12"/>
              </w:rPr>
              <w:t> </w:t>
            </w:r>
          </w:p>
        </w:tc>
      </w:tr>
      <w:tr w:rsidR="00000000" w14:paraId="7B27AC81" w14:textId="77777777">
        <w:trPr>
          <w:trHeight w:val="200"/>
          <w:tblCellSpacing w:w="15" w:type="dxa"/>
        </w:trPr>
        <w:tc>
          <w:tcPr>
            <w:tcW w:w="0" w:type="auto"/>
            <w:hideMark/>
          </w:tcPr>
          <w:p w14:paraId="60963C48" w14:textId="77777777" w:rsidR="00000000" w:rsidRDefault="00832D71">
            <w:pPr>
              <w:pStyle w:val="a3"/>
              <w:spacing w:before="0" w:beforeAutospacing="0" w:after="0" w:afterAutospacing="0"/>
              <w:rPr>
                <w:sz w:val="20"/>
                <w:szCs w:val="20"/>
              </w:rPr>
            </w:pPr>
            <w:r>
              <w:rPr>
                <w:sz w:val="20"/>
                <w:szCs w:val="20"/>
              </w:rPr>
              <w:t>   99.</w:t>
            </w:r>
            <w:r>
              <w:rPr>
                <w:sz w:val="20"/>
                <w:szCs w:val="20"/>
              </w:rPr>
              <w:t>1</w:t>
            </w:r>
          </w:p>
        </w:tc>
        <w:tc>
          <w:tcPr>
            <w:tcW w:w="0" w:type="auto"/>
            <w:vAlign w:val="bottom"/>
            <w:hideMark/>
          </w:tcPr>
          <w:p w14:paraId="7E9392C2"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7E721F4C" w14:textId="77777777" w:rsidR="00000000" w:rsidRDefault="00832D71">
            <w:pPr>
              <w:pStyle w:val="a3"/>
              <w:spacing w:before="0" w:beforeAutospacing="0" w:after="0" w:afterAutospacing="0"/>
              <w:jc w:val="both"/>
              <w:rPr>
                <w:sz w:val="20"/>
                <w:szCs w:val="20"/>
              </w:rPr>
            </w:pPr>
            <w:hyperlink r:id="rId38" w:history="1">
              <w:r>
                <w:rPr>
                  <w:rStyle w:val="a4"/>
                  <w:sz w:val="20"/>
                  <w:szCs w:val="20"/>
                </w:rPr>
                <w:t>Equity Holding Policy for Supervisors and Executives of Suburban Propane Partners, L.P., as amended on November 10, 2015 and as further amended on November 13, 2018. (Incorporated by refere</w:t>
              </w:r>
              <w:r>
                <w:rPr>
                  <w:rStyle w:val="a4"/>
                  <w:sz w:val="20"/>
                  <w:szCs w:val="20"/>
                </w:rPr>
                <w:t>nce to Exhibit 99.1 to the Partnership’s Annual Report on Form 10-K filed on November 21, 2018)</w:t>
              </w:r>
              <w:r>
                <w:rPr>
                  <w:rStyle w:val="a4"/>
                  <w:sz w:val="20"/>
                  <w:szCs w:val="20"/>
                </w:rPr>
                <w:t>.</w:t>
              </w:r>
            </w:hyperlink>
          </w:p>
        </w:tc>
      </w:tr>
      <w:tr w:rsidR="00000000" w14:paraId="4B23D8A6" w14:textId="77777777">
        <w:trPr>
          <w:tblCellSpacing w:w="15" w:type="dxa"/>
        </w:trPr>
        <w:tc>
          <w:tcPr>
            <w:tcW w:w="0" w:type="auto"/>
            <w:vAlign w:val="bottom"/>
            <w:hideMark/>
          </w:tcPr>
          <w:p w14:paraId="3C11C17B"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103865D3"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5EA716D5" w14:textId="77777777" w:rsidR="00000000" w:rsidRDefault="00832D71">
            <w:pPr>
              <w:pStyle w:val="a3"/>
              <w:spacing w:before="0" w:beforeAutospacing="0" w:after="0" w:afterAutospacing="0"/>
              <w:jc w:val="both"/>
              <w:rPr>
                <w:sz w:val="12"/>
                <w:szCs w:val="12"/>
              </w:rPr>
            </w:pPr>
            <w:r>
              <w:rPr>
                <w:sz w:val="12"/>
                <w:szCs w:val="12"/>
              </w:rPr>
              <w:t> </w:t>
            </w:r>
          </w:p>
        </w:tc>
      </w:tr>
      <w:tr w:rsidR="00000000" w14:paraId="06C2D2F4" w14:textId="77777777">
        <w:trPr>
          <w:trHeight w:val="200"/>
          <w:tblCellSpacing w:w="15" w:type="dxa"/>
        </w:trPr>
        <w:tc>
          <w:tcPr>
            <w:tcW w:w="0" w:type="auto"/>
            <w:hideMark/>
          </w:tcPr>
          <w:p w14:paraId="393B2807" w14:textId="77777777" w:rsidR="00000000" w:rsidRDefault="00832D71">
            <w:pPr>
              <w:pStyle w:val="a3"/>
              <w:spacing w:before="0" w:beforeAutospacing="0" w:after="0" w:afterAutospacing="0"/>
              <w:rPr>
                <w:sz w:val="20"/>
                <w:szCs w:val="20"/>
              </w:rPr>
            </w:pPr>
            <w:r>
              <w:rPr>
                <w:sz w:val="20"/>
                <w:szCs w:val="20"/>
              </w:rPr>
              <w:t>   99.</w:t>
            </w:r>
            <w:r>
              <w:rPr>
                <w:sz w:val="20"/>
                <w:szCs w:val="20"/>
              </w:rPr>
              <w:t>2</w:t>
            </w:r>
          </w:p>
        </w:tc>
        <w:tc>
          <w:tcPr>
            <w:tcW w:w="0" w:type="auto"/>
            <w:vAlign w:val="bottom"/>
            <w:hideMark/>
          </w:tcPr>
          <w:p w14:paraId="2D7B7893"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74CD65AF" w14:textId="77777777" w:rsidR="00000000" w:rsidRDefault="00832D71">
            <w:pPr>
              <w:pStyle w:val="a3"/>
              <w:spacing w:before="0" w:beforeAutospacing="0" w:after="0" w:afterAutospacing="0"/>
              <w:jc w:val="both"/>
              <w:rPr>
                <w:sz w:val="20"/>
                <w:szCs w:val="20"/>
              </w:rPr>
            </w:pPr>
            <w:hyperlink r:id="rId39" w:history="1">
              <w:r>
                <w:rPr>
                  <w:rStyle w:val="a4"/>
                  <w:sz w:val="20"/>
                  <w:szCs w:val="20"/>
                </w:rPr>
                <w:t>Five-Year Performance Graph (Furnished herewith)</w:t>
              </w:r>
              <w:r>
                <w:rPr>
                  <w:rStyle w:val="a4"/>
                  <w:sz w:val="20"/>
                  <w:szCs w:val="20"/>
                </w:rPr>
                <w:t>.</w:t>
              </w:r>
            </w:hyperlink>
          </w:p>
        </w:tc>
      </w:tr>
      <w:tr w:rsidR="00000000" w14:paraId="3DCCD506" w14:textId="77777777">
        <w:trPr>
          <w:tblCellSpacing w:w="15" w:type="dxa"/>
        </w:trPr>
        <w:tc>
          <w:tcPr>
            <w:tcW w:w="0" w:type="auto"/>
            <w:vAlign w:val="bottom"/>
            <w:hideMark/>
          </w:tcPr>
          <w:p w14:paraId="7B238F29"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1E3824C3"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6AE712E5" w14:textId="77777777" w:rsidR="00000000" w:rsidRDefault="00832D71">
            <w:pPr>
              <w:pStyle w:val="a3"/>
              <w:spacing w:before="0" w:beforeAutospacing="0" w:after="0" w:afterAutospacing="0"/>
              <w:jc w:val="both"/>
              <w:rPr>
                <w:sz w:val="12"/>
                <w:szCs w:val="12"/>
              </w:rPr>
            </w:pPr>
            <w:r>
              <w:rPr>
                <w:sz w:val="12"/>
                <w:szCs w:val="12"/>
              </w:rPr>
              <w:t> </w:t>
            </w:r>
          </w:p>
        </w:tc>
      </w:tr>
      <w:tr w:rsidR="00000000" w14:paraId="6B2FECEF" w14:textId="77777777">
        <w:trPr>
          <w:trHeight w:val="200"/>
          <w:tblCellSpacing w:w="15" w:type="dxa"/>
        </w:trPr>
        <w:tc>
          <w:tcPr>
            <w:tcW w:w="0" w:type="auto"/>
            <w:hideMark/>
          </w:tcPr>
          <w:p w14:paraId="76152E81" w14:textId="77777777" w:rsidR="00000000" w:rsidRDefault="00832D71">
            <w:pPr>
              <w:pStyle w:val="a3"/>
              <w:spacing w:before="0" w:beforeAutospacing="0" w:after="0" w:afterAutospacing="0"/>
              <w:rPr>
                <w:sz w:val="20"/>
                <w:szCs w:val="20"/>
              </w:rPr>
            </w:pPr>
            <w:r>
              <w:rPr>
                <w:sz w:val="20"/>
                <w:szCs w:val="20"/>
              </w:rPr>
              <w:t>101.IN</w:t>
            </w:r>
            <w:r>
              <w:rPr>
                <w:sz w:val="20"/>
                <w:szCs w:val="20"/>
              </w:rPr>
              <w:t>S</w:t>
            </w:r>
          </w:p>
        </w:tc>
        <w:tc>
          <w:tcPr>
            <w:tcW w:w="0" w:type="auto"/>
            <w:vAlign w:val="bottom"/>
            <w:hideMark/>
          </w:tcPr>
          <w:p w14:paraId="25A5F736"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6B099F44" w14:textId="77777777" w:rsidR="00000000" w:rsidRDefault="00832D71">
            <w:pPr>
              <w:pStyle w:val="a3"/>
              <w:spacing w:before="0" w:beforeAutospacing="0" w:after="0" w:afterAutospacing="0"/>
              <w:jc w:val="both"/>
              <w:rPr>
                <w:sz w:val="20"/>
                <w:szCs w:val="20"/>
              </w:rPr>
            </w:pPr>
            <w:r>
              <w:rPr>
                <w:sz w:val="20"/>
                <w:szCs w:val="20"/>
              </w:rPr>
              <w:t>Inline XBRL Instance Documen</w:t>
            </w:r>
            <w:r>
              <w:rPr>
                <w:sz w:val="20"/>
                <w:szCs w:val="20"/>
              </w:rPr>
              <w:t>t</w:t>
            </w:r>
          </w:p>
        </w:tc>
      </w:tr>
      <w:tr w:rsidR="00000000" w14:paraId="2B0D9416" w14:textId="77777777">
        <w:trPr>
          <w:tblCellSpacing w:w="15" w:type="dxa"/>
        </w:trPr>
        <w:tc>
          <w:tcPr>
            <w:tcW w:w="0" w:type="auto"/>
            <w:hideMark/>
          </w:tcPr>
          <w:p w14:paraId="28A18922"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8169E03"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76B8CFEC" w14:textId="77777777" w:rsidR="00000000" w:rsidRDefault="00832D71">
            <w:pPr>
              <w:pStyle w:val="a3"/>
              <w:spacing w:before="0" w:beforeAutospacing="0" w:after="0" w:afterAutospacing="0"/>
              <w:jc w:val="both"/>
              <w:rPr>
                <w:sz w:val="12"/>
                <w:szCs w:val="12"/>
              </w:rPr>
            </w:pPr>
            <w:r>
              <w:rPr>
                <w:sz w:val="12"/>
                <w:szCs w:val="12"/>
              </w:rPr>
              <w:t> </w:t>
            </w:r>
          </w:p>
        </w:tc>
      </w:tr>
      <w:tr w:rsidR="00000000" w14:paraId="6B67D855" w14:textId="77777777">
        <w:trPr>
          <w:trHeight w:val="200"/>
          <w:tblCellSpacing w:w="15" w:type="dxa"/>
        </w:trPr>
        <w:tc>
          <w:tcPr>
            <w:tcW w:w="0" w:type="auto"/>
            <w:hideMark/>
          </w:tcPr>
          <w:p w14:paraId="42F6D381" w14:textId="77777777" w:rsidR="00000000" w:rsidRDefault="00832D71">
            <w:pPr>
              <w:pStyle w:val="a3"/>
              <w:spacing w:before="0" w:beforeAutospacing="0" w:after="0" w:afterAutospacing="0"/>
              <w:rPr>
                <w:sz w:val="20"/>
                <w:szCs w:val="20"/>
              </w:rPr>
            </w:pPr>
            <w:r>
              <w:rPr>
                <w:sz w:val="20"/>
                <w:szCs w:val="20"/>
              </w:rPr>
              <w:t>101.SC</w:t>
            </w:r>
            <w:r>
              <w:rPr>
                <w:sz w:val="20"/>
                <w:szCs w:val="20"/>
              </w:rPr>
              <w:t>H</w:t>
            </w:r>
          </w:p>
        </w:tc>
        <w:tc>
          <w:tcPr>
            <w:tcW w:w="0" w:type="auto"/>
            <w:vAlign w:val="bottom"/>
            <w:hideMark/>
          </w:tcPr>
          <w:p w14:paraId="121CC898"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754822B1" w14:textId="77777777" w:rsidR="00000000" w:rsidRDefault="00832D71">
            <w:pPr>
              <w:pStyle w:val="a3"/>
              <w:spacing w:before="0" w:beforeAutospacing="0" w:after="0" w:afterAutospacing="0"/>
              <w:jc w:val="both"/>
              <w:rPr>
                <w:sz w:val="20"/>
                <w:szCs w:val="20"/>
              </w:rPr>
            </w:pPr>
            <w:r>
              <w:rPr>
                <w:sz w:val="20"/>
                <w:szCs w:val="20"/>
              </w:rPr>
              <w:t>Inline XBRL Taxonomy Extension Schema Documen</w:t>
            </w:r>
            <w:r>
              <w:rPr>
                <w:sz w:val="20"/>
                <w:szCs w:val="20"/>
              </w:rPr>
              <w:t>t</w:t>
            </w:r>
          </w:p>
        </w:tc>
      </w:tr>
      <w:tr w:rsidR="00000000" w14:paraId="2679D63E" w14:textId="77777777">
        <w:trPr>
          <w:tblCellSpacing w:w="15" w:type="dxa"/>
        </w:trPr>
        <w:tc>
          <w:tcPr>
            <w:tcW w:w="0" w:type="auto"/>
            <w:hideMark/>
          </w:tcPr>
          <w:p w14:paraId="09E334C9"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6C6CB8E4"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21FDF3AC" w14:textId="77777777" w:rsidR="00000000" w:rsidRDefault="00832D71">
            <w:pPr>
              <w:pStyle w:val="a3"/>
              <w:spacing w:before="0" w:beforeAutospacing="0" w:after="0" w:afterAutospacing="0"/>
              <w:jc w:val="both"/>
              <w:rPr>
                <w:sz w:val="12"/>
                <w:szCs w:val="12"/>
              </w:rPr>
            </w:pPr>
            <w:r>
              <w:rPr>
                <w:sz w:val="12"/>
                <w:szCs w:val="12"/>
              </w:rPr>
              <w:t> </w:t>
            </w:r>
          </w:p>
        </w:tc>
      </w:tr>
      <w:tr w:rsidR="00000000" w14:paraId="0A8CBE55" w14:textId="77777777">
        <w:trPr>
          <w:trHeight w:val="200"/>
          <w:tblCellSpacing w:w="15" w:type="dxa"/>
        </w:trPr>
        <w:tc>
          <w:tcPr>
            <w:tcW w:w="0" w:type="auto"/>
            <w:hideMark/>
          </w:tcPr>
          <w:p w14:paraId="2B1CCA50" w14:textId="77777777" w:rsidR="00000000" w:rsidRDefault="00832D71">
            <w:pPr>
              <w:pStyle w:val="a3"/>
              <w:spacing w:before="0" w:beforeAutospacing="0" w:after="0" w:afterAutospacing="0"/>
              <w:rPr>
                <w:sz w:val="20"/>
                <w:szCs w:val="20"/>
              </w:rPr>
            </w:pPr>
            <w:r>
              <w:rPr>
                <w:sz w:val="20"/>
                <w:szCs w:val="20"/>
              </w:rPr>
              <w:t>101.CA</w:t>
            </w:r>
            <w:r>
              <w:rPr>
                <w:sz w:val="20"/>
                <w:szCs w:val="20"/>
              </w:rPr>
              <w:t>L</w:t>
            </w:r>
          </w:p>
        </w:tc>
        <w:tc>
          <w:tcPr>
            <w:tcW w:w="0" w:type="auto"/>
            <w:vAlign w:val="bottom"/>
            <w:hideMark/>
          </w:tcPr>
          <w:p w14:paraId="0A8A24F9"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70B929FD" w14:textId="77777777" w:rsidR="00000000" w:rsidRDefault="00832D71">
            <w:pPr>
              <w:pStyle w:val="a3"/>
              <w:spacing w:before="0" w:beforeAutospacing="0" w:after="0" w:afterAutospacing="0"/>
              <w:jc w:val="both"/>
              <w:rPr>
                <w:sz w:val="20"/>
                <w:szCs w:val="20"/>
              </w:rPr>
            </w:pPr>
            <w:r>
              <w:rPr>
                <w:sz w:val="20"/>
                <w:szCs w:val="20"/>
              </w:rPr>
              <w:t>Inline XBRL Taxonomy Extension Calculation Linkbase Documen</w:t>
            </w:r>
            <w:r>
              <w:rPr>
                <w:sz w:val="20"/>
                <w:szCs w:val="20"/>
              </w:rPr>
              <w:t>t</w:t>
            </w:r>
          </w:p>
        </w:tc>
      </w:tr>
      <w:tr w:rsidR="00000000" w14:paraId="454DEDEC" w14:textId="77777777">
        <w:trPr>
          <w:tblCellSpacing w:w="15" w:type="dxa"/>
        </w:trPr>
        <w:tc>
          <w:tcPr>
            <w:tcW w:w="0" w:type="auto"/>
            <w:hideMark/>
          </w:tcPr>
          <w:p w14:paraId="546E7A40"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2D54CC02"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29232BA4" w14:textId="77777777" w:rsidR="00000000" w:rsidRDefault="00832D71">
            <w:pPr>
              <w:pStyle w:val="a3"/>
              <w:spacing w:before="0" w:beforeAutospacing="0" w:after="0" w:afterAutospacing="0"/>
              <w:jc w:val="both"/>
              <w:rPr>
                <w:sz w:val="12"/>
                <w:szCs w:val="12"/>
              </w:rPr>
            </w:pPr>
            <w:r>
              <w:rPr>
                <w:sz w:val="12"/>
                <w:szCs w:val="12"/>
              </w:rPr>
              <w:t> </w:t>
            </w:r>
          </w:p>
        </w:tc>
      </w:tr>
      <w:tr w:rsidR="00000000" w14:paraId="5D3517DF" w14:textId="77777777">
        <w:trPr>
          <w:trHeight w:val="200"/>
          <w:tblCellSpacing w:w="15" w:type="dxa"/>
        </w:trPr>
        <w:tc>
          <w:tcPr>
            <w:tcW w:w="0" w:type="auto"/>
            <w:hideMark/>
          </w:tcPr>
          <w:p w14:paraId="59AD4B2D" w14:textId="77777777" w:rsidR="00000000" w:rsidRDefault="00832D71">
            <w:pPr>
              <w:pStyle w:val="a3"/>
              <w:spacing w:before="0" w:beforeAutospacing="0" w:after="0" w:afterAutospacing="0"/>
              <w:rPr>
                <w:sz w:val="20"/>
                <w:szCs w:val="20"/>
              </w:rPr>
            </w:pPr>
            <w:r>
              <w:rPr>
                <w:sz w:val="20"/>
                <w:szCs w:val="20"/>
              </w:rPr>
              <w:t>101.DE</w:t>
            </w:r>
            <w:r>
              <w:rPr>
                <w:sz w:val="20"/>
                <w:szCs w:val="20"/>
              </w:rPr>
              <w:t>F</w:t>
            </w:r>
          </w:p>
        </w:tc>
        <w:tc>
          <w:tcPr>
            <w:tcW w:w="0" w:type="auto"/>
            <w:vAlign w:val="bottom"/>
            <w:hideMark/>
          </w:tcPr>
          <w:p w14:paraId="6829F262"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2C448F2A" w14:textId="77777777" w:rsidR="00000000" w:rsidRDefault="00832D71">
            <w:pPr>
              <w:pStyle w:val="a3"/>
              <w:spacing w:before="0" w:beforeAutospacing="0" w:after="0" w:afterAutospacing="0"/>
              <w:jc w:val="both"/>
              <w:rPr>
                <w:sz w:val="20"/>
                <w:szCs w:val="20"/>
              </w:rPr>
            </w:pPr>
            <w:r>
              <w:rPr>
                <w:sz w:val="20"/>
                <w:szCs w:val="20"/>
              </w:rPr>
              <w:t>Inline XBRL Taxonomy Extension Definition Linkbase Documen</w:t>
            </w:r>
            <w:r>
              <w:rPr>
                <w:sz w:val="20"/>
                <w:szCs w:val="20"/>
              </w:rPr>
              <w:t>t</w:t>
            </w:r>
          </w:p>
        </w:tc>
      </w:tr>
      <w:tr w:rsidR="00000000" w14:paraId="691C8400" w14:textId="77777777">
        <w:trPr>
          <w:tblCellSpacing w:w="15" w:type="dxa"/>
        </w:trPr>
        <w:tc>
          <w:tcPr>
            <w:tcW w:w="0" w:type="auto"/>
            <w:hideMark/>
          </w:tcPr>
          <w:p w14:paraId="58E1A924"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6422AFD4"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21C04B7B" w14:textId="77777777" w:rsidR="00000000" w:rsidRDefault="00832D71">
            <w:pPr>
              <w:pStyle w:val="a3"/>
              <w:spacing w:before="0" w:beforeAutospacing="0" w:after="0" w:afterAutospacing="0"/>
              <w:jc w:val="both"/>
              <w:rPr>
                <w:sz w:val="12"/>
                <w:szCs w:val="12"/>
              </w:rPr>
            </w:pPr>
            <w:r>
              <w:rPr>
                <w:sz w:val="12"/>
                <w:szCs w:val="12"/>
              </w:rPr>
              <w:t> </w:t>
            </w:r>
          </w:p>
        </w:tc>
      </w:tr>
      <w:tr w:rsidR="00000000" w14:paraId="775E52C0" w14:textId="77777777">
        <w:trPr>
          <w:trHeight w:val="200"/>
          <w:tblCellSpacing w:w="15" w:type="dxa"/>
        </w:trPr>
        <w:tc>
          <w:tcPr>
            <w:tcW w:w="0" w:type="auto"/>
            <w:hideMark/>
          </w:tcPr>
          <w:p w14:paraId="0600D76F" w14:textId="77777777" w:rsidR="00000000" w:rsidRDefault="00832D71">
            <w:pPr>
              <w:pStyle w:val="a3"/>
              <w:spacing w:before="0" w:beforeAutospacing="0" w:after="0" w:afterAutospacing="0"/>
              <w:rPr>
                <w:sz w:val="20"/>
                <w:szCs w:val="20"/>
              </w:rPr>
            </w:pPr>
            <w:r>
              <w:rPr>
                <w:sz w:val="20"/>
                <w:szCs w:val="20"/>
              </w:rPr>
              <w:t>101.LA</w:t>
            </w:r>
            <w:r>
              <w:rPr>
                <w:sz w:val="20"/>
                <w:szCs w:val="20"/>
              </w:rPr>
              <w:t>B</w:t>
            </w:r>
            <w:r>
              <w:rPr>
                <w:sz w:val="20"/>
                <w:szCs w:val="20"/>
              </w:rPr>
              <w:t xml:space="preserve"> </w:t>
            </w:r>
          </w:p>
        </w:tc>
        <w:tc>
          <w:tcPr>
            <w:tcW w:w="0" w:type="auto"/>
            <w:vAlign w:val="bottom"/>
            <w:hideMark/>
          </w:tcPr>
          <w:p w14:paraId="69557239"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0E0BD7B1" w14:textId="77777777" w:rsidR="00000000" w:rsidRDefault="00832D71">
            <w:pPr>
              <w:pStyle w:val="a3"/>
              <w:spacing w:before="0" w:beforeAutospacing="0" w:after="0" w:afterAutospacing="0"/>
              <w:jc w:val="both"/>
              <w:rPr>
                <w:sz w:val="20"/>
                <w:szCs w:val="20"/>
              </w:rPr>
            </w:pPr>
            <w:r>
              <w:rPr>
                <w:sz w:val="20"/>
                <w:szCs w:val="20"/>
              </w:rPr>
              <w:t>Inline XBRL Taxonomy Extension Label Linkbase Documen</w:t>
            </w:r>
            <w:r>
              <w:rPr>
                <w:sz w:val="20"/>
                <w:szCs w:val="20"/>
              </w:rPr>
              <w:t>t</w:t>
            </w:r>
          </w:p>
        </w:tc>
      </w:tr>
      <w:tr w:rsidR="00000000" w14:paraId="682628F6" w14:textId="77777777">
        <w:trPr>
          <w:tblCellSpacing w:w="15" w:type="dxa"/>
        </w:trPr>
        <w:tc>
          <w:tcPr>
            <w:tcW w:w="0" w:type="auto"/>
            <w:hideMark/>
          </w:tcPr>
          <w:p w14:paraId="78998B74"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3587DD26"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383BC5F5" w14:textId="77777777" w:rsidR="00000000" w:rsidRDefault="00832D71">
            <w:pPr>
              <w:pStyle w:val="a3"/>
              <w:spacing w:before="0" w:beforeAutospacing="0" w:after="0" w:afterAutospacing="0"/>
              <w:jc w:val="both"/>
              <w:rPr>
                <w:sz w:val="12"/>
                <w:szCs w:val="12"/>
              </w:rPr>
            </w:pPr>
            <w:r>
              <w:rPr>
                <w:sz w:val="12"/>
                <w:szCs w:val="12"/>
              </w:rPr>
              <w:t> </w:t>
            </w:r>
          </w:p>
        </w:tc>
      </w:tr>
      <w:tr w:rsidR="00000000" w14:paraId="5BC3C418" w14:textId="77777777">
        <w:trPr>
          <w:trHeight w:val="200"/>
          <w:tblCellSpacing w:w="15" w:type="dxa"/>
        </w:trPr>
        <w:tc>
          <w:tcPr>
            <w:tcW w:w="0" w:type="auto"/>
            <w:hideMark/>
          </w:tcPr>
          <w:p w14:paraId="1AFE40DB" w14:textId="77777777" w:rsidR="00000000" w:rsidRDefault="00832D71">
            <w:pPr>
              <w:pStyle w:val="a3"/>
              <w:spacing w:before="0" w:beforeAutospacing="0" w:after="0" w:afterAutospacing="0"/>
              <w:rPr>
                <w:sz w:val="20"/>
                <w:szCs w:val="20"/>
              </w:rPr>
            </w:pPr>
            <w:r>
              <w:rPr>
                <w:sz w:val="20"/>
                <w:szCs w:val="20"/>
              </w:rPr>
              <w:t>101.PR</w:t>
            </w:r>
            <w:r>
              <w:rPr>
                <w:sz w:val="20"/>
                <w:szCs w:val="20"/>
              </w:rPr>
              <w:t>E</w:t>
            </w:r>
          </w:p>
        </w:tc>
        <w:tc>
          <w:tcPr>
            <w:tcW w:w="0" w:type="auto"/>
            <w:vAlign w:val="bottom"/>
            <w:hideMark/>
          </w:tcPr>
          <w:p w14:paraId="270AE315"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67B66814" w14:textId="77777777" w:rsidR="00000000" w:rsidRDefault="00832D71">
            <w:pPr>
              <w:pStyle w:val="a3"/>
              <w:spacing w:before="0" w:beforeAutospacing="0" w:after="0" w:afterAutospacing="0"/>
              <w:jc w:val="both"/>
              <w:rPr>
                <w:sz w:val="20"/>
                <w:szCs w:val="20"/>
              </w:rPr>
            </w:pPr>
            <w:r>
              <w:rPr>
                <w:sz w:val="20"/>
                <w:szCs w:val="20"/>
              </w:rPr>
              <w:t>Inline XBRL Taxonomy Extension Presentation Linkbase Documen</w:t>
            </w:r>
            <w:r>
              <w:rPr>
                <w:sz w:val="20"/>
                <w:szCs w:val="20"/>
              </w:rPr>
              <w:t>t</w:t>
            </w:r>
          </w:p>
        </w:tc>
      </w:tr>
      <w:tr w:rsidR="00000000" w14:paraId="1125A274" w14:textId="77777777">
        <w:trPr>
          <w:tblCellSpacing w:w="15" w:type="dxa"/>
        </w:trPr>
        <w:tc>
          <w:tcPr>
            <w:tcW w:w="0" w:type="auto"/>
            <w:hideMark/>
          </w:tcPr>
          <w:p w14:paraId="0046BE17"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34F72504"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0853C7D3" w14:textId="77777777" w:rsidR="00000000" w:rsidRDefault="00832D71">
            <w:pPr>
              <w:pStyle w:val="a3"/>
              <w:spacing w:before="0" w:beforeAutospacing="0" w:after="0" w:afterAutospacing="0"/>
              <w:jc w:val="both"/>
              <w:rPr>
                <w:sz w:val="12"/>
                <w:szCs w:val="12"/>
              </w:rPr>
            </w:pPr>
            <w:r>
              <w:rPr>
                <w:sz w:val="12"/>
                <w:szCs w:val="12"/>
              </w:rPr>
              <w:t> </w:t>
            </w:r>
          </w:p>
        </w:tc>
      </w:tr>
      <w:tr w:rsidR="00000000" w14:paraId="657D98D6" w14:textId="77777777">
        <w:trPr>
          <w:trHeight w:val="200"/>
          <w:tblCellSpacing w:w="15" w:type="dxa"/>
        </w:trPr>
        <w:tc>
          <w:tcPr>
            <w:tcW w:w="0" w:type="auto"/>
            <w:hideMark/>
          </w:tcPr>
          <w:p w14:paraId="6BD5E37A" w14:textId="77777777" w:rsidR="00000000" w:rsidRDefault="00832D71">
            <w:pPr>
              <w:pStyle w:val="a3"/>
              <w:spacing w:before="0" w:beforeAutospacing="0" w:after="0" w:afterAutospacing="0"/>
              <w:rPr>
                <w:sz w:val="20"/>
                <w:szCs w:val="20"/>
              </w:rPr>
            </w:pPr>
            <w:r>
              <w:rPr>
                <w:sz w:val="20"/>
                <w:szCs w:val="20"/>
              </w:rPr>
              <w:t>10</w:t>
            </w:r>
            <w:r>
              <w:rPr>
                <w:sz w:val="20"/>
                <w:szCs w:val="20"/>
              </w:rPr>
              <w:t>4</w:t>
            </w:r>
          </w:p>
        </w:tc>
        <w:tc>
          <w:tcPr>
            <w:tcW w:w="0" w:type="auto"/>
            <w:vAlign w:val="bottom"/>
            <w:hideMark/>
          </w:tcPr>
          <w:p w14:paraId="0784A70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70853A5" w14:textId="77777777" w:rsidR="00000000" w:rsidRDefault="00832D71">
            <w:pPr>
              <w:pStyle w:val="a3"/>
              <w:spacing w:before="0" w:beforeAutospacing="0" w:after="0" w:afterAutospacing="0"/>
              <w:jc w:val="both"/>
              <w:rPr>
                <w:sz w:val="20"/>
                <w:szCs w:val="20"/>
              </w:rPr>
            </w:pPr>
            <w:r>
              <w:rPr>
                <w:sz w:val="20"/>
                <w:szCs w:val="20"/>
              </w:rPr>
              <w:t>Cover Page Interactive Data File (embedded in the Inline XBRL document)</w:t>
            </w:r>
            <w:r>
              <w:rPr>
                <w:sz w:val="20"/>
                <w:szCs w:val="20"/>
              </w:rPr>
              <w:t>.</w:t>
            </w:r>
          </w:p>
        </w:tc>
      </w:tr>
    </w:tbl>
    <w:p w14:paraId="1E5D36EA" w14:textId="77777777" w:rsidR="00000000" w:rsidRDefault="00832D71">
      <w:pPr>
        <w:pStyle w:val="a3"/>
        <w:spacing w:before="0" w:beforeAutospacing="0" w:after="0" w:afterAutospacing="0"/>
        <w:jc w:val="center"/>
        <w:rPr>
          <w:sz w:val="20"/>
          <w:szCs w:val="20"/>
        </w:rPr>
      </w:pPr>
      <w:r>
        <w:rPr>
          <w:sz w:val="20"/>
          <w:szCs w:val="20"/>
        </w:rPr>
        <w:t> </w:t>
      </w:r>
    </w:p>
    <w:p w14:paraId="79107B6E" w14:textId="77777777" w:rsidR="00000000" w:rsidRDefault="00832D71">
      <w:pPr>
        <w:pStyle w:val="a3"/>
        <w:spacing w:before="0" w:beforeAutospacing="0" w:after="0" w:afterAutospacing="0"/>
        <w:jc w:val="center"/>
        <w:rPr>
          <w:sz w:val="20"/>
          <w:szCs w:val="20"/>
        </w:rPr>
      </w:pPr>
      <w:r>
        <w:rPr>
          <w:sz w:val="20"/>
          <w:szCs w:val="20"/>
        </w:rPr>
        <w:t>9</w:t>
      </w:r>
      <w:r>
        <w:rPr>
          <w:sz w:val="20"/>
          <w:szCs w:val="20"/>
        </w:rPr>
        <w:t>1</w:t>
      </w:r>
    </w:p>
    <w:p w14:paraId="085C35A8" w14:textId="77777777" w:rsidR="00000000" w:rsidRDefault="00832D71">
      <w:pPr>
        <w:rPr>
          <w:rFonts w:eastAsia="Times New Roman"/>
        </w:rPr>
      </w:pPr>
      <w:r>
        <w:rPr>
          <w:rFonts w:eastAsia="Times New Roman"/>
        </w:rPr>
        <w:pict w14:anchorId="2BE84A1B">
          <v:rect id="_x0000_i1118" style="width:0;height:1.5pt" o:hralign="center" o:hrstd="t" o:hr="t" fillcolor="#a0a0a0" stroked="f"/>
        </w:pict>
      </w:r>
    </w:p>
    <w:p w14:paraId="548329E6" w14:textId="77777777" w:rsidR="00000000" w:rsidRDefault="00832D71">
      <w:pPr>
        <w:pStyle w:val="a3"/>
        <w:spacing w:before="0" w:beforeAutospacing="0" w:after="0" w:afterAutospacing="0"/>
        <w:rPr>
          <w:sz w:val="20"/>
          <w:szCs w:val="20"/>
        </w:rPr>
      </w:pPr>
      <w:hyperlink w:anchor="table_of_contents" w:history="1">
        <w:r>
          <w:rPr>
            <w:rStyle w:val="a4"/>
            <w:sz w:val="18"/>
            <w:szCs w:val="18"/>
          </w:rPr>
          <w:t>Table of Content</w:t>
        </w:r>
        <w:r>
          <w:rPr>
            <w:rStyle w:val="a4"/>
            <w:sz w:val="18"/>
            <w:szCs w:val="18"/>
          </w:rPr>
          <w:t>s</w:t>
        </w:r>
      </w:hyperlink>
    </w:p>
    <w:p w14:paraId="46EB3B6A" w14:textId="77777777" w:rsidR="00000000" w:rsidRDefault="00832D71">
      <w:pPr>
        <w:pStyle w:val="a3"/>
        <w:spacing w:before="0" w:beforeAutospacing="0" w:after="0" w:afterAutospacing="0"/>
        <w:jc w:val="center"/>
        <w:rPr>
          <w:sz w:val="20"/>
          <w:szCs w:val="20"/>
        </w:rPr>
      </w:pPr>
      <w:r>
        <w:rPr>
          <w:b/>
          <w:bCs/>
          <w:sz w:val="20"/>
          <w:szCs w:val="20"/>
        </w:rPr>
        <w:t>SIGNATURE</w:t>
      </w:r>
      <w:r>
        <w:rPr>
          <w:b/>
          <w:bCs/>
          <w:sz w:val="20"/>
          <w:szCs w:val="20"/>
        </w:rPr>
        <w:t>S</w:t>
      </w:r>
    </w:p>
    <w:p w14:paraId="495329B3" w14:textId="77777777" w:rsidR="00000000" w:rsidRDefault="00832D71">
      <w:pPr>
        <w:pStyle w:val="a3"/>
        <w:spacing w:before="240" w:beforeAutospacing="0" w:after="0" w:afterAutospacing="0"/>
        <w:ind w:firstLine="555"/>
        <w:jc w:val="both"/>
        <w:rPr>
          <w:sz w:val="20"/>
          <w:szCs w:val="20"/>
        </w:rPr>
      </w:pPr>
      <w:r>
        <w:rPr>
          <w:sz w:val="20"/>
          <w:szCs w:val="20"/>
        </w:rPr>
        <w:t>Pursuant to the requirements of Section 13 or 15(d) of the Securities Exchange Act of 1934, the Registrant has duly caused this report to be signed on its behalf by the undersigned, thereunto duly authorized</w:t>
      </w:r>
      <w:r>
        <w:rPr>
          <w:sz w:val="20"/>
          <w:szCs w:val="20"/>
        </w:rPr>
        <w:t>.</w:t>
      </w:r>
    </w:p>
    <w:p w14:paraId="167389DA" w14:textId="77777777" w:rsidR="00000000" w:rsidRDefault="00832D7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30"/>
        <w:gridCol w:w="357"/>
        <w:gridCol w:w="3319"/>
      </w:tblGrid>
      <w:tr w:rsidR="00000000" w14:paraId="29E4B276" w14:textId="77777777">
        <w:trPr>
          <w:tblCellSpacing w:w="15" w:type="dxa"/>
        </w:trPr>
        <w:tc>
          <w:tcPr>
            <w:tcW w:w="2800" w:type="pct"/>
            <w:vAlign w:val="center"/>
            <w:hideMark/>
          </w:tcPr>
          <w:p w14:paraId="697C3128" w14:textId="77777777" w:rsidR="00000000" w:rsidRDefault="00832D71">
            <w:pPr>
              <w:rPr>
                <w:sz w:val="20"/>
                <w:szCs w:val="20"/>
              </w:rPr>
            </w:pPr>
          </w:p>
        </w:tc>
        <w:tc>
          <w:tcPr>
            <w:tcW w:w="200" w:type="pct"/>
            <w:vAlign w:val="center"/>
            <w:hideMark/>
          </w:tcPr>
          <w:p w14:paraId="5C76B7E0" w14:textId="77777777" w:rsidR="00000000" w:rsidRDefault="00832D71">
            <w:pPr>
              <w:rPr>
                <w:rFonts w:eastAsia="Times New Roman"/>
                <w:sz w:val="20"/>
                <w:szCs w:val="20"/>
              </w:rPr>
            </w:pPr>
          </w:p>
        </w:tc>
        <w:tc>
          <w:tcPr>
            <w:tcW w:w="2000" w:type="pct"/>
            <w:vAlign w:val="center"/>
            <w:hideMark/>
          </w:tcPr>
          <w:p w14:paraId="5178FF3D" w14:textId="77777777" w:rsidR="00000000" w:rsidRDefault="00832D71">
            <w:pPr>
              <w:rPr>
                <w:rFonts w:eastAsia="Times New Roman"/>
                <w:sz w:val="20"/>
                <w:szCs w:val="20"/>
              </w:rPr>
            </w:pPr>
          </w:p>
        </w:tc>
      </w:tr>
      <w:tr w:rsidR="00000000" w14:paraId="78E15FD7" w14:textId="77777777">
        <w:trPr>
          <w:trHeight w:val="14"/>
          <w:tblCellSpacing w:w="15" w:type="dxa"/>
        </w:trPr>
        <w:tc>
          <w:tcPr>
            <w:tcW w:w="0" w:type="auto"/>
            <w:hideMark/>
          </w:tcPr>
          <w:p w14:paraId="459F108A" w14:textId="77777777" w:rsidR="00000000" w:rsidRDefault="00832D71">
            <w:pPr>
              <w:pStyle w:val="a3"/>
              <w:spacing w:before="0" w:beforeAutospacing="0" w:after="0" w:afterAutospacing="0"/>
              <w:jc w:val="both"/>
              <w:rPr>
                <w:sz w:val="20"/>
                <w:szCs w:val="20"/>
              </w:rPr>
            </w:pPr>
            <w:r>
              <w:rPr>
                <w:sz w:val="20"/>
                <w:szCs w:val="20"/>
              </w:rPr>
              <w:t> </w:t>
            </w:r>
          </w:p>
        </w:tc>
        <w:tc>
          <w:tcPr>
            <w:tcW w:w="0" w:type="auto"/>
            <w:gridSpan w:val="2"/>
            <w:hideMark/>
          </w:tcPr>
          <w:p w14:paraId="024A5667" w14:textId="77777777" w:rsidR="00000000" w:rsidRDefault="00832D71">
            <w:pPr>
              <w:pStyle w:val="a3"/>
              <w:spacing w:before="0" w:beforeAutospacing="0" w:after="0" w:afterAutospacing="0"/>
              <w:jc w:val="both"/>
              <w:rPr>
                <w:sz w:val="20"/>
                <w:szCs w:val="20"/>
              </w:rPr>
            </w:pPr>
            <w:r>
              <w:rPr>
                <w:sz w:val="20"/>
                <w:szCs w:val="20"/>
              </w:rPr>
              <w:t>SUBURBAN PROPANE PARTNERS, L.P</w:t>
            </w:r>
            <w:r>
              <w:rPr>
                <w:sz w:val="20"/>
                <w:szCs w:val="20"/>
              </w:rPr>
              <w:t>.</w:t>
            </w:r>
          </w:p>
        </w:tc>
      </w:tr>
      <w:tr w:rsidR="00000000" w14:paraId="555F0BAF" w14:textId="77777777">
        <w:trPr>
          <w:trHeight w:val="14"/>
          <w:tblCellSpacing w:w="15" w:type="dxa"/>
        </w:trPr>
        <w:tc>
          <w:tcPr>
            <w:tcW w:w="0" w:type="auto"/>
            <w:hideMark/>
          </w:tcPr>
          <w:p w14:paraId="7926C4AC" w14:textId="77777777" w:rsidR="00000000" w:rsidRDefault="00832D71">
            <w:pPr>
              <w:pStyle w:val="a3"/>
              <w:spacing w:before="0" w:beforeAutospacing="0" w:after="0" w:afterAutospacing="0"/>
            </w:pPr>
            <w:r>
              <w:t> </w:t>
            </w:r>
          </w:p>
        </w:tc>
        <w:tc>
          <w:tcPr>
            <w:tcW w:w="0" w:type="auto"/>
            <w:hideMark/>
          </w:tcPr>
          <w:p w14:paraId="5F53FE48" w14:textId="77777777" w:rsidR="00000000" w:rsidRDefault="00832D71">
            <w:pPr>
              <w:pStyle w:val="a3"/>
              <w:spacing w:before="0" w:beforeAutospacing="0" w:after="0" w:afterAutospacing="0"/>
            </w:pPr>
            <w:r>
              <w:t> </w:t>
            </w:r>
          </w:p>
        </w:tc>
        <w:tc>
          <w:tcPr>
            <w:tcW w:w="0" w:type="auto"/>
            <w:hideMark/>
          </w:tcPr>
          <w:p w14:paraId="344EFD7A" w14:textId="77777777" w:rsidR="00000000" w:rsidRDefault="00832D71">
            <w:pPr>
              <w:pStyle w:val="a3"/>
              <w:spacing w:before="0" w:beforeAutospacing="0" w:after="0" w:afterAutospacing="0"/>
            </w:pPr>
            <w:r>
              <w:t> </w:t>
            </w:r>
          </w:p>
        </w:tc>
      </w:tr>
      <w:tr w:rsidR="00000000" w14:paraId="106FCDC2" w14:textId="77777777">
        <w:trPr>
          <w:trHeight w:val="14"/>
          <w:tblCellSpacing w:w="15" w:type="dxa"/>
        </w:trPr>
        <w:tc>
          <w:tcPr>
            <w:tcW w:w="0" w:type="auto"/>
            <w:hideMark/>
          </w:tcPr>
          <w:p w14:paraId="3A5014A9" w14:textId="77777777" w:rsidR="00000000" w:rsidRDefault="00832D71">
            <w:pPr>
              <w:pStyle w:val="a3"/>
              <w:spacing w:before="0" w:beforeAutospacing="0" w:after="0" w:afterAutospacing="0"/>
              <w:rPr>
                <w:sz w:val="20"/>
                <w:szCs w:val="20"/>
              </w:rPr>
            </w:pPr>
            <w:r>
              <w:rPr>
                <w:sz w:val="20"/>
                <w:szCs w:val="20"/>
              </w:rPr>
              <w:t>Date:</w:t>
            </w:r>
            <w:r>
              <w:rPr>
                <w:sz w:val="20"/>
                <w:szCs w:val="20"/>
              </w:rPr>
              <w:t xml:space="preserve"> </w:t>
            </w:r>
            <w:r>
              <w:rPr>
                <w:sz w:val="20"/>
                <w:szCs w:val="20"/>
                <w:u w:val="single"/>
              </w:rPr>
              <w:t>November 23, 202</w:t>
            </w:r>
            <w:r>
              <w:rPr>
                <w:sz w:val="20"/>
                <w:szCs w:val="20"/>
                <w:u w:val="single"/>
              </w:rPr>
              <w:t>2</w:t>
            </w:r>
          </w:p>
        </w:tc>
        <w:tc>
          <w:tcPr>
            <w:tcW w:w="0" w:type="auto"/>
            <w:hideMark/>
          </w:tcPr>
          <w:p w14:paraId="2D357A4D" w14:textId="77777777" w:rsidR="00000000" w:rsidRDefault="00832D71">
            <w:pPr>
              <w:pStyle w:val="a3"/>
              <w:spacing w:before="0" w:beforeAutospacing="0" w:after="0" w:afterAutospacing="0"/>
              <w:rPr>
                <w:sz w:val="20"/>
                <w:szCs w:val="20"/>
              </w:rPr>
            </w:pPr>
            <w:r>
              <w:rPr>
                <w:sz w:val="20"/>
                <w:szCs w:val="20"/>
              </w:rPr>
              <w:t>By</w:t>
            </w:r>
            <w:r>
              <w:rPr>
                <w:sz w:val="20"/>
                <w:szCs w:val="20"/>
              </w:rPr>
              <w:t>:</w:t>
            </w:r>
          </w:p>
        </w:tc>
        <w:tc>
          <w:tcPr>
            <w:tcW w:w="0" w:type="auto"/>
            <w:tcBorders>
              <w:bottom w:val="single" w:sz="4" w:space="0" w:color="auto"/>
            </w:tcBorders>
            <w:hideMark/>
          </w:tcPr>
          <w:p w14:paraId="77A1ACD1" w14:textId="77777777" w:rsidR="00000000" w:rsidRDefault="00832D71">
            <w:pPr>
              <w:pStyle w:val="a3"/>
              <w:spacing w:before="0" w:beforeAutospacing="0" w:after="0" w:afterAutospacing="0"/>
              <w:rPr>
                <w:sz w:val="20"/>
                <w:szCs w:val="20"/>
              </w:rPr>
            </w:pPr>
            <w:r>
              <w:rPr>
                <w:sz w:val="20"/>
                <w:szCs w:val="20"/>
              </w:rPr>
              <w:t>/s/ MICHAEL A. STIVAL</w:t>
            </w:r>
            <w:r>
              <w:rPr>
                <w:sz w:val="20"/>
                <w:szCs w:val="20"/>
              </w:rPr>
              <w:t>A</w:t>
            </w:r>
            <w:r>
              <w:rPr>
                <w:sz w:val="20"/>
                <w:szCs w:val="20"/>
              </w:rPr>
              <w:t xml:space="preserve"> </w:t>
            </w:r>
          </w:p>
        </w:tc>
      </w:tr>
      <w:tr w:rsidR="00000000" w14:paraId="599F4A33" w14:textId="77777777">
        <w:trPr>
          <w:trHeight w:val="14"/>
          <w:tblCellSpacing w:w="15" w:type="dxa"/>
        </w:trPr>
        <w:tc>
          <w:tcPr>
            <w:tcW w:w="0" w:type="auto"/>
            <w:hideMark/>
          </w:tcPr>
          <w:p w14:paraId="2C353A75" w14:textId="77777777" w:rsidR="00000000" w:rsidRDefault="00832D71">
            <w:pPr>
              <w:pStyle w:val="a3"/>
              <w:spacing w:before="0" w:beforeAutospacing="0" w:after="0" w:afterAutospacing="0"/>
              <w:jc w:val="both"/>
              <w:rPr>
                <w:sz w:val="20"/>
                <w:szCs w:val="20"/>
              </w:rPr>
            </w:pPr>
            <w:r>
              <w:rPr>
                <w:sz w:val="20"/>
                <w:szCs w:val="20"/>
              </w:rPr>
              <w:t> </w:t>
            </w:r>
          </w:p>
        </w:tc>
        <w:tc>
          <w:tcPr>
            <w:tcW w:w="0" w:type="auto"/>
            <w:hideMark/>
          </w:tcPr>
          <w:p w14:paraId="11107013" w14:textId="77777777" w:rsidR="00000000" w:rsidRDefault="00832D71">
            <w:pPr>
              <w:pStyle w:val="a3"/>
              <w:spacing w:before="0" w:beforeAutospacing="0" w:after="0" w:afterAutospacing="0"/>
              <w:jc w:val="both"/>
              <w:rPr>
                <w:sz w:val="20"/>
                <w:szCs w:val="20"/>
              </w:rPr>
            </w:pPr>
            <w:r>
              <w:rPr>
                <w:sz w:val="20"/>
                <w:szCs w:val="20"/>
              </w:rPr>
              <w:t> </w:t>
            </w:r>
          </w:p>
        </w:tc>
        <w:tc>
          <w:tcPr>
            <w:tcW w:w="0" w:type="auto"/>
            <w:hideMark/>
          </w:tcPr>
          <w:p w14:paraId="3EA84D03" w14:textId="77777777" w:rsidR="00000000" w:rsidRDefault="00832D71">
            <w:pPr>
              <w:pStyle w:val="a3"/>
              <w:spacing w:before="0" w:beforeAutospacing="0" w:after="0" w:afterAutospacing="0"/>
              <w:jc w:val="both"/>
              <w:rPr>
                <w:sz w:val="20"/>
                <w:szCs w:val="20"/>
              </w:rPr>
            </w:pPr>
            <w:r>
              <w:rPr>
                <w:sz w:val="20"/>
                <w:szCs w:val="20"/>
              </w:rPr>
              <w:t>Michael A. Stival</w:t>
            </w:r>
            <w:r>
              <w:rPr>
                <w:sz w:val="20"/>
                <w:szCs w:val="20"/>
              </w:rPr>
              <w:t>a</w:t>
            </w:r>
          </w:p>
        </w:tc>
      </w:tr>
      <w:tr w:rsidR="00000000" w14:paraId="5F0F1C09" w14:textId="77777777">
        <w:trPr>
          <w:trHeight w:val="14"/>
          <w:tblCellSpacing w:w="15" w:type="dxa"/>
        </w:trPr>
        <w:tc>
          <w:tcPr>
            <w:tcW w:w="0" w:type="auto"/>
            <w:hideMark/>
          </w:tcPr>
          <w:p w14:paraId="4EEE65C3" w14:textId="77777777" w:rsidR="00000000" w:rsidRDefault="00832D71">
            <w:pPr>
              <w:pStyle w:val="a3"/>
              <w:spacing w:before="0" w:beforeAutospacing="0" w:after="0" w:afterAutospacing="0"/>
              <w:jc w:val="both"/>
              <w:rPr>
                <w:sz w:val="20"/>
                <w:szCs w:val="20"/>
              </w:rPr>
            </w:pPr>
            <w:r>
              <w:rPr>
                <w:sz w:val="20"/>
                <w:szCs w:val="20"/>
              </w:rPr>
              <w:t> </w:t>
            </w:r>
          </w:p>
        </w:tc>
        <w:tc>
          <w:tcPr>
            <w:tcW w:w="0" w:type="auto"/>
            <w:hideMark/>
          </w:tcPr>
          <w:p w14:paraId="2AC2BE83" w14:textId="77777777" w:rsidR="00000000" w:rsidRDefault="00832D71">
            <w:pPr>
              <w:pStyle w:val="a3"/>
              <w:spacing w:before="0" w:beforeAutospacing="0" w:after="0" w:afterAutospacing="0"/>
              <w:jc w:val="both"/>
              <w:rPr>
                <w:sz w:val="20"/>
                <w:szCs w:val="20"/>
              </w:rPr>
            </w:pPr>
            <w:r>
              <w:rPr>
                <w:sz w:val="20"/>
                <w:szCs w:val="20"/>
              </w:rPr>
              <w:t> </w:t>
            </w:r>
          </w:p>
        </w:tc>
        <w:tc>
          <w:tcPr>
            <w:tcW w:w="0" w:type="auto"/>
            <w:hideMark/>
          </w:tcPr>
          <w:p w14:paraId="0C1364CF" w14:textId="77777777" w:rsidR="00000000" w:rsidRDefault="00832D71">
            <w:pPr>
              <w:pStyle w:val="a3"/>
              <w:spacing w:before="0" w:beforeAutospacing="0" w:after="0" w:afterAutospacing="0"/>
              <w:jc w:val="both"/>
              <w:rPr>
                <w:sz w:val="20"/>
                <w:szCs w:val="20"/>
              </w:rPr>
            </w:pPr>
            <w:r>
              <w:rPr>
                <w:sz w:val="20"/>
                <w:szCs w:val="20"/>
              </w:rPr>
              <w:t>President, Chief Executive Officer an</w:t>
            </w:r>
            <w:r>
              <w:rPr>
                <w:sz w:val="20"/>
                <w:szCs w:val="20"/>
              </w:rPr>
              <w:t>d</w:t>
            </w:r>
          </w:p>
        </w:tc>
      </w:tr>
      <w:tr w:rsidR="00000000" w14:paraId="3CA3B995" w14:textId="77777777">
        <w:trPr>
          <w:trHeight w:val="14"/>
          <w:tblCellSpacing w:w="15" w:type="dxa"/>
        </w:trPr>
        <w:tc>
          <w:tcPr>
            <w:tcW w:w="0" w:type="auto"/>
            <w:hideMark/>
          </w:tcPr>
          <w:p w14:paraId="61B36002" w14:textId="77777777" w:rsidR="00000000" w:rsidRDefault="00832D71">
            <w:pPr>
              <w:pStyle w:val="a3"/>
              <w:spacing w:before="0" w:beforeAutospacing="0" w:after="0" w:afterAutospacing="0"/>
              <w:jc w:val="both"/>
              <w:rPr>
                <w:sz w:val="20"/>
                <w:szCs w:val="20"/>
              </w:rPr>
            </w:pPr>
            <w:r>
              <w:rPr>
                <w:sz w:val="20"/>
                <w:szCs w:val="20"/>
              </w:rPr>
              <w:t> </w:t>
            </w:r>
          </w:p>
        </w:tc>
        <w:tc>
          <w:tcPr>
            <w:tcW w:w="0" w:type="auto"/>
            <w:hideMark/>
          </w:tcPr>
          <w:p w14:paraId="3977054B" w14:textId="77777777" w:rsidR="00000000" w:rsidRDefault="00832D71">
            <w:pPr>
              <w:pStyle w:val="a3"/>
              <w:spacing w:before="0" w:beforeAutospacing="0" w:after="0" w:afterAutospacing="0"/>
              <w:jc w:val="both"/>
              <w:rPr>
                <w:sz w:val="20"/>
                <w:szCs w:val="20"/>
              </w:rPr>
            </w:pPr>
            <w:r>
              <w:rPr>
                <w:sz w:val="20"/>
                <w:szCs w:val="20"/>
              </w:rPr>
              <w:t> </w:t>
            </w:r>
          </w:p>
        </w:tc>
        <w:tc>
          <w:tcPr>
            <w:tcW w:w="0" w:type="auto"/>
            <w:hideMark/>
          </w:tcPr>
          <w:p w14:paraId="2612DC8C" w14:textId="77777777" w:rsidR="00000000" w:rsidRDefault="00832D71">
            <w:pPr>
              <w:pStyle w:val="a3"/>
              <w:spacing w:before="0" w:beforeAutospacing="0" w:after="0" w:afterAutospacing="0"/>
              <w:jc w:val="both"/>
              <w:rPr>
                <w:sz w:val="20"/>
                <w:szCs w:val="20"/>
              </w:rPr>
            </w:pPr>
            <w:r>
              <w:rPr>
                <w:sz w:val="20"/>
                <w:szCs w:val="20"/>
              </w:rPr>
              <w:t>Superviso</w:t>
            </w:r>
            <w:r>
              <w:rPr>
                <w:sz w:val="20"/>
                <w:szCs w:val="20"/>
              </w:rPr>
              <w:t>r</w:t>
            </w:r>
          </w:p>
        </w:tc>
      </w:tr>
    </w:tbl>
    <w:p w14:paraId="701350FC" w14:textId="77777777" w:rsidR="00000000" w:rsidRDefault="00832D71">
      <w:pPr>
        <w:pStyle w:val="a3"/>
        <w:spacing w:before="240" w:beforeAutospacing="0" w:after="0" w:afterAutospacing="0"/>
        <w:ind w:firstLine="555"/>
        <w:jc w:val="both"/>
        <w:rPr>
          <w:sz w:val="20"/>
          <w:szCs w:val="20"/>
        </w:rPr>
      </w:pPr>
      <w:r>
        <w:rPr>
          <w:sz w:val="20"/>
          <w:szCs w:val="20"/>
        </w:rPr>
        <w:t>Pursuant to the requirements of the Securities Exchange Act of 1934, this Annual Report has been signed below by the following persons on behalf of the Registrant and in the capacities and on the dates indicated</w:t>
      </w:r>
      <w:r>
        <w:rPr>
          <w:sz w:val="20"/>
          <w:szCs w:val="20"/>
        </w:rPr>
        <w:t>:</w:t>
      </w:r>
    </w:p>
    <w:p w14:paraId="3016B4CE" w14:textId="77777777" w:rsidR="00000000" w:rsidRDefault="00832D7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3010"/>
        <w:gridCol w:w="110"/>
        <w:gridCol w:w="2348"/>
        <w:gridCol w:w="110"/>
        <w:gridCol w:w="2364"/>
      </w:tblGrid>
      <w:tr w:rsidR="00000000" w14:paraId="624901F6" w14:textId="77777777">
        <w:trPr>
          <w:tblCellSpacing w:w="15" w:type="dxa"/>
        </w:trPr>
        <w:tc>
          <w:tcPr>
            <w:tcW w:w="150" w:type="pct"/>
            <w:vAlign w:val="center"/>
            <w:hideMark/>
          </w:tcPr>
          <w:p w14:paraId="722313FB" w14:textId="77777777" w:rsidR="00000000" w:rsidRDefault="00832D71">
            <w:pPr>
              <w:rPr>
                <w:sz w:val="20"/>
                <w:szCs w:val="20"/>
              </w:rPr>
            </w:pPr>
          </w:p>
        </w:tc>
        <w:tc>
          <w:tcPr>
            <w:tcW w:w="1850" w:type="pct"/>
            <w:vAlign w:val="center"/>
            <w:hideMark/>
          </w:tcPr>
          <w:p w14:paraId="46C27985" w14:textId="77777777" w:rsidR="00000000" w:rsidRDefault="00832D71">
            <w:pPr>
              <w:rPr>
                <w:rFonts w:eastAsia="Times New Roman"/>
                <w:sz w:val="20"/>
                <w:szCs w:val="20"/>
              </w:rPr>
            </w:pPr>
          </w:p>
        </w:tc>
        <w:tc>
          <w:tcPr>
            <w:tcW w:w="50" w:type="pct"/>
            <w:vAlign w:val="center"/>
            <w:hideMark/>
          </w:tcPr>
          <w:p w14:paraId="2DBCCE8A" w14:textId="77777777" w:rsidR="00000000" w:rsidRDefault="00832D71">
            <w:pPr>
              <w:rPr>
                <w:rFonts w:eastAsia="Times New Roman"/>
                <w:sz w:val="20"/>
                <w:szCs w:val="20"/>
              </w:rPr>
            </w:pPr>
          </w:p>
        </w:tc>
        <w:tc>
          <w:tcPr>
            <w:tcW w:w="1450" w:type="pct"/>
            <w:vAlign w:val="center"/>
            <w:hideMark/>
          </w:tcPr>
          <w:p w14:paraId="3F4C5B33" w14:textId="77777777" w:rsidR="00000000" w:rsidRDefault="00832D71">
            <w:pPr>
              <w:rPr>
                <w:rFonts w:eastAsia="Times New Roman"/>
                <w:sz w:val="20"/>
                <w:szCs w:val="20"/>
              </w:rPr>
            </w:pPr>
          </w:p>
        </w:tc>
        <w:tc>
          <w:tcPr>
            <w:tcW w:w="50" w:type="pct"/>
            <w:vAlign w:val="center"/>
            <w:hideMark/>
          </w:tcPr>
          <w:p w14:paraId="6F538FE9" w14:textId="77777777" w:rsidR="00000000" w:rsidRDefault="00832D71">
            <w:pPr>
              <w:rPr>
                <w:rFonts w:eastAsia="Times New Roman"/>
                <w:sz w:val="20"/>
                <w:szCs w:val="20"/>
              </w:rPr>
            </w:pPr>
          </w:p>
        </w:tc>
        <w:tc>
          <w:tcPr>
            <w:tcW w:w="1450" w:type="pct"/>
            <w:vAlign w:val="center"/>
            <w:hideMark/>
          </w:tcPr>
          <w:p w14:paraId="73C4DC6C" w14:textId="77777777" w:rsidR="00000000" w:rsidRDefault="00832D71">
            <w:pPr>
              <w:rPr>
                <w:rFonts w:eastAsia="Times New Roman"/>
                <w:sz w:val="20"/>
                <w:szCs w:val="20"/>
              </w:rPr>
            </w:pPr>
          </w:p>
        </w:tc>
      </w:tr>
      <w:tr w:rsidR="00000000" w14:paraId="7D48C492" w14:textId="77777777">
        <w:trPr>
          <w:trHeight w:val="200"/>
          <w:tblCellSpacing w:w="15" w:type="dxa"/>
        </w:trPr>
        <w:tc>
          <w:tcPr>
            <w:tcW w:w="0" w:type="auto"/>
            <w:gridSpan w:val="2"/>
            <w:vAlign w:val="bottom"/>
            <w:hideMark/>
          </w:tcPr>
          <w:p w14:paraId="25DD1568" w14:textId="77777777" w:rsidR="00000000" w:rsidRDefault="00832D71">
            <w:pPr>
              <w:pStyle w:val="a3"/>
              <w:spacing w:before="0" w:beforeAutospacing="0" w:after="0" w:afterAutospacing="0"/>
              <w:jc w:val="center"/>
              <w:rPr>
                <w:sz w:val="20"/>
                <w:szCs w:val="20"/>
              </w:rPr>
            </w:pPr>
            <w:r>
              <w:rPr>
                <w:sz w:val="20"/>
                <w:szCs w:val="20"/>
                <w:u w:val="single"/>
              </w:rPr>
              <w:t>Signatur</w:t>
            </w:r>
            <w:r>
              <w:rPr>
                <w:sz w:val="20"/>
                <w:szCs w:val="20"/>
                <w:u w:val="single"/>
              </w:rPr>
              <w:t>e</w:t>
            </w:r>
          </w:p>
        </w:tc>
        <w:tc>
          <w:tcPr>
            <w:tcW w:w="0" w:type="auto"/>
            <w:hideMark/>
          </w:tcPr>
          <w:p w14:paraId="2D8B04D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94629BD" w14:textId="77777777" w:rsidR="00000000" w:rsidRDefault="00832D71">
            <w:pPr>
              <w:pStyle w:val="a3"/>
              <w:spacing w:before="0" w:beforeAutospacing="0" w:after="0" w:afterAutospacing="0"/>
              <w:rPr>
                <w:sz w:val="20"/>
                <w:szCs w:val="20"/>
              </w:rPr>
            </w:pPr>
            <w:r>
              <w:rPr>
                <w:sz w:val="20"/>
                <w:szCs w:val="20"/>
                <w:u w:val="single"/>
              </w:rPr>
              <w:t>Titl</w:t>
            </w:r>
            <w:r>
              <w:rPr>
                <w:sz w:val="20"/>
                <w:szCs w:val="20"/>
                <w:u w:val="single"/>
              </w:rPr>
              <w:t>e</w:t>
            </w:r>
          </w:p>
        </w:tc>
        <w:tc>
          <w:tcPr>
            <w:tcW w:w="0" w:type="auto"/>
            <w:hideMark/>
          </w:tcPr>
          <w:p w14:paraId="23BC0BE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02096E0" w14:textId="77777777" w:rsidR="00000000" w:rsidRDefault="00832D71">
            <w:pPr>
              <w:pStyle w:val="a3"/>
              <w:spacing w:before="0" w:beforeAutospacing="0" w:after="0" w:afterAutospacing="0"/>
              <w:rPr>
                <w:sz w:val="20"/>
                <w:szCs w:val="20"/>
              </w:rPr>
            </w:pPr>
            <w:r>
              <w:rPr>
                <w:sz w:val="20"/>
                <w:szCs w:val="20"/>
                <w:u w:val="single"/>
              </w:rPr>
              <w:t>Dat</w:t>
            </w:r>
            <w:r>
              <w:rPr>
                <w:sz w:val="20"/>
                <w:szCs w:val="20"/>
                <w:u w:val="single"/>
              </w:rPr>
              <w:t>e</w:t>
            </w:r>
          </w:p>
        </w:tc>
      </w:tr>
      <w:tr w:rsidR="00000000" w14:paraId="4977911C" w14:textId="77777777">
        <w:trPr>
          <w:tblCellSpacing w:w="15" w:type="dxa"/>
        </w:trPr>
        <w:tc>
          <w:tcPr>
            <w:tcW w:w="0" w:type="auto"/>
            <w:vAlign w:val="bottom"/>
            <w:hideMark/>
          </w:tcPr>
          <w:p w14:paraId="6BAA13E4"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76CA0DFB"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408755A3"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22ED2702"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7EFE3491"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79338B65" w14:textId="77777777" w:rsidR="00000000" w:rsidRDefault="00832D71">
            <w:pPr>
              <w:pStyle w:val="a3"/>
              <w:spacing w:before="0" w:beforeAutospacing="0" w:after="0" w:afterAutospacing="0"/>
              <w:rPr>
                <w:sz w:val="12"/>
                <w:szCs w:val="12"/>
              </w:rPr>
            </w:pPr>
            <w:r>
              <w:rPr>
                <w:sz w:val="12"/>
                <w:szCs w:val="12"/>
              </w:rPr>
              <w:t> </w:t>
            </w:r>
          </w:p>
        </w:tc>
      </w:tr>
      <w:tr w:rsidR="00000000" w14:paraId="38939192" w14:textId="77777777">
        <w:trPr>
          <w:trHeight w:val="200"/>
          <w:tblCellSpacing w:w="15" w:type="dxa"/>
        </w:trPr>
        <w:tc>
          <w:tcPr>
            <w:tcW w:w="0" w:type="auto"/>
            <w:vAlign w:val="bottom"/>
            <w:hideMark/>
          </w:tcPr>
          <w:p w14:paraId="0B06BCE9" w14:textId="77777777" w:rsidR="00000000" w:rsidRDefault="00832D71">
            <w:pPr>
              <w:pStyle w:val="a3"/>
              <w:spacing w:before="0" w:beforeAutospacing="0" w:after="0" w:afterAutospacing="0"/>
              <w:rPr>
                <w:sz w:val="20"/>
                <w:szCs w:val="20"/>
              </w:rPr>
            </w:pPr>
            <w:r>
              <w:rPr>
                <w:sz w:val="20"/>
                <w:szCs w:val="20"/>
              </w:rPr>
              <w:t>By</w:t>
            </w:r>
            <w:r>
              <w:rPr>
                <w:sz w:val="20"/>
                <w:szCs w:val="20"/>
              </w:rPr>
              <w:t>:</w:t>
            </w:r>
          </w:p>
        </w:tc>
        <w:tc>
          <w:tcPr>
            <w:tcW w:w="0" w:type="auto"/>
            <w:tcBorders>
              <w:bottom w:val="single" w:sz="4" w:space="0" w:color="auto"/>
            </w:tcBorders>
            <w:vAlign w:val="bottom"/>
            <w:hideMark/>
          </w:tcPr>
          <w:p w14:paraId="1C89F30A" w14:textId="77777777" w:rsidR="00000000" w:rsidRDefault="00832D71">
            <w:pPr>
              <w:pStyle w:val="a3"/>
              <w:spacing w:before="0" w:beforeAutospacing="0" w:after="0" w:afterAutospacing="0"/>
              <w:rPr>
                <w:sz w:val="20"/>
                <w:szCs w:val="20"/>
              </w:rPr>
            </w:pPr>
            <w:r>
              <w:rPr>
                <w:sz w:val="20"/>
                <w:szCs w:val="20"/>
              </w:rPr>
              <w:t>/s/ MICHAEL A. STIVAL</w:t>
            </w:r>
            <w:r>
              <w:rPr>
                <w:sz w:val="20"/>
                <w:szCs w:val="20"/>
              </w:rPr>
              <w:t>A</w:t>
            </w:r>
          </w:p>
        </w:tc>
        <w:tc>
          <w:tcPr>
            <w:tcW w:w="0" w:type="auto"/>
            <w:hideMark/>
          </w:tcPr>
          <w:p w14:paraId="733D898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AD27B35" w14:textId="77777777" w:rsidR="00000000" w:rsidRDefault="00832D71">
            <w:pPr>
              <w:pStyle w:val="a3"/>
              <w:spacing w:before="0" w:beforeAutospacing="0" w:after="0" w:afterAutospacing="0"/>
              <w:rPr>
                <w:sz w:val="20"/>
                <w:szCs w:val="20"/>
              </w:rPr>
            </w:pPr>
            <w:r>
              <w:rPr>
                <w:sz w:val="20"/>
                <w:szCs w:val="20"/>
              </w:rPr>
              <w:t>President, Chief Executiv</w:t>
            </w:r>
            <w:r>
              <w:rPr>
                <w:sz w:val="20"/>
                <w:szCs w:val="20"/>
              </w:rPr>
              <w:t>e</w:t>
            </w:r>
          </w:p>
        </w:tc>
        <w:tc>
          <w:tcPr>
            <w:tcW w:w="0" w:type="auto"/>
            <w:hideMark/>
          </w:tcPr>
          <w:p w14:paraId="17CD4E5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A4307EB" w14:textId="77777777" w:rsidR="00000000" w:rsidRDefault="00832D71">
            <w:pPr>
              <w:pStyle w:val="a3"/>
              <w:spacing w:before="0" w:beforeAutospacing="0" w:after="0" w:afterAutospacing="0"/>
              <w:rPr>
                <w:sz w:val="20"/>
                <w:szCs w:val="20"/>
              </w:rPr>
            </w:pPr>
            <w:r>
              <w:rPr>
                <w:sz w:val="20"/>
                <w:szCs w:val="20"/>
                <w:u w:val="single"/>
              </w:rPr>
              <w:t>November 23, 202</w:t>
            </w:r>
            <w:r>
              <w:rPr>
                <w:sz w:val="20"/>
                <w:szCs w:val="20"/>
                <w:u w:val="single"/>
              </w:rPr>
              <w:t>2</w:t>
            </w:r>
          </w:p>
        </w:tc>
      </w:tr>
      <w:tr w:rsidR="00000000" w14:paraId="298EBCC2" w14:textId="77777777">
        <w:trPr>
          <w:trHeight w:val="200"/>
          <w:tblCellSpacing w:w="15" w:type="dxa"/>
        </w:trPr>
        <w:tc>
          <w:tcPr>
            <w:tcW w:w="0" w:type="auto"/>
            <w:vAlign w:val="bottom"/>
            <w:hideMark/>
          </w:tcPr>
          <w:p w14:paraId="104467A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B4954CD" w14:textId="77777777" w:rsidR="00000000" w:rsidRDefault="00832D71">
            <w:pPr>
              <w:pStyle w:val="a3"/>
              <w:spacing w:before="0" w:beforeAutospacing="0" w:after="0" w:afterAutospacing="0"/>
              <w:rPr>
                <w:sz w:val="20"/>
                <w:szCs w:val="20"/>
              </w:rPr>
            </w:pPr>
            <w:r>
              <w:rPr>
                <w:sz w:val="20"/>
                <w:szCs w:val="20"/>
              </w:rPr>
              <w:t>(Michael A. Stivala</w:t>
            </w:r>
            <w:r>
              <w:rPr>
                <w:sz w:val="20"/>
                <w:szCs w:val="20"/>
              </w:rPr>
              <w:t>)</w:t>
            </w:r>
          </w:p>
        </w:tc>
        <w:tc>
          <w:tcPr>
            <w:tcW w:w="0" w:type="auto"/>
            <w:hideMark/>
          </w:tcPr>
          <w:p w14:paraId="3746FBD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9391A63" w14:textId="77777777" w:rsidR="00000000" w:rsidRDefault="00832D71">
            <w:pPr>
              <w:pStyle w:val="a3"/>
              <w:spacing w:before="0" w:beforeAutospacing="0" w:after="0" w:afterAutospacing="0"/>
              <w:rPr>
                <w:sz w:val="20"/>
                <w:szCs w:val="20"/>
              </w:rPr>
            </w:pPr>
            <w:r>
              <w:rPr>
                <w:sz w:val="20"/>
                <w:szCs w:val="20"/>
              </w:rPr>
              <w:t>  Officer and Superviso</w:t>
            </w:r>
            <w:r>
              <w:rPr>
                <w:sz w:val="20"/>
                <w:szCs w:val="20"/>
              </w:rPr>
              <w:t>r</w:t>
            </w:r>
          </w:p>
        </w:tc>
        <w:tc>
          <w:tcPr>
            <w:tcW w:w="0" w:type="auto"/>
            <w:hideMark/>
          </w:tcPr>
          <w:p w14:paraId="5EB61E4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BB49397" w14:textId="77777777" w:rsidR="00000000" w:rsidRDefault="00832D71">
            <w:pPr>
              <w:pStyle w:val="a3"/>
              <w:spacing w:before="0" w:beforeAutospacing="0" w:after="0" w:afterAutospacing="0"/>
              <w:rPr>
                <w:sz w:val="20"/>
                <w:szCs w:val="20"/>
              </w:rPr>
            </w:pPr>
            <w:r>
              <w:rPr>
                <w:sz w:val="20"/>
                <w:szCs w:val="20"/>
              </w:rPr>
              <w:t> </w:t>
            </w:r>
          </w:p>
        </w:tc>
      </w:tr>
      <w:tr w:rsidR="00000000" w14:paraId="2B6AEC32" w14:textId="77777777">
        <w:trPr>
          <w:tblCellSpacing w:w="15" w:type="dxa"/>
        </w:trPr>
        <w:tc>
          <w:tcPr>
            <w:tcW w:w="0" w:type="auto"/>
            <w:vAlign w:val="bottom"/>
            <w:hideMark/>
          </w:tcPr>
          <w:p w14:paraId="63EC1B17"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73D83F88"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4A0A401D"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064A6E2F"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7071A5C9"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2F2105F" w14:textId="77777777" w:rsidR="00000000" w:rsidRDefault="00832D71">
            <w:pPr>
              <w:pStyle w:val="a3"/>
              <w:spacing w:before="0" w:beforeAutospacing="0" w:after="0" w:afterAutospacing="0"/>
              <w:rPr>
                <w:sz w:val="12"/>
                <w:szCs w:val="12"/>
              </w:rPr>
            </w:pPr>
            <w:r>
              <w:rPr>
                <w:sz w:val="12"/>
                <w:szCs w:val="12"/>
              </w:rPr>
              <w:t> </w:t>
            </w:r>
          </w:p>
        </w:tc>
      </w:tr>
      <w:tr w:rsidR="00000000" w14:paraId="5C919FC8" w14:textId="77777777">
        <w:trPr>
          <w:trHeight w:val="200"/>
          <w:tblCellSpacing w:w="15" w:type="dxa"/>
        </w:trPr>
        <w:tc>
          <w:tcPr>
            <w:tcW w:w="0" w:type="auto"/>
            <w:vAlign w:val="bottom"/>
            <w:hideMark/>
          </w:tcPr>
          <w:p w14:paraId="3FF41248" w14:textId="77777777" w:rsidR="00000000" w:rsidRDefault="00832D71">
            <w:pPr>
              <w:pStyle w:val="a3"/>
              <w:spacing w:before="0" w:beforeAutospacing="0" w:after="0" w:afterAutospacing="0"/>
              <w:rPr>
                <w:sz w:val="20"/>
                <w:szCs w:val="20"/>
              </w:rPr>
            </w:pPr>
            <w:r>
              <w:rPr>
                <w:sz w:val="20"/>
                <w:szCs w:val="20"/>
              </w:rPr>
              <w:t>By</w:t>
            </w:r>
            <w:r>
              <w:rPr>
                <w:sz w:val="20"/>
                <w:szCs w:val="20"/>
              </w:rPr>
              <w:t>:</w:t>
            </w:r>
          </w:p>
        </w:tc>
        <w:tc>
          <w:tcPr>
            <w:tcW w:w="0" w:type="auto"/>
            <w:tcBorders>
              <w:bottom w:val="single" w:sz="4" w:space="0" w:color="auto"/>
            </w:tcBorders>
            <w:vAlign w:val="bottom"/>
            <w:hideMark/>
          </w:tcPr>
          <w:p w14:paraId="116E1F03" w14:textId="77777777" w:rsidR="00000000" w:rsidRDefault="00832D71">
            <w:pPr>
              <w:pStyle w:val="a3"/>
              <w:spacing w:before="0" w:beforeAutospacing="0" w:after="0" w:afterAutospacing="0"/>
              <w:rPr>
                <w:sz w:val="20"/>
                <w:szCs w:val="20"/>
              </w:rPr>
            </w:pPr>
            <w:r>
              <w:rPr>
                <w:sz w:val="20"/>
                <w:szCs w:val="20"/>
              </w:rPr>
              <w:t>/s/ MATTHEW J. CHANI</w:t>
            </w:r>
            <w:r>
              <w:rPr>
                <w:sz w:val="20"/>
                <w:szCs w:val="20"/>
              </w:rPr>
              <w:t>N</w:t>
            </w:r>
          </w:p>
        </w:tc>
        <w:tc>
          <w:tcPr>
            <w:tcW w:w="0" w:type="auto"/>
            <w:hideMark/>
          </w:tcPr>
          <w:p w14:paraId="48A87B2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28A32F6" w14:textId="77777777" w:rsidR="00000000" w:rsidRDefault="00832D71">
            <w:pPr>
              <w:pStyle w:val="a3"/>
              <w:spacing w:before="0" w:beforeAutospacing="0" w:after="0" w:afterAutospacing="0"/>
              <w:rPr>
                <w:sz w:val="20"/>
                <w:szCs w:val="20"/>
              </w:rPr>
            </w:pPr>
            <w:r>
              <w:rPr>
                <w:sz w:val="20"/>
                <w:szCs w:val="20"/>
              </w:rPr>
              <w:t>Chairman and Superviso</w:t>
            </w:r>
            <w:r>
              <w:rPr>
                <w:sz w:val="20"/>
                <w:szCs w:val="20"/>
              </w:rPr>
              <w:t>r</w:t>
            </w:r>
          </w:p>
        </w:tc>
        <w:tc>
          <w:tcPr>
            <w:tcW w:w="0" w:type="auto"/>
            <w:hideMark/>
          </w:tcPr>
          <w:p w14:paraId="0AD1B10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9813316" w14:textId="77777777" w:rsidR="00000000" w:rsidRDefault="00832D71">
            <w:pPr>
              <w:pStyle w:val="a3"/>
              <w:spacing w:before="0" w:beforeAutospacing="0" w:after="0" w:afterAutospacing="0"/>
              <w:rPr>
                <w:sz w:val="20"/>
                <w:szCs w:val="20"/>
              </w:rPr>
            </w:pPr>
            <w:r>
              <w:rPr>
                <w:sz w:val="20"/>
                <w:szCs w:val="20"/>
                <w:u w:val="single"/>
              </w:rPr>
              <w:t>November 23, 202</w:t>
            </w:r>
            <w:r>
              <w:rPr>
                <w:sz w:val="20"/>
                <w:szCs w:val="20"/>
                <w:u w:val="single"/>
              </w:rPr>
              <w:t>2</w:t>
            </w:r>
          </w:p>
        </w:tc>
      </w:tr>
      <w:tr w:rsidR="00000000" w14:paraId="634830FC" w14:textId="77777777">
        <w:trPr>
          <w:trHeight w:val="200"/>
          <w:tblCellSpacing w:w="15" w:type="dxa"/>
        </w:trPr>
        <w:tc>
          <w:tcPr>
            <w:tcW w:w="0" w:type="auto"/>
            <w:vAlign w:val="bottom"/>
            <w:hideMark/>
          </w:tcPr>
          <w:p w14:paraId="59ABB39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B1516EC" w14:textId="77777777" w:rsidR="00000000" w:rsidRDefault="00832D71">
            <w:pPr>
              <w:pStyle w:val="a3"/>
              <w:spacing w:before="0" w:beforeAutospacing="0" w:after="0" w:afterAutospacing="0"/>
              <w:rPr>
                <w:sz w:val="20"/>
                <w:szCs w:val="20"/>
              </w:rPr>
            </w:pPr>
            <w:r>
              <w:rPr>
                <w:sz w:val="20"/>
                <w:szCs w:val="20"/>
              </w:rPr>
              <w:t>(Matthew J. Chanin</w:t>
            </w:r>
            <w:r>
              <w:rPr>
                <w:sz w:val="20"/>
                <w:szCs w:val="20"/>
              </w:rPr>
              <w:t>)</w:t>
            </w:r>
          </w:p>
        </w:tc>
        <w:tc>
          <w:tcPr>
            <w:tcW w:w="0" w:type="auto"/>
            <w:hideMark/>
          </w:tcPr>
          <w:p w14:paraId="631D33A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2525D6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CD7632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E02FA46" w14:textId="77777777" w:rsidR="00000000" w:rsidRDefault="00832D71">
            <w:pPr>
              <w:pStyle w:val="a3"/>
              <w:spacing w:before="0" w:beforeAutospacing="0" w:after="0" w:afterAutospacing="0"/>
              <w:rPr>
                <w:sz w:val="20"/>
                <w:szCs w:val="20"/>
              </w:rPr>
            </w:pPr>
            <w:r>
              <w:rPr>
                <w:sz w:val="20"/>
                <w:szCs w:val="20"/>
              </w:rPr>
              <w:t> </w:t>
            </w:r>
          </w:p>
        </w:tc>
      </w:tr>
      <w:tr w:rsidR="00000000" w14:paraId="26666E26" w14:textId="77777777">
        <w:trPr>
          <w:tblCellSpacing w:w="15" w:type="dxa"/>
        </w:trPr>
        <w:tc>
          <w:tcPr>
            <w:tcW w:w="0" w:type="auto"/>
            <w:vAlign w:val="bottom"/>
            <w:hideMark/>
          </w:tcPr>
          <w:p w14:paraId="638C206A"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11C47FCB"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3A6736D5"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24AF6A0A"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7883C13E"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71996FE4" w14:textId="77777777" w:rsidR="00000000" w:rsidRDefault="00832D71">
            <w:pPr>
              <w:pStyle w:val="a3"/>
              <w:spacing w:before="0" w:beforeAutospacing="0" w:after="0" w:afterAutospacing="0"/>
              <w:rPr>
                <w:sz w:val="12"/>
                <w:szCs w:val="12"/>
              </w:rPr>
            </w:pPr>
            <w:r>
              <w:rPr>
                <w:sz w:val="12"/>
                <w:szCs w:val="12"/>
              </w:rPr>
              <w:t> </w:t>
            </w:r>
          </w:p>
        </w:tc>
      </w:tr>
      <w:tr w:rsidR="00000000" w14:paraId="3F5688AB" w14:textId="77777777">
        <w:trPr>
          <w:trHeight w:val="200"/>
          <w:tblCellSpacing w:w="15" w:type="dxa"/>
        </w:trPr>
        <w:tc>
          <w:tcPr>
            <w:tcW w:w="0" w:type="auto"/>
            <w:vAlign w:val="bottom"/>
            <w:hideMark/>
          </w:tcPr>
          <w:p w14:paraId="429C6612" w14:textId="77777777" w:rsidR="00000000" w:rsidRDefault="00832D71">
            <w:pPr>
              <w:pStyle w:val="a3"/>
              <w:spacing w:before="0" w:beforeAutospacing="0" w:after="0" w:afterAutospacing="0"/>
              <w:rPr>
                <w:sz w:val="20"/>
                <w:szCs w:val="20"/>
              </w:rPr>
            </w:pPr>
            <w:r>
              <w:rPr>
                <w:sz w:val="20"/>
                <w:szCs w:val="20"/>
              </w:rPr>
              <w:t>By</w:t>
            </w:r>
            <w:r>
              <w:rPr>
                <w:sz w:val="20"/>
                <w:szCs w:val="20"/>
              </w:rPr>
              <w:t>:</w:t>
            </w:r>
          </w:p>
        </w:tc>
        <w:tc>
          <w:tcPr>
            <w:tcW w:w="0" w:type="auto"/>
            <w:tcBorders>
              <w:bottom w:val="single" w:sz="4" w:space="0" w:color="auto"/>
            </w:tcBorders>
            <w:vAlign w:val="bottom"/>
            <w:hideMark/>
          </w:tcPr>
          <w:p w14:paraId="05049836" w14:textId="77777777" w:rsidR="00000000" w:rsidRDefault="00832D71">
            <w:pPr>
              <w:pStyle w:val="a3"/>
              <w:spacing w:before="0" w:beforeAutospacing="0" w:after="0" w:afterAutospacing="0"/>
              <w:rPr>
                <w:sz w:val="20"/>
                <w:szCs w:val="20"/>
              </w:rPr>
            </w:pPr>
            <w:r>
              <w:rPr>
                <w:sz w:val="20"/>
                <w:szCs w:val="20"/>
              </w:rPr>
              <w:t>/s/ HAROLD R. LOGAN, JR</w:t>
            </w:r>
            <w:r>
              <w:rPr>
                <w:sz w:val="20"/>
                <w:szCs w:val="20"/>
              </w:rPr>
              <w:t>.</w:t>
            </w:r>
          </w:p>
        </w:tc>
        <w:tc>
          <w:tcPr>
            <w:tcW w:w="0" w:type="auto"/>
            <w:hideMark/>
          </w:tcPr>
          <w:p w14:paraId="1C4FF0A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1D06134" w14:textId="77777777" w:rsidR="00000000" w:rsidRDefault="00832D71">
            <w:pPr>
              <w:pStyle w:val="a3"/>
              <w:spacing w:before="0" w:beforeAutospacing="0" w:after="0" w:afterAutospacing="0"/>
              <w:rPr>
                <w:sz w:val="20"/>
                <w:szCs w:val="20"/>
              </w:rPr>
            </w:pPr>
            <w:r>
              <w:rPr>
                <w:sz w:val="20"/>
                <w:szCs w:val="20"/>
              </w:rPr>
              <w:t>Superviso</w:t>
            </w:r>
            <w:r>
              <w:rPr>
                <w:sz w:val="20"/>
                <w:szCs w:val="20"/>
              </w:rPr>
              <w:t>r</w:t>
            </w:r>
          </w:p>
        </w:tc>
        <w:tc>
          <w:tcPr>
            <w:tcW w:w="0" w:type="auto"/>
            <w:hideMark/>
          </w:tcPr>
          <w:p w14:paraId="722DF19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79AF930" w14:textId="77777777" w:rsidR="00000000" w:rsidRDefault="00832D71">
            <w:pPr>
              <w:pStyle w:val="a3"/>
              <w:spacing w:before="0" w:beforeAutospacing="0" w:after="0" w:afterAutospacing="0"/>
              <w:rPr>
                <w:sz w:val="20"/>
                <w:szCs w:val="20"/>
              </w:rPr>
            </w:pPr>
            <w:r>
              <w:rPr>
                <w:sz w:val="20"/>
                <w:szCs w:val="20"/>
                <w:u w:val="single"/>
              </w:rPr>
              <w:t>November 23, 202</w:t>
            </w:r>
            <w:r>
              <w:rPr>
                <w:sz w:val="20"/>
                <w:szCs w:val="20"/>
                <w:u w:val="single"/>
              </w:rPr>
              <w:t>2</w:t>
            </w:r>
          </w:p>
        </w:tc>
      </w:tr>
      <w:tr w:rsidR="00000000" w14:paraId="1D9B1AFD" w14:textId="77777777">
        <w:trPr>
          <w:trHeight w:val="200"/>
          <w:tblCellSpacing w:w="15" w:type="dxa"/>
        </w:trPr>
        <w:tc>
          <w:tcPr>
            <w:tcW w:w="0" w:type="auto"/>
            <w:vAlign w:val="bottom"/>
            <w:hideMark/>
          </w:tcPr>
          <w:p w14:paraId="75C5E6F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43B0360" w14:textId="77777777" w:rsidR="00000000" w:rsidRDefault="00832D71">
            <w:pPr>
              <w:pStyle w:val="a3"/>
              <w:spacing w:before="0" w:beforeAutospacing="0" w:after="0" w:afterAutospacing="0"/>
              <w:rPr>
                <w:sz w:val="20"/>
                <w:szCs w:val="20"/>
              </w:rPr>
            </w:pPr>
            <w:r>
              <w:rPr>
                <w:sz w:val="20"/>
                <w:szCs w:val="20"/>
              </w:rPr>
              <w:t>(Harold R. Logan, Jr.</w:t>
            </w:r>
            <w:r>
              <w:rPr>
                <w:sz w:val="20"/>
                <w:szCs w:val="20"/>
              </w:rPr>
              <w:t>)</w:t>
            </w:r>
          </w:p>
        </w:tc>
        <w:tc>
          <w:tcPr>
            <w:tcW w:w="0" w:type="auto"/>
            <w:hideMark/>
          </w:tcPr>
          <w:p w14:paraId="26FD4BC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E50B2D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8EA8A2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8C2A0AF" w14:textId="77777777" w:rsidR="00000000" w:rsidRDefault="00832D71">
            <w:pPr>
              <w:pStyle w:val="a3"/>
              <w:spacing w:before="0" w:beforeAutospacing="0" w:after="0" w:afterAutospacing="0"/>
              <w:rPr>
                <w:sz w:val="20"/>
                <w:szCs w:val="20"/>
              </w:rPr>
            </w:pPr>
            <w:r>
              <w:rPr>
                <w:sz w:val="20"/>
                <w:szCs w:val="20"/>
              </w:rPr>
              <w:t> </w:t>
            </w:r>
          </w:p>
        </w:tc>
      </w:tr>
      <w:tr w:rsidR="00000000" w14:paraId="4592E62B" w14:textId="77777777">
        <w:trPr>
          <w:tblCellSpacing w:w="15" w:type="dxa"/>
        </w:trPr>
        <w:tc>
          <w:tcPr>
            <w:tcW w:w="0" w:type="auto"/>
            <w:vAlign w:val="bottom"/>
            <w:hideMark/>
          </w:tcPr>
          <w:p w14:paraId="62672557"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2A1054BF"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4F8FEA91"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F26ABF1"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699F32A3"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1B667B3F" w14:textId="77777777" w:rsidR="00000000" w:rsidRDefault="00832D71">
            <w:pPr>
              <w:pStyle w:val="a3"/>
              <w:spacing w:before="0" w:beforeAutospacing="0" w:after="0" w:afterAutospacing="0"/>
              <w:rPr>
                <w:sz w:val="12"/>
                <w:szCs w:val="12"/>
              </w:rPr>
            </w:pPr>
            <w:r>
              <w:rPr>
                <w:sz w:val="12"/>
                <w:szCs w:val="12"/>
              </w:rPr>
              <w:t> </w:t>
            </w:r>
          </w:p>
        </w:tc>
      </w:tr>
      <w:tr w:rsidR="00000000" w14:paraId="0D6012F1" w14:textId="77777777">
        <w:trPr>
          <w:trHeight w:val="200"/>
          <w:tblCellSpacing w:w="15" w:type="dxa"/>
        </w:trPr>
        <w:tc>
          <w:tcPr>
            <w:tcW w:w="0" w:type="auto"/>
            <w:vAlign w:val="bottom"/>
            <w:hideMark/>
          </w:tcPr>
          <w:p w14:paraId="2F94E7FF" w14:textId="77777777" w:rsidR="00000000" w:rsidRDefault="00832D71">
            <w:pPr>
              <w:pStyle w:val="a3"/>
              <w:spacing w:before="0" w:beforeAutospacing="0" w:after="0" w:afterAutospacing="0"/>
              <w:rPr>
                <w:sz w:val="20"/>
                <w:szCs w:val="20"/>
              </w:rPr>
            </w:pPr>
            <w:r>
              <w:rPr>
                <w:sz w:val="20"/>
                <w:szCs w:val="20"/>
              </w:rPr>
              <w:t>By</w:t>
            </w:r>
            <w:r>
              <w:rPr>
                <w:sz w:val="20"/>
                <w:szCs w:val="20"/>
              </w:rPr>
              <w:t>:</w:t>
            </w:r>
            <w:r>
              <w:rPr>
                <w:sz w:val="20"/>
                <w:szCs w:val="20"/>
              </w:rPr>
              <w:t xml:space="preserve"> </w:t>
            </w:r>
          </w:p>
        </w:tc>
        <w:tc>
          <w:tcPr>
            <w:tcW w:w="0" w:type="auto"/>
            <w:tcBorders>
              <w:bottom w:val="single" w:sz="4" w:space="0" w:color="auto"/>
            </w:tcBorders>
            <w:vAlign w:val="bottom"/>
            <w:hideMark/>
          </w:tcPr>
          <w:p w14:paraId="7E94FC72" w14:textId="77777777" w:rsidR="00000000" w:rsidRDefault="00832D71">
            <w:pPr>
              <w:pStyle w:val="a3"/>
              <w:spacing w:before="0" w:beforeAutospacing="0" w:after="0" w:afterAutospacing="0"/>
              <w:rPr>
                <w:sz w:val="20"/>
                <w:szCs w:val="20"/>
              </w:rPr>
            </w:pPr>
            <w:r>
              <w:rPr>
                <w:sz w:val="20"/>
                <w:szCs w:val="20"/>
              </w:rPr>
              <w:t>/s/ JANE SWIF</w:t>
            </w:r>
            <w:r>
              <w:rPr>
                <w:sz w:val="20"/>
                <w:szCs w:val="20"/>
              </w:rPr>
              <w:t>T</w:t>
            </w:r>
          </w:p>
        </w:tc>
        <w:tc>
          <w:tcPr>
            <w:tcW w:w="0" w:type="auto"/>
            <w:hideMark/>
          </w:tcPr>
          <w:p w14:paraId="34A5A75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2107251" w14:textId="77777777" w:rsidR="00000000" w:rsidRDefault="00832D71">
            <w:pPr>
              <w:pStyle w:val="a3"/>
              <w:spacing w:before="0" w:beforeAutospacing="0" w:after="0" w:afterAutospacing="0"/>
              <w:rPr>
                <w:sz w:val="20"/>
                <w:szCs w:val="20"/>
              </w:rPr>
            </w:pPr>
            <w:r>
              <w:rPr>
                <w:sz w:val="20"/>
                <w:szCs w:val="20"/>
              </w:rPr>
              <w:t>Superviso</w:t>
            </w:r>
            <w:r>
              <w:rPr>
                <w:sz w:val="20"/>
                <w:szCs w:val="20"/>
              </w:rPr>
              <w:t>r</w:t>
            </w:r>
          </w:p>
        </w:tc>
        <w:tc>
          <w:tcPr>
            <w:tcW w:w="0" w:type="auto"/>
            <w:hideMark/>
          </w:tcPr>
          <w:p w14:paraId="5BFE677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9D50CFD" w14:textId="77777777" w:rsidR="00000000" w:rsidRDefault="00832D71">
            <w:pPr>
              <w:pStyle w:val="a3"/>
              <w:spacing w:before="0" w:beforeAutospacing="0" w:after="0" w:afterAutospacing="0"/>
              <w:rPr>
                <w:sz w:val="20"/>
                <w:szCs w:val="20"/>
              </w:rPr>
            </w:pPr>
            <w:r>
              <w:rPr>
                <w:sz w:val="20"/>
                <w:szCs w:val="20"/>
                <w:u w:val="single"/>
              </w:rPr>
              <w:t>November 23, 202</w:t>
            </w:r>
            <w:r>
              <w:rPr>
                <w:sz w:val="20"/>
                <w:szCs w:val="20"/>
                <w:u w:val="single"/>
              </w:rPr>
              <w:t>2</w:t>
            </w:r>
          </w:p>
        </w:tc>
      </w:tr>
      <w:tr w:rsidR="00000000" w14:paraId="1926864F" w14:textId="77777777">
        <w:trPr>
          <w:trHeight w:val="200"/>
          <w:tblCellSpacing w:w="15" w:type="dxa"/>
        </w:trPr>
        <w:tc>
          <w:tcPr>
            <w:tcW w:w="0" w:type="auto"/>
            <w:vAlign w:val="bottom"/>
            <w:hideMark/>
          </w:tcPr>
          <w:p w14:paraId="39C3508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4F57F53" w14:textId="77777777" w:rsidR="00000000" w:rsidRDefault="00832D71">
            <w:pPr>
              <w:pStyle w:val="a3"/>
              <w:spacing w:before="0" w:beforeAutospacing="0" w:after="0" w:afterAutospacing="0"/>
              <w:rPr>
                <w:sz w:val="20"/>
                <w:szCs w:val="20"/>
              </w:rPr>
            </w:pPr>
            <w:r>
              <w:rPr>
                <w:sz w:val="20"/>
                <w:szCs w:val="20"/>
              </w:rPr>
              <w:t>(Jane Swift</w:t>
            </w:r>
            <w:r>
              <w:rPr>
                <w:sz w:val="20"/>
                <w:szCs w:val="20"/>
              </w:rPr>
              <w:t>)</w:t>
            </w:r>
          </w:p>
        </w:tc>
        <w:tc>
          <w:tcPr>
            <w:tcW w:w="0" w:type="auto"/>
            <w:hideMark/>
          </w:tcPr>
          <w:p w14:paraId="292247A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3249E5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EDBA8C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BE5C795" w14:textId="77777777" w:rsidR="00000000" w:rsidRDefault="00832D71">
            <w:pPr>
              <w:pStyle w:val="a3"/>
              <w:spacing w:before="0" w:beforeAutospacing="0" w:after="0" w:afterAutospacing="0"/>
              <w:rPr>
                <w:sz w:val="20"/>
                <w:szCs w:val="20"/>
              </w:rPr>
            </w:pPr>
            <w:r>
              <w:rPr>
                <w:sz w:val="20"/>
                <w:szCs w:val="20"/>
              </w:rPr>
              <w:t> </w:t>
            </w:r>
          </w:p>
        </w:tc>
      </w:tr>
      <w:tr w:rsidR="00000000" w14:paraId="38662DBB" w14:textId="77777777">
        <w:trPr>
          <w:tblCellSpacing w:w="15" w:type="dxa"/>
        </w:trPr>
        <w:tc>
          <w:tcPr>
            <w:tcW w:w="0" w:type="auto"/>
            <w:vAlign w:val="bottom"/>
            <w:hideMark/>
          </w:tcPr>
          <w:p w14:paraId="75FB3CBE"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42564021"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01E71C9E"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1A4178B9"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5CC101D6"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73705B29" w14:textId="77777777" w:rsidR="00000000" w:rsidRDefault="00832D71">
            <w:pPr>
              <w:pStyle w:val="a3"/>
              <w:spacing w:before="0" w:beforeAutospacing="0" w:after="0" w:afterAutospacing="0"/>
              <w:rPr>
                <w:sz w:val="12"/>
                <w:szCs w:val="12"/>
              </w:rPr>
            </w:pPr>
            <w:r>
              <w:rPr>
                <w:sz w:val="12"/>
                <w:szCs w:val="12"/>
              </w:rPr>
              <w:t> </w:t>
            </w:r>
          </w:p>
        </w:tc>
      </w:tr>
      <w:tr w:rsidR="00000000" w14:paraId="1BDB404E" w14:textId="77777777">
        <w:trPr>
          <w:trHeight w:val="200"/>
          <w:tblCellSpacing w:w="15" w:type="dxa"/>
        </w:trPr>
        <w:tc>
          <w:tcPr>
            <w:tcW w:w="0" w:type="auto"/>
            <w:vAlign w:val="bottom"/>
            <w:hideMark/>
          </w:tcPr>
          <w:p w14:paraId="42F51FE6" w14:textId="77777777" w:rsidR="00000000" w:rsidRDefault="00832D71">
            <w:pPr>
              <w:pStyle w:val="a3"/>
              <w:spacing w:before="0" w:beforeAutospacing="0" w:after="0" w:afterAutospacing="0"/>
              <w:rPr>
                <w:sz w:val="20"/>
                <w:szCs w:val="20"/>
              </w:rPr>
            </w:pPr>
            <w:r>
              <w:rPr>
                <w:sz w:val="20"/>
                <w:szCs w:val="20"/>
              </w:rPr>
              <w:t>By</w:t>
            </w:r>
            <w:r>
              <w:rPr>
                <w:sz w:val="20"/>
                <w:szCs w:val="20"/>
              </w:rPr>
              <w:t>:</w:t>
            </w:r>
            <w:r>
              <w:rPr>
                <w:sz w:val="20"/>
                <w:szCs w:val="20"/>
              </w:rPr>
              <w:t xml:space="preserve"> </w:t>
            </w:r>
          </w:p>
        </w:tc>
        <w:tc>
          <w:tcPr>
            <w:tcW w:w="0" w:type="auto"/>
            <w:tcBorders>
              <w:bottom w:val="single" w:sz="4" w:space="0" w:color="auto"/>
            </w:tcBorders>
            <w:vAlign w:val="bottom"/>
            <w:hideMark/>
          </w:tcPr>
          <w:p w14:paraId="50D58089" w14:textId="77777777" w:rsidR="00000000" w:rsidRDefault="00832D71">
            <w:pPr>
              <w:pStyle w:val="a3"/>
              <w:spacing w:before="0" w:beforeAutospacing="0" w:after="0" w:afterAutospacing="0"/>
              <w:rPr>
                <w:sz w:val="20"/>
                <w:szCs w:val="20"/>
              </w:rPr>
            </w:pPr>
            <w:r>
              <w:rPr>
                <w:sz w:val="20"/>
                <w:szCs w:val="20"/>
              </w:rPr>
              <w:t>/s/ LAWRENCE C. CALDWEL</w:t>
            </w:r>
            <w:r>
              <w:rPr>
                <w:sz w:val="20"/>
                <w:szCs w:val="20"/>
              </w:rPr>
              <w:t>L</w:t>
            </w:r>
          </w:p>
        </w:tc>
        <w:tc>
          <w:tcPr>
            <w:tcW w:w="0" w:type="auto"/>
            <w:hideMark/>
          </w:tcPr>
          <w:p w14:paraId="29B0FAA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58C0427" w14:textId="77777777" w:rsidR="00000000" w:rsidRDefault="00832D71">
            <w:pPr>
              <w:pStyle w:val="a3"/>
              <w:spacing w:before="0" w:beforeAutospacing="0" w:after="0" w:afterAutospacing="0"/>
              <w:rPr>
                <w:sz w:val="20"/>
                <w:szCs w:val="20"/>
              </w:rPr>
            </w:pPr>
            <w:r>
              <w:rPr>
                <w:sz w:val="20"/>
                <w:szCs w:val="20"/>
              </w:rPr>
              <w:t>Superviso</w:t>
            </w:r>
            <w:r>
              <w:rPr>
                <w:sz w:val="20"/>
                <w:szCs w:val="20"/>
              </w:rPr>
              <w:t>r</w:t>
            </w:r>
          </w:p>
        </w:tc>
        <w:tc>
          <w:tcPr>
            <w:tcW w:w="0" w:type="auto"/>
            <w:hideMark/>
          </w:tcPr>
          <w:p w14:paraId="678803D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808275E" w14:textId="77777777" w:rsidR="00000000" w:rsidRDefault="00832D71">
            <w:pPr>
              <w:pStyle w:val="a3"/>
              <w:spacing w:before="0" w:beforeAutospacing="0" w:after="0" w:afterAutospacing="0"/>
              <w:rPr>
                <w:sz w:val="20"/>
                <w:szCs w:val="20"/>
              </w:rPr>
            </w:pPr>
            <w:r>
              <w:rPr>
                <w:sz w:val="20"/>
                <w:szCs w:val="20"/>
                <w:u w:val="single"/>
              </w:rPr>
              <w:t>November 23, 202</w:t>
            </w:r>
            <w:r>
              <w:rPr>
                <w:sz w:val="20"/>
                <w:szCs w:val="20"/>
                <w:u w:val="single"/>
              </w:rPr>
              <w:t>2</w:t>
            </w:r>
          </w:p>
        </w:tc>
      </w:tr>
      <w:tr w:rsidR="00000000" w14:paraId="483BE67B" w14:textId="77777777">
        <w:trPr>
          <w:trHeight w:val="200"/>
          <w:tblCellSpacing w:w="15" w:type="dxa"/>
        </w:trPr>
        <w:tc>
          <w:tcPr>
            <w:tcW w:w="0" w:type="auto"/>
            <w:vAlign w:val="bottom"/>
            <w:hideMark/>
          </w:tcPr>
          <w:p w14:paraId="453EAD2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0868412" w14:textId="77777777" w:rsidR="00000000" w:rsidRDefault="00832D71">
            <w:pPr>
              <w:pStyle w:val="a3"/>
              <w:spacing w:before="0" w:beforeAutospacing="0" w:after="0" w:afterAutospacing="0"/>
              <w:rPr>
                <w:sz w:val="20"/>
                <w:szCs w:val="20"/>
              </w:rPr>
            </w:pPr>
            <w:r>
              <w:rPr>
                <w:sz w:val="20"/>
                <w:szCs w:val="20"/>
              </w:rPr>
              <w:t>(Lawrence C. Caldwell</w:t>
            </w:r>
            <w:r>
              <w:rPr>
                <w:sz w:val="20"/>
                <w:szCs w:val="20"/>
              </w:rPr>
              <w:t>)</w:t>
            </w:r>
          </w:p>
        </w:tc>
        <w:tc>
          <w:tcPr>
            <w:tcW w:w="0" w:type="auto"/>
            <w:hideMark/>
          </w:tcPr>
          <w:p w14:paraId="13856F8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114180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AE9E4A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9F507DF" w14:textId="77777777" w:rsidR="00000000" w:rsidRDefault="00832D71">
            <w:pPr>
              <w:pStyle w:val="a3"/>
              <w:spacing w:before="0" w:beforeAutospacing="0" w:after="0" w:afterAutospacing="0"/>
              <w:rPr>
                <w:sz w:val="20"/>
                <w:szCs w:val="20"/>
              </w:rPr>
            </w:pPr>
            <w:r>
              <w:rPr>
                <w:sz w:val="20"/>
                <w:szCs w:val="20"/>
              </w:rPr>
              <w:t> </w:t>
            </w:r>
          </w:p>
        </w:tc>
      </w:tr>
      <w:tr w:rsidR="00000000" w14:paraId="1A8F3F39" w14:textId="77777777">
        <w:trPr>
          <w:tblCellSpacing w:w="15" w:type="dxa"/>
        </w:trPr>
        <w:tc>
          <w:tcPr>
            <w:tcW w:w="0" w:type="auto"/>
            <w:vAlign w:val="bottom"/>
            <w:hideMark/>
          </w:tcPr>
          <w:p w14:paraId="3D05C8E3"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21F87BE4"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54B5A1FC"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57141750"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38CF3EF1"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01AE6617" w14:textId="77777777" w:rsidR="00000000" w:rsidRDefault="00832D71">
            <w:pPr>
              <w:pStyle w:val="a3"/>
              <w:spacing w:before="0" w:beforeAutospacing="0" w:after="0" w:afterAutospacing="0"/>
              <w:rPr>
                <w:sz w:val="12"/>
                <w:szCs w:val="12"/>
              </w:rPr>
            </w:pPr>
            <w:r>
              <w:rPr>
                <w:sz w:val="12"/>
                <w:szCs w:val="12"/>
              </w:rPr>
              <w:t> </w:t>
            </w:r>
          </w:p>
        </w:tc>
      </w:tr>
      <w:tr w:rsidR="00000000" w14:paraId="2421F157" w14:textId="77777777">
        <w:trPr>
          <w:trHeight w:val="200"/>
          <w:tblCellSpacing w:w="15" w:type="dxa"/>
        </w:trPr>
        <w:tc>
          <w:tcPr>
            <w:tcW w:w="0" w:type="auto"/>
            <w:vAlign w:val="bottom"/>
            <w:hideMark/>
          </w:tcPr>
          <w:p w14:paraId="04793066" w14:textId="77777777" w:rsidR="00000000" w:rsidRDefault="00832D71">
            <w:pPr>
              <w:pStyle w:val="a3"/>
              <w:spacing w:before="0" w:beforeAutospacing="0" w:after="0" w:afterAutospacing="0"/>
              <w:rPr>
                <w:sz w:val="20"/>
                <w:szCs w:val="20"/>
              </w:rPr>
            </w:pPr>
            <w:r>
              <w:rPr>
                <w:sz w:val="20"/>
                <w:szCs w:val="20"/>
              </w:rPr>
              <w:t>By</w:t>
            </w:r>
            <w:r>
              <w:rPr>
                <w:sz w:val="20"/>
                <w:szCs w:val="20"/>
              </w:rPr>
              <w:t>:</w:t>
            </w:r>
          </w:p>
        </w:tc>
        <w:tc>
          <w:tcPr>
            <w:tcW w:w="0" w:type="auto"/>
            <w:tcBorders>
              <w:bottom w:val="single" w:sz="4" w:space="0" w:color="auto"/>
            </w:tcBorders>
            <w:vAlign w:val="bottom"/>
            <w:hideMark/>
          </w:tcPr>
          <w:p w14:paraId="3842767F" w14:textId="77777777" w:rsidR="00000000" w:rsidRDefault="00832D71">
            <w:pPr>
              <w:pStyle w:val="a3"/>
              <w:spacing w:before="0" w:beforeAutospacing="0" w:after="0" w:afterAutospacing="0"/>
              <w:rPr>
                <w:sz w:val="20"/>
                <w:szCs w:val="20"/>
              </w:rPr>
            </w:pPr>
            <w:r>
              <w:rPr>
                <w:sz w:val="20"/>
                <w:szCs w:val="20"/>
              </w:rPr>
              <w:t>/s/ TERENCE J. CONNOR</w:t>
            </w:r>
            <w:r>
              <w:rPr>
                <w:sz w:val="20"/>
                <w:szCs w:val="20"/>
              </w:rPr>
              <w:t>S</w:t>
            </w:r>
          </w:p>
        </w:tc>
        <w:tc>
          <w:tcPr>
            <w:tcW w:w="0" w:type="auto"/>
            <w:hideMark/>
          </w:tcPr>
          <w:p w14:paraId="68C8BDE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8292F1C" w14:textId="77777777" w:rsidR="00000000" w:rsidRDefault="00832D71">
            <w:pPr>
              <w:pStyle w:val="a3"/>
              <w:spacing w:before="0" w:beforeAutospacing="0" w:after="0" w:afterAutospacing="0"/>
              <w:rPr>
                <w:sz w:val="20"/>
                <w:szCs w:val="20"/>
              </w:rPr>
            </w:pPr>
            <w:r>
              <w:rPr>
                <w:sz w:val="20"/>
                <w:szCs w:val="20"/>
              </w:rPr>
              <w:t>Superviso</w:t>
            </w:r>
            <w:r>
              <w:rPr>
                <w:sz w:val="20"/>
                <w:szCs w:val="20"/>
              </w:rPr>
              <w:t>r</w:t>
            </w:r>
          </w:p>
        </w:tc>
        <w:tc>
          <w:tcPr>
            <w:tcW w:w="0" w:type="auto"/>
            <w:hideMark/>
          </w:tcPr>
          <w:p w14:paraId="5F01453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EC985E1" w14:textId="77777777" w:rsidR="00000000" w:rsidRDefault="00832D71">
            <w:pPr>
              <w:pStyle w:val="a3"/>
              <w:spacing w:before="0" w:beforeAutospacing="0" w:after="0" w:afterAutospacing="0"/>
              <w:rPr>
                <w:sz w:val="20"/>
                <w:szCs w:val="20"/>
              </w:rPr>
            </w:pPr>
            <w:r>
              <w:rPr>
                <w:sz w:val="20"/>
                <w:szCs w:val="20"/>
                <w:u w:val="single"/>
              </w:rPr>
              <w:t>November 23, 202</w:t>
            </w:r>
            <w:r>
              <w:rPr>
                <w:sz w:val="20"/>
                <w:szCs w:val="20"/>
                <w:u w:val="single"/>
              </w:rPr>
              <w:t>2</w:t>
            </w:r>
          </w:p>
        </w:tc>
      </w:tr>
      <w:tr w:rsidR="00000000" w14:paraId="06B3818D" w14:textId="77777777">
        <w:trPr>
          <w:trHeight w:val="200"/>
          <w:tblCellSpacing w:w="15" w:type="dxa"/>
        </w:trPr>
        <w:tc>
          <w:tcPr>
            <w:tcW w:w="0" w:type="auto"/>
            <w:vAlign w:val="bottom"/>
            <w:hideMark/>
          </w:tcPr>
          <w:p w14:paraId="45345FF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552338B" w14:textId="77777777" w:rsidR="00000000" w:rsidRDefault="00832D71">
            <w:pPr>
              <w:pStyle w:val="a3"/>
              <w:spacing w:before="0" w:beforeAutospacing="0" w:after="0" w:afterAutospacing="0"/>
              <w:rPr>
                <w:sz w:val="20"/>
                <w:szCs w:val="20"/>
              </w:rPr>
            </w:pPr>
            <w:r>
              <w:rPr>
                <w:sz w:val="20"/>
                <w:szCs w:val="20"/>
              </w:rPr>
              <w:t>(Terence J. Connors</w:t>
            </w:r>
            <w:r>
              <w:rPr>
                <w:sz w:val="20"/>
                <w:szCs w:val="20"/>
              </w:rPr>
              <w:t>)</w:t>
            </w:r>
          </w:p>
        </w:tc>
        <w:tc>
          <w:tcPr>
            <w:tcW w:w="0" w:type="auto"/>
            <w:hideMark/>
          </w:tcPr>
          <w:p w14:paraId="3D90007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86D913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E68E49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9164721" w14:textId="77777777" w:rsidR="00000000" w:rsidRDefault="00832D71">
            <w:pPr>
              <w:pStyle w:val="a3"/>
              <w:spacing w:before="0" w:beforeAutospacing="0" w:after="0" w:afterAutospacing="0"/>
              <w:rPr>
                <w:sz w:val="20"/>
                <w:szCs w:val="20"/>
              </w:rPr>
            </w:pPr>
            <w:r>
              <w:rPr>
                <w:sz w:val="20"/>
                <w:szCs w:val="20"/>
              </w:rPr>
              <w:t> </w:t>
            </w:r>
          </w:p>
        </w:tc>
      </w:tr>
      <w:tr w:rsidR="00000000" w14:paraId="6AD322B5" w14:textId="77777777">
        <w:trPr>
          <w:tblCellSpacing w:w="15" w:type="dxa"/>
        </w:trPr>
        <w:tc>
          <w:tcPr>
            <w:tcW w:w="0" w:type="auto"/>
            <w:vAlign w:val="bottom"/>
            <w:hideMark/>
          </w:tcPr>
          <w:p w14:paraId="2F7DB96B"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053F0462"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5D97D427"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24B2D0FC"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7B080DD6"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7F07D714" w14:textId="77777777" w:rsidR="00000000" w:rsidRDefault="00832D71">
            <w:pPr>
              <w:pStyle w:val="a3"/>
              <w:spacing w:before="0" w:beforeAutospacing="0" w:after="0" w:afterAutospacing="0"/>
              <w:rPr>
                <w:sz w:val="12"/>
                <w:szCs w:val="12"/>
              </w:rPr>
            </w:pPr>
            <w:r>
              <w:rPr>
                <w:sz w:val="12"/>
                <w:szCs w:val="12"/>
              </w:rPr>
              <w:t> </w:t>
            </w:r>
          </w:p>
        </w:tc>
      </w:tr>
      <w:tr w:rsidR="00000000" w14:paraId="3AA3B1DA" w14:textId="77777777">
        <w:trPr>
          <w:trHeight w:val="200"/>
          <w:tblCellSpacing w:w="15" w:type="dxa"/>
        </w:trPr>
        <w:tc>
          <w:tcPr>
            <w:tcW w:w="0" w:type="auto"/>
            <w:vAlign w:val="bottom"/>
            <w:hideMark/>
          </w:tcPr>
          <w:p w14:paraId="40E7711D" w14:textId="77777777" w:rsidR="00000000" w:rsidRDefault="00832D71">
            <w:pPr>
              <w:pStyle w:val="a3"/>
              <w:spacing w:before="0" w:beforeAutospacing="0" w:after="0" w:afterAutospacing="0"/>
              <w:rPr>
                <w:sz w:val="20"/>
                <w:szCs w:val="20"/>
              </w:rPr>
            </w:pPr>
            <w:r>
              <w:rPr>
                <w:sz w:val="20"/>
                <w:szCs w:val="20"/>
              </w:rPr>
              <w:t>By</w:t>
            </w:r>
            <w:r>
              <w:rPr>
                <w:sz w:val="20"/>
                <w:szCs w:val="20"/>
              </w:rPr>
              <w:t>:</w:t>
            </w:r>
          </w:p>
        </w:tc>
        <w:tc>
          <w:tcPr>
            <w:tcW w:w="0" w:type="auto"/>
            <w:tcBorders>
              <w:bottom w:val="single" w:sz="4" w:space="0" w:color="auto"/>
            </w:tcBorders>
            <w:vAlign w:val="bottom"/>
            <w:hideMark/>
          </w:tcPr>
          <w:p w14:paraId="09EB4D04" w14:textId="77777777" w:rsidR="00000000" w:rsidRDefault="00832D71">
            <w:pPr>
              <w:pStyle w:val="a3"/>
              <w:spacing w:before="0" w:beforeAutospacing="0" w:after="0" w:afterAutospacing="0"/>
              <w:rPr>
                <w:sz w:val="20"/>
                <w:szCs w:val="20"/>
              </w:rPr>
            </w:pPr>
            <w:r>
              <w:rPr>
                <w:sz w:val="20"/>
                <w:szCs w:val="20"/>
              </w:rPr>
              <w:t>/s/ WILLIAM M. LANDUY</w:t>
            </w:r>
            <w:r>
              <w:rPr>
                <w:sz w:val="20"/>
                <w:szCs w:val="20"/>
              </w:rPr>
              <w:t>T</w:t>
            </w:r>
          </w:p>
        </w:tc>
        <w:tc>
          <w:tcPr>
            <w:tcW w:w="0" w:type="auto"/>
            <w:hideMark/>
          </w:tcPr>
          <w:p w14:paraId="22F6400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C027759" w14:textId="77777777" w:rsidR="00000000" w:rsidRDefault="00832D71">
            <w:pPr>
              <w:pStyle w:val="a3"/>
              <w:spacing w:before="0" w:beforeAutospacing="0" w:after="0" w:afterAutospacing="0"/>
              <w:rPr>
                <w:sz w:val="20"/>
                <w:szCs w:val="20"/>
              </w:rPr>
            </w:pPr>
            <w:r>
              <w:rPr>
                <w:sz w:val="20"/>
                <w:szCs w:val="20"/>
              </w:rPr>
              <w:t>Superviso</w:t>
            </w:r>
            <w:r>
              <w:rPr>
                <w:sz w:val="20"/>
                <w:szCs w:val="20"/>
              </w:rPr>
              <w:t>r</w:t>
            </w:r>
          </w:p>
        </w:tc>
        <w:tc>
          <w:tcPr>
            <w:tcW w:w="0" w:type="auto"/>
            <w:hideMark/>
          </w:tcPr>
          <w:p w14:paraId="65A97D6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23BC93B" w14:textId="77777777" w:rsidR="00000000" w:rsidRDefault="00832D71">
            <w:pPr>
              <w:pStyle w:val="a3"/>
              <w:spacing w:before="0" w:beforeAutospacing="0" w:after="0" w:afterAutospacing="0"/>
              <w:rPr>
                <w:sz w:val="20"/>
                <w:szCs w:val="20"/>
              </w:rPr>
            </w:pPr>
            <w:r>
              <w:rPr>
                <w:sz w:val="20"/>
                <w:szCs w:val="20"/>
                <w:u w:val="single"/>
              </w:rPr>
              <w:t>November 23, 202</w:t>
            </w:r>
            <w:r>
              <w:rPr>
                <w:sz w:val="20"/>
                <w:szCs w:val="20"/>
                <w:u w:val="single"/>
              </w:rPr>
              <w:t>2</w:t>
            </w:r>
          </w:p>
        </w:tc>
      </w:tr>
      <w:tr w:rsidR="00000000" w14:paraId="3B00E0B0" w14:textId="77777777">
        <w:trPr>
          <w:trHeight w:val="200"/>
          <w:tblCellSpacing w:w="15" w:type="dxa"/>
        </w:trPr>
        <w:tc>
          <w:tcPr>
            <w:tcW w:w="0" w:type="auto"/>
            <w:vAlign w:val="bottom"/>
            <w:hideMark/>
          </w:tcPr>
          <w:p w14:paraId="34EAD4B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FEFF049" w14:textId="77777777" w:rsidR="00000000" w:rsidRDefault="00832D71">
            <w:pPr>
              <w:pStyle w:val="a3"/>
              <w:spacing w:before="0" w:beforeAutospacing="0" w:after="0" w:afterAutospacing="0"/>
              <w:rPr>
                <w:sz w:val="20"/>
                <w:szCs w:val="20"/>
              </w:rPr>
            </w:pPr>
            <w:r>
              <w:rPr>
                <w:sz w:val="20"/>
                <w:szCs w:val="20"/>
              </w:rPr>
              <w:t>(William M. Landuyt</w:t>
            </w:r>
            <w:r>
              <w:rPr>
                <w:sz w:val="20"/>
                <w:szCs w:val="20"/>
              </w:rPr>
              <w:t>)</w:t>
            </w:r>
          </w:p>
        </w:tc>
        <w:tc>
          <w:tcPr>
            <w:tcW w:w="0" w:type="auto"/>
            <w:hideMark/>
          </w:tcPr>
          <w:p w14:paraId="22E1FF0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300A51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AC9B05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67E6BF9" w14:textId="77777777" w:rsidR="00000000" w:rsidRDefault="00832D71">
            <w:pPr>
              <w:pStyle w:val="a3"/>
              <w:spacing w:before="0" w:beforeAutospacing="0" w:after="0" w:afterAutospacing="0"/>
              <w:rPr>
                <w:sz w:val="20"/>
                <w:szCs w:val="20"/>
              </w:rPr>
            </w:pPr>
            <w:r>
              <w:rPr>
                <w:sz w:val="20"/>
                <w:szCs w:val="20"/>
              </w:rPr>
              <w:t> </w:t>
            </w:r>
          </w:p>
        </w:tc>
      </w:tr>
      <w:tr w:rsidR="00000000" w14:paraId="69B44851" w14:textId="77777777">
        <w:trPr>
          <w:tblCellSpacing w:w="15" w:type="dxa"/>
        </w:trPr>
        <w:tc>
          <w:tcPr>
            <w:tcW w:w="0" w:type="auto"/>
            <w:vAlign w:val="bottom"/>
            <w:hideMark/>
          </w:tcPr>
          <w:p w14:paraId="2BB88061"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6021C4CE"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0A87FC30"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1DE27FC0"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154BB913"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1507DCF4" w14:textId="77777777" w:rsidR="00000000" w:rsidRDefault="00832D71">
            <w:pPr>
              <w:pStyle w:val="a3"/>
              <w:spacing w:before="0" w:beforeAutospacing="0" w:after="0" w:afterAutospacing="0"/>
              <w:rPr>
                <w:sz w:val="12"/>
                <w:szCs w:val="12"/>
              </w:rPr>
            </w:pPr>
            <w:r>
              <w:rPr>
                <w:sz w:val="12"/>
                <w:szCs w:val="12"/>
              </w:rPr>
              <w:t> </w:t>
            </w:r>
          </w:p>
        </w:tc>
      </w:tr>
      <w:tr w:rsidR="00000000" w14:paraId="35A4E03C" w14:textId="77777777">
        <w:trPr>
          <w:trHeight w:val="200"/>
          <w:tblCellSpacing w:w="15" w:type="dxa"/>
        </w:trPr>
        <w:tc>
          <w:tcPr>
            <w:tcW w:w="0" w:type="auto"/>
            <w:vAlign w:val="bottom"/>
            <w:hideMark/>
          </w:tcPr>
          <w:p w14:paraId="444736CC" w14:textId="77777777" w:rsidR="00000000" w:rsidRDefault="00832D71">
            <w:pPr>
              <w:pStyle w:val="a3"/>
              <w:spacing w:before="0" w:beforeAutospacing="0" w:after="0" w:afterAutospacing="0"/>
              <w:rPr>
                <w:sz w:val="20"/>
                <w:szCs w:val="20"/>
              </w:rPr>
            </w:pPr>
            <w:r>
              <w:rPr>
                <w:sz w:val="20"/>
                <w:szCs w:val="20"/>
              </w:rPr>
              <w:t>By</w:t>
            </w:r>
            <w:r>
              <w:rPr>
                <w:sz w:val="20"/>
                <w:szCs w:val="20"/>
              </w:rPr>
              <w:t>:</w:t>
            </w:r>
          </w:p>
        </w:tc>
        <w:tc>
          <w:tcPr>
            <w:tcW w:w="0" w:type="auto"/>
            <w:tcBorders>
              <w:bottom w:val="single" w:sz="4" w:space="0" w:color="auto"/>
            </w:tcBorders>
            <w:vAlign w:val="bottom"/>
            <w:hideMark/>
          </w:tcPr>
          <w:p w14:paraId="7B0E151C" w14:textId="77777777" w:rsidR="00000000" w:rsidRDefault="00832D71">
            <w:pPr>
              <w:pStyle w:val="a3"/>
              <w:spacing w:before="0" w:beforeAutospacing="0" w:after="0" w:afterAutospacing="0"/>
              <w:rPr>
                <w:sz w:val="20"/>
                <w:szCs w:val="20"/>
              </w:rPr>
            </w:pPr>
            <w:r>
              <w:rPr>
                <w:sz w:val="20"/>
                <w:szCs w:val="20"/>
              </w:rPr>
              <w:t>/s/ MICHAEL A. KUGLI</w:t>
            </w:r>
            <w:r>
              <w:rPr>
                <w:sz w:val="20"/>
                <w:szCs w:val="20"/>
              </w:rPr>
              <w:t>N</w:t>
            </w:r>
          </w:p>
        </w:tc>
        <w:tc>
          <w:tcPr>
            <w:tcW w:w="0" w:type="auto"/>
            <w:hideMark/>
          </w:tcPr>
          <w:p w14:paraId="664CCDA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B7B6574" w14:textId="77777777" w:rsidR="00000000" w:rsidRDefault="00832D71">
            <w:pPr>
              <w:pStyle w:val="a3"/>
              <w:spacing w:before="0" w:beforeAutospacing="0" w:after="0" w:afterAutospacing="0"/>
              <w:rPr>
                <w:sz w:val="20"/>
                <w:szCs w:val="20"/>
              </w:rPr>
            </w:pPr>
            <w:r>
              <w:rPr>
                <w:sz w:val="20"/>
                <w:szCs w:val="20"/>
              </w:rPr>
              <w:t>Chief Financial Officer an</w:t>
            </w:r>
            <w:r>
              <w:rPr>
                <w:sz w:val="20"/>
                <w:szCs w:val="20"/>
              </w:rPr>
              <w:t>d</w:t>
            </w:r>
          </w:p>
        </w:tc>
        <w:tc>
          <w:tcPr>
            <w:tcW w:w="0" w:type="auto"/>
            <w:hideMark/>
          </w:tcPr>
          <w:p w14:paraId="37EFD36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68EF6F6" w14:textId="77777777" w:rsidR="00000000" w:rsidRDefault="00832D71">
            <w:pPr>
              <w:pStyle w:val="a3"/>
              <w:spacing w:before="0" w:beforeAutospacing="0" w:after="0" w:afterAutospacing="0"/>
              <w:rPr>
                <w:sz w:val="20"/>
                <w:szCs w:val="20"/>
              </w:rPr>
            </w:pPr>
            <w:r>
              <w:rPr>
                <w:sz w:val="20"/>
                <w:szCs w:val="20"/>
                <w:u w:val="single"/>
              </w:rPr>
              <w:t>November 23, 202</w:t>
            </w:r>
            <w:r>
              <w:rPr>
                <w:sz w:val="20"/>
                <w:szCs w:val="20"/>
                <w:u w:val="single"/>
              </w:rPr>
              <w:t>2</w:t>
            </w:r>
          </w:p>
        </w:tc>
      </w:tr>
      <w:tr w:rsidR="00000000" w14:paraId="7D3BB51E" w14:textId="77777777">
        <w:trPr>
          <w:trHeight w:val="200"/>
          <w:tblCellSpacing w:w="15" w:type="dxa"/>
        </w:trPr>
        <w:tc>
          <w:tcPr>
            <w:tcW w:w="0" w:type="auto"/>
            <w:vAlign w:val="bottom"/>
            <w:hideMark/>
          </w:tcPr>
          <w:p w14:paraId="113B1F5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42EE3CA" w14:textId="77777777" w:rsidR="00000000" w:rsidRDefault="00832D71">
            <w:pPr>
              <w:pStyle w:val="a3"/>
              <w:spacing w:before="0" w:beforeAutospacing="0" w:after="0" w:afterAutospacing="0"/>
              <w:rPr>
                <w:sz w:val="20"/>
                <w:szCs w:val="20"/>
              </w:rPr>
            </w:pPr>
            <w:r>
              <w:rPr>
                <w:sz w:val="20"/>
                <w:szCs w:val="20"/>
              </w:rPr>
              <w:t>(Michael A. Kuglin</w:t>
            </w:r>
            <w:r>
              <w:rPr>
                <w:sz w:val="20"/>
                <w:szCs w:val="20"/>
              </w:rPr>
              <w:t>)</w:t>
            </w:r>
          </w:p>
        </w:tc>
        <w:tc>
          <w:tcPr>
            <w:tcW w:w="0" w:type="auto"/>
            <w:hideMark/>
          </w:tcPr>
          <w:p w14:paraId="35E58E4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2902816" w14:textId="77777777" w:rsidR="00000000" w:rsidRDefault="00832D71">
            <w:pPr>
              <w:pStyle w:val="a3"/>
              <w:spacing w:before="0" w:beforeAutospacing="0" w:after="0" w:afterAutospacing="0"/>
              <w:rPr>
                <w:sz w:val="20"/>
                <w:szCs w:val="20"/>
              </w:rPr>
            </w:pPr>
            <w:r>
              <w:rPr>
                <w:sz w:val="20"/>
                <w:szCs w:val="20"/>
              </w:rPr>
              <w:t>  Chief Accounting Office</w:t>
            </w:r>
            <w:r>
              <w:rPr>
                <w:sz w:val="20"/>
                <w:szCs w:val="20"/>
              </w:rPr>
              <w:t>r</w:t>
            </w:r>
          </w:p>
        </w:tc>
        <w:tc>
          <w:tcPr>
            <w:tcW w:w="0" w:type="auto"/>
            <w:hideMark/>
          </w:tcPr>
          <w:p w14:paraId="2F5EBC3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0677D38" w14:textId="77777777" w:rsidR="00000000" w:rsidRDefault="00832D71">
            <w:pPr>
              <w:pStyle w:val="a3"/>
              <w:spacing w:before="0" w:beforeAutospacing="0" w:after="0" w:afterAutospacing="0"/>
              <w:rPr>
                <w:sz w:val="20"/>
                <w:szCs w:val="20"/>
              </w:rPr>
            </w:pPr>
            <w:r>
              <w:rPr>
                <w:sz w:val="20"/>
                <w:szCs w:val="20"/>
              </w:rPr>
              <w:t> </w:t>
            </w:r>
          </w:p>
        </w:tc>
      </w:tr>
      <w:tr w:rsidR="00000000" w14:paraId="3A3D3088" w14:textId="77777777">
        <w:trPr>
          <w:tblCellSpacing w:w="15" w:type="dxa"/>
        </w:trPr>
        <w:tc>
          <w:tcPr>
            <w:tcW w:w="0" w:type="auto"/>
            <w:vAlign w:val="bottom"/>
            <w:hideMark/>
          </w:tcPr>
          <w:p w14:paraId="76A02FB0"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7A527370"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48237D4F"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148B0FA7"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35E425E0"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0C8DE2A9" w14:textId="77777777" w:rsidR="00000000" w:rsidRDefault="00832D71">
            <w:pPr>
              <w:pStyle w:val="a3"/>
              <w:spacing w:before="0" w:beforeAutospacing="0" w:after="0" w:afterAutospacing="0"/>
              <w:rPr>
                <w:sz w:val="12"/>
                <w:szCs w:val="12"/>
              </w:rPr>
            </w:pPr>
            <w:r>
              <w:rPr>
                <w:sz w:val="12"/>
                <w:szCs w:val="12"/>
              </w:rPr>
              <w:t> </w:t>
            </w:r>
          </w:p>
        </w:tc>
      </w:tr>
      <w:tr w:rsidR="00000000" w14:paraId="6C64DDA0" w14:textId="77777777">
        <w:trPr>
          <w:trHeight w:val="200"/>
          <w:tblCellSpacing w:w="15" w:type="dxa"/>
        </w:trPr>
        <w:tc>
          <w:tcPr>
            <w:tcW w:w="0" w:type="auto"/>
            <w:vAlign w:val="bottom"/>
            <w:hideMark/>
          </w:tcPr>
          <w:p w14:paraId="587BA1A7" w14:textId="77777777" w:rsidR="00000000" w:rsidRDefault="00832D71">
            <w:pPr>
              <w:pStyle w:val="a3"/>
              <w:spacing w:before="0" w:beforeAutospacing="0" w:after="0" w:afterAutospacing="0"/>
              <w:rPr>
                <w:sz w:val="20"/>
                <w:szCs w:val="20"/>
              </w:rPr>
            </w:pPr>
            <w:r>
              <w:rPr>
                <w:sz w:val="20"/>
                <w:szCs w:val="20"/>
              </w:rPr>
              <w:t>By</w:t>
            </w:r>
            <w:r>
              <w:rPr>
                <w:sz w:val="20"/>
                <w:szCs w:val="20"/>
              </w:rPr>
              <w:t>:</w:t>
            </w:r>
          </w:p>
        </w:tc>
        <w:tc>
          <w:tcPr>
            <w:tcW w:w="0" w:type="auto"/>
            <w:tcBorders>
              <w:bottom w:val="single" w:sz="4" w:space="0" w:color="auto"/>
            </w:tcBorders>
            <w:vAlign w:val="bottom"/>
            <w:hideMark/>
          </w:tcPr>
          <w:p w14:paraId="19F5721D" w14:textId="77777777" w:rsidR="00000000" w:rsidRDefault="00832D71">
            <w:pPr>
              <w:pStyle w:val="a3"/>
              <w:spacing w:before="0" w:beforeAutospacing="0" w:after="0" w:afterAutospacing="0"/>
              <w:rPr>
                <w:sz w:val="20"/>
                <w:szCs w:val="20"/>
              </w:rPr>
            </w:pPr>
            <w:r>
              <w:rPr>
                <w:sz w:val="20"/>
                <w:szCs w:val="20"/>
              </w:rPr>
              <w:t>/s/ DANIEL S. BLOOMSTEI</w:t>
            </w:r>
            <w:r>
              <w:rPr>
                <w:sz w:val="20"/>
                <w:szCs w:val="20"/>
              </w:rPr>
              <w:t>N</w:t>
            </w:r>
          </w:p>
        </w:tc>
        <w:tc>
          <w:tcPr>
            <w:tcW w:w="0" w:type="auto"/>
            <w:hideMark/>
          </w:tcPr>
          <w:p w14:paraId="7827925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125B1E1" w14:textId="77777777" w:rsidR="00000000" w:rsidRDefault="00832D71">
            <w:pPr>
              <w:pStyle w:val="a3"/>
              <w:spacing w:before="0" w:beforeAutospacing="0" w:after="0" w:afterAutospacing="0"/>
              <w:rPr>
                <w:sz w:val="20"/>
                <w:szCs w:val="20"/>
              </w:rPr>
            </w:pPr>
            <w:r>
              <w:rPr>
                <w:sz w:val="20"/>
                <w:szCs w:val="20"/>
              </w:rPr>
              <w:t>Vice President and Controlle</w:t>
            </w:r>
            <w:r>
              <w:rPr>
                <w:sz w:val="20"/>
                <w:szCs w:val="20"/>
              </w:rPr>
              <w:t>r</w:t>
            </w:r>
          </w:p>
        </w:tc>
        <w:tc>
          <w:tcPr>
            <w:tcW w:w="0" w:type="auto"/>
            <w:hideMark/>
          </w:tcPr>
          <w:p w14:paraId="3E25C6E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A4C4E4E" w14:textId="77777777" w:rsidR="00000000" w:rsidRDefault="00832D71">
            <w:pPr>
              <w:pStyle w:val="a3"/>
              <w:spacing w:before="0" w:beforeAutospacing="0" w:after="0" w:afterAutospacing="0"/>
              <w:rPr>
                <w:sz w:val="20"/>
                <w:szCs w:val="20"/>
              </w:rPr>
            </w:pPr>
            <w:r>
              <w:rPr>
                <w:sz w:val="20"/>
                <w:szCs w:val="20"/>
                <w:u w:val="single"/>
              </w:rPr>
              <w:t>November 23, 202</w:t>
            </w:r>
            <w:r>
              <w:rPr>
                <w:sz w:val="20"/>
                <w:szCs w:val="20"/>
                <w:u w:val="single"/>
              </w:rPr>
              <w:t>2</w:t>
            </w:r>
          </w:p>
        </w:tc>
      </w:tr>
      <w:tr w:rsidR="00000000" w14:paraId="39705415" w14:textId="77777777">
        <w:trPr>
          <w:trHeight w:val="200"/>
          <w:tblCellSpacing w:w="15" w:type="dxa"/>
        </w:trPr>
        <w:tc>
          <w:tcPr>
            <w:tcW w:w="0" w:type="auto"/>
            <w:vAlign w:val="bottom"/>
            <w:hideMark/>
          </w:tcPr>
          <w:p w14:paraId="7497346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7C2B8EC" w14:textId="77777777" w:rsidR="00000000" w:rsidRDefault="00832D71">
            <w:pPr>
              <w:pStyle w:val="a3"/>
              <w:spacing w:before="0" w:beforeAutospacing="0" w:after="0" w:afterAutospacing="0"/>
              <w:rPr>
                <w:sz w:val="20"/>
                <w:szCs w:val="20"/>
              </w:rPr>
            </w:pPr>
            <w:r>
              <w:rPr>
                <w:sz w:val="20"/>
                <w:szCs w:val="20"/>
              </w:rPr>
              <w:t>(Daniel S. Bloomstein</w:t>
            </w:r>
            <w:r>
              <w:rPr>
                <w:sz w:val="20"/>
                <w:szCs w:val="20"/>
              </w:rPr>
              <w:t>)</w:t>
            </w:r>
          </w:p>
        </w:tc>
        <w:tc>
          <w:tcPr>
            <w:tcW w:w="0" w:type="auto"/>
            <w:hideMark/>
          </w:tcPr>
          <w:p w14:paraId="343D1DA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7A7B3C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7A811B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5BD4798" w14:textId="77777777" w:rsidR="00000000" w:rsidRDefault="00832D71">
            <w:pPr>
              <w:pStyle w:val="a3"/>
              <w:spacing w:before="0" w:beforeAutospacing="0" w:after="0" w:afterAutospacing="0"/>
              <w:rPr>
                <w:sz w:val="20"/>
                <w:szCs w:val="20"/>
              </w:rPr>
            </w:pPr>
            <w:r>
              <w:rPr>
                <w:sz w:val="20"/>
                <w:szCs w:val="20"/>
              </w:rPr>
              <w:t> </w:t>
            </w:r>
          </w:p>
        </w:tc>
      </w:tr>
    </w:tbl>
    <w:p w14:paraId="25567682" w14:textId="77777777" w:rsidR="00000000" w:rsidRDefault="00832D71">
      <w:pPr>
        <w:pStyle w:val="a3"/>
        <w:spacing w:before="0" w:beforeAutospacing="0" w:after="0" w:afterAutospacing="0"/>
        <w:jc w:val="both"/>
        <w:rPr>
          <w:sz w:val="20"/>
          <w:szCs w:val="20"/>
        </w:rPr>
      </w:pPr>
      <w:r>
        <w:rPr>
          <w:sz w:val="20"/>
          <w:szCs w:val="20"/>
        </w:rPr>
        <w:t> </w:t>
      </w:r>
    </w:p>
    <w:p w14:paraId="010D1AA5" w14:textId="77777777" w:rsidR="00000000" w:rsidRDefault="00832D71">
      <w:pPr>
        <w:pStyle w:val="a3"/>
        <w:spacing w:before="0" w:beforeAutospacing="0" w:after="0" w:afterAutospacing="0"/>
        <w:jc w:val="center"/>
        <w:rPr>
          <w:sz w:val="20"/>
          <w:szCs w:val="20"/>
        </w:rPr>
      </w:pPr>
      <w:r>
        <w:rPr>
          <w:sz w:val="20"/>
          <w:szCs w:val="20"/>
        </w:rPr>
        <w:t> </w:t>
      </w:r>
    </w:p>
    <w:p w14:paraId="6EC3CF01" w14:textId="77777777" w:rsidR="00000000" w:rsidRDefault="00832D71">
      <w:pPr>
        <w:pStyle w:val="a3"/>
        <w:spacing w:before="0" w:beforeAutospacing="0" w:after="0" w:afterAutospacing="0"/>
        <w:jc w:val="center"/>
        <w:rPr>
          <w:sz w:val="20"/>
          <w:szCs w:val="20"/>
        </w:rPr>
      </w:pPr>
      <w:r>
        <w:rPr>
          <w:sz w:val="20"/>
          <w:szCs w:val="20"/>
        </w:rPr>
        <w:t>9</w:t>
      </w:r>
      <w:r>
        <w:rPr>
          <w:sz w:val="20"/>
          <w:szCs w:val="20"/>
        </w:rPr>
        <w:t>2</w:t>
      </w:r>
    </w:p>
    <w:p w14:paraId="68E959DD" w14:textId="77777777" w:rsidR="00000000" w:rsidRDefault="00832D71">
      <w:pPr>
        <w:rPr>
          <w:rFonts w:eastAsia="Times New Roman"/>
        </w:rPr>
      </w:pPr>
      <w:r>
        <w:rPr>
          <w:rFonts w:eastAsia="Times New Roman"/>
        </w:rPr>
        <w:pict w14:anchorId="096FC8DA">
          <v:rect id="_x0000_i1119" style="width:0;height:1.5pt" o:hralign="center" o:hrstd="t" o:hr="t" fillcolor="#a0a0a0" stroked="f"/>
        </w:pict>
      </w:r>
    </w:p>
    <w:p w14:paraId="5B296C71" w14:textId="77777777" w:rsidR="00000000" w:rsidRDefault="00832D71">
      <w:pPr>
        <w:pStyle w:val="a3"/>
        <w:spacing w:before="0" w:beforeAutospacing="0" w:after="0" w:afterAutospacing="0"/>
        <w:rPr>
          <w:sz w:val="20"/>
          <w:szCs w:val="20"/>
        </w:rPr>
      </w:pPr>
      <w:r>
        <w:rPr>
          <w:sz w:val="20"/>
          <w:szCs w:val="20"/>
        </w:rPr>
        <w:t> </w:t>
      </w:r>
    </w:p>
    <w:p w14:paraId="5F32203D" w14:textId="77777777" w:rsidR="00000000" w:rsidRDefault="00832D71">
      <w:pPr>
        <w:pStyle w:val="a3"/>
        <w:spacing w:before="0" w:beforeAutospacing="0" w:after="0" w:afterAutospacing="0"/>
        <w:jc w:val="center"/>
        <w:rPr>
          <w:sz w:val="20"/>
          <w:szCs w:val="20"/>
        </w:rPr>
      </w:pPr>
      <w:r>
        <w:rPr>
          <w:b/>
          <w:bCs/>
          <w:sz w:val="20"/>
          <w:szCs w:val="20"/>
        </w:rPr>
        <w:t>INDEX TO FINANCIAL STATEMENT</w:t>
      </w:r>
      <w:r>
        <w:rPr>
          <w:b/>
          <w:bCs/>
          <w:sz w:val="20"/>
          <w:szCs w:val="20"/>
        </w:rPr>
        <w:t>S</w:t>
      </w:r>
    </w:p>
    <w:p w14:paraId="210BA14C" w14:textId="77777777" w:rsidR="00000000" w:rsidRDefault="00832D71">
      <w:pPr>
        <w:pStyle w:val="a3"/>
        <w:spacing w:before="240" w:beforeAutospacing="0" w:after="0" w:afterAutospacing="0"/>
        <w:jc w:val="center"/>
        <w:rPr>
          <w:sz w:val="20"/>
          <w:szCs w:val="20"/>
        </w:rPr>
      </w:pPr>
      <w:r>
        <w:rPr>
          <w:b/>
          <w:bCs/>
          <w:sz w:val="20"/>
          <w:szCs w:val="20"/>
        </w:rPr>
        <w:t>SUBURBAN PROPANE PARTNERS, L.P. AND SUBSIDIARIE</w:t>
      </w:r>
      <w:r>
        <w:rPr>
          <w:b/>
          <w:bCs/>
          <w:sz w:val="20"/>
          <w:szCs w:val="20"/>
        </w:rPr>
        <w:t>S</w:t>
      </w:r>
    </w:p>
    <w:p w14:paraId="5637B1FB" w14:textId="77777777" w:rsidR="00000000" w:rsidRDefault="00832D7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78"/>
        <w:gridCol w:w="528"/>
      </w:tblGrid>
      <w:tr w:rsidR="00000000" w14:paraId="2B0750EF" w14:textId="77777777">
        <w:trPr>
          <w:tblCellSpacing w:w="15" w:type="dxa"/>
        </w:trPr>
        <w:tc>
          <w:tcPr>
            <w:tcW w:w="4705" w:type="pct"/>
            <w:vAlign w:val="center"/>
            <w:hideMark/>
          </w:tcPr>
          <w:p w14:paraId="31B3CE10" w14:textId="77777777" w:rsidR="00000000" w:rsidRDefault="00832D71">
            <w:pPr>
              <w:rPr>
                <w:sz w:val="20"/>
                <w:szCs w:val="20"/>
              </w:rPr>
            </w:pPr>
          </w:p>
        </w:tc>
        <w:tc>
          <w:tcPr>
            <w:tcW w:w="294" w:type="pct"/>
            <w:vAlign w:val="center"/>
            <w:hideMark/>
          </w:tcPr>
          <w:p w14:paraId="59F51A85" w14:textId="77777777" w:rsidR="00000000" w:rsidRDefault="00832D71">
            <w:pPr>
              <w:rPr>
                <w:rFonts w:eastAsia="Times New Roman"/>
                <w:sz w:val="20"/>
                <w:szCs w:val="20"/>
              </w:rPr>
            </w:pPr>
          </w:p>
        </w:tc>
      </w:tr>
      <w:tr w:rsidR="00000000" w14:paraId="0C57DC07" w14:textId="77777777">
        <w:trPr>
          <w:trHeight w:val="200"/>
          <w:tblCellSpacing w:w="15" w:type="dxa"/>
        </w:trPr>
        <w:tc>
          <w:tcPr>
            <w:tcW w:w="0" w:type="auto"/>
            <w:vAlign w:val="bottom"/>
            <w:hideMark/>
          </w:tcPr>
          <w:p w14:paraId="52B8BAE3"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13E67D0B" w14:textId="77777777" w:rsidR="00000000" w:rsidRDefault="00832D71">
            <w:pPr>
              <w:pStyle w:val="a3"/>
              <w:spacing w:before="0" w:beforeAutospacing="0" w:after="0" w:afterAutospacing="0"/>
              <w:jc w:val="center"/>
              <w:rPr>
                <w:sz w:val="20"/>
                <w:szCs w:val="20"/>
              </w:rPr>
            </w:pPr>
            <w:r>
              <w:rPr>
                <w:sz w:val="20"/>
                <w:szCs w:val="20"/>
              </w:rPr>
              <w:t>Pag</w:t>
            </w:r>
            <w:r>
              <w:rPr>
                <w:sz w:val="20"/>
                <w:szCs w:val="20"/>
              </w:rPr>
              <w:t>e</w:t>
            </w:r>
          </w:p>
        </w:tc>
      </w:tr>
      <w:tr w:rsidR="00000000" w14:paraId="7E34651A" w14:textId="77777777">
        <w:trPr>
          <w:tblCellSpacing w:w="15" w:type="dxa"/>
        </w:trPr>
        <w:tc>
          <w:tcPr>
            <w:tcW w:w="0" w:type="auto"/>
            <w:hideMark/>
          </w:tcPr>
          <w:p w14:paraId="21A0A188" w14:textId="77777777" w:rsidR="00000000" w:rsidRDefault="00832D71">
            <w:pPr>
              <w:pStyle w:val="a3"/>
              <w:spacing w:before="0" w:beforeAutospacing="0" w:after="0" w:afterAutospacing="0"/>
              <w:rPr>
                <w:sz w:val="12"/>
                <w:szCs w:val="12"/>
              </w:rPr>
            </w:pPr>
            <w:r>
              <w:rPr>
                <w:sz w:val="12"/>
                <w:szCs w:val="12"/>
              </w:rPr>
              <w:t> </w:t>
            </w:r>
          </w:p>
        </w:tc>
        <w:tc>
          <w:tcPr>
            <w:tcW w:w="0" w:type="auto"/>
            <w:hideMark/>
          </w:tcPr>
          <w:p w14:paraId="2A619F98" w14:textId="77777777" w:rsidR="00000000" w:rsidRDefault="00832D71">
            <w:pPr>
              <w:pStyle w:val="a3"/>
              <w:spacing w:before="0" w:beforeAutospacing="0" w:after="0" w:afterAutospacing="0"/>
              <w:rPr>
                <w:sz w:val="12"/>
                <w:szCs w:val="12"/>
              </w:rPr>
            </w:pPr>
            <w:r>
              <w:rPr>
                <w:sz w:val="12"/>
                <w:szCs w:val="12"/>
              </w:rPr>
              <w:t> </w:t>
            </w:r>
          </w:p>
        </w:tc>
      </w:tr>
      <w:tr w:rsidR="00000000" w14:paraId="15E84ABC" w14:textId="77777777">
        <w:trPr>
          <w:trHeight w:val="200"/>
          <w:tblCellSpacing w:w="15" w:type="dxa"/>
        </w:trPr>
        <w:tc>
          <w:tcPr>
            <w:tcW w:w="0" w:type="auto"/>
            <w:hideMark/>
          </w:tcPr>
          <w:p w14:paraId="3B17A350" w14:textId="77777777" w:rsidR="00000000" w:rsidRDefault="00832D71">
            <w:pPr>
              <w:pStyle w:val="a3"/>
              <w:spacing w:before="0" w:beforeAutospacing="0" w:after="0" w:afterAutospacing="0"/>
              <w:rPr>
                <w:sz w:val="20"/>
                <w:szCs w:val="20"/>
              </w:rPr>
            </w:pPr>
            <w:hyperlink w:anchor="report_independent_registered_public_ac" w:history="1">
              <w:r>
                <w:rPr>
                  <w:rStyle w:val="a4"/>
                  <w:sz w:val="20"/>
                  <w:szCs w:val="20"/>
                </w:rPr>
                <w:t>Report of Independent Registered Public Accounting Fir</w:t>
              </w:r>
              <w:r>
                <w:rPr>
                  <w:rStyle w:val="a4"/>
                  <w:sz w:val="20"/>
                  <w:szCs w:val="20"/>
                </w:rPr>
                <w:t>m</w:t>
              </w:r>
            </w:hyperlink>
            <w:r>
              <w:rPr>
                <w:sz w:val="20"/>
                <w:szCs w:val="20"/>
              </w:rPr>
              <w:t>  (PCAOB ID:</w:t>
            </w:r>
            <w:r>
              <w:rPr>
                <w:sz w:val="20"/>
                <w:szCs w:val="20"/>
              </w:rPr>
              <w:t xml:space="preserve"> </w:t>
            </w:r>
            <w:r>
              <w:rPr>
                <w:sz w:val="20"/>
                <w:szCs w:val="20"/>
              </w:rPr>
              <w:t>23</w:t>
            </w:r>
            <w:r>
              <w:rPr>
                <w:sz w:val="20"/>
                <w:szCs w:val="20"/>
              </w:rPr>
              <w:t>8</w:t>
            </w:r>
            <w:r>
              <w:rPr>
                <w:sz w:val="20"/>
                <w:szCs w:val="20"/>
              </w:rPr>
              <w:t>)</w:t>
            </w:r>
          </w:p>
        </w:tc>
        <w:tc>
          <w:tcPr>
            <w:tcW w:w="0" w:type="auto"/>
            <w:vAlign w:val="bottom"/>
            <w:hideMark/>
          </w:tcPr>
          <w:p w14:paraId="14E0FA20" w14:textId="77777777" w:rsidR="00000000" w:rsidRDefault="00832D71">
            <w:pPr>
              <w:pStyle w:val="a3"/>
              <w:spacing w:before="0" w:beforeAutospacing="0" w:after="0" w:afterAutospacing="0"/>
              <w:jc w:val="center"/>
              <w:rPr>
                <w:sz w:val="20"/>
                <w:szCs w:val="20"/>
              </w:rPr>
            </w:pPr>
            <w:r>
              <w:rPr>
                <w:sz w:val="20"/>
                <w:szCs w:val="20"/>
              </w:rPr>
              <w:t>F</w:t>
            </w:r>
            <w:r>
              <w:rPr>
                <w:sz w:val="20"/>
                <w:szCs w:val="20"/>
              </w:rPr>
              <w:t>-</w:t>
            </w:r>
            <w:r>
              <w:rPr>
                <w:sz w:val="20"/>
                <w:szCs w:val="20"/>
              </w:rPr>
              <w:t>2</w:t>
            </w:r>
          </w:p>
        </w:tc>
      </w:tr>
      <w:tr w:rsidR="00000000" w14:paraId="3B2A7FE0" w14:textId="77777777">
        <w:trPr>
          <w:tblCellSpacing w:w="15" w:type="dxa"/>
        </w:trPr>
        <w:tc>
          <w:tcPr>
            <w:tcW w:w="0" w:type="auto"/>
            <w:hideMark/>
          </w:tcPr>
          <w:p w14:paraId="0B87CF1D"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74214394"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7C4CB08B" w14:textId="77777777">
        <w:trPr>
          <w:trHeight w:val="200"/>
          <w:tblCellSpacing w:w="15" w:type="dxa"/>
        </w:trPr>
        <w:tc>
          <w:tcPr>
            <w:tcW w:w="0" w:type="auto"/>
            <w:hideMark/>
          </w:tcPr>
          <w:p w14:paraId="687878A2" w14:textId="77777777" w:rsidR="00000000" w:rsidRDefault="00832D71">
            <w:pPr>
              <w:pStyle w:val="a3"/>
              <w:spacing w:before="0" w:beforeAutospacing="0" w:after="0" w:afterAutospacing="0"/>
              <w:rPr>
                <w:sz w:val="20"/>
                <w:szCs w:val="20"/>
              </w:rPr>
            </w:pPr>
            <w:hyperlink w:anchor="consolidated_balance_sheets" w:history="1">
              <w:r>
                <w:rPr>
                  <w:rStyle w:val="a4"/>
                  <w:sz w:val="20"/>
                  <w:szCs w:val="20"/>
                </w:rPr>
                <w:t>Consolidated Balance Sheets – As of September 24, 2022 and September 25, 202</w:t>
              </w:r>
              <w:r>
                <w:rPr>
                  <w:rStyle w:val="a4"/>
                  <w:sz w:val="20"/>
                  <w:szCs w:val="20"/>
                </w:rPr>
                <w:t>1</w:t>
              </w:r>
            </w:hyperlink>
          </w:p>
        </w:tc>
        <w:tc>
          <w:tcPr>
            <w:tcW w:w="0" w:type="auto"/>
            <w:vAlign w:val="bottom"/>
            <w:hideMark/>
          </w:tcPr>
          <w:p w14:paraId="70B8CAE5" w14:textId="77777777" w:rsidR="00000000" w:rsidRDefault="00832D71">
            <w:pPr>
              <w:pStyle w:val="a3"/>
              <w:spacing w:before="0" w:beforeAutospacing="0" w:after="0" w:afterAutospacing="0"/>
              <w:jc w:val="center"/>
              <w:rPr>
                <w:sz w:val="20"/>
                <w:szCs w:val="20"/>
              </w:rPr>
            </w:pPr>
            <w:r>
              <w:rPr>
                <w:sz w:val="20"/>
                <w:szCs w:val="20"/>
              </w:rPr>
              <w:t>F</w:t>
            </w:r>
            <w:r>
              <w:rPr>
                <w:sz w:val="20"/>
                <w:szCs w:val="20"/>
              </w:rPr>
              <w:t>-</w:t>
            </w:r>
            <w:r>
              <w:rPr>
                <w:sz w:val="20"/>
                <w:szCs w:val="20"/>
              </w:rPr>
              <w:t>4</w:t>
            </w:r>
          </w:p>
        </w:tc>
      </w:tr>
      <w:tr w:rsidR="00000000" w14:paraId="390806A1" w14:textId="77777777">
        <w:trPr>
          <w:tblCellSpacing w:w="15" w:type="dxa"/>
        </w:trPr>
        <w:tc>
          <w:tcPr>
            <w:tcW w:w="0" w:type="auto"/>
            <w:hideMark/>
          </w:tcPr>
          <w:p w14:paraId="251DC05B"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01692047"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5C35FDBA" w14:textId="77777777">
        <w:trPr>
          <w:trHeight w:val="200"/>
          <w:tblCellSpacing w:w="15" w:type="dxa"/>
        </w:trPr>
        <w:tc>
          <w:tcPr>
            <w:tcW w:w="0" w:type="auto"/>
            <w:hideMark/>
          </w:tcPr>
          <w:p w14:paraId="03F3293B" w14:textId="77777777" w:rsidR="00000000" w:rsidRDefault="00832D71">
            <w:pPr>
              <w:pStyle w:val="a3"/>
              <w:spacing w:before="0" w:beforeAutospacing="0" w:after="0" w:afterAutospacing="0"/>
              <w:rPr>
                <w:sz w:val="20"/>
                <w:szCs w:val="20"/>
              </w:rPr>
            </w:pPr>
            <w:hyperlink w:anchor="consolidated_statements_operations" w:history="1">
              <w:r>
                <w:rPr>
                  <w:rStyle w:val="a4"/>
                  <w:sz w:val="20"/>
                  <w:szCs w:val="20"/>
                </w:rPr>
                <w:t>Consolidated Statements of Operations – Years Ended September 24, 2022, September 25, 2021 and September 26, 202</w:t>
              </w:r>
              <w:r>
                <w:rPr>
                  <w:rStyle w:val="a4"/>
                  <w:sz w:val="20"/>
                  <w:szCs w:val="20"/>
                </w:rPr>
                <w:t>0</w:t>
              </w:r>
            </w:hyperlink>
          </w:p>
        </w:tc>
        <w:tc>
          <w:tcPr>
            <w:tcW w:w="0" w:type="auto"/>
            <w:vAlign w:val="bottom"/>
            <w:hideMark/>
          </w:tcPr>
          <w:p w14:paraId="22817A1A" w14:textId="77777777" w:rsidR="00000000" w:rsidRDefault="00832D71">
            <w:pPr>
              <w:pStyle w:val="a3"/>
              <w:spacing w:before="0" w:beforeAutospacing="0" w:after="0" w:afterAutospacing="0"/>
              <w:jc w:val="center"/>
              <w:rPr>
                <w:sz w:val="20"/>
                <w:szCs w:val="20"/>
              </w:rPr>
            </w:pPr>
            <w:r>
              <w:rPr>
                <w:sz w:val="20"/>
                <w:szCs w:val="20"/>
              </w:rPr>
              <w:t>F</w:t>
            </w:r>
            <w:r>
              <w:rPr>
                <w:sz w:val="20"/>
                <w:szCs w:val="20"/>
              </w:rPr>
              <w:t>-</w:t>
            </w:r>
            <w:r>
              <w:rPr>
                <w:sz w:val="20"/>
                <w:szCs w:val="20"/>
              </w:rPr>
              <w:t>5</w:t>
            </w:r>
          </w:p>
        </w:tc>
      </w:tr>
      <w:tr w:rsidR="00000000" w14:paraId="2F19D51B" w14:textId="77777777">
        <w:trPr>
          <w:tblCellSpacing w:w="15" w:type="dxa"/>
        </w:trPr>
        <w:tc>
          <w:tcPr>
            <w:tcW w:w="0" w:type="auto"/>
            <w:hideMark/>
          </w:tcPr>
          <w:p w14:paraId="1E53B0F3"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0BB80EBB"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45EB2010" w14:textId="77777777">
        <w:trPr>
          <w:trHeight w:val="200"/>
          <w:tblCellSpacing w:w="15" w:type="dxa"/>
        </w:trPr>
        <w:tc>
          <w:tcPr>
            <w:tcW w:w="0" w:type="auto"/>
            <w:hideMark/>
          </w:tcPr>
          <w:p w14:paraId="0D1136FE" w14:textId="77777777" w:rsidR="00000000" w:rsidRDefault="00832D71">
            <w:pPr>
              <w:pStyle w:val="a3"/>
              <w:spacing w:before="0" w:beforeAutospacing="0" w:after="0" w:afterAutospacing="0"/>
              <w:rPr>
                <w:sz w:val="20"/>
                <w:szCs w:val="20"/>
              </w:rPr>
            </w:pPr>
            <w:hyperlink w:anchor="consolidated_statements_comprehensive_i" w:history="1">
              <w:r>
                <w:rPr>
                  <w:rStyle w:val="a4"/>
                  <w:sz w:val="20"/>
                  <w:szCs w:val="20"/>
                </w:rPr>
                <w:t xml:space="preserve">Consolidated </w:t>
              </w:r>
              <w:r>
                <w:rPr>
                  <w:rStyle w:val="a4"/>
                  <w:sz w:val="20"/>
                  <w:szCs w:val="20"/>
                </w:rPr>
                <w:t>Statements of Comprehensive Income – Years Ended September 24, 2022, September 25, 2021 and September 26, 202</w:t>
              </w:r>
              <w:r>
                <w:rPr>
                  <w:rStyle w:val="a4"/>
                  <w:sz w:val="20"/>
                  <w:szCs w:val="20"/>
                </w:rPr>
                <w:t>0</w:t>
              </w:r>
            </w:hyperlink>
          </w:p>
        </w:tc>
        <w:tc>
          <w:tcPr>
            <w:tcW w:w="0" w:type="auto"/>
            <w:vAlign w:val="bottom"/>
            <w:hideMark/>
          </w:tcPr>
          <w:p w14:paraId="68775B01" w14:textId="77777777" w:rsidR="00000000" w:rsidRDefault="00832D71">
            <w:pPr>
              <w:pStyle w:val="a3"/>
              <w:spacing w:before="0" w:beforeAutospacing="0" w:after="0" w:afterAutospacing="0"/>
              <w:jc w:val="center"/>
              <w:rPr>
                <w:sz w:val="20"/>
                <w:szCs w:val="20"/>
              </w:rPr>
            </w:pPr>
            <w:r>
              <w:rPr>
                <w:sz w:val="20"/>
                <w:szCs w:val="20"/>
              </w:rPr>
              <w:t>F</w:t>
            </w:r>
            <w:r>
              <w:rPr>
                <w:sz w:val="20"/>
                <w:szCs w:val="20"/>
              </w:rPr>
              <w:t>-</w:t>
            </w:r>
            <w:r>
              <w:rPr>
                <w:sz w:val="20"/>
                <w:szCs w:val="20"/>
              </w:rPr>
              <w:t>6</w:t>
            </w:r>
          </w:p>
        </w:tc>
      </w:tr>
      <w:tr w:rsidR="00000000" w14:paraId="3593A53D" w14:textId="77777777">
        <w:trPr>
          <w:tblCellSpacing w:w="15" w:type="dxa"/>
        </w:trPr>
        <w:tc>
          <w:tcPr>
            <w:tcW w:w="0" w:type="auto"/>
            <w:hideMark/>
          </w:tcPr>
          <w:p w14:paraId="6839D276"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0D4BF21B"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7F62A726" w14:textId="77777777">
        <w:trPr>
          <w:trHeight w:val="200"/>
          <w:tblCellSpacing w:w="15" w:type="dxa"/>
        </w:trPr>
        <w:tc>
          <w:tcPr>
            <w:tcW w:w="0" w:type="auto"/>
            <w:hideMark/>
          </w:tcPr>
          <w:p w14:paraId="7C36EE2C" w14:textId="77777777" w:rsidR="00000000" w:rsidRDefault="00832D71">
            <w:pPr>
              <w:pStyle w:val="a3"/>
              <w:spacing w:before="0" w:beforeAutospacing="0" w:after="0" w:afterAutospacing="0"/>
              <w:rPr>
                <w:sz w:val="20"/>
                <w:szCs w:val="20"/>
              </w:rPr>
            </w:pPr>
            <w:hyperlink w:anchor="consolidated_statements_cash_flows" w:history="1">
              <w:r>
                <w:rPr>
                  <w:rStyle w:val="a4"/>
                  <w:sz w:val="20"/>
                  <w:szCs w:val="20"/>
                </w:rPr>
                <w:t xml:space="preserve">Consolidated Statements of Cash Flows – </w:t>
              </w:r>
              <w:r>
                <w:rPr>
                  <w:rStyle w:val="a4"/>
                  <w:sz w:val="20"/>
                  <w:szCs w:val="20"/>
                </w:rPr>
                <w:t>Years Ended September 24, 2022, September 25, 2021 and September 26, 202</w:t>
              </w:r>
              <w:r>
                <w:rPr>
                  <w:rStyle w:val="a4"/>
                  <w:sz w:val="20"/>
                  <w:szCs w:val="20"/>
                </w:rPr>
                <w:t>0</w:t>
              </w:r>
            </w:hyperlink>
          </w:p>
        </w:tc>
        <w:tc>
          <w:tcPr>
            <w:tcW w:w="0" w:type="auto"/>
            <w:vAlign w:val="bottom"/>
            <w:hideMark/>
          </w:tcPr>
          <w:p w14:paraId="625C0618" w14:textId="77777777" w:rsidR="00000000" w:rsidRDefault="00832D71">
            <w:pPr>
              <w:pStyle w:val="a3"/>
              <w:spacing w:before="0" w:beforeAutospacing="0" w:after="0" w:afterAutospacing="0"/>
              <w:jc w:val="center"/>
              <w:rPr>
                <w:sz w:val="20"/>
                <w:szCs w:val="20"/>
              </w:rPr>
            </w:pPr>
            <w:r>
              <w:rPr>
                <w:sz w:val="20"/>
                <w:szCs w:val="20"/>
              </w:rPr>
              <w:t>F</w:t>
            </w:r>
            <w:r>
              <w:rPr>
                <w:sz w:val="20"/>
                <w:szCs w:val="20"/>
              </w:rPr>
              <w:t>-</w:t>
            </w:r>
            <w:r>
              <w:rPr>
                <w:sz w:val="20"/>
                <w:szCs w:val="20"/>
              </w:rPr>
              <w:t>7</w:t>
            </w:r>
          </w:p>
        </w:tc>
      </w:tr>
      <w:tr w:rsidR="00000000" w14:paraId="0CA867FB" w14:textId="77777777">
        <w:trPr>
          <w:tblCellSpacing w:w="15" w:type="dxa"/>
        </w:trPr>
        <w:tc>
          <w:tcPr>
            <w:tcW w:w="0" w:type="auto"/>
            <w:hideMark/>
          </w:tcPr>
          <w:p w14:paraId="06B3543F"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28B396AE"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7997A28A" w14:textId="77777777">
        <w:trPr>
          <w:trHeight w:val="200"/>
          <w:tblCellSpacing w:w="15" w:type="dxa"/>
        </w:trPr>
        <w:tc>
          <w:tcPr>
            <w:tcW w:w="0" w:type="auto"/>
            <w:hideMark/>
          </w:tcPr>
          <w:p w14:paraId="33A9C8B3" w14:textId="77777777" w:rsidR="00000000" w:rsidRDefault="00832D71">
            <w:pPr>
              <w:pStyle w:val="a3"/>
              <w:spacing w:before="0" w:beforeAutospacing="0" w:after="0" w:afterAutospacing="0"/>
              <w:rPr>
                <w:sz w:val="20"/>
                <w:szCs w:val="20"/>
              </w:rPr>
            </w:pPr>
            <w:hyperlink w:anchor="consolidated_statements_partners_capita" w:history="1">
              <w:r>
                <w:rPr>
                  <w:rStyle w:val="a4"/>
                  <w:sz w:val="20"/>
                  <w:szCs w:val="20"/>
                </w:rPr>
                <w:t xml:space="preserve">Consolidated Statements of Partners’ Capital – </w:t>
              </w:r>
              <w:r>
                <w:rPr>
                  <w:rStyle w:val="a4"/>
                  <w:sz w:val="20"/>
                  <w:szCs w:val="20"/>
                </w:rPr>
                <w:t>Years Ended September 24, 2022, September 25, 2021 and September 26, 202</w:t>
              </w:r>
              <w:r>
                <w:rPr>
                  <w:rStyle w:val="a4"/>
                  <w:sz w:val="20"/>
                  <w:szCs w:val="20"/>
                </w:rPr>
                <w:t>0</w:t>
              </w:r>
            </w:hyperlink>
          </w:p>
        </w:tc>
        <w:tc>
          <w:tcPr>
            <w:tcW w:w="0" w:type="auto"/>
            <w:vAlign w:val="bottom"/>
            <w:hideMark/>
          </w:tcPr>
          <w:p w14:paraId="13853D91" w14:textId="77777777" w:rsidR="00000000" w:rsidRDefault="00832D71">
            <w:pPr>
              <w:pStyle w:val="a3"/>
              <w:spacing w:before="0" w:beforeAutospacing="0" w:after="0" w:afterAutospacing="0"/>
              <w:jc w:val="center"/>
              <w:rPr>
                <w:sz w:val="20"/>
                <w:szCs w:val="20"/>
              </w:rPr>
            </w:pPr>
            <w:r>
              <w:rPr>
                <w:sz w:val="20"/>
                <w:szCs w:val="20"/>
              </w:rPr>
              <w:t>F</w:t>
            </w:r>
            <w:r>
              <w:rPr>
                <w:sz w:val="20"/>
                <w:szCs w:val="20"/>
              </w:rPr>
              <w:t>-</w:t>
            </w:r>
            <w:r>
              <w:rPr>
                <w:sz w:val="20"/>
                <w:szCs w:val="20"/>
              </w:rPr>
              <w:t>8</w:t>
            </w:r>
          </w:p>
        </w:tc>
      </w:tr>
      <w:tr w:rsidR="00000000" w14:paraId="02B405EE" w14:textId="77777777">
        <w:trPr>
          <w:tblCellSpacing w:w="15" w:type="dxa"/>
        </w:trPr>
        <w:tc>
          <w:tcPr>
            <w:tcW w:w="0" w:type="auto"/>
            <w:hideMark/>
          </w:tcPr>
          <w:p w14:paraId="4943712F" w14:textId="77777777" w:rsidR="00000000" w:rsidRDefault="00832D71">
            <w:pPr>
              <w:pStyle w:val="a3"/>
              <w:spacing w:before="0" w:beforeAutospacing="0" w:after="0" w:afterAutospacing="0"/>
              <w:rPr>
                <w:sz w:val="12"/>
                <w:szCs w:val="12"/>
              </w:rPr>
            </w:pPr>
            <w:r>
              <w:rPr>
                <w:sz w:val="12"/>
                <w:szCs w:val="12"/>
              </w:rPr>
              <w:t> </w:t>
            </w:r>
          </w:p>
        </w:tc>
        <w:tc>
          <w:tcPr>
            <w:tcW w:w="0" w:type="auto"/>
            <w:vAlign w:val="bottom"/>
            <w:hideMark/>
          </w:tcPr>
          <w:p w14:paraId="3B59E507" w14:textId="77777777" w:rsidR="00000000" w:rsidRDefault="00832D71">
            <w:pPr>
              <w:pStyle w:val="a3"/>
              <w:spacing w:before="0" w:beforeAutospacing="0" w:after="0" w:afterAutospacing="0"/>
              <w:jc w:val="center"/>
              <w:rPr>
                <w:sz w:val="12"/>
                <w:szCs w:val="12"/>
              </w:rPr>
            </w:pPr>
            <w:r>
              <w:rPr>
                <w:sz w:val="12"/>
                <w:szCs w:val="12"/>
              </w:rPr>
              <w:t> </w:t>
            </w:r>
          </w:p>
        </w:tc>
      </w:tr>
      <w:tr w:rsidR="00000000" w14:paraId="73475845" w14:textId="77777777">
        <w:trPr>
          <w:trHeight w:val="200"/>
          <w:tblCellSpacing w:w="15" w:type="dxa"/>
        </w:trPr>
        <w:tc>
          <w:tcPr>
            <w:tcW w:w="0" w:type="auto"/>
            <w:hideMark/>
          </w:tcPr>
          <w:p w14:paraId="4F541A68" w14:textId="77777777" w:rsidR="00000000" w:rsidRDefault="00832D71">
            <w:pPr>
              <w:pStyle w:val="a3"/>
              <w:spacing w:before="0" w:beforeAutospacing="0" w:after="0" w:afterAutospacing="0"/>
              <w:rPr>
                <w:sz w:val="20"/>
                <w:szCs w:val="20"/>
              </w:rPr>
            </w:pPr>
            <w:hyperlink w:anchor="notes_to_consolidated_financial_stateme" w:history="1">
              <w:r>
                <w:rPr>
                  <w:rStyle w:val="a4"/>
                  <w:sz w:val="20"/>
                  <w:szCs w:val="20"/>
                </w:rPr>
                <w:t>Notes to Consolidated Financial Statement</w:t>
              </w:r>
              <w:r>
                <w:rPr>
                  <w:rStyle w:val="a4"/>
                  <w:sz w:val="20"/>
                  <w:szCs w:val="20"/>
                </w:rPr>
                <w:t>s</w:t>
              </w:r>
            </w:hyperlink>
          </w:p>
        </w:tc>
        <w:tc>
          <w:tcPr>
            <w:tcW w:w="0" w:type="auto"/>
            <w:vAlign w:val="bottom"/>
            <w:hideMark/>
          </w:tcPr>
          <w:p w14:paraId="6885E24B" w14:textId="77777777" w:rsidR="00000000" w:rsidRDefault="00832D71">
            <w:pPr>
              <w:pStyle w:val="a3"/>
              <w:spacing w:before="0" w:beforeAutospacing="0" w:after="0" w:afterAutospacing="0"/>
              <w:jc w:val="center"/>
              <w:rPr>
                <w:sz w:val="20"/>
                <w:szCs w:val="20"/>
              </w:rPr>
            </w:pPr>
            <w:r>
              <w:rPr>
                <w:sz w:val="20"/>
                <w:szCs w:val="20"/>
              </w:rPr>
              <w:t>F</w:t>
            </w:r>
            <w:r>
              <w:rPr>
                <w:sz w:val="20"/>
                <w:szCs w:val="20"/>
              </w:rPr>
              <w:t>-</w:t>
            </w:r>
            <w:r>
              <w:rPr>
                <w:sz w:val="20"/>
                <w:szCs w:val="20"/>
              </w:rPr>
              <w:t>9</w:t>
            </w:r>
          </w:p>
        </w:tc>
      </w:tr>
    </w:tbl>
    <w:p w14:paraId="13124708" w14:textId="77777777" w:rsidR="00000000" w:rsidRDefault="00832D71">
      <w:pPr>
        <w:pStyle w:val="a3"/>
        <w:spacing w:before="0" w:beforeAutospacing="0" w:after="0" w:afterAutospacing="0"/>
        <w:rPr>
          <w:sz w:val="20"/>
          <w:szCs w:val="20"/>
        </w:rPr>
      </w:pPr>
      <w:r>
        <w:rPr>
          <w:sz w:val="20"/>
          <w:szCs w:val="20"/>
        </w:rPr>
        <w:t> </w:t>
      </w:r>
    </w:p>
    <w:p w14:paraId="3F3BAA0A" w14:textId="77777777" w:rsidR="00000000" w:rsidRDefault="00832D71">
      <w:pPr>
        <w:pStyle w:val="a3"/>
        <w:spacing w:before="200" w:beforeAutospacing="0" w:after="0" w:afterAutospacing="0"/>
        <w:jc w:val="center"/>
        <w:rPr>
          <w:sz w:val="20"/>
          <w:szCs w:val="20"/>
        </w:rPr>
      </w:pPr>
      <w:r>
        <w:rPr>
          <w:sz w:val="20"/>
          <w:szCs w:val="20"/>
        </w:rPr>
        <w:t>F</w:t>
      </w:r>
      <w:r>
        <w:rPr>
          <w:sz w:val="20"/>
          <w:szCs w:val="20"/>
        </w:rPr>
        <w:t>-</w:t>
      </w:r>
      <w:r>
        <w:rPr>
          <w:sz w:val="20"/>
          <w:szCs w:val="20"/>
        </w:rPr>
        <w:t>1</w:t>
      </w:r>
    </w:p>
    <w:p w14:paraId="6EF71AF2" w14:textId="77777777" w:rsidR="00000000" w:rsidRDefault="00832D71">
      <w:pPr>
        <w:rPr>
          <w:rFonts w:eastAsia="Times New Roman"/>
        </w:rPr>
      </w:pPr>
      <w:r>
        <w:rPr>
          <w:rFonts w:eastAsia="Times New Roman"/>
        </w:rPr>
        <w:pict w14:anchorId="2078FAE9">
          <v:rect id="_x0000_i1120" style="width:0;height:1.5pt" o:hralign="center" o:hrstd="t" o:hr="t" fillcolor="#a0a0a0" stroked="f"/>
        </w:pict>
      </w:r>
    </w:p>
    <w:p w14:paraId="18D1A389" w14:textId="77777777" w:rsidR="00000000" w:rsidRDefault="00832D71">
      <w:pPr>
        <w:pStyle w:val="a3"/>
        <w:spacing w:before="0" w:beforeAutospacing="0" w:after="0" w:afterAutospacing="0"/>
        <w:rPr>
          <w:sz w:val="20"/>
          <w:szCs w:val="20"/>
        </w:rPr>
      </w:pPr>
      <w:r>
        <w:rPr>
          <w:sz w:val="20"/>
          <w:szCs w:val="20"/>
        </w:rPr>
        <w:t> </w:t>
      </w:r>
    </w:p>
    <w:p w14:paraId="3D7B8EB8" w14:textId="77777777" w:rsidR="00000000" w:rsidRDefault="00832D71">
      <w:pPr>
        <w:pStyle w:val="a3"/>
        <w:spacing w:before="200" w:beforeAutospacing="0" w:after="0" w:afterAutospacing="0"/>
        <w:jc w:val="center"/>
        <w:rPr>
          <w:sz w:val="20"/>
          <w:szCs w:val="20"/>
        </w:rPr>
      </w:pPr>
      <w:r>
        <w:rPr>
          <w:b/>
          <w:bCs/>
          <w:sz w:val="20"/>
          <w:szCs w:val="20"/>
        </w:rPr>
        <w:t>Report of Independ</w:t>
      </w:r>
      <w:r>
        <w:rPr>
          <w:b/>
          <w:bCs/>
          <w:sz w:val="20"/>
          <w:szCs w:val="20"/>
        </w:rPr>
        <w:t>ent R</w:t>
      </w:r>
      <w:r>
        <w:rPr>
          <w:b/>
          <w:bCs/>
          <w:sz w:val="20"/>
          <w:szCs w:val="20"/>
        </w:rPr>
        <w:t>e</w:t>
      </w:r>
      <w:r>
        <w:rPr>
          <w:b/>
          <w:bCs/>
          <w:sz w:val="20"/>
          <w:szCs w:val="20"/>
        </w:rPr>
        <w:t>gistered Public Accounting Fir</w:t>
      </w:r>
      <w:r>
        <w:rPr>
          <w:b/>
          <w:bCs/>
          <w:sz w:val="20"/>
          <w:szCs w:val="20"/>
        </w:rPr>
        <w:t>m</w:t>
      </w:r>
    </w:p>
    <w:p w14:paraId="481EFB6A" w14:textId="77777777" w:rsidR="00000000" w:rsidRDefault="00832D71">
      <w:pPr>
        <w:pStyle w:val="a3"/>
        <w:spacing w:before="0" w:beforeAutospacing="0" w:after="0" w:afterAutospacing="0"/>
        <w:rPr>
          <w:sz w:val="20"/>
          <w:szCs w:val="20"/>
        </w:rPr>
      </w:pPr>
      <w:r>
        <w:rPr>
          <w:sz w:val="20"/>
          <w:szCs w:val="20"/>
        </w:rPr>
        <w:t> </w:t>
      </w:r>
    </w:p>
    <w:p w14:paraId="679FF1CA" w14:textId="77777777" w:rsidR="00000000" w:rsidRDefault="00832D71">
      <w:pPr>
        <w:pStyle w:val="a3"/>
        <w:spacing w:before="0" w:beforeAutospacing="0" w:after="0" w:afterAutospacing="0"/>
        <w:rPr>
          <w:sz w:val="20"/>
          <w:szCs w:val="20"/>
        </w:rPr>
      </w:pPr>
      <w:r>
        <w:rPr>
          <w:sz w:val="20"/>
          <w:szCs w:val="20"/>
        </w:rPr>
        <w:t>To the Board of Supervisors and Unitholder</w:t>
      </w:r>
      <w:r>
        <w:rPr>
          <w:sz w:val="20"/>
          <w:szCs w:val="20"/>
        </w:rPr>
        <w:t>s</w:t>
      </w:r>
    </w:p>
    <w:p w14:paraId="7E0BBBE1" w14:textId="77777777" w:rsidR="00000000" w:rsidRDefault="00832D71">
      <w:pPr>
        <w:pStyle w:val="a3"/>
        <w:spacing w:before="0" w:beforeAutospacing="0" w:after="0" w:afterAutospacing="0"/>
        <w:rPr>
          <w:sz w:val="20"/>
          <w:szCs w:val="20"/>
        </w:rPr>
      </w:pPr>
      <w:r>
        <w:rPr>
          <w:sz w:val="20"/>
          <w:szCs w:val="20"/>
        </w:rPr>
        <w:t>of Suburban Propane Partners, L.P</w:t>
      </w:r>
      <w:r>
        <w:rPr>
          <w:sz w:val="20"/>
          <w:szCs w:val="20"/>
        </w:rPr>
        <w:t>.</w:t>
      </w:r>
    </w:p>
    <w:p w14:paraId="23339D5A" w14:textId="77777777" w:rsidR="00000000" w:rsidRDefault="00832D71">
      <w:pPr>
        <w:pStyle w:val="a3"/>
        <w:spacing w:before="0" w:beforeAutospacing="0" w:after="0" w:afterAutospacing="0"/>
        <w:rPr>
          <w:sz w:val="20"/>
          <w:szCs w:val="20"/>
        </w:rPr>
      </w:pPr>
      <w:r>
        <w:rPr>
          <w:sz w:val="20"/>
          <w:szCs w:val="20"/>
        </w:rPr>
        <w:t> </w:t>
      </w:r>
    </w:p>
    <w:p w14:paraId="0E284DDB" w14:textId="77777777" w:rsidR="00000000" w:rsidRDefault="00832D71">
      <w:pPr>
        <w:pStyle w:val="a3"/>
        <w:spacing w:before="0" w:beforeAutospacing="0" w:after="0" w:afterAutospacing="0"/>
        <w:rPr>
          <w:sz w:val="20"/>
          <w:szCs w:val="20"/>
        </w:rPr>
      </w:pPr>
      <w:r>
        <w:rPr>
          <w:b/>
          <w:bCs/>
          <w:i/>
          <w:iCs/>
          <w:sz w:val="20"/>
          <w:szCs w:val="20"/>
        </w:rPr>
        <w:t>Opinions on the Financial Statements and Internal Control over Financial Reportin</w:t>
      </w:r>
      <w:r>
        <w:rPr>
          <w:b/>
          <w:bCs/>
          <w:i/>
          <w:iCs/>
          <w:sz w:val="20"/>
          <w:szCs w:val="20"/>
        </w:rPr>
        <w:t>g</w:t>
      </w:r>
    </w:p>
    <w:p w14:paraId="3B3F7AF7" w14:textId="77777777" w:rsidR="00000000" w:rsidRDefault="00832D71">
      <w:pPr>
        <w:pStyle w:val="a3"/>
        <w:spacing w:before="0" w:beforeAutospacing="0" w:after="0" w:afterAutospacing="0"/>
        <w:rPr>
          <w:sz w:val="20"/>
          <w:szCs w:val="20"/>
        </w:rPr>
      </w:pPr>
      <w:r>
        <w:rPr>
          <w:sz w:val="20"/>
          <w:szCs w:val="20"/>
        </w:rPr>
        <w:t> </w:t>
      </w:r>
    </w:p>
    <w:p w14:paraId="0D5D163F" w14:textId="77777777" w:rsidR="00000000" w:rsidRDefault="00832D71">
      <w:pPr>
        <w:pStyle w:val="a3"/>
        <w:spacing w:before="0" w:beforeAutospacing="0" w:after="0" w:afterAutospacing="0"/>
        <w:jc w:val="both"/>
        <w:rPr>
          <w:sz w:val="20"/>
          <w:szCs w:val="20"/>
        </w:rPr>
      </w:pPr>
      <w:r>
        <w:rPr>
          <w:sz w:val="20"/>
          <w:szCs w:val="20"/>
        </w:rPr>
        <w:t>We have audited the accompanying consolidated bala</w:t>
      </w:r>
      <w:r>
        <w:rPr>
          <w:sz w:val="20"/>
          <w:szCs w:val="20"/>
        </w:rPr>
        <w:t xml:space="preserve">nce sheets of Suburban Propane Partners, L.P. and its subsidiaries (the “Partnership”) as of September 24, 2022, and September 25, 2021, and the related consolidated statements of operations, of comprehensive income, of partners' capital and of cash flows </w:t>
      </w:r>
      <w:r>
        <w:rPr>
          <w:sz w:val="20"/>
          <w:szCs w:val="20"/>
        </w:rPr>
        <w:t>for each of the three years in the period ended September 24, 2022, including the related notes and financial statement schedule listed in the index appearing under Item 15(a)(2) (collectively referred to as the “consolidated financial statements”). We als</w:t>
      </w:r>
      <w:r>
        <w:rPr>
          <w:sz w:val="20"/>
          <w:szCs w:val="20"/>
        </w:rPr>
        <w:t>o have audited the Partnership's internal control over financial reporting as of September 24, 2022, based on criteria established in Internal Control - Integrated Framework (2013) issued by the Committee of Sponsoring Organizations of the Treadway Commiss</w:t>
      </w:r>
      <w:r>
        <w:rPr>
          <w:sz w:val="20"/>
          <w:szCs w:val="20"/>
        </w:rPr>
        <w:t>ion (COSO)</w:t>
      </w:r>
      <w:r>
        <w:rPr>
          <w:sz w:val="20"/>
          <w:szCs w:val="20"/>
        </w:rPr>
        <w:t>.</w:t>
      </w:r>
    </w:p>
    <w:p w14:paraId="472B316C" w14:textId="77777777" w:rsidR="00000000" w:rsidRDefault="00832D71">
      <w:pPr>
        <w:pStyle w:val="a3"/>
        <w:spacing w:before="0" w:beforeAutospacing="0" w:after="0" w:afterAutospacing="0"/>
        <w:jc w:val="both"/>
        <w:rPr>
          <w:sz w:val="20"/>
          <w:szCs w:val="20"/>
        </w:rPr>
      </w:pPr>
      <w:r>
        <w:rPr>
          <w:sz w:val="20"/>
          <w:szCs w:val="20"/>
        </w:rPr>
        <w:t> </w:t>
      </w:r>
    </w:p>
    <w:p w14:paraId="5F13E176" w14:textId="77777777" w:rsidR="00000000" w:rsidRDefault="00832D71">
      <w:pPr>
        <w:pStyle w:val="a3"/>
        <w:spacing w:before="0" w:beforeAutospacing="0" w:after="0" w:afterAutospacing="0"/>
        <w:jc w:val="both"/>
        <w:rPr>
          <w:sz w:val="20"/>
          <w:szCs w:val="20"/>
        </w:rPr>
      </w:pPr>
      <w:r>
        <w:rPr>
          <w:sz w:val="20"/>
          <w:szCs w:val="20"/>
        </w:rPr>
        <w:t>In our opinion, the consolidated financial statements referred to above present fairly, in all material respects, the financial position of the Partnership as of September 24, 2022, and September 25, 2021, and the results of its operations and its cash flo</w:t>
      </w:r>
      <w:r>
        <w:rPr>
          <w:sz w:val="20"/>
          <w:szCs w:val="20"/>
        </w:rPr>
        <w:t>ws for each of the three years in the period ended September 24, 2022, in conformity with accounting principles generally accepted in the United States of America. Also in our opinion, the Partnership maintained, in all material respects, effective interna</w:t>
      </w:r>
      <w:r>
        <w:rPr>
          <w:sz w:val="20"/>
          <w:szCs w:val="20"/>
        </w:rPr>
        <w:t>l control over financial reporting as of September 24, 2022, based on criteria established in Internal Control - Integrated Framework (2013) issued by the COSO</w:t>
      </w:r>
      <w:r>
        <w:rPr>
          <w:sz w:val="20"/>
          <w:szCs w:val="20"/>
        </w:rPr>
        <w:t>.</w:t>
      </w:r>
    </w:p>
    <w:p w14:paraId="18BD54EB" w14:textId="77777777" w:rsidR="00000000" w:rsidRDefault="00832D71">
      <w:pPr>
        <w:pStyle w:val="a3"/>
        <w:spacing w:before="0" w:beforeAutospacing="0" w:after="0" w:afterAutospacing="0"/>
        <w:rPr>
          <w:sz w:val="20"/>
          <w:szCs w:val="20"/>
        </w:rPr>
      </w:pPr>
      <w:r>
        <w:rPr>
          <w:sz w:val="20"/>
          <w:szCs w:val="20"/>
        </w:rPr>
        <w:t> </w:t>
      </w:r>
    </w:p>
    <w:p w14:paraId="326F882C" w14:textId="77777777" w:rsidR="00000000" w:rsidRDefault="00832D71">
      <w:pPr>
        <w:pStyle w:val="a3"/>
        <w:spacing w:before="0" w:beforeAutospacing="0" w:after="0" w:afterAutospacing="0"/>
        <w:rPr>
          <w:sz w:val="20"/>
          <w:szCs w:val="20"/>
        </w:rPr>
      </w:pPr>
      <w:r>
        <w:rPr>
          <w:b/>
          <w:bCs/>
          <w:i/>
          <w:iCs/>
          <w:sz w:val="20"/>
          <w:szCs w:val="20"/>
        </w:rPr>
        <w:t>Change in Accounting Principl</w:t>
      </w:r>
      <w:r>
        <w:rPr>
          <w:b/>
          <w:bCs/>
          <w:i/>
          <w:iCs/>
          <w:sz w:val="20"/>
          <w:szCs w:val="20"/>
        </w:rPr>
        <w:t>e</w:t>
      </w:r>
      <w:r>
        <w:rPr>
          <w:b/>
          <w:bCs/>
          <w:i/>
          <w:iCs/>
          <w:sz w:val="20"/>
          <w:szCs w:val="20"/>
        </w:rPr>
        <w:t xml:space="preserve"> </w:t>
      </w:r>
    </w:p>
    <w:p w14:paraId="7BC7E0CA" w14:textId="77777777" w:rsidR="00000000" w:rsidRDefault="00832D71">
      <w:pPr>
        <w:pStyle w:val="a3"/>
        <w:spacing w:before="0" w:beforeAutospacing="0" w:after="0" w:afterAutospacing="0"/>
        <w:rPr>
          <w:sz w:val="20"/>
          <w:szCs w:val="20"/>
        </w:rPr>
      </w:pPr>
      <w:r>
        <w:rPr>
          <w:sz w:val="20"/>
          <w:szCs w:val="20"/>
        </w:rPr>
        <w:t> </w:t>
      </w:r>
    </w:p>
    <w:p w14:paraId="3E07994C" w14:textId="77777777" w:rsidR="00000000" w:rsidRDefault="00832D71">
      <w:pPr>
        <w:pStyle w:val="a3"/>
        <w:spacing w:before="0" w:beforeAutospacing="0" w:after="0" w:afterAutospacing="0"/>
        <w:jc w:val="both"/>
        <w:rPr>
          <w:sz w:val="20"/>
          <w:szCs w:val="20"/>
        </w:rPr>
      </w:pPr>
      <w:r>
        <w:rPr>
          <w:sz w:val="20"/>
          <w:szCs w:val="20"/>
        </w:rPr>
        <w:t>As discussed in Note 2 to the consolidated financial statem</w:t>
      </w:r>
      <w:r>
        <w:rPr>
          <w:sz w:val="20"/>
          <w:szCs w:val="20"/>
        </w:rPr>
        <w:t>ents, the Partnership changed the manner in which it accounts for leases as of September 29, 2019</w:t>
      </w:r>
      <w:r>
        <w:rPr>
          <w:sz w:val="20"/>
          <w:szCs w:val="20"/>
        </w:rPr>
        <w:t>.</w:t>
      </w:r>
    </w:p>
    <w:p w14:paraId="4490D273" w14:textId="77777777" w:rsidR="00000000" w:rsidRDefault="00832D71">
      <w:pPr>
        <w:pStyle w:val="a3"/>
        <w:spacing w:before="0" w:beforeAutospacing="0" w:after="0" w:afterAutospacing="0"/>
        <w:rPr>
          <w:sz w:val="20"/>
          <w:szCs w:val="20"/>
        </w:rPr>
      </w:pPr>
      <w:r>
        <w:rPr>
          <w:sz w:val="20"/>
          <w:szCs w:val="20"/>
        </w:rPr>
        <w:t> </w:t>
      </w:r>
    </w:p>
    <w:p w14:paraId="02E65774" w14:textId="77777777" w:rsidR="00000000" w:rsidRDefault="00832D71">
      <w:pPr>
        <w:pStyle w:val="a3"/>
        <w:spacing w:before="0" w:beforeAutospacing="0" w:after="0" w:afterAutospacing="0"/>
        <w:rPr>
          <w:sz w:val="20"/>
          <w:szCs w:val="20"/>
        </w:rPr>
      </w:pPr>
      <w:r>
        <w:rPr>
          <w:b/>
          <w:bCs/>
          <w:i/>
          <w:iCs/>
          <w:sz w:val="20"/>
          <w:szCs w:val="20"/>
        </w:rPr>
        <w:t>Basis for Opinion</w:t>
      </w:r>
      <w:r>
        <w:rPr>
          <w:b/>
          <w:bCs/>
          <w:i/>
          <w:iCs/>
          <w:sz w:val="20"/>
          <w:szCs w:val="20"/>
        </w:rPr>
        <w:t>s</w:t>
      </w:r>
    </w:p>
    <w:p w14:paraId="59B5B02A" w14:textId="77777777" w:rsidR="00000000" w:rsidRDefault="00832D71">
      <w:pPr>
        <w:pStyle w:val="a3"/>
        <w:spacing w:before="0" w:beforeAutospacing="0" w:after="0" w:afterAutospacing="0"/>
        <w:rPr>
          <w:sz w:val="20"/>
          <w:szCs w:val="20"/>
        </w:rPr>
      </w:pPr>
      <w:r>
        <w:rPr>
          <w:sz w:val="20"/>
          <w:szCs w:val="20"/>
        </w:rPr>
        <w:t> </w:t>
      </w:r>
    </w:p>
    <w:p w14:paraId="2A342FDA" w14:textId="77777777" w:rsidR="00000000" w:rsidRDefault="00832D71">
      <w:pPr>
        <w:pStyle w:val="a3"/>
        <w:spacing w:before="0" w:beforeAutospacing="0" w:after="0" w:afterAutospacing="0"/>
        <w:jc w:val="both"/>
        <w:rPr>
          <w:sz w:val="20"/>
          <w:szCs w:val="20"/>
        </w:rPr>
      </w:pPr>
      <w:r>
        <w:rPr>
          <w:sz w:val="20"/>
          <w:szCs w:val="20"/>
        </w:rPr>
        <w:t>The Partnership's management is responsible for these consolidated financial statements, for maintaining effective internal control ov</w:t>
      </w:r>
      <w:r>
        <w:rPr>
          <w:sz w:val="20"/>
          <w:szCs w:val="20"/>
        </w:rPr>
        <w:t>er financial reporting, and for its assessment of the effectiveness of internal control over financial reporting, included in Management’s Report on Internal Control Over Financial Reporting appearing under Item 9A. Our responsibility is to express opinion</w:t>
      </w:r>
      <w:r>
        <w:rPr>
          <w:sz w:val="20"/>
          <w:szCs w:val="20"/>
        </w:rPr>
        <w:t>s on the Partnership’s consolidated financial statements and on the Partnership's internal control over financial reporting based on our audits. We are a public accounting firm registered with the Public Company Accounting Oversight Board (United States) (</w:t>
      </w:r>
      <w:r>
        <w:rPr>
          <w:sz w:val="20"/>
          <w:szCs w:val="20"/>
        </w:rPr>
        <w:t>PCAOB) and are required to be independent with respect to the Partnership in accordance with the U.S. federal securities laws and the applicable rules and regulations of the Securities and Exchange Commission and the PCAOB</w:t>
      </w:r>
      <w:r>
        <w:rPr>
          <w:sz w:val="20"/>
          <w:szCs w:val="20"/>
        </w:rPr>
        <w:t>.</w:t>
      </w:r>
    </w:p>
    <w:p w14:paraId="2F1C7A97" w14:textId="77777777" w:rsidR="00000000" w:rsidRDefault="00832D71">
      <w:pPr>
        <w:pStyle w:val="a3"/>
        <w:spacing w:before="0" w:beforeAutospacing="0" w:after="0" w:afterAutospacing="0"/>
        <w:jc w:val="both"/>
        <w:rPr>
          <w:sz w:val="20"/>
          <w:szCs w:val="20"/>
        </w:rPr>
      </w:pPr>
      <w:r>
        <w:rPr>
          <w:sz w:val="20"/>
          <w:szCs w:val="20"/>
        </w:rPr>
        <w:t> </w:t>
      </w:r>
    </w:p>
    <w:p w14:paraId="7297B5C4" w14:textId="77777777" w:rsidR="00000000" w:rsidRDefault="00832D71">
      <w:pPr>
        <w:pStyle w:val="a3"/>
        <w:spacing w:before="0" w:beforeAutospacing="0" w:after="0" w:afterAutospacing="0"/>
        <w:jc w:val="both"/>
        <w:rPr>
          <w:sz w:val="20"/>
          <w:szCs w:val="20"/>
        </w:rPr>
      </w:pPr>
      <w:r>
        <w:rPr>
          <w:sz w:val="20"/>
          <w:szCs w:val="20"/>
        </w:rPr>
        <w:t>We conducted our audits in acc</w:t>
      </w:r>
      <w:r>
        <w:rPr>
          <w:sz w:val="20"/>
          <w:szCs w:val="20"/>
        </w:rPr>
        <w:t>ordance with the standards of the PCAOB. Those standards require that we plan and perform the audits to obtain reasonable assurance about whether the consolidated financial statements are free of material misstatement, whether due to error or fraud, and wh</w:t>
      </w:r>
      <w:r>
        <w:rPr>
          <w:sz w:val="20"/>
          <w:szCs w:val="20"/>
        </w:rPr>
        <w:t>ether effective internal control over financial reporting was maintained in all material respects</w:t>
      </w:r>
      <w:r>
        <w:rPr>
          <w:sz w:val="20"/>
          <w:szCs w:val="20"/>
        </w:rPr>
        <w:t>.</w:t>
      </w:r>
      <w:r>
        <w:rPr>
          <w:sz w:val="20"/>
          <w:szCs w:val="20"/>
        </w:rPr>
        <w:t xml:space="preserve"> </w:t>
      </w:r>
    </w:p>
    <w:p w14:paraId="412501E9" w14:textId="77777777" w:rsidR="00000000" w:rsidRDefault="00832D71">
      <w:pPr>
        <w:pStyle w:val="a3"/>
        <w:spacing w:before="0" w:beforeAutospacing="0" w:after="0" w:afterAutospacing="0"/>
        <w:jc w:val="both"/>
        <w:rPr>
          <w:sz w:val="20"/>
          <w:szCs w:val="20"/>
        </w:rPr>
      </w:pPr>
      <w:r>
        <w:rPr>
          <w:sz w:val="20"/>
          <w:szCs w:val="20"/>
        </w:rPr>
        <w:t> </w:t>
      </w:r>
    </w:p>
    <w:p w14:paraId="43C71C17" w14:textId="77777777" w:rsidR="00000000" w:rsidRDefault="00832D71">
      <w:pPr>
        <w:pStyle w:val="a3"/>
        <w:spacing w:before="0" w:beforeAutospacing="0" w:after="0" w:afterAutospacing="0"/>
        <w:jc w:val="both"/>
        <w:rPr>
          <w:sz w:val="20"/>
          <w:szCs w:val="20"/>
        </w:rPr>
      </w:pPr>
      <w:r>
        <w:rPr>
          <w:sz w:val="20"/>
          <w:szCs w:val="20"/>
        </w:rPr>
        <w:t>Our audits of the consolidated financial statements included performing procedures to assess the risks of material misstatement of the consolidated financ</w:t>
      </w:r>
      <w:r>
        <w:rPr>
          <w:sz w:val="20"/>
          <w:szCs w:val="20"/>
        </w:rPr>
        <w:t>ial statements, whether due to error or fraud, and performing procedures that respond to those risks. Such procedures included examining, on a test basis, evidence regarding the amounts and disclosures in the consolidated financial statements. Our audits a</w:t>
      </w:r>
      <w:r>
        <w:rPr>
          <w:sz w:val="20"/>
          <w:szCs w:val="20"/>
        </w:rPr>
        <w:t>lso included evaluating the accounting principles used and significant estimates made by management, as well as evaluating the overall presentation of the consolidated financial statements. Our audit of internal control over financial reporting included ob</w:t>
      </w:r>
      <w:r>
        <w:rPr>
          <w:sz w:val="20"/>
          <w:szCs w:val="20"/>
        </w:rPr>
        <w:t>taining an understanding of internal control over financial reporting, assessing the risk that a material weakness exists, and testing and evaluating the design and operating effectiveness of internal control based on the assessed risk. Our audits also inc</w:t>
      </w:r>
      <w:r>
        <w:rPr>
          <w:sz w:val="20"/>
          <w:szCs w:val="20"/>
        </w:rPr>
        <w:t>luded performing such other procedures as we considered necessary in the circumstances. We believe that our audits provide a reasonable basis for our opinions</w:t>
      </w:r>
      <w:r>
        <w:rPr>
          <w:sz w:val="20"/>
          <w:szCs w:val="20"/>
        </w:rPr>
        <w:t>.</w:t>
      </w:r>
    </w:p>
    <w:p w14:paraId="488D6D08" w14:textId="77777777" w:rsidR="00000000" w:rsidRDefault="00832D71">
      <w:pPr>
        <w:pStyle w:val="a3"/>
        <w:spacing w:before="0" w:beforeAutospacing="0" w:after="0" w:afterAutospacing="0"/>
        <w:rPr>
          <w:sz w:val="20"/>
          <w:szCs w:val="20"/>
        </w:rPr>
      </w:pPr>
      <w:r>
        <w:rPr>
          <w:sz w:val="20"/>
          <w:szCs w:val="20"/>
        </w:rPr>
        <w:t> </w:t>
      </w:r>
    </w:p>
    <w:p w14:paraId="749C9B1A" w14:textId="77777777" w:rsidR="00000000" w:rsidRDefault="00832D71">
      <w:pPr>
        <w:pStyle w:val="a3"/>
        <w:spacing w:before="0" w:beforeAutospacing="0" w:after="0" w:afterAutospacing="0"/>
        <w:rPr>
          <w:sz w:val="20"/>
          <w:szCs w:val="20"/>
        </w:rPr>
      </w:pPr>
      <w:r>
        <w:rPr>
          <w:b/>
          <w:bCs/>
          <w:i/>
          <w:iCs/>
          <w:sz w:val="20"/>
          <w:szCs w:val="20"/>
        </w:rPr>
        <w:t>Definition and Limitations of Internal Control over Financial Reportin</w:t>
      </w:r>
      <w:r>
        <w:rPr>
          <w:b/>
          <w:bCs/>
          <w:i/>
          <w:iCs/>
          <w:sz w:val="20"/>
          <w:szCs w:val="20"/>
        </w:rPr>
        <w:t>g</w:t>
      </w:r>
    </w:p>
    <w:p w14:paraId="36F7346C" w14:textId="77777777" w:rsidR="00000000" w:rsidRDefault="00832D71">
      <w:pPr>
        <w:pStyle w:val="a3"/>
        <w:spacing w:before="0" w:beforeAutospacing="0" w:after="0" w:afterAutospacing="0"/>
        <w:rPr>
          <w:sz w:val="20"/>
          <w:szCs w:val="20"/>
        </w:rPr>
      </w:pPr>
      <w:r>
        <w:rPr>
          <w:sz w:val="20"/>
          <w:szCs w:val="20"/>
        </w:rPr>
        <w:t> </w:t>
      </w:r>
    </w:p>
    <w:p w14:paraId="44A2F65D" w14:textId="77777777" w:rsidR="00000000" w:rsidRDefault="00832D71">
      <w:pPr>
        <w:pStyle w:val="a3"/>
        <w:spacing w:before="0" w:beforeAutospacing="0" w:after="0" w:afterAutospacing="0"/>
        <w:jc w:val="both"/>
        <w:rPr>
          <w:sz w:val="20"/>
          <w:szCs w:val="20"/>
        </w:rPr>
      </w:pPr>
      <w:r>
        <w:rPr>
          <w:sz w:val="20"/>
          <w:szCs w:val="20"/>
        </w:rPr>
        <w:t>A company’s internal</w:t>
      </w:r>
      <w:r>
        <w:rPr>
          <w:sz w:val="20"/>
          <w:szCs w:val="20"/>
        </w:rPr>
        <w:t xml:space="preserve"> control over financial reporting is a process designed to provide reasonable assurance regarding the reliability of financial reporting and the preparation of financial statements for external purposes in accordance with generally accepted accounting prin</w:t>
      </w:r>
      <w:r>
        <w:rPr>
          <w:sz w:val="20"/>
          <w:szCs w:val="20"/>
        </w:rPr>
        <w:t>ciples. A company’s internal control over financial reporting includes those policies and procedures that (i) pertain to the maintenance of records that, in reasonable detail, accurately and fairly reflect the transactions and dispositions of the assets of</w:t>
      </w:r>
      <w:r>
        <w:rPr>
          <w:sz w:val="20"/>
          <w:szCs w:val="20"/>
        </w:rPr>
        <w:t xml:space="preserve"> the company; (ii) provide reasonable assurance that transactions are recorded as necessary to permit preparation of financial statements in accordance with generally accepted accounting principles, and that receipts and expenditures of the company are bei</w:t>
      </w:r>
      <w:r>
        <w:rPr>
          <w:sz w:val="20"/>
          <w:szCs w:val="20"/>
        </w:rPr>
        <w:t>ng made only in accordance with authorizations of management and directors of the company; and (iii) provide reasonable assurance regardin</w:t>
      </w:r>
      <w:r>
        <w:rPr>
          <w:sz w:val="20"/>
          <w:szCs w:val="20"/>
        </w:rPr>
        <w:t>g</w:t>
      </w:r>
      <w:r>
        <w:rPr>
          <w:sz w:val="20"/>
          <w:szCs w:val="20"/>
        </w:rPr>
        <w:t xml:space="preserve"> </w:t>
      </w:r>
    </w:p>
    <w:p w14:paraId="3AD2338A" w14:textId="77777777" w:rsidR="00000000" w:rsidRDefault="00832D71">
      <w:pPr>
        <w:pStyle w:val="a3"/>
        <w:spacing w:before="200" w:beforeAutospacing="0" w:after="0" w:afterAutospacing="0"/>
        <w:jc w:val="center"/>
        <w:rPr>
          <w:sz w:val="20"/>
          <w:szCs w:val="20"/>
        </w:rPr>
      </w:pPr>
      <w:r>
        <w:rPr>
          <w:sz w:val="20"/>
          <w:szCs w:val="20"/>
        </w:rPr>
        <w:t>F</w:t>
      </w:r>
      <w:r>
        <w:rPr>
          <w:sz w:val="20"/>
          <w:szCs w:val="20"/>
        </w:rPr>
        <w:t>-</w:t>
      </w:r>
      <w:r>
        <w:rPr>
          <w:sz w:val="20"/>
          <w:szCs w:val="20"/>
        </w:rPr>
        <w:t>2</w:t>
      </w:r>
    </w:p>
    <w:p w14:paraId="2D10023C" w14:textId="77777777" w:rsidR="00000000" w:rsidRDefault="00832D71">
      <w:pPr>
        <w:rPr>
          <w:rFonts w:eastAsia="Times New Roman"/>
        </w:rPr>
      </w:pPr>
      <w:r>
        <w:rPr>
          <w:rFonts w:eastAsia="Times New Roman"/>
        </w:rPr>
        <w:pict w14:anchorId="5C3E7A75">
          <v:rect id="_x0000_i1121" style="width:0;height:1.5pt" o:hralign="center" o:hrstd="t" o:hr="t" fillcolor="#a0a0a0" stroked="f"/>
        </w:pict>
      </w:r>
    </w:p>
    <w:p w14:paraId="5A328E1D" w14:textId="77777777" w:rsidR="00000000" w:rsidRDefault="00832D71">
      <w:pPr>
        <w:pStyle w:val="a3"/>
        <w:spacing w:before="0" w:beforeAutospacing="0" w:after="0" w:afterAutospacing="0"/>
        <w:rPr>
          <w:sz w:val="20"/>
          <w:szCs w:val="20"/>
        </w:rPr>
      </w:pPr>
      <w:r>
        <w:rPr>
          <w:sz w:val="20"/>
          <w:szCs w:val="20"/>
        </w:rPr>
        <w:t> </w:t>
      </w:r>
    </w:p>
    <w:p w14:paraId="6082D1F7" w14:textId="77777777" w:rsidR="00000000" w:rsidRDefault="00832D71">
      <w:pPr>
        <w:pStyle w:val="a3"/>
        <w:spacing w:before="0" w:beforeAutospacing="0" w:after="0" w:afterAutospacing="0"/>
        <w:jc w:val="both"/>
        <w:rPr>
          <w:sz w:val="20"/>
          <w:szCs w:val="20"/>
        </w:rPr>
      </w:pPr>
      <w:r>
        <w:rPr>
          <w:sz w:val="20"/>
          <w:szCs w:val="20"/>
        </w:rPr>
        <w:t>prevention or timely detection of unauthorized acquisition, use, or disp</w:t>
      </w:r>
      <w:r>
        <w:rPr>
          <w:sz w:val="20"/>
          <w:szCs w:val="20"/>
        </w:rPr>
        <w:t>osition of the company’s assets that could have a material effect on the financial statements</w:t>
      </w:r>
      <w:r>
        <w:rPr>
          <w:sz w:val="20"/>
          <w:szCs w:val="20"/>
        </w:rPr>
        <w:t>.</w:t>
      </w:r>
    </w:p>
    <w:p w14:paraId="15BDCBFF" w14:textId="77777777" w:rsidR="00000000" w:rsidRDefault="00832D71">
      <w:pPr>
        <w:pStyle w:val="a3"/>
        <w:spacing w:before="0" w:beforeAutospacing="0" w:after="0" w:afterAutospacing="0"/>
        <w:jc w:val="both"/>
        <w:rPr>
          <w:sz w:val="20"/>
          <w:szCs w:val="20"/>
        </w:rPr>
      </w:pPr>
      <w:r>
        <w:rPr>
          <w:sz w:val="20"/>
          <w:szCs w:val="20"/>
        </w:rPr>
        <w:t> </w:t>
      </w:r>
    </w:p>
    <w:p w14:paraId="2D47B241" w14:textId="77777777" w:rsidR="00000000" w:rsidRDefault="00832D71">
      <w:pPr>
        <w:pStyle w:val="a3"/>
        <w:spacing w:before="0" w:beforeAutospacing="0" w:after="0" w:afterAutospacing="0"/>
        <w:jc w:val="both"/>
        <w:rPr>
          <w:sz w:val="20"/>
          <w:szCs w:val="20"/>
        </w:rPr>
      </w:pPr>
      <w:r>
        <w:rPr>
          <w:sz w:val="20"/>
          <w:szCs w:val="20"/>
        </w:rPr>
        <w:t xml:space="preserve">Because of its inherent limitations, internal control over financial reporting may not prevent or detect misstatements. Also, projections of any evaluation of </w:t>
      </w:r>
      <w:r>
        <w:rPr>
          <w:sz w:val="20"/>
          <w:szCs w:val="20"/>
        </w:rPr>
        <w:t>effectiveness to future periods are subject to the risk that controls may become inadequate because of changes in conditions, or that the degree of compliance with the policies or procedures may deteriorate</w:t>
      </w:r>
      <w:r>
        <w:rPr>
          <w:sz w:val="20"/>
          <w:szCs w:val="20"/>
        </w:rPr>
        <w:t>.</w:t>
      </w:r>
    </w:p>
    <w:p w14:paraId="328E3F6E" w14:textId="77777777" w:rsidR="00000000" w:rsidRDefault="00832D71">
      <w:pPr>
        <w:pStyle w:val="a3"/>
        <w:spacing w:before="0" w:beforeAutospacing="0" w:after="0" w:afterAutospacing="0"/>
        <w:rPr>
          <w:sz w:val="20"/>
          <w:szCs w:val="20"/>
        </w:rPr>
      </w:pPr>
      <w:r>
        <w:rPr>
          <w:sz w:val="20"/>
          <w:szCs w:val="20"/>
        </w:rPr>
        <w:t> </w:t>
      </w:r>
    </w:p>
    <w:p w14:paraId="1624344F" w14:textId="77777777" w:rsidR="00000000" w:rsidRDefault="00832D71">
      <w:pPr>
        <w:pStyle w:val="a3"/>
        <w:spacing w:before="0" w:beforeAutospacing="0" w:after="0" w:afterAutospacing="0"/>
        <w:rPr>
          <w:sz w:val="20"/>
          <w:szCs w:val="20"/>
        </w:rPr>
      </w:pPr>
      <w:r>
        <w:rPr>
          <w:b/>
          <w:bCs/>
          <w:i/>
          <w:iCs/>
          <w:sz w:val="20"/>
          <w:szCs w:val="20"/>
        </w:rPr>
        <w:t>Critical Audit Matter</w:t>
      </w:r>
      <w:r>
        <w:rPr>
          <w:b/>
          <w:bCs/>
          <w:i/>
          <w:iCs/>
          <w:sz w:val="20"/>
          <w:szCs w:val="20"/>
        </w:rPr>
        <w:t>s</w:t>
      </w:r>
    </w:p>
    <w:p w14:paraId="05F769E8" w14:textId="77777777" w:rsidR="00000000" w:rsidRDefault="00832D71">
      <w:pPr>
        <w:pStyle w:val="a3"/>
        <w:spacing w:before="0" w:beforeAutospacing="0" w:after="0" w:afterAutospacing="0"/>
        <w:rPr>
          <w:sz w:val="20"/>
          <w:szCs w:val="20"/>
        </w:rPr>
      </w:pPr>
      <w:r>
        <w:rPr>
          <w:sz w:val="20"/>
          <w:szCs w:val="20"/>
        </w:rPr>
        <w:t> </w:t>
      </w:r>
    </w:p>
    <w:p w14:paraId="7FA6AD63" w14:textId="77777777" w:rsidR="00000000" w:rsidRDefault="00832D71">
      <w:pPr>
        <w:pStyle w:val="a3"/>
        <w:spacing w:before="0" w:beforeAutospacing="0" w:after="0" w:afterAutospacing="0"/>
        <w:jc w:val="both"/>
        <w:rPr>
          <w:sz w:val="20"/>
          <w:szCs w:val="20"/>
        </w:rPr>
      </w:pPr>
      <w:r>
        <w:rPr>
          <w:sz w:val="20"/>
          <w:szCs w:val="20"/>
        </w:rPr>
        <w:t>The critical audit matter communicated below is a matter arising from the current period audit of the consolidated financial statements that was communicated or required to be communicated to the audit committee and that (i) relates to accounts or disclosu</w:t>
      </w:r>
      <w:r>
        <w:rPr>
          <w:sz w:val="20"/>
          <w:szCs w:val="20"/>
        </w:rPr>
        <w:t>res that are material to the consolidated financial statements and (ii) involved our especially challenging, subjective, or complex judgments. The communication of critical audit matters does not alter in any way our opinion on the consolidated financial s</w:t>
      </w:r>
      <w:r>
        <w:rPr>
          <w:sz w:val="20"/>
          <w:szCs w:val="20"/>
        </w:rPr>
        <w:t>tatements, taken as a whole, and we are not, by communicating the critical audit matter below, providing a separate opinion on the critical audit matter or on the accounts or disclosures to which it relates</w:t>
      </w:r>
      <w:r>
        <w:rPr>
          <w:sz w:val="20"/>
          <w:szCs w:val="20"/>
        </w:rPr>
        <w:t>.</w:t>
      </w:r>
    </w:p>
    <w:p w14:paraId="3856B370" w14:textId="77777777" w:rsidR="00000000" w:rsidRDefault="00832D71">
      <w:pPr>
        <w:pStyle w:val="a3"/>
        <w:spacing w:before="0" w:beforeAutospacing="0" w:after="0" w:afterAutospacing="0"/>
        <w:rPr>
          <w:sz w:val="20"/>
          <w:szCs w:val="20"/>
        </w:rPr>
      </w:pPr>
      <w:r>
        <w:rPr>
          <w:sz w:val="20"/>
          <w:szCs w:val="20"/>
        </w:rPr>
        <w:t> </w:t>
      </w:r>
    </w:p>
    <w:p w14:paraId="712EAEEB" w14:textId="77777777" w:rsidR="00000000" w:rsidRDefault="00832D71">
      <w:pPr>
        <w:pStyle w:val="a3"/>
        <w:spacing w:before="0" w:beforeAutospacing="0" w:after="160" w:afterAutospacing="0"/>
        <w:rPr>
          <w:sz w:val="20"/>
          <w:szCs w:val="20"/>
        </w:rPr>
      </w:pPr>
      <w:r>
        <w:rPr>
          <w:i/>
          <w:iCs/>
          <w:sz w:val="20"/>
          <w:szCs w:val="20"/>
        </w:rPr>
        <w:t>Accrued Insuranc</w:t>
      </w:r>
      <w:r>
        <w:rPr>
          <w:i/>
          <w:iCs/>
          <w:sz w:val="20"/>
          <w:szCs w:val="20"/>
        </w:rPr>
        <w:t>e</w:t>
      </w:r>
    </w:p>
    <w:p w14:paraId="26F96868" w14:textId="77777777" w:rsidR="00000000" w:rsidRDefault="00832D71">
      <w:pPr>
        <w:pStyle w:val="a3"/>
        <w:spacing w:before="0" w:beforeAutospacing="0" w:after="160" w:afterAutospacing="0"/>
        <w:jc w:val="both"/>
        <w:rPr>
          <w:sz w:val="20"/>
          <w:szCs w:val="20"/>
        </w:rPr>
      </w:pPr>
      <w:r>
        <w:rPr>
          <w:sz w:val="20"/>
          <w:szCs w:val="20"/>
        </w:rPr>
        <w:t xml:space="preserve">As described in Notes 2 and </w:t>
      </w:r>
      <w:r>
        <w:rPr>
          <w:sz w:val="20"/>
          <w:szCs w:val="20"/>
        </w:rPr>
        <w:t>14 to the consolidated financial statements, the Partnership had accrued insurance liabilities of approximately $64 million as of September 24, 2022, which represents the estimated costs of known and anticipated or unasserted claims for incidents related t</w:t>
      </w:r>
      <w:r>
        <w:rPr>
          <w:sz w:val="20"/>
          <w:szCs w:val="20"/>
        </w:rPr>
        <w:t>o general and product, workers’ compensation and automobile liabilities. For each claim, the Partnership records a provision up to the estimated amount of the probable claim utilizing actuarially determined loss development factors applied to actual histor</w:t>
      </w:r>
      <w:r>
        <w:rPr>
          <w:sz w:val="20"/>
          <w:szCs w:val="20"/>
        </w:rPr>
        <w:t>ical claims data. The Partnership is self-insured for these liabilities up to predetermined amounts above which third party insurance applies. The Partnership maintains insurance coverage such that its net exposure for insured claims is limited to the insu</w:t>
      </w:r>
      <w:r>
        <w:rPr>
          <w:sz w:val="20"/>
          <w:szCs w:val="20"/>
        </w:rPr>
        <w:t>rance deductible, claims above which are paid by the Partnership’s insurance carriers. For the portion of the estimated liability that exceeds insurance deductibles, the Partnership records an asset within other assets related to the amount of the liabilit</w:t>
      </w:r>
      <w:r>
        <w:rPr>
          <w:sz w:val="20"/>
          <w:szCs w:val="20"/>
        </w:rPr>
        <w:t>y expected to be covered by insurance, which amounted to approximately $16 million as of September 24, 2022</w:t>
      </w:r>
      <w:r>
        <w:rPr>
          <w:sz w:val="20"/>
          <w:szCs w:val="20"/>
        </w:rPr>
        <w:t>.</w:t>
      </w:r>
      <w:r>
        <w:rPr>
          <w:sz w:val="20"/>
          <w:szCs w:val="20"/>
        </w:rPr>
        <w:t xml:space="preserve"> </w:t>
      </w:r>
    </w:p>
    <w:p w14:paraId="49271B26" w14:textId="77777777" w:rsidR="00000000" w:rsidRDefault="00832D71">
      <w:pPr>
        <w:pStyle w:val="a3"/>
        <w:spacing w:before="0" w:beforeAutospacing="0" w:after="160" w:afterAutospacing="0"/>
        <w:jc w:val="both"/>
        <w:rPr>
          <w:sz w:val="20"/>
          <w:szCs w:val="20"/>
        </w:rPr>
      </w:pPr>
      <w:r>
        <w:rPr>
          <w:sz w:val="20"/>
          <w:szCs w:val="20"/>
        </w:rPr>
        <w:t>The principal considerations for our determination that performing procedures relating to accrued insurance is a critical audit matter are there w</w:t>
      </w:r>
      <w:r>
        <w:rPr>
          <w:sz w:val="20"/>
          <w:szCs w:val="20"/>
        </w:rPr>
        <w:t>as significant judgment by management in determining the estimate of net exposure for estimated costs of known and anticipated or unasserted claims for self-insured liabilities arising from incidents related to general and product, workers’ compensation, a</w:t>
      </w:r>
      <w:r>
        <w:rPr>
          <w:sz w:val="20"/>
          <w:szCs w:val="20"/>
        </w:rPr>
        <w:t xml:space="preserve">nd automobile liabilities. This in turn led to a high degree of auditor judgment, subjectivity, and effort in performing procedures and evaluating audit evidence relating to these determinations and management’s significant assumption for loss development </w:t>
      </w:r>
      <w:r>
        <w:rPr>
          <w:sz w:val="20"/>
          <w:szCs w:val="20"/>
        </w:rPr>
        <w:t>factors. In addition, the audit effort involved the use of professionals with specialized skill and knowledge to assist in performing these procedures and evaluating the audit evidence obtained</w:t>
      </w:r>
      <w:r>
        <w:rPr>
          <w:sz w:val="20"/>
          <w:szCs w:val="20"/>
        </w:rPr>
        <w:t>.</w:t>
      </w:r>
      <w:r>
        <w:rPr>
          <w:sz w:val="20"/>
          <w:szCs w:val="20"/>
        </w:rPr>
        <w:t xml:space="preserve"> </w:t>
      </w:r>
    </w:p>
    <w:p w14:paraId="7C495193" w14:textId="77777777" w:rsidR="00000000" w:rsidRDefault="00832D71">
      <w:pPr>
        <w:pStyle w:val="a3"/>
        <w:spacing w:before="0" w:beforeAutospacing="0" w:after="0" w:afterAutospacing="0"/>
        <w:jc w:val="both"/>
        <w:rPr>
          <w:sz w:val="20"/>
          <w:szCs w:val="20"/>
        </w:rPr>
      </w:pPr>
      <w:r>
        <w:rPr>
          <w:sz w:val="20"/>
          <w:szCs w:val="20"/>
        </w:rPr>
        <w:t>Addressing the matter involved performing procedures and eva</w:t>
      </w:r>
      <w:r>
        <w:rPr>
          <w:sz w:val="20"/>
          <w:szCs w:val="20"/>
        </w:rPr>
        <w:t xml:space="preserve">luating audit evidence in connection with forming our overall opinion on the consolidated financial statements. These procedures included testing the effectiveness of controls relating to management’s accrued insurance calculation, including controls over </w:t>
      </w:r>
      <w:r>
        <w:rPr>
          <w:sz w:val="20"/>
          <w:szCs w:val="20"/>
        </w:rPr>
        <w:t>the determination of loss development factors. These procedures also included, among others, testing management’s process for determining the net exposure for estimated costs of known and anticipated or unasserted claims for self-insured liabilities arisin</w:t>
      </w:r>
      <w:r>
        <w:rPr>
          <w:sz w:val="20"/>
          <w:szCs w:val="20"/>
        </w:rPr>
        <w:t>g from incidents related to general and product, workers’ compensation, and automobile liabilities and management’s significant assumption for loss development factors. This included testing the completeness and accuracy of underlying data used by manageme</w:t>
      </w:r>
      <w:r>
        <w:rPr>
          <w:sz w:val="20"/>
          <w:szCs w:val="20"/>
        </w:rPr>
        <w:t>nt. Evaluating management’s significant assumption related to loss development factors involved evaluating the historical claims data utilized by management in estimating the costs of known and anticipated or unasserted claims. Professionals with specializ</w:t>
      </w:r>
      <w:r>
        <w:rPr>
          <w:sz w:val="20"/>
          <w:szCs w:val="20"/>
        </w:rPr>
        <w:t>ed skill and knowledge were used to assist in the evaluation of the appropriateness of the actuarial methods used by management and the reasonableness of management’s significant assumption for loss development factors used to estimate costs of known and a</w:t>
      </w:r>
      <w:r>
        <w:rPr>
          <w:sz w:val="20"/>
          <w:szCs w:val="20"/>
        </w:rPr>
        <w:t>nticipated or unasserted claims</w:t>
      </w:r>
      <w:r>
        <w:rPr>
          <w:sz w:val="20"/>
          <w:szCs w:val="20"/>
        </w:rPr>
        <w:t>.</w:t>
      </w:r>
    </w:p>
    <w:p w14:paraId="23CB6D44" w14:textId="77777777" w:rsidR="00000000" w:rsidRDefault="00832D71">
      <w:pPr>
        <w:pStyle w:val="a3"/>
        <w:spacing w:before="0" w:beforeAutospacing="0" w:after="0" w:afterAutospacing="0"/>
        <w:rPr>
          <w:sz w:val="20"/>
          <w:szCs w:val="20"/>
        </w:rPr>
      </w:pPr>
      <w:r>
        <w:rPr>
          <w:sz w:val="20"/>
          <w:szCs w:val="20"/>
        </w:rPr>
        <w:t> </w:t>
      </w:r>
    </w:p>
    <w:p w14:paraId="4E2B7CBB" w14:textId="77777777" w:rsidR="00000000" w:rsidRDefault="00832D71">
      <w:pPr>
        <w:pStyle w:val="a3"/>
        <w:spacing w:before="0" w:beforeAutospacing="0" w:after="0" w:afterAutospacing="0"/>
        <w:rPr>
          <w:sz w:val="20"/>
          <w:szCs w:val="20"/>
        </w:rPr>
      </w:pPr>
      <w:r>
        <w:rPr>
          <w:sz w:val="20"/>
          <w:szCs w:val="20"/>
        </w:rPr>
        <w:t> </w:t>
      </w:r>
    </w:p>
    <w:p w14:paraId="755CE028" w14:textId="77777777" w:rsidR="00000000" w:rsidRDefault="00832D71">
      <w:pPr>
        <w:pStyle w:val="a3"/>
        <w:spacing w:before="0" w:beforeAutospacing="0" w:after="0" w:afterAutospacing="0"/>
        <w:rPr>
          <w:sz w:val="20"/>
          <w:szCs w:val="20"/>
        </w:rPr>
      </w:pPr>
      <w:r>
        <w:rPr>
          <w:sz w:val="20"/>
          <w:szCs w:val="20"/>
        </w:rPr>
        <w:t>/s/</w:t>
      </w:r>
      <w:r>
        <w:rPr>
          <w:sz w:val="20"/>
          <w:szCs w:val="20"/>
        </w:rPr>
        <w:t xml:space="preserve"> </w:t>
      </w:r>
      <w:r>
        <w:rPr>
          <w:sz w:val="20"/>
          <w:szCs w:val="20"/>
        </w:rPr>
        <w:t>PricewaterhouseCoopers LL</w:t>
      </w:r>
      <w:r>
        <w:rPr>
          <w:sz w:val="20"/>
          <w:szCs w:val="20"/>
        </w:rPr>
        <w:t>P</w:t>
      </w:r>
    </w:p>
    <w:p w14:paraId="071050A7" w14:textId="77777777" w:rsidR="00000000" w:rsidRDefault="00832D71">
      <w:pPr>
        <w:pStyle w:val="a3"/>
        <w:spacing w:before="0" w:beforeAutospacing="0" w:after="0" w:afterAutospacing="0"/>
        <w:rPr>
          <w:sz w:val="20"/>
          <w:szCs w:val="20"/>
        </w:rPr>
      </w:pPr>
      <w:r>
        <w:rPr>
          <w:sz w:val="20"/>
          <w:szCs w:val="20"/>
        </w:rPr>
        <w:t> </w:t>
      </w:r>
    </w:p>
    <w:p w14:paraId="17F2BC5C" w14:textId="77777777" w:rsidR="00000000" w:rsidRDefault="00832D71">
      <w:pPr>
        <w:pStyle w:val="a3"/>
        <w:spacing w:before="0" w:beforeAutospacing="0" w:after="0" w:afterAutospacing="0"/>
        <w:rPr>
          <w:sz w:val="20"/>
          <w:szCs w:val="20"/>
        </w:rPr>
      </w:pPr>
      <w:r>
        <w:rPr>
          <w:sz w:val="20"/>
          <w:szCs w:val="20"/>
        </w:rPr>
        <w:t> </w:t>
      </w:r>
    </w:p>
    <w:p w14:paraId="5630D6E8" w14:textId="77777777" w:rsidR="00000000" w:rsidRDefault="00832D71">
      <w:pPr>
        <w:pStyle w:val="a3"/>
        <w:spacing w:before="0" w:beforeAutospacing="0" w:after="0" w:afterAutospacing="0"/>
        <w:rPr>
          <w:sz w:val="20"/>
          <w:szCs w:val="20"/>
        </w:rPr>
      </w:pPr>
      <w:r>
        <w:rPr>
          <w:sz w:val="20"/>
          <w:szCs w:val="20"/>
        </w:rPr>
        <w:t>Florham Park, New Jerse</w:t>
      </w:r>
      <w:r>
        <w:rPr>
          <w:sz w:val="20"/>
          <w:szCs w:val="20"/>
        </w:rPr>
        <w:t>y</w:t>
      </w:r>
    </w:p>
    <w:p w14:paraId="2AB1790B" w14:textId="77777777" w:rsidR="00000000" w:rsidRDefault="00832D71">
      <w:pPr>
        <w:pStyle w:val="a3"/>
        <w:spacing w:before="0" w:beforeAutospacing="0" w:after="0" w:afterAutospacing="0"/>
        <w:rPr>
          <w:sz w:val="20"/>
          <w:szCs w:val="20"/>
        </w:rPr>
      </w:pPr>
      <w:r>
        <w:rPr>
          <w:sz w:val="20"/>
          <w:szCs w:val="20"/>
        </w:rPr>
        <w:t>November 23, 202</w:t>
      </w:r>
      <w:r>
        <w:rPr>
          <w:sz w:val="20"/>
          <w:szCs w:val="20"/>
        </w:rPr>
        <w:t>2</w:t>
      </w:r>
    </w:p>
    <w:p w14:paraId="757D7103" w14:textId="77777777" w:rsidR="00000000" w:rsidRDefault="00832D71">
      <w:pPr>
        <w:pStyle w:val="a3"/>
        <w:spacing w:before="0" w:beforeAutospacing="0" w:after="0" w:afterAutospacing="0"/>
        <w:rPr>
          <w:sz w:val="20"/>
          <w:szCs w:val="20"/>
        </w:rPr>
      </w:pPr>
      <w:r>
        <w:rPr>
          <w:sz w:val="20"/>
          <w:szCs w:val="20"/>
        </w:rPr>
        <w:t> </w:t>
      </w:r>
    </w:p>
    <w:p w14:paraId="68656E02" w14:textId="77777777" w:rsidR="00000000" w:rsidRDefault="00832D71">
      <w:pPr>
        <w:pStyle w:val="a3"/>
        <w:spacing w:before="0" w:beforeAutospacing="0" w:after="0" w:afterAutospacing="0"/>
        <w:rPr>
          <w:sz w:val="20"/>
          <w:szCs w:val="20"/>
        </w:rPr>
      </w:pPr>
      <w:r>
        <w:rPr>
          <w:sz w:val="20"/>
          <w:szCs w:val="20"/>
        </w:rPr>
        <w:t>We have served as the Partnership’s auditor since 1995</w:t>
      </w:r>
      <w:r>
        <w:rPr>
          <w:sz w:val="20"/>
          <w:szCs w:val="20"/>
        </w:rPr>
        <w:t>.</w:t>
      </w:r>
      <w:r>
        <w:rPr>
          <w:sz w:val="13"/>
          <w:szCs w:val="13"/>
          <w:vertAlign w:val="superscript"/>
        </w:rPr>
        <w:t xml:space="preserve"> </w:t>
      </w:r>
    </w:p>
    <w:p w14:paraId="163A2E8D" w14:textId="77777777" w:rsidR="00000000" w:rsidRDefault="00832D71">
      <w:pPr>
        <w:pStyle w:val="a3"/>
        <w:spacing w:before="40" w:beforeAutospacing="0" w:after="0" w:afterAutospacing="0"/>
        <w:rPr>
          <w:sz w:val="20"/>
          <w:szCs w:val="20"/>
        </w:rPr>
      </w:pPr>
      <w:r>
        <w:rPr>
          <w:sz w:val="20"/>
          <w:szCs w:val="20"/>
        </w:rPr>
        <w:t> </w:t>
      </w:r>
    </w:p>
    <w:p w14:paraId="5118994F" w14:textId="77777777" w:rsidR="00000000" w:rsidRDefault="00832D71">
      <w:pPr>
        <w:pStyle w:val="a3"/>
        <w:spacing w:before="200" w:beforeAutospacing="0" w:after="0" w:afterAutospacing="0"/>
        <w:jc w:val="center"/>
        <w:rPr>
          <w:sz w:val="20"/>
          <w:szCs w:val="20"/>
        </w:rPr>
      </w:pPr>
      <w:r>
        <w:rPr>
          <w:sz w:val="20"/>
          <w:szCs w:val="20"/>
        </w:rPr>
        <w:t>F</w:t>
      </w:r>
      <w:r>
        <w:rPr>
          <w:sz w:val="20"/>
          <w:szCs w:val="20"/>
        </w:rPr>
        <w:t>-</w:t>
      </w:r>
      <w:r>
        <w:rPr>
          <w:sz w:val="20"/>
          <w:szCs w:val="20"/>
        </w:rPr>
        <w:t>3</w:t>
      </w:r>
    </w:p>
    <w:p w14:paraId="37BE4D7B" w14:textId="77777777" w:rsidR="00000000" w:rsidRDefault="00832D71">
      <w:pPr>
        <w:rPr>
          <w:rFonts w:eastAsia="Times New Roman"/>
        </w:rPr>
      </w:pPr>
      <w:r>
        <w:rPr>
          <w:rFonts w:eastAsia="Times New Roman"/>
        </w:rPr>
        <w:pict w14:anchorId="63ECD516">
          <v:rect id="_x0000_i1122" style="width:0;height:1.5pt" o:hralign="center" o:hrstd="t" o:hr="t" fillcolor="#a0a0a0" stroked="f"/>
        </w:pict>
      </w:r>
    </w:p>
    <w:p w14:paraId="1AAF4319" w14:textId="77777777" w:rsidR="00000000" w:rsidRDefault="00832D71">
      <w:pPr>
        <w:pStyle w:val="a3"/>
        <w:spacing w:before="0" w:beforeAutospacing="0" w:after="0" w:afterAutospacing="0"/>
        <w:rPr>
          <w:sz w:val="20"/>
          <w:szCs w:val="20"/>
        </w:rPr>
      </w:pPr>
      <w:r>
        <w:rPr>
          <w:sz w:val="20"/>
          <w:szCs w:val="20"/>
        </w:rPr>
        <w:t> </w:t>
      </w:r>
    </w:p>
    <w:p w14:paraId="50ADE0A3" w14:textId="77777777" w:rsidR="00000000" w:rsidRDefault="00832D71">
      <w:pPr>
        <w:pStyle w:val="a3"/>
        <w:spacing w:before="0" w:beforeAutospacing="0" w:after="0" w:afterAutospacing="0"/>
        <w:jc w:val="center"/>
        <w:rPr>
          <w:sz w:val="20"/>
          <w:szCs w:val="20"/>
        </w:rPr>
      </w:pPr>
      <w:r>
        <w:rPr>
          <w:b/>
          <w:bCs/>
          <w:sz w:val="20"/>
          <w:szCs w:val="20"/>
        </w:rPr>
        <w:t>SUBURBAN PROPANE PARTNERS, L.P. AND SU</w:t>
      </w:r>
      <w:r>
        <w:rPr>
          <w:b/>
          <w:bCs/>
          <w:sz w:val="20"/>
          <w:szCs w:val="20"/>
        </w:rPr>
        <w:t>BSIDIARIE</w:t>
      </w:r>
      <w:r>
        <w:rPr>
          <w:b/>
          <w:bCs/>
          <w:sz w:val="20"/>
          <w:szCs w:val="20"/>
        </w:rPr>
        <w:t>S</w:t>
      </w:r>
    </w:p>
    <w:p w14:paraId="398F9CCA" w14:textId="77777777" w:rsidR="00000000" w:rsidRDefault="00832D71">
      <w:pPr>
        <w:pStyle w:val="a3"/>
        <w:spacing w:before="240" w:beforeAutospacing="0" w:after="0" w:afterAutospacing="0"/>
        <w:jc w:val="center"/>
        <w:rPr>
          <w:sz w:val="20"/>
          <w:szCs w:val="20"/>
        </w:rPr>
      </w:pPr>
      <w:r>
        <w:rPr>
          <w:b/>
          <w:bCs/>
          <w:sz w:val="20"/>
          <w:szCs w:val="20"/>
        </w:rPr>
        <w:t xml:space="preserve">CONSOLIDATED </w:t>
      </w:r>
      <w:r>
        <w:rPr>
          <w:b/>
          <w:bCs/>
          <w:sz w:val="20"/>
          <w:szCs w:val="20"/>
        </w:rPr>
        <w:t>B</w:t>
      </w:r>
      <w:r>
        <w:rPr>
          <w:b/>
          <w:bCs/>
          <w:sz w:val="20"/>
          <w:szCs w:val="20"/>
        </w:rPr>
        <w:t>ALANCE SHEET</w:t>
      </w:r>
      <w:r>
        <w:rPr>
          <w:b/>
          <w:bCs/>
          <w:sz w:val="20"/>
          <w:szCs w:val="20"/>
        </w:rPr>
        <w:t>S</w:t>
      </w:r>
    </w:p>
    <w:p w14:paraId="557EC779" w14:textId="77777777" w:rsidR="00000000" w:rsidRDefault="00832D71">
      <w:pPr>
        <w:pStyle w:val="a3"/>
        <w:spacing w:before="0" w:beforeAutospacing="0" w:after="0" w:afterAutospacing="0"/>
        <w:jc w:val="center"/>
        <w:rPr>
          <w:sz w:val="20"/>
          <w:szCs w:val="20"/>
        </w:rPr>
      </w:pPr>
      <w:r>
        <w:rPr>
          <w:sz w:val="20"/>
          <w:szCs w:val="20"/>
        </w:rPr>
        <w:t>(in thousands</w:t>
      </w:r>
      <w:r>
        <w:rPr>
          <w:sz w:val="20"/>
          <w:szCs w:val="20"/>
        </w:rPr>
        <w:t>)</w:t>
      </w:r>
    </w:p>
    <w:p w14:paraId="7BB761D8" w14:textId="77777777" w:rsidR="00000000" w:rsidRDefault="00832D7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4"/>
        <w:gridCol w:w="133"/>
        <w:gridCol w:w="160"/>
        <w:gridCol w:w="1033"/>
        <w:gridCol w:w="127"/>
        <w:gridCol w:w="133"/>
        <w:gridCol w:w="160"/>
        <w:gridCol w:w="1034"/>
        <w:gridCol w:w="142"/>
      </w:tblGrid>
      <w:tr w:rsidR="00000000" w14:paraId="1FD3DDD3" w14:textId="77777777">
        <w:trPr>
          <w:tblCellSpacing w:w="15" w:type="dxa"/>
        </w:trPr>
        <w:tc>
          <w:tcPr>
            <w:tcW w:w="3350" w:type="pct"/>
            <w:vAlign w:val="center"/>
            <w:hideMark/>
          </w:tcPr>
          <w:p w14:paraId="45318318" w14:textId="77777777" w:rsidR="00000000" w:rsidRDefault="00832D71">
            <w:pPr>
              <w:rPr>
                <w:sz w:val="20"/>
                <w:szCs w:val="20"/>
              </w:rPr>
            </w:pPr>
          </w:p>
        </w:tc>
        <w:tc>
          <w:tcPr>
            <w:tcW w:w="81" w:type="pct"/>
            <w:vAlign w:val="center"/>
            <w:hideMark/>
          </w:tcPr>
          <w:p w14:paraId="177F11A7" w14:textId="77777777" w:rsidR="00000000" w:rsidRDefault="00832D71">
            <w:pPr>
              <w:rPr>
                <w:rFonts w:eastAsia="Times New Roman"/>
                <w:sz w:val="20"/>
                <w:szCs w:val="20"/>
              </w:rPr>
            </w:pPr>
          </w:p>
        </w:tc>
        <w:tc>
          <w:tcPr>
            <w:tcW w:w="50" w:type="pct"/>
            <w:vAlign w:val="center"/>
            <w:hideMark/>
          </w:tcPr>
          <w:p w14:paraId="00D4F6A8" w14:textId="77777777" w:rsidR="00000000" w:rsidRDefault="00832D71">
            <w:pPr>
              <w:rPr>
                <w:rFonts w:eastAsia="Times New Roman"/>
                <w:sz w:val="20"/>
                <w:szCs w:val="20"/>
              </w:rPr>
            </w:pPr>
          </w:p>
        </w:tc>
        <w:tc>
          <w:tcPr>
            <w:tcW w:w="643" w:type="pct"/>
            <w:vAlign w:val="center"/>
            <w:hideMark/>
          </w:tcPr>
          <w:p w14:paraId="05074D59" w14:textId="77777777" w:rsidR="00000000" w:rsidRDefault="00832D71">
            <w:pPr>
              <w:rPr>
                <w:rFonts w:eastAsia="Times New Roman"/>
                <w:sz w:val="20"/>
                <w:szCs w:val="20"/>
              </w:rPr>
            </w:pPr>
          </w:p>
        </w:tc>
        <w:tc>
          <w:tcPr>
            <w:tcW w:w="50" w:type="pct"/>
            <w:vAlign w:val="center"/>
            <w:hideMark/>
          </w:tcPr>
          <w:p w14:paraId="042EF94C" w14:textId="77777777" w:rsidR="00000000" w:rsidRDefault="00832D71">
            <w:pPr>
              <w:rPr>
                <w:rFonts w:eastAsia="Times New Roman"/>
                <w:sz w:val="20"/>
                <w:szCs w:val="20"/>
              </w:rPr>
            </w:pPr>
          </w:p>
        </w:tc>
        <w:tc>
          <w:tcPr>
            <w:tcW w:w="81" w:type="pct"/>
            <w:vAlign w:val="center"/>
            <w:hideMark/>
          </w:tcPr>
          <w:p w14:paraId="191E8CCC" w14:textId="77777777" w:rsidR="00000000" w:rsidRDefault="00832D71">
            <w:pPr>
              <w:rPr>
                <w:rFonts w:eastAsia="Times New Roman"/>
                <w:sz w:val="20"/>
                <w:szCs w:val="20"/>
              </w:rPr>
            </w:pPr>
          </w:p>
        </w:tc>
        <w:tc>
          <w:tcPr>
            <w:tcW w:w="50" w:type="pct"/>
            <w:vAlign w:val="center"/>
            <w:hideMark/>
          </w:tcPr>
          <w:p w14:paraId="440C1A72" w14:textId="77777777" w:rsidR="00000000" w:rsidRDefault="00832D71">
            <w:pPr>
              <w:rPr>
                <w:rFonts w:eastAsia="Times New Roman"/>
                <w:sz w:val="20"/>
                <w:szCs w:val="20"/>
              </w:rPr>
            </w:pPr>
          </w:p>
        </w:tc>
        <w:tc>
          <w:tcPr>
            <w:tcW w:w="643" w:type="pct"/>
            <w:vAlign w:val="center"/>
            <w:hideMark/>
          </w:tcPr>
          <w:p w14:paraId="1F5F4F7F" w14:textId="77777777" w:rsidR="00000000" w:rsidRDefault="00832D71">
            <w:pPr>
              <w:rPr>
                <w:rFonts w:eastAsia="Times New Roman"/>
                <w:sz w:val="20"/>
                <w:szCs w:val="20"/>
              </w:rPr>
            </w:pPr>
          </w:p>
        </w:tc>
        <w:tc>
          <w:tcPr>
            <w:tcW w:w="50" w:type="pct"/>
            <w:vAlign w:val="center"/>
            <w:hideMark/>
          </w:tcPr>
          <w:p w14:paraId="26798AF0" w14:textId="77777777" w:rsidR="00000000" w:rsidRDefault="00832D71">
            <w:pPr>
              <w:rPr>
                <w:rFonts w:eastAsia="Times New Roman"/>
                <w:sz w:val="20"/>
                <w:szCs w:val="20"/>
              </w:rPr>
            </w:pPr>
          </w:p>
        </w:tc>
      </w:tr>
      <w:tr w:rsidR="00000000" w14:paraId="2F217B0B" w14:textId="77777777">
        <w:trPr>
          <w:trHeight w:val="160"/>
          <w:tblCellSpacing w:w="15" w:type="dxa"/>
        </w:trPr>
        <w:tc>
          <w:tcPr>
            <w:tcW w:w="0" w:type="auto"/>
            <w:vAlign w:val="bottom"/>
            <w:hideMark/>
          </w:tcPr>
          <w:p w14:paraId="1DF1A9D1"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B0C795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896C95C" w14:textId="77777777" w:rsidR="00000000" w:rsidRDefault="00832D71">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14:paraId="1BB772FD"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7C31FF6"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3AE0838" w14:textId="77777777" w:rsidR="00000000" w:rsidRDefault="00832D71">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14:paraId="067E1CBF"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58793DCC" w14:textId="77777777">
        <w:trPr>
          <w:trHeight w:val="160"/>
          <w:tblCellSpacing w:w="15" w:type="dxa"/>
        </w:trPr>
        <w:tc>
          <w:tcPr>
            <w:tcW w:w="0" w:type="auto"/>
            <w:vAlign w:val="bottom"/>
            <w:hideMark/>
          </w:tcPr>
          <w:p w14:paraId="327A1C8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1A638F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0E46394"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44CCE44E"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35F5F61"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CDAB3F2"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6D365574"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4ED9EA7" w14:textId="77777777">
        <w:trPr>
          <w:trHeight w:val="200"/>
          <w:tblCellSpacing w:w="15" w:type="dxa"/>
        </w:trPr>
        <w:tc>
          <w:tcPr>
            <w:tcW w:w="0" w:type="auto"/>
            <w:hideMark/>
          </w:tcPr>
          <w:p w14:paraId="3E44A249" w14:textId="77777777" w:rsidR="00000000" w:rsidRDefault="00832D71">
            <w:pPr>
              <w:pStyle w:val="a3"/>
              <w:spacing w:before="0" w:beforeAutospacing="0" w:after="0" w:afterAutospacing="0"/>
              <w:rPr>
                <w:sz w:val="20"/>
                <w:szCs w:val="20"/>
              </w:rPr>
            </w:pPr>
            <w:r>
              <w:rPr>
                <w:b/>
                <w:bCs/>
                <w:sz w:val="20"/>
                <w:szCs w:val="20"/>
              </w:rPr>
              <w:t>ASSET</w:t>
            </w:r>
            <w:r>
              <w:rPr>
                <w:b/>
                <w:bCs/>
                <w:sz w:val="20"/>
                <w:szCs w:val="20"/>
              </w:rPr>
              <w:t>S</w:t>
            </w:r>
          </w:p>
        </w:tc>
        <w:tc>
          <w:tcPr>
            <w:tcW w:w="0" w:type="auto"/>
            <w:vAlign w:val="bottom"/>
            <w:hideMark/>
          </w:tcPr>
          <w:p w14:paraId="6A12A8ED"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8E7873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53AC07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9F56DC5"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780D35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4379F79" w14:textId="77777777" w:rsidR="00000000" w:rsidRDefault="00832D71">
            <w:pPr>
              <w:pStyle w:val="a3"/>
              <w:spacing w:before="0" w:beforeAutospacing="0" w:after="0" w:afterAutospacing="0"/>
              <w:jc w:val="right"/>
              <w:rPr>
                <w:sz w:val="20"/>
                <w:szCs w:val="20"/>
              </w:rPr>
            </w:pPr>
            <w:r>
              <w:rPr>
                <w:sz w:val="20"/>
                <w:szCs w:val="20"/>
              </w:rPr>
              <w:t> </w:t>
            </w:r>
          </w:p>
        </w:tc>
      </w:tr>
      <w:tr w:rsidR="00000000" w14:paraId="0C6BA2D3" w14:textId="77777777">
        <w:trPr>
          <w:trHeight w:val="200"/>
          <w:tblCellSpacing w:w="15" w:type="dxa"/>
        </w:trPr>
        <w:tc>
          <w:tcPr>
            <w:tcW w:w="0" w:type="auto"/>
            <w:hideMark/>
          </w:tcPr>
          <w:p w14:paraId="1AEC4144" w14:textId="77777777" w:rsidR="00000000" w:rsidRDefault="00832D71">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14:paraId="749083F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722EE9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2283E0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CE028E0"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E8CD1C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B595055" w14:textId="77777777" w:rsidR="00000000" w:rsidRDefault="00832D71">
            <w:pPr>
              <w:pStyle w:val="a3"/>
              <w:spacing w:before="0" w:beforeAutospacing="0" w:after="0" w:afterAutospacing="0"/>
              <w:jc w:val="right"/>
              <w:rPr>
                <w:sz w:val="20"/>
                <w:szCs w:val="20"/>
              </w:rPr>
            </w:pPr>
            <w:r>
              <w:rPr>
                <w:sz w:val="20"/>
                <w:szCs w:val="20"/>
              </w:rPr>
              <w:t> </w:t>
            </w:r>
          </w:p>
        </w:tc>
      </w:tr>
      <w:tr w:rsidR="00000000" w14:paraId="32DD3FFD" w14:textId="77777777">
        <w:trPr>
          <w:trHeight w:val="200"/>
          <w:tblCellSpacing w:w="15" w:type="dxa"/>
        </w:trPr>
        <w:tc>
          <w:tcPr>
            <w:tcW w:w="0" w:type="auto"/>
            <w:hideMark/>
          </w:tcPr>
          <w:p w14:paraId="1852393E" w14:textId="77777777" w:rsidR="00000000" w:rsidRDefault="00832D71">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vAlign w:val="bottom"/>
            <w:hideMark/>
          </w:tcPr>
          <w:p w14:paraId="256AC90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CAEF2A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E9FB3BB" w14:textId="77777777" w:rsidR="00000000" w:rsidRDefault="00832D71">
            <w:pPr>
              <w:pStyle w:val="a3"/>
              <w:spacing w:before="0" w:beforeAutospacing="0" w:after="0" w:afterAutospacing="0"/>
              <w:jc w:val="right"/>
              <w:rPr>
                <w:sz w:val="20"/>
                <w:szCs w:val="20"/>
              </w:rPr>
            </w:pPr>
            <w:r>
              <w:rPr>
                <w:sz w:val="20"/>
                <w:szCs w:val="20"/>
              </w:rPr>
              <w:t>4,10</w:t>
            </w:r>
            <w:r>
              <w:rPr>
                <w:sz w:val="20"/>
                <w:szCs w:val="20"/>
              </w:rPr>
              <w:t>0</w:t>
            </w:r>
          </w:p>
        </w:tc>
        <w:tc>
          <w:tcPr>
            <w:tcW w:w="0" w:type="auto"/>
            <w:noWrap/>
            <w:vAlign w:val="bottom"/>
            <w:hideMark/>
          </w:tcPr>
          <w:p w14:paraId="3FBED63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72CC82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C08828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D8330A8" w14:textId="77777777" w:rsidR="00000000" w:rsidRDefault="00832D71">
            <w:pPr>
              <w:pStyle w:val="a3"/>
              <w:spacing w:before="0" w:beforeAutospacing="0" w:after="0" w:afterAutospacing="0"/>
              <w:jc w:val="right"/>
              <w:rPr>
                <w:sz w:val="20"/>
                <w:szCs w:val="20"/>
              </w:rPr>
            </w:pPr>
            <w:r>
              <w:rPr>
                <w:sz w:val="20"/>
                <w:szCs w:val="20"/>
              </w:rPr>
              <w:t>5,80</w:t>
            </w:r>
            <w:r>
              <w:rPr>
                <w:sz w:val="20"/>
                <w:szCs w:val="20"/>
              </w:rPr>
              <w:t>8</w:t>
            </w:r>
          </w:p>
        </w:tc>
        <w:tc>
          <w:tcPr>
            <w:tcW w:w="0" w:type="auto"/>
            <w:noWrap/>
            <w:vAlign w:val="bottom"/>
            <w:hideMark/>
          </w:tcPr>
          <w:p w14:paraId="0CEE73CD" w14:textId="77777777" w:rsidR="00000000" w:rsidRDefault="00832D71">
            <w:pPr>
              <w:pStyle w:val="a3"/>
              <w:spacing w:before="0" w:beforeAutospacing="0" w:after="0" w:afterAutospacing="0"/>
              <w:rPr>
                <w:sz w:val="20"/>
                <w:szCs w:val="20"/>
              </w:rPr>
            </w:pPr>
            <w:r>
              <w:rPr>
                <w:sz w:val="20"/>
                <w:szCs w:val="20"/>
              </w:rPr>
              <w:t> </w:t>
            </w:r>
          </w:p>
        </w:tc>
      </w:tr>
      <w:tr w:rsidR="00000000" w14:paraId="15F80580" w14:textId="77777777">
        <w:trPr>
          <w:trHeight w:val="200"/>
          <w:tblCellSpacing w:w="15" w:type="dxa"/>
        </w:trPr>
        <w:tc>
          <w:tcPr>
            <w:tcW w:w="0" w:type="auto"/>
            <w:hideMark/>
          </w:tcPr>
          <w:p w14:paraId="6CEC8F72" w14:textId="77777777" w:rsidR="00000000" w:rsidRDefault="00832D71">
            <w:pPr>
              <w:pStyle w:val="a3"/>
              <w:spacing w:before="0" w:beforeAutospacing="0" w:after="0" w:afterAutospacing="0"/>
              <w:ind w:left="200"/>
              <w:rPr>
                <w:sz w:val="20"/>
                <w:szCs w:val="20"/>
              </w:rPr>
            </w:pPr>
            <w:r>
              <w:rPr>
                <w:sz w:val="20"/>
                <w:szCs w:val="20"/>
              </w:rPr>
              <w:t xml:space="preserve">Accounts receivable, less allowance for doubtful accounts of </w:t>
            </w:r>
            <w:r>
              <w:rPr>
                <w:sz w:val="20"/>
                <w:szCs w:val="20"/>
              </w:rPr>
              <w:t>$</w:t>
            </w:r>
            <w:r>
              <w:rPr>
                <w:sz w:val="20"/>
                <w:szCs w:val="20"/>
              </w:rPr>
              <w:t>4,82</w:t>
            </w:r>
            <w:r>
              <w:rPr>
                <w:sz w:val="20"/>
                <w:szCs w:val="20"/>
              </w:rPr>
              <w:t>2</w:t>
            </w:r>
            <w:r>
              <w:rPr>
                <w:sz w:val="20"/>
                <w:szCs w:val="20"/>
              </w:rPr>
              <w:t> and</w:t>
            </w:r>
            <w:r>
              <w:rPr>
                <w:sz w:val="20"/>
                <w:szCs w:val="20"/>
              </w:rPr>
              <w:br/>
              <w:t>   </w:t>
            </w:r>
            <w:r>
              <w:rPr>
                <w:sz w:val="20"/>
                <w:szCs w:val="20"/>
              </w:rPr>
              <w:t>$</w:t>
            </w:r>
            <w:r>
              <w:rPr>
                <w:sz w:val="20"/>
                <w:szCs w:val="20"/>
              </w:rPr>
              <w:t>3,33</w:t>
            </w:r>
            <w:r>
              <w:rPr>
                <w:sz w:val="20"/>
                <w:szCs w:val="20"/>
              </w:rPr>
              <w:t>2</w:t>
            </w:r>
            <w:r>
              <w:rPr>
                <w:sz w:val="20"/>
                <w:szCs w:val="20"/>
              </w:rPr>
              <w:t>, respectivel</w:t>
            </w:r>
            <w:r>
              <w:rPr>
                <w:sz w:val="20"/>
                <w:szCs w:val="20"/>
              </w:rPr>
              <w:t>y</w:t>
            </w:r>
          </w:p>
        </w:tc>
        <w:tc>
          <w:tcPr>
            <w:tcW w:w="0" w:type="auto"/>
            <w:vAlign w:val="bottom"/>
            <w:hideMark/>
          </w:tcPr>
          <w:p w14:paraId="4A47EDA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47495B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79FEE29" w14:textId="77777777" w:rsidR="00000000" w:rsidRDefault="00832D71">
            <w:pPr>
              <w:pStyle w:val="a3"/>
              <w:spacing w:before="0" w:beforeAutospacing="0" w:after="0" w:afterAutospacing="0"/>
              <w:jc w:val="right"/>
              <w:rPr>
                <w:sz w:val="20"/>
                <w:szCs w:val="20"/>
              </w:rPr>
            </w:pPr>
            <w:r>
              <w:rPr>
                <w:sz w:val="20"/>
                <w:szCs w:val="20"/>
              </w:rPr>
              <w:t>78,52</w:t>
            </w:r>
            <w:r>
              <w:rPr>
                <w:sz w:val="20"/>
                <w:szCs w:val="20"/>
              </w:rPr>
              <w:t>9</w:t>
            </w:r>
          </w:p>
        </w:tc>
        <w:tc>
          <w:tcPr>
            <w:tcW w:w="0" w:type="auto"/>
            <w:noWrap/>
            <w:vAlign w:val="bottom"/>
            <w:hideMark/>
          </w:tcPr>
          <w:p w14:paraId="5D80779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4785D0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896B85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92A4AFB" w14:textId="77777777" w:rsidR="00000000" w:rsidRDefault="00832D71">
            <w:pPr>
              <w:pStyle w:val="a3"/>
              <w:spacing w:before="0" w:beforeAutospacing="0" w:after="0" w:afterAutospacing="0"/>
              <w:jc w:val="right"/>
              <w:rPr>
                <w:sz w:val="20"/>
                <w:szCs w:val="20"/>
              </w:rPr>
            </w:pPr>
            <w:r>
              <w:rPr>
                <w:sz w:val="20"/>
                <w:szCs w:val="20"/>
              </w:rPr>
              <w:t>71,37</w:t>
            </w:r>
            <w:r>
              <w:rPr>
                <w:sz w:val="20"/>
                <w:szCs w:val="20"/>
              </w:rPr>
              <w:t>2</w:t>
            </w:r>
          </w:p>
        </w:tc>
        <w:tc>
          <w:tcPr>
            <w:tcW w:w="0" w:type="auto"/>
            <w:noWrap/>
            <w:vAlign w:val="bottom"/>
            <w:hideMark/>
          </w:tcPr>
          <w:p w14:paraId="368B3834" w14:textId="77777777" w:rsidR="00000000" w:rsidRDefault="00832D71">
            <w:pPr>
              <w:pStyle w:val="a3"/>
              <w:spacing w:before="0" w:beforeAutospacing="0" w:after="0" w:afterAutospacing="0"/>
              <w:rPr>
                <w:sz w:val="20"/>
                <w:szCs w:val="20"/>
              </w:rPr>
            </w:pPr>
            <w:r>
              <w:rPr>
                <w:sz w:val="20"/>
                <w:szCs w:val="20"/>
              </w:rPr>
              <w:t> </w:t>
            </w:r>
          </w:p>
        </w:tc>
      </w:tr>
      <w:tr w:rsidR="00000000" w14:paraId="6ABF2241" w14:textId="77777777">
        <w:trPr>
          <w:trHeight w:val="200"/>
          <w:tblCellSpacing w:w="15" w:type="dxa"/>
        </w:trPr>
        <w:tc>
          <w:tcPr>
            <w:tcW w:w="0" w:type="auto"/>
            <w:hideMark/>
          </w:tcPr>
          <w:p w14:paraId="66F7B479" w14:textId="77777777" w:rsidR="00000000" w:rsidRDefault="00832D71">
            <w:pPr>
              <w:pStyle w:val="a3"/>
              <w:spacing w:before="0" w:beforeAutospacing="0" w:after="0" w:afterAutospacing="0"/>
              <w:ind w:left="200"/>
              <w:rPr>
                <w:sz w:val="20"/>
                <w:szCs w:val="20"/>
              </w:rPr>
            </w:pPr>
            <w:r>
              <w:rPr>
                <w:sz w:val="20"/>
                <w:szCs w:val="20"/>
              </w:rPr>
              <w:t>Inventorie</w:t>
            </w:r>
            <w:r>
              <w:rPr>
                <w:sz w:val="20"/>
                <w:szCs w:val="20"/>
              </w:rPr>
              <w:t>s</w:t>
            </w:r>
          </w:p>
        </w:tc>
        <w:tc>
          <w:tcPr>
            <w:tcW w:w="0" w:type="auto"/>
            <w:vAlign w:val="bottom"/>
            <w:hideMark/>
          </w:tcPr>
          <w:p w14:paraId="47D36FE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578EAF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ADB4E89" w14:textId="77777777" w:rsidR="00000000" w:rsidRDefault="00832D71">
            <w:pPr>
              <w:pStyle w:val="a3"/>
              <w:spacing w:before="0" w:beforeAutospacing="0" w:after="0" w:afterAutospacing="0"/>
              <w:jc w:val="right"/>
              <w:rPr>
                <w:sz w:val="20"/>
                <w:szCs w:val="20"/>
              </w:rPr>
            </w:pPr>
            <w:r>
              <w:rPr>
                <w:sz w:val="20"/>
                <w:szCs w:val="20"/>
              </w:rPr>
              <w:t>66,92</w:t>
            </w:r>
            <w:r>
              <w:rPr>
                <w:sz w:val="20"/>
                <w:szCs w:val="20"/>
              </w:rPr>
              <w:t>1</w:t>
            </w:r>
          </w:p>
        </w:tc>
        <w:tc>
          <w:tcPr>
            <w:tcW w:w="0" w:type="auto"/>
            <w:noWrap/>
            <w:vAlign w:val="bottom"/>
            <w:hideMark/>
          </w:tcPr>
          <w:p w14:paraId="2A60D62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005789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CEFA5C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0B68461" w14:textId="77777777" w:rsidR="00000000" w:rsidRDefault="00832D71">
            <w:pPr>
              <w:pStyle w:val="a3"/>
              <w:spacing w:before="0" w:beforeAutospacing="0" w:after="0" w:afterAutospacing="0"/>
              <w:jc w:val="right"/>
              <w:rPr>
                <w:sz w:val="20"/>
                <w:szCs w:val="20"/>
              </w:rPr>
            </w:pPr>
            <w:r>
              <w:rPr>
                <w:sz w:val="20"/>
                <w:szCs w:val="20"/>
              </w:rPr>
              <w:t>61,80</w:t>
            </w:r>
            <w:r>
              <w:rPr>
                <w:sz w:val="20"/>
                <w:szCs w:val="20"/>
              </w:rPr>
              <w:t>2</w:t>
            </w:r>
          </w:p>
        </w:tc>
        <w:tc>
          <w:tcPr>
            <w:tcW w:w="0" w:type="auto"/>
            <w:noWrap/>
            <w:vAlign w:val="bottom"/>
            <w:hideMark/>
          </w:tcPr>
          <w:p w14:paraId="1501379C" w14:textId="77777777" w:rsidR="00000000" w:rsidRDefault="00832D71">
            <w:pPr>
              <w:pStyle w:val="a3"/>
              <w:spacing w:before="0" w:beforeAutospacing="0" w:after="0" w:afterAutospacing="0"/>
              <w:rPr>
                <w:sz w:val="20"/>
                <w:szCs w:val="20"/>
              </w:rPr>
            </w:pPr>
            <w:r>
              <w:rPr>
                <w:sz w:val="20"/>
                <w:szCs w:val="20"/>
              </w:rPr>
              <w:t> </w:t>
            </w:r>
          </w:p>
        </w:tc>
      </w:tr>
      <w:tr w:rsidR="00000000" w14:paraId="351CFBBB" w14:textId="77777777">
        <w:trPr>
          <w:trHeight w:val="200"/>
          <w:tblCellSpacing w:w="15" w:type="dxa"/>
        </w:trPr>
        <w:tc>
          <w:tcPr>
            <w:tcW w:w="0" w:type="auto"/>
            <w:hideMark/>
          </w:tcPr>
          <w:p w14:paraId="4191F580" w14:textId="77777777" w:rsidR="00000000" w:rsidRDefault="00832D71">
            <w:pPr>
              <w:pStyle w:val="a3"/>
              <w:spacing w:before="0" w:beforeAutospacing="0" w:after="0" w:afterAutospacing="0"/>
              <w:ind w:left="200"/>
              <w:rPr>
                <w:sz w:val="20"/>
                <w:szCs w:val="20"/>
              </w:rPr>
            </w:pPr>
            <w:r>
              <w:rPr>
                <w:sz w:val="20"/>
                <w:szCs w:val="20"/>
              </w:rPr>
              <w:t>Other current asset</w:t>
            </w:r>
            <w:r>
              <w:rPr>
                <w:sz w:val="20"/>
                <w:szCs w:val="20"/>
              </w:rPr>
              <w:t>s</w:t>
            </w:r>
          </w:p>
        </w:tc>
        <w:tc>
          <w:tcPr>
            <w:tcW w:w="0" w:type="auto"/>
            <w:vAlign w:val="bottom"/>
            <w:hideMark/>
          </w:tcPr>
          <w:p w14:paraId="1783F9D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D141B0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75E7DD1" w14:textId="77777777" w:rsidR="00000000" w:rsidRDefault="00832D71">
            <w:pPr>
              <w:pStyle w:val="a3"/>
              <w:spacing w:before="0" w:beforeAutospacing="0" w:after="0" w:afterAutospacing="0"/>
              <w:jc w:val="right"/>
              <w:rPr>
                <w:sz w:val="20"/>
                <w:szCs w:val="20"/>
              </w:rPr>
            </w:pPr>
            <w:r>
              <w:rPr>
                <w:sz w:val="20"/>
                <w:szCs w:val="20"/>
              </w:rPr>
              <w:t>25,31</w:t>
            </w:r>
            <w:r>
              <w:rPr>
                <w:sz w:val="20"/>
                <w:szCs w:val="20"/>
              </w:rPr>
              <w:t>0</w:t>
            </w:r>
          </w:p>
        </w:tc>
        <w:tc>
          <w:tcPr>
            <w:tcW w:w="0" w:type="auto"/>
            <w:noWrap/>
            <w:vAlign w:val="bottom"/>
            <w:hideMark/>
          </w:tcPr>
          <w:p w14:paraId="0F0D885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533CA5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EE664E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7BA41C4" w14:textId="77777777" w:rsidR="00000000" w:rsidRDefault="00832D71">
            <w:pPr>
              <w:pStyle w:val="a3"/>
              <w:spacing w:before="0" w:beforeAutospacing="0" w:after="0" w:afterAutospacing="0"/>
              <w:jc w:val="right"/>
              <w:rPr>
                <w:sz w:val="20"/>
                <w:szCs w:val="20"/>
              </w:rPr>
            </w:pPr>
            <w:r>
              <w:rPr>
                <w:sz w:val="20"/>
                <w:szCs w:val="20"/>
              </w:rPr>
              <w:t>41,12</w:t>
            </w:r>
            <w:r>
              <w:rPr>
                <w:sz w:val="20"/>
                <w:szCs w:val="20"/>
              </w:rPr>
              <w:t>6</w:t>
            </w:r>
          </w:p>
        </w:tc>
        <w:tc>
          <w:tcPr>
            <w:tcW w:w="0" w:type="auto"/>
            <w:noWrap/>
            <w:vAlign w:val="bottom"/>
            <w:hideMark/>
          </w:tcPr>
          <w:p w14:paraId="6F79F79C" w14:textId="77777777" w:rsidR="00000000" w:rsidRDefault="00832D71">
            <w:pPr>
              <w:pStyle w:val="a3"/>
              <w:spacing w:before="0" w:beforeAutospacing="0" w:after="0" w:afterAutospacing="0"/>
              <w:rPr>
                <w:sz w:val="20"/>
                <w:szCs w:val="20"/>
              </w:rPr>
            </w:pPr>
            <w:r>
              <w:rPr>
                <w:sz w:val="20"/>
                <w:szCs w:val="20"/>
              </w:rPr>
              <w:t> </w:t>
            </w:r>
          </w:p>
        </w:tc>
      </w:tr>
      <w:tr w:rsidR="00000000" w14:paraId="114D6B83" w14:textId="77777777">
        <w:trPr>
          <w:trHeight w:val="200"/>
          <w:tblCellSpacing w:w="15" w:type="dxa"/>
        </w:trPr>
        <w:tc>
          <w:tcPr>
            <w:tcW w:w="0" w:type="auto"/>
            <w:hideMark/>
          </w:tcPr>
          <w:p w14:paraId="33F209AE" w14:textId="77777777" w:rsidR="00000000" w:rsidRDefault="00832D71">
            <w:pPr>
              <w:pStyle w:val="a3"/>
              <w:spacing w:before="0" w:beforeAutospacing="0" w:after="0" w:afterAutospacing="0"/>
              <w:ind w:left="400"/>
              <w:rPr>
                <w:sz w:val="20"/>
                <w:szCs w:val="20"/>
              </w:rPr>
            </w:pPr>
            <w:r>
              <w:rPr>
                <w:sz w:val="20"/>
                <w:szCs w:val="20"/>
              </w:rPr>
              <w:t>Total current asset</w:t>
            </w:r>
            <w:r>
              <w:rPr>
                <w:sz w:val="20"/>
                <w:szCs w:val="20"/>
              </w:rPr>
              <w:t>s</w:t>
            </w:r>
          </w:p>
        </w:tc>
        <w:tc>
          <w:tcPr>
            <w:tcW w:w="0" w:type="auto"/>
            <w:vAlign w:val="bottom"/>
            <w:hideMark/>
          </w:tcPr>
          <w:p w14:paraId="676A1C6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CD033C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A5EE7AF" w14:textId="77777777" w:rsidR="00000000" w:rsidRDefault="00832D71">
            <w:pPr>
              <w:pStyle w:val="a3"/>
              <w:spacing w:before="0" w:beforeAutospacing="0" w:after="0" w:afterAutospacing="0"/>
              <w:jc w:val="right"/>
              <w:rPr>
                <w:sz w:val="20"/>
                <w:szCs w:val="20"/>
              </w:rPr>
            </w:pPr>
            <w:r>
              <w:rPr>
                <w:sz w:val="20"/>
                <w:szCs w:val="20"/>
              </w:rPr>
              <w:t>174,86</w:t>
            </w:r>
            <w:r>
              <w:rPr>
                <w:sz w:val="20"/>
                <w:szCs w:val="20"/>
              </w:rPr>
              <w:t>0</w:t>
            </w:r>
          </w:p>
        </w:tc>
        <w:tc>
          <w:tcPr>
            <w:tcW w:w="0" w:type="auto"/>
            <w:noWrap/>
            <w:vAlign w:val="bottom"/>
            <w:hideMark/>
          </w:tcPr>
          <w:p w14:paraId="75EAD34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CB744A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DD24F3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8364E9E" w14:textId="77777777" w:rsidR="00000000" w:rsidRDefault="00832D71">
            <w:pPr>
              <w:pStyle w:val="a3"/>
              <w:spacing w:before="0" w:beforeAutospacing="0" w:after="0" w:afterAutospacing="0"/>
              <w:jc w:val="right"/>
              <w:rPr>
                <w:sz w:val="20"/>
                <w:szCs w:val="20"/>
              </w:rPr>
            </w:pPr>
            <w:r>
              <w:rPr>
                <w:sz w:val="20"/>
                <w:szCs w:val="20"/>
              </w:rPr>
              <w:t>180,10</w:t>
            </w:r>
            <w:r>
              <w:rPr>
                <w:sz w:val="20"/>
                <w:szCs w:val="20"/>
              </w:rPr>
              <w:t>8</w:t>
            </w:r>
          </w:p>
        </w:tc>
        <w:tc>
          <w:tcPr>
            <w:tcW w:w="0" w:type="auto"/>
            <w:noWrap/>
            <w:vAlign w:val="bottom"/>
            <w:hideMark/>
          </w:tcPr>
          <w:p w14:paraId="5672E87A" w14:textId="77777777" w:rsidR="00000000" w:rsidRDefault="00832D71">
            <w:pPr>
              <w:pStyle w:val="a3"/>
              <w:spacing w:before="0" w:beforeAutospacing="0" w:after="0" w:afterAutospacing="0"/>
              <w:rPr>
                <w:sz w:val="20"/>
                <w:szCs w:val="20"/>
              </w:rPr>
            </w:pPr>
            <w:r>
              <w:rPr>
                <w:sz w:val="20"/>
                <w:szCs w:val="20"/>
              </w:rPr>
              <w:t> </w:t>
            </w:r>
          </w:p>
        </w:tc>
      </w:tr>
      <w:tr w:rsidR="00000000" w14:paraId="0A1D02C4" w14:textId="77777777">
        <w:trPr>
          <w:trHeight w:val="200"/>
          <w:tblCellSpacing w:w="15" w:type="dxa"/>
        </w:trPr>
        <w:tc>
          <w:tcPr>
            <w:tcW w:w="0" w:type="auto"/>
            <w:hideMark/>
          </w:tcPr>
          <w:p w14:paraId="6222363D" w14:textId="77777777" w:rsidR="00000000" w:rsidRDefault="00832D71">
            <w:pPr>
              <w:pStyle w:val="a3"/>
              <w:spacing w:before="0" w:beforeAutospacing="0" w:after="0" w:afterAutospacing="0"/>
              <w:rPr>
                <w:sz w:val="20"/>
                <w:szCs w:val="20"/>
              </w:rPr>
            </w:pPr>
            <w:r>
              <w:rPr>
                <w:sz w:val="20"/>
                <w:szCs w:val="20"/>
              </w:rPr>
              <w:t>Property, plant and equipment, ne</w:t>
            </w:r>
            <w:r>
              <w:rPr>
                <w:sz w:val="20"/>
                <w:szCs w:val="20"/>
              </w:rPr>
              <w:t>t</w:t>
            </w:r>
          </w:p>
        </w:tc>
        <w:tc>
          <w:tcPr>
            <w:tcW w:w="0" w:type="auto"/>
            <w:vAlign w:val="bottom"/>
            <w:hideMark/>
          </w:tcPr>
          <w:p w14:paraId="55879E1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EC8FA0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F2D9DD1" w14:textId="77777777" w:rsidR="00000000" w:rsidRDefault="00832D71">
            <w:pPr>
              <w:pStyle w:val="a3"/>
              <w:spacing w:before="0" w:beforeAutospacing="0" w:after="0" w:afterAutospacing="0"/>
              <w:jc w:val="right"/>
              <w:rPr>
                <w:sz w:val="20"/>
                <w:szCs w:val="20"/>
              </w:rPr>
            </w:pPr>
            <w:r>
              <w:rPr>
                <w:sz w:val="20"/>
                <w:szCs w:val="20"/>
              </w:rPr>
              <w:t>563,78</w:t>
            </w:r>
            <w:r>
              <w:rPr>
                <w:sz w:val="20"/>
                <w:szCs w:val="20"/>
              </w:rPr>
              <w:t>4</w:t>
            </w:r>
          </w:p>
        </w:tc>
        <w:tc>
          <w:tcPr>
            <w:tcW w:w="0" w:type="auto"/>
            <w:noWrap/>
            <w:vAlign w:val="bottom"/>
            <w:hideMark/>
          </w:tcPr>
          <w:p w14:paraId="640C0D4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D66390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5A6B26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7164892" w14:textId="77777777" w:rsidR="00000000" w:rsidRDefault="00832D71">
            <w:pPr>
              <w:pStyle w:val="a3"/>
              <w:spacing w:before="0" w:beforeAutospacing="0" w:after="0" w:afterAutospacing="0"/>
              <w:jc w:val="right"/>
              <w:rPr>
                <w:sz w:val="20"/>
                <w:szCs w:val="20"/>
              </w:rPr>
            </w:pPr>
            <w:r>
              <w:rPr>
                <w:sz w:val="20"/>
                <w:szCs w:val="20"/>
              </w:rPr>
              <w:t>569,13</w:t>
            </w:r>
            <w:r>
              <w:rPr>
                <w:sz w:val="20"/>
                <w:szCs w:val="20"/>
              </w:rPr>
              <w:t>0</w:t>
            </w:r>
          </w:p>
        </w:tc>
        <w:tc>
          <w:tcPr>
            <w:tcW w:w="0" w:type="auto"/>
            <w:noWrap/>
            <w:vAlign w:val="bottom"/>
            <w:hideMark/>
          </w:tcPr>
          <w:p w14:paraId="6CEAE340" w14:textId="77777777" w:rsidR="00000000" w:rsidRDefault="00832D71">
            <w:pPr>
              <w:pStyle w:val="a3"/>
              <w:spacing w:before="0" w:beforeAutospacing="0" w:after="0" w:afterAutospacing="0"/>
              <w:rPr>
                <w:sz w:val="20"/>
                <w:szCs w:val="20"/>
              </w:rPr>
            </w:pPr>
            <w:r>
              <w:rPr>
                <w:sz w:val="20"/>
                <w:szCs w:val="20"/>
              </w:rPr>
              <w:t> </w:t>
            </w:r>
          </w:p>
        </w:tc>
      </w:tr>
      <w:tr w:rsidR="00000000" w14:paraId="5C1A4A20" w14:textId="77777777">
        <w:trPr>
          <w:trHeight w:val="200"/>
          <w:tblCellSpacing w:w="15" w:type="dxa"/>
        </w:trPr>
        <w:tc>
          <w:tcPr>
            <w:tcW w:w="0" w:type="auto"/>
            <w:hideMark/>
          </w:tcPr>
          <w:p w14:paraId="15FFDE11" w14:textId="77777777" w:rsidR="00000000" w:rsidRDefault="00832D71">
            <w:pPr>
              <w:pStyle w:val="a3"/>
              <w:spacing w:before="0" w:beforeAutospacing="0" w:after="0" w:afterAutospacing="0"/>
              <w:rPr>
                <w:sz w:val="20"/>
                <w:szCs w:val="20"/>
              </w:rPr>
            </w:pPr>
            <w:r>
              <w:rPr>
                <w:sz w:val="20"/>
                <w:szCs w:val="20"/>
              </w:rPr>
              <w:t>Operating lease right-of-use asset</w:t>
            </w:r>
            <w:r>
              <w:rPr>
                <w:sz w:val="20"/>
                <w:szCs w:val="20"/>
              </w:rPr>
              <w:t>s</w:t>
            </w:r>
          </w:p>
        </w:tc>
        <w:tc>
          <w:tcPr>
            <w:tcW w:w="0" w:type="auto"/>
            <w:vAlign w:val="bottom"/>
            <w:hideMark/>
          </w:tcPr>
          <w:p w14:paraId="13F6E2E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16AAE2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4A6DA0A" w14:textId="77777777" w:rsidR="00000000" w:rsidRDefault="00832D71">
            <w:pPr>
              <w:pStyle w:val="a3"/>
              <w:spacing w:before="0" w:beforeAutospacing="0" w:after="0" w:afterAutospacing="0"/>
              <w:jc w:val="right"/>
              <w:rPr>
                <w:sz w:val="20"/>
                <w:szCs w:val="20"/>
              </w:rPr>
            </w:pPr>
            <w:r>
              <w:rPr>
                <w:sz w:val="20"/>
                <w:szCs w:val="20"/>
              </w:rPr>
              <w:t>136,57</w:t>
            </w:r>
            <w:r>
              <w:rPr>
                <w:sz w:val="20"/>
                <w:szCs w:val="20"/>
              </w:rPr>
              <w:t>8</w:t>
            </w:r>
          </w:p>
        </w:tc>
        <w:tc>
          <w:tcPr>
            <w:tcW w:w="0" w:type="auto"/>
            <w:noWrap/>
            <w:vAlign w:val="bottom"/>
            <w:hideMark/>
          </w:tcPr>
          <w:p w14:paraId="4007985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E6CE7F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30D150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7EC7CE5" w14:textId="77777777" w:rsidR="00000000" w:rsidRDefault="00832D71">
            <w:pPr>
              <w:pStyle w:val="a3"/>
              <w:spacing w:before="0" w:beforeAutospacing="0" w:after="0" w:afterAutospacing="0"/>
              <w:jc w:val="right"/>
              <w:rPr>
                <w:sz w:val="20"/>
                <w:szCs w:val="20"/>
              </w:rPr>
            </w:pPr>
            <w:r>
              <w:rPr>
                <w:sz w:val="20"/>
                <w:szCs w:val="20"/>
              </w:rPr>
              <w:t>129,99</w:t>
            </w:r>
            <w:r>
              <w:rPr>
                <w:sz w:val="20"/>
                <w:szCs w:val="20"/>
              </w:rPr>
              <w:t>9</w:t>
            </w:r>
          </w:p>
        </w:tc>
        <w:tc>
          <w:tcPr>
            <w:tcW w:w="0" w:type="auto"/>
            <w:noWrap/>
            <w:vAlign w:val="bottom"/>
            <w:hideMark/>
          </w:tcPr>
          <w:p w14:paraId="66801E61" w14:textId="77777777" w:rsidR="00000000" w:rsidRDefault="00832D71">
            <w:pPr>
              <w:pStyle w:val="a3"/>
              <w:spacing w:before="0" w:beforeAutospacing="0" w:after="0" w:afterAutospacing="0"/>
              <w:rPr>
                <w:sz w:val="20"/>
                <w:szCs w:val="20"/>
              </w:rPr>
            </w:pPr>
            <w:r>
              <w:rPr>
                <w:sz w:val="20"/>
                <w:szCs w:val="20"/>
              </w:rPr>
              <w:t> </w:t>
            </w:r>
          </w:p>
        </w:tc>
      </w:tr>
      <w:tr w:rsidR="00000000" w14:paraId="588D2AC3" w14:textId="77777777">
        <w:trPr>
          <w:trHeight w:val="200"/>
          <w:tblCellSpacing w:w="15" w:type="dxa"/>
        </w:trPr>
        <w:tc>
          <w:tcPr>
            <w:tcW w:w="0" w:type="auto"/>
            <w:hideMark/>
          </w:tcPr>
          <w:p w14:paraId="779A9420" w14:textId="77777777" w:rsidR="00000000" w:rsidRDefault="00832D71">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14:paraId="00317C0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570ABE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E7FAB10" w14:textId="77777777" w:rsidR="00000000" w:rsidRDefault="00832D71">
            <w:pPr>
              <w:pStyle w:val="a3"/>
              <w:spacing w:before="0" w:beforeAutospacing="0" w:after="0" w:afterAutospacing="0"/>
              <w:jc w:val="right"/>
              <w:rPr>
                <w:sz w:val="20"/>
                <w:szCs w:val="20"/>
              </w:rPr>
            </w:pPr>
            <w:r>
              <w:rPr>
                <w:sz w:val="20"/>
                <w:szCs w:val="20"/>
              </w:rPr>
              <w:t>1,113,42</w:t>
            </w:r>
            <w:r>
              <w:rPr>
                <w:sz w:val="20"/>
                <w:szCs w:val="20"/>
              </w:rPr>
              <w:t>3</w:t>
            </w:r>
          </w:p>
        </w:tc>
        <w:tc>
          <w:tcPr>
            <w:tcW w:w="0" w:type="auto"/>
            <w:noWrap/>
            <w:vAlign w:val="bottom"/>
            <w:hideMark/>
          </w:tcPr>
          <w:p w14:paraId="12D26D7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DBE9AC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4451D7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A87144C" w14:textId="77777777" w:rsidR="00000000" w:rsidRDefault="00832D71">
            <w:pPr>
              <w:pStyle w:val="a3"/>
              <w:spacing w:before="0" w:beforeAutospacing="0" w:after="0" w:afterAutospacing="0"/>
              <w:jc w:val="right"/>
              <w:rPr>
                <w:sz w:val="20"/>
                <w:szCs w:val="20"/>
              </w:rPr>
            </w:pPr>
            <w:r>
              <w:rPr>
                <w:sz w:val="20"/>
                <w:szCs w:val="20"/>
              </w:rPr>
              <w:t>1,107,02</w:t>
            </w:r>
            <w:r>
              <w:rPr>
                <w:sz w:val="20"/>
                <w:szCs w:val="20"/>
              </w:rPr>
              <w:t>6</w:t>
            </w:r>
          </w:p>
        </w:tc>
        <w:tc>
          <w:tcPr>
            <w:tcW w:w="0" w:type="auto"/>
            <w:noWrap/>
            <w:vAlign w:val="bottom"/>
            <w:hideMark/>
          </w:tcPr>
          <w:p w14:paraId="5B2293CE" w14:textId="77777777" w:rsidR="00000000" w:rsidRDefault="00832D71">
            <w:pPr>
              <w:pStyle w:val="a3"/>
              <w:spacing w:before="0" w:beforeAutospacing="0" w:after="0" w:afterAutospacing="0"/>
              <w:rPr>
                <w:sz w:val="20"/>
                <w:szCs w:val="20"/>
              </w:rPr>
            </w:pPr>
            <w:r>
              <w:rPr>
                <w:sz w:val="20"/>
                <w:szCs w:val="20"/>
              </w:rPr>
              <w:t> </w:t>
            </w:r>
          </w:p>
        </w:tc>
      </w:tr>
      <w:tr w:rsidR="00000000" w14:paraId="7DAAA17F" w14:textId="77777777">
        <w:trPr>
          <w:trHeight w:val="200"/>
          <w:tblCellSpacing w:w="15" w:type="dxa"/>
        </w:trPr>
        <w:tc>
          <w:tcPr>
            <w:tcW w:w="0" w:type="auto"/>
            <w:hideMark/>
          </w:tcPr>
          <w:p w14:paraId="3AAE6E61" w14:textId="77777777" w:rsidR="00000000" w:rsidRDefault="00832D71">
            <w:pPr>
              <w:pStyle w:val="a3"/>
              <w:spacing w:before="0" w:beforeAutospacing="0" w:after="0" w:afterAutospacing="0"/>
              <w:rPr>
                <w:sz w:val="20"/>
                <w:szCs w:val="20"/>
              </w:rPr>
            </w:pPr>
            <w:r>
              <w:rPr>
                <w:sz w:val="20"/>
                <w:szCs w:val="20"/>
              </w:rPr>
              <w:t>Other intangible assets, ne</w:t>
            </w:r>
            <w:r>
              <w:rPr>
                <w:sz w:val="20"/>
                <w:szCs w:val="20"/>
              </w:rPr>
              <w:t>t</w:t>
            </w:r>
          </w:p>
        </w:tc>
        <w:tc>
          <w:tcPr>
            <w:tcW w:w="0" w:type="auto"/>
            <w:vAlign w:val="bottom"/>
            <w:hideMark/>
          </w:tcPr>
          <w:p w14:paraId="50CD5C8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1635FF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C66488D" w14:textId="77777777" w:rsidR="00000000" w:rsidRDefault="00832D71">
            <w:pPr>
              <w:pStyle w:val="a3"/>
              <w:spacing w:before="0" w:beforeAutospacing="0" w:after="0" w:afterAutospacing="0"/>
              <w:jc w:val="right"/>
              <w:rPr>
                <w:sz w:val="20"/>
                <w:szCs w:val="20"/>
              </w:rPr>
            </w:pPr>
            <w:r>
              <w:rPr>
                <w:sz w:val="20"/>
                <w:szCs w:val="20"/>
              </w:rPr>
              <w:t>40,00</w:t>
            </w:r>
            <w:r>
              <w:rPr>
                <w:sz w:val="20"/>
                <w:szCs w:val="20"/>
              </w:rPr>
              <w:t>2</w:t>
            </w:r>
          </w:p>
        </w:tc>
        <w:tc>
          <w:tcPr>
            <w:tcW w:w="0" w:type="auto"/>
            <w:noWrap/>
            <w:vAlign w:val="bottom"/>
            <w:hideMark/>
          </w:tcPr>
          <w:p w14:paraId="4AFA026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43AA6D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9208C1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0ABD295" w14:textId="77777777" w:rsidR="00000000" w:rsidRDefault="00832D71">
            <w:pPr>
              <w:pStyle w:val="a3"/>
              <w:spacing w:before="0" w:beforeAutospacing="0" w:after="0" w:afterAutospacing="0"/>
              <w:jc w:val="right"/>
              <w:rPr>
                <w:sz w:val="20"/>
                <w:szCs w:val="20"/>
              </w:rPr>
            </w:pPr>
            <w:r>
              <w:rPr>
                <w:sz w:val="20"/>
                <w:szCs w:val="20"/>
              </w:rPr>
              <w:t>39,26</w:t>
            </w:r>
            <w:r>
              <w:rPr>
                <w:sz w:val="20"/>
                <w:szCs w:val="20"/>
              </w:rPr>
              <w:t>3</w:t>
            </w:r>
          </w:p>
        </w:tc>
        <w:tc>
          <w:tcPr>
            <w:tcW w:w="0" w:type="auto"/>
            <w:noWrap/>
            <w:vAlign w:val="bottom"/>
            <w:hideMark/>
          </w:tcPr>
          <w:p w14:paraId="1ABA71C0" w14:textId="77777777" w:rsidR="00000000" w:rsidRDefault="00832D71">
            <w:pPr>
              <w:pStyle w:val="a3"/>
              <w:spacing w:before="0" w:beforeAutospacing="0" w:after="0" w:afterAutospacing="0"/>
              <w:rPr>
                <w:sz w:val="20"/>
                <w:szCs w:val="20"/>
              </w:rPr>
            </w:pPr>
            <w:r>
              <w:rPr>
                <w:sz w:val="20"/>
                <w:szCs w:val="20"/>
              </w:rPr>
              <w:t> </w:t>
            </w:r>
          </w:p>
        </w:tc>
      </w:tr>
      <w:tr w:rsidR="00000000" w14:paraId="5E94FB01" w14:textId="77777777">
        <w:trPr>
          <w:trHeight w:val="200"/>
          <w:tblCellSpacing w:w="15" w:type="dxa"/>
        </w:trPr>
        <w:tc>
          <w:tcPr>
            <w:tcW w:w="0" w:type="auto"/>
            <w:hideMark/>
          </w:tcPr>
          <w:p w14:paraId="160281AC" w14:textId="77777777" w:rsidR="00000000" w:rsidRDefault="00832D71">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14:paraId="793552C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DB4F44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20C484B" w14:textId="77777777" w:rsidR="00000000" w:rsidRDefault="00832D71">
            <w:pPr>
              <w:pStyle w:val="a3"/>
              <w:spacing w:before="0" w:beforeAutospacing="0" w:after="0" w:afterAutospacing="0"/>
              <w:jc w:val="right"/>
              <w:rPr>
                <w:sz w:val="20"/>
                <w:szCs w:val="20"/>
              </w:rPr>
            </w:pPr>
            <w:r>
              <w:rPr>
                <w:sz w:val="20"/>
                <w:szCs w:val="20"/>
              </w:rPr>
              <w:t>75,07</w:t>
            </w:r>
            <w:r>
              <w:rPr>
                <w:sz w:val="20"/>
                <w:szCs w:val="20"/>
              </w:rPr>
              <w:t>9</w:t>
            </w:r>
          </w:p>
        </w:tc>
        <w:tc>
          <w:tcPr>
            <w:tcW w:w="0" w:type="auto"/>
            <w:noWrap/>
            <w:vAlign w:val="bottom"/>
            <w:hideMark/>
          </w:tcPr>
          <w:p w14:paraId="5C3E52C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DFAFEC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10DDC2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BC2E024" w14:textId="77777777" w:rsidR="00000000" w:rsidRDefault="00832D71">
            <w:pPr>
              <w:pStyle w:val="a3"/>
              <w:spacing w:before="0" w:beforeAutospacing="0" w:after="0" w:afterAutospacing="0"/>
              <w:jc w:val="right"/>
              <w:rPr>
                <w:sz w:val="20"/>
                <w:szCs w:val="20"/>
              </w:rPr>
            </w:pPr>
            <w:r>
              <w:rPr>
                <w:sz w:val="20"/>
                <w:szCs w:val="20"/>
              </w:rPr>
              <w:t>26,20</w:t>
            </w:r>
            <w:r>
              <w:rPr>
                <w:sz w:val="20"/>
                <w:szCs w:val="20"/>
              </w:rPr>
              <w:t>4</w:t>
            </w:r>
          </w:p>
        </w:tc>
        <w:tc>
          <w:tcPr>
            <w:tcW w:w="0" w:type="auto"/>
            <w:noWrap/>
            <w:vAlign w:val="bottom"/>
            <w:hideMark/>
          </w:tcPr>
          <w:p w14:paraId="4E1D8C1C" w14:textId="77777777" w:rsidR="00000000" w:rsidRDefault="00832D71">
            <w:pPr>
              <w:pStyle w:val="a3"/>
              <w:spacing w:before="0" w:beforeAutospacing="0" w:after="0" w:afterAutospacing="0"/>
              <w:rPr>
                <w:sz w:val="20"/>
                <w:szCs w:val="20"/>
              </w:rPr>
            </w:pPr>
            <w:r>
              <w:rPr>
                <w:sz w:val="20"/>
                <w:szCs w:val="20"/>
              </w:rPr>
              <w:t> </w:t>
            </w:r>
          </w:p>
        </w:tc>
      </w:tr>
      <w:tr w:rsidR="00000000" w14:paraId="0D4C2691" w14:textId="77777777">
        <w:trPr>
          <w:trHeight w:val="200"/>
          <w:tblCellSpacing w:w="15" w:type="dxa"/>
        </w:trPr>
        <w:tc>
          <w:tcPr>
            <w:tcW w:w="0" w:type="auto"/>
            <w:hideMark/>
          </w:tcPr>
          <w:p w14:paraId="146E3C05" w14:textId="77777777" w:rsidR="00000000" w:rsidRDefault="00832D71">
            <w:pPr>
              <w:pStyle w:val="a3"/>
              <w:spacing w:before="0" w:beforeAutospacing="0" w:after="0" w:afterAutospacing="0"/>
              <w:ind w:left="400"/>
              <w:rPr>
                <w:sz w:val="20"/>
                <w:szCs w:val="20"/>
              </w:rPr>
            </w:pPr>
            <w:r>
              <w:rPr>
                <w:sz w:val="20"/>
                <w:szCs w:val="20"/>
              </w:rPr>
              <w:t>Total asset</w:t>
            </w:r>
            <w:r>
              <w:rPr>
                <w:sz w:val="20"/>
                <w:szCs w:val="20"/>
              </w:rPr>
              <w:t>s</w:t>
            </w:r>
          </w:p>
        </w:tc>
        <w:tc>
          <w:tcPr>
            <w:tcW w:w="0" w:type="auto"/>
            <w:vAlign w:val="bottom"/>
            <w:hideMark/>
          </w:tcPr>
          <w:p w14:paraId="6401397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E05BC0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D0A5A4A" w14:textId="77777777" w:rsidR="00000000" w:rsidRDefault="00832D71">
            <w:pPr>
              <w:pStyle w:val="a3"/>
              <w:spacing w:before="0" w:beforeAutospacing="0" w:after="0" w:afterAutospacing="0"/>
              <w:jc w:val="right"/>
              <w:rPr>
                <w:sz w:val="20"/>
                <w:szCs w:val="20"/>
              </w:rPr>
            </w:pPr>
            <w:r>
              <w:rPr>
                <w:sz w:val="20"/>
                <w:szCs w:val="20"/>
              </w:rPr>
              <w:t>2,103,72</w:t>
            </w:r>
            <w:r>
              <w:rPr>
                <w:sz w:val="20"/>
                <w:szCs w:val="20"/>
              </w:rPr>
              <w:t>6</w:t>
            </w:r>
          </w:p>
        </w:tc>
        <w:tc>
          <w:tcPr>
            <w:tcW w:w="0" w:type="auto"/>
            <w:noWrap/>
            <w:vAlign w:val="bottom"/>
            <w:hideMark/>
          </w:tcPr>
          <w:p w14:paraId="7136A03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7AE892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DD03EC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9067A65" w14:textId="77777777" w:rsidR="00000000" w:rsidRDefault="00832D71">
            <w:pPr>
              <w:pStyle w:val="a3"/>
              <w:spacing w:before="0" w:beforeAutospacing="0" w:after="0" w:afterAutospacing="0"/>
              <w:jc w:val="right"/>
              <w:rPr>
                <w:sz w:val="20"/>
                <w:szCs w:val="20"/>
              </w:rPr>
            </w:pPr>
            <w:r>
              <w:rPr>
                <w:sz w:val="20"/>
                <w:szCs w:val="20"/>
              </w:rPr>
              <w:t>2,051,73</w:t>
            </w:r>
            <w:r>
              <w:rPr>
                <w:sz w:val="20"/>
                <w:szCs w:val="20"/>
              </w:rPr>
              <w:t>0</w:t>
            </w:r>
          </w:p>
        </w:tc>
        <w:tc>
          <w:tcPr>
            <w:tcW w:w="0" w:type="auto"/>
            <w:noWrap/>
            <w:vAlign w:val="bottom"/>
            <w:hideMark/>
          </w:tcPr>
          <w:p w14:paraId="28923D73" w14:textId="77777777" w:rsidR="00000000" w:rsidRDefault="00832D71">
            <w:pPr>
              <w:pStyle w:val="a3"/>
              <w:spacing w:before="0" w:beforeAutospacing="0" w:after="0" w:afterAutospacing="0"/>
              <w:rPr>
                <w:sz w:val="20"/>
                <w:szCs w:val="20"/>
              </w:rPr>
            </w:pPr>
            <w:r>
              <w:rPr>
                <w:sz w:val="20"/>
                <w:szCs w:val="20"/>
              </w:rPr>
              <w:t> </w:t>
            </w:r>
          </w:p>
        </w:tc>
      </w:tr>
      <w:tr w:rsidR="00000000" w14:paraId="7A4550AF" w14:textId="77777777">
        <w:trPr>
          <w:trHeight w:val="200"/>
          <w:tblCellSpacing w:w="15" w:type="dxa"/>
        </w:trPr>
        <w:tc>
          <w:tcPr>
            <w:tcW w:w="0" w:type="auto"/>
            <w:vAlign w:val="bottom"/>
            <w:hideMark/>
          </w:tcPr>
          <w:p w14:paraId="3D704E96" w14:textId="77777777" w:rsidR="00000000" w:rsidRDefault="00832D71">
            <w:pPr>
              <w:pStyle w:val="a3"/>
              <w:spacing w:before="0" w:beforeAutospacing="0" w:after="0" w:afterAutospacing="0"/>
              <w:rPr>
                <w:sz w:val="20"/>
                <w:szCs w:val="20"/>
              </w:rPr>
            </w:pPr>
            <w:r>
              <w:rPr>
                <w:b/>
                <w:bCs/>
                <w:sz w:val="20"/>
                <w:szCs w:val="20"/>
              </w:rPr>
              <w:t>LIABILITIES AND PARTNERS' CAPITA</w:t>
            </w:r>
            <w:r>
              <w:rPr>
                <w:b/>
                <w:bCs/>
                <w:sz w:val="20"/>
                <w:szCs w:val="20"/>
              </w:rPr>
              <w:t>L</w:t>
            </w:r>
          </w:p>
        </w:tc>
        <w:tc>
          <w:tcPr>
            <w:tcW w:w="0" w:type="auto"/>
            <w:vAlign w:val="bottom"/>
            <w:hideMark/>
          </w:tcPr>
          <w:p w14:paraId="1883960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B1F539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BD6F23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0181050"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636941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6DC3E0C" w14:textId="77777777" w:rsidR="00000000" w:rsidRDefault="00832D71">
            <w:pPr>
              <w:pStyle w:val="a3"/>
              <w:spacing w:before="0" w:beforeAutospacing="0" w:after="0" w:afterAutospacing="0"/>
              <w:jc w:val="right"/>
              <w:rPr>
                <w:sz w:val="20"/>
                <w:szCs w:val="20"/>
              </w:rPr>
            </w:pPr>
            <w:r>
              <w:rPr>
                <w:sz w:val="20"/>
                <w:szCs w:val="20"/>
              </w:rPr>
              <w:t> </w:t>
            </w:r>
          </w:p>
        </w:tc>
      </w:tr>
      <w:tr w:rsidR="00000000" w14:paraId="257EDA0B" w14:textId="77777777">
        <w:trPr>
          <w:trHeight w:val="200"/>
          <w:tblCellSpacing w:w="15" w:type="dxa"/>
        </w:trPr>
        <w:tc>
          <w:tcPr>
            <w:tcW w:w="0" w:type="auto"/>
            <w:hideMark/>
          </w:tcPr>
          <w:p w14:paraId="5035535E" w14:textId="77777777" w:rsidR="00000000" w:rsidRDefault="00832D71">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14:paraId="28CC187D"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8D436F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04EA85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49C9A9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6E3B1A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822435C" w14:textId="77777777" w:rsidR="00000000" w:rsidRDefault="00832D71">
            <w:pPr>
              <w:pStyle w:val="a3"/>
              <w:spacing w:before="0" w:beforeAutospacing="0" w:after="0" w:afterAutospacing="0"/>
              <w:jc w:val="right"/>
              <w:rPr>
                <w:sz w:val="20"/>
                <w:szCs w:val="20"/>
              </w:rPr>
            </w:pPr>
            <w:r>
              <w:rPr>
                <w:sz w:val="20"/>
                <w:szCs w:val="20"/>
              </w:rPr>
              <w:t> </w:t>
            </w:r>
          </w:p>
        </w:tc>
      </w:tr>
      <w:tr w:rsidR="00000000" w14:paraId="69CE08AD" w14:textId="77777777">
        <w:trPr>
          <w:trHeight w:val="200"/>
          <w:tblCellSpacing w:w="15" w:type="dxa"/>
        </w:trPr>
        <w:tc>
          <w:tcPr>
            <w:tcW w:w="0" w:type="auto"/>
            <w:hideMark/>
          </w:tcPr>
          <w:p w14:paraId="0E7FA5A0" w14:textId="77777777" w:rsidR="00000000" w:rsidRDefault="00832D71">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vAlign w:val="bottom"/>
            <w:hideMark/>
          </w:tcPr>
          <w:p w14:paraId="5201A57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436BFB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365D3BA" w14:textId="77777777" w:rsidR="00000000" w:rsidRDefault="00832D71">
            <w:pPr>
              <w:pStyle w:val="a3"/>
              <w:spacing w:before="0" w:beforeAutospacing="0" w:after="0" w:afterAutospacing="0"/>
              <w:jc w:val="right"/>
              <w:rPr>
                <w:sz w:val="20"/>
                <w:szCs w:val="20"/>
              </w:rPr>
            </w:pPr>
            <w:r>
              <w:rPr>
                <w:sz w:val="20"/>
                <w:szCs w:val="20"/>
              </w:rPr>
              <w:t>35,17</w:t>
            </w:r>
            <w:r>
              <w:rPr>
                <w:sz w:val="20"/>
                <w:szCs w:val="20"/>
              </w:rPr>
              <w:t>3</w:t>
            </w:r>
          </w:p>
        </w:tc>
        <w:tc>
          <w:tcPr>
            <w:tcW w:w="0" w:type="auto"/>
            <w:noWrap/>
            <w:vAlign w:val="bottom"/>
            <w:hideMark/>
          </w:tcPr>
          <w:p w14:paraId="5478774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C84266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4C0ECF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84FB37E" w14:textId="77777777" w:rsidR="00000000" w:rsidRDefault="00832D71">
            <w:pPr>
              <w:pStyle w:val="a3"/>
              <w:spacing w:before="0" w:beforeAutospacing="0" w:after="0" w:afterAutospacing="0"/>
              <w:jc w:val="right"/>
              <w:rPr>
                <w:sz w:val="20"/>
                <w:szCs w:val="20"/>
              </w:rPr>
            </w:pPr>
            <w:r>
              <w:rPr>
                <w:sz w:val="20"/>
                <w:szCs w:val="20"/>
              </w:rPr>
              <w:t>39,16</w:t>
            </w:r>
            <w:r>
              <w:rPr>
                <w:sz w:val="20"/>
                <w:szCs w:val="20"/>
              </w:rPr>
              <w:t>9</w:t>
            </w:r>
          </w:p>
        </w:tc>
        <w:tc>
          <w:tcPr>
            <w:tcW w:w="0" w:type="auto"/>
            <w:noWrap/>
            <w:vAlign w:val="bottom"/>
            <w:hideMark/>
          </w:tcPr>
          <w:p w14:paraId="04A5DAF8" w14:textId="77777777" w:rsidR="00000000" w:rsidRDefault="00832D71">
            <w:pPr>
              <w:pStyle w:val="a3"/>
              <w:spacing w:before="0" w:beforeAutospacing="0" w:after="0" w:afterAutospacing="0"/>
              <w:rPr>
                <w:sz w:val="20"/>
                <w:szCs w:val="20"/>
              </w:rPr>
            </w:pPr>
            <w:r>
              <w:rPr>
                <w:sz w:val="20"/>
                <w:szCs w:val="20"/>
              </w:rPr>
              <w:t> </w:t>
            </w:r>
          </w:p>
        </w:tc>
      </w:tr>
      <w:tr w:rsidR="00000000" w14:paraId="6E6CF5E4" w14:textId="77777777">
        <w:trPr>
          <w:trHeight w:val="200"/>
          <w:tblCellSpacing w:w="15" w:type="dxa"/>
        </w:trPr>
        <w:tc>
          <w:tcPr>
            <w:tcW w:w="0" w:type="auto"/>
            <w:hideMark/>
          </w:tcPr>
          <w:p w14:paraId="202FB19C" w14:textId="77777777" w:rsidR="00000000" w:rsidRDefault="00832D71">
            <w:pPr>
              <w:pStyle w:val="a3"/>
              <w:spacing w:before="0" w:beforeAutospacing="0" w:after="0" w:afterAutospacing="0"/>
              <w:ind w:left="200"/>
              <w:rPr>
                <w:sz w:val="20"/>
                <w:szCs w:val="20"/>
              </w:rPr>
            </w:pPr>
            <w:r>
              <w:rPr>
                <w:sz w:val="20"/>
                <w:szCs w:val="20"/>
              </w:rPr>
              <w:t>Accrued employment and benefit cost</w:t>
            </w:r>
            <w:r>
              <w:rPr>
                <w:sz w:val="20"/>
                <w:szCs w:val="20"/>
              </w:rPr>
              <w:t>s</w:t>
            </w:r>
          </w:p>
        </w:tc>
        <w:tc>
          <w:tcPr>
            <w:tcW w:w="0" w:type="auto"/>
            <w:vAlign w:val="bottom"/>
            <w:hideMark/>
          </w:tcPr>
          <w:p w14:paraId="60BD829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146C6C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3455CF1" w14:textId="77777777" w:rsidR="00000000" w:rsidRDefault="00832D71">
            <w:pPr>
              <w:pStyle w:val="a3"/>
              <w:spacing w:before="0" w:beforeAutospacing="0" w:after="0" w:afterAutospacing="0"/>
              <w:jc w:val="right"/>
              <w:rPr>
                <w:sz w:val="20"/>
                <w:szCs w:val="20"/>
              </w:rPr>
            </w:pPr>
            <w:r>
              <w:rPr>
                <w:sz w:val="20"/>
                <w:szCs w:val="20"/>
              </w:rPr>
              <w:t>43,33</w:t>
            </w:r>
            <w:r>
              <w:rPr>
                <w:sz w:val="20"/>
                <w:szCs w:val="20"/>
              </w:rPr>
              <w:t>3</w:t>
            </w:r>
          </w:p>
        </w:tc>
        <w:tc>
          <w:tcPr>
            <w:tcW w:w="0" w:type="auto"/>
            <w:noWrap/>
            <w:vAlign w:val="bottom"/>
            <w:hideMark/>
          </w:tcPr>
          <w:p w14:paraId="470B8BC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0FE1F7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0091D3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8B1FDA1" w14:textId="77777777" w:rsidR="00000000" w:rsidRDefault="00832D71">
            <w:pPr>
              <w:pStyle w:val="a3"/>
              <w:spacing w:before="0" w:beforeAutospacing="0" w:after="0" w:afterAutospacing="0"/>
              <w:jc w:val="right"/>
              <w:rPr>
                <w:sz w:val="20"/>
                <w:szCs w:val="20"/>
              </w:rPr>
            </w:pPr>
            <w:r>
              <w:rPr>
                <w:sz w:val="20"/>
                <w:szCs w:val="20"/>
              </w:rPr>
              <w:t>40,81</w:t>
            </w:r>
            <w:r>
              <w:rPr>
                <w:sz w:val="20"/>
                <w:szCs w:val="20"/>
              </w:rPr>
              <w:t>4</w:t>
            </w:r>
          </w:p>
        </w:tc>
        <w:tc>
          <w:tcPr>
            <w:tcW w:w="0" w:type="auto"/>
            <w:noWrap/>
            <w:vAlign w:val="bottom"/>
            <w:hideMark/>
          </w:tcPr>
          <w:p w14:paraId="2F5BC3A2" w14:textId="77777777" w:rsidR="00000000" w:rsidRDefault="00832D71">
            <w:pPr>
              <w:pStyle w:val="a3"/>
              <w:spacing w:before="0" w:beforeAutospacing="0" w:after="0" w:afterAutospacing="0"/>
              <w:rPr>
                <w:sz w:val="20"/>
                <w:szCs w:val="20"/>
              </w:rPr>
            </w:pPr>
            <w:r>
              <w:rPr>
                <w:sz w:val="20"/>
                <w:szCs w:val="20"/>
              </w:rPr>
              <w:t> </w:t>
            </w:r>
          </w:p>
        </w:tc>
      </w:tr>
      <w:tr w:rsidR="00000000" w14:paraId="327358E2" w14:textId="77777777">
        <w:trPr>
          <w:trHeight w:val="200"/>
          <w:tblCellSpacing w:w="15" w:type="dxa"/>
        </w:trPr>
        <w:tc>
          <w:tcPr>
            <w:tcW w:w="0" w:type="auto"/>
            <w:hideMark/>
          </w:tcPr>
          <w:p w14:paraId="65221613" w14:textId="77777777" w:rsidR="00000000" w:rsidRDefault="00832D71">
            <w:pPr>
              <w:pStyle w:val="a3"/>
              <w:spacing w:before="0" w:beforeAutospacing="0" w:after="0" w:afterAutospacing="0"/>
              <w:ind w:left="200"/>
              <w:rPr>
                <w:sz w:val="20"/>
                <w:szCs w:val="20"/>
              </w:rPr>
            </w:pPr>
            <w:r>
              <w:rPr>
                <w:sz w:val="20"/>
                <w:szCs w:val="20"/>
              </w:rPr>
              <w:t>Accrued insuranc</w:t>
            </w:r>
            <w:r>
              <w:rPr>
                <w:sz w:val="20"/>
                <w:szCs w:val="20"/>
              </w:rPr>
              <w:t>e</w:t>
            </w:r>
          </w:p>
        </w:tc>
        <w:tc>
          <w:tcPr>
            <w:tcW w:w="0" w:type="auto"/>
            <w:vAlign w:val="bottom"/>
            <w:hideMark/>
          </w:tcPr>
          <w:p w14:paraId="67B5C69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39194E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30B6021" w14:textId="77777777" w:rsidR="00000000" w:rsidRDefault="00832D71">
            <w:pPr>
              <w:pStyle w:val="a3"/>
              <w:spacing w:before="0" w:beforeAutospacing="0" w:after="0" w:afterAutospacing="0"/>
              <w:jc w:val="right"/>
              <w:rPr>
                <w:sz w:val="20"/>
                <w:szCs w:val="20"/>
              </w:rPr>
            </w:pPr>
            <w:r>
              <w:rPr>
                <w:sz w:val="20"/>
                <w:szCs w:val="20"/>
              </w:rPr>
              <w:t>10,12</w:t>
            </w:r>
            <w:r>
              <w:rPr>
                <w:sz w:val="20"/>
                <w:szCs w:val="20"/>
              </w:rPr>
              <w:t>0</w:t>
            </w:r>
          </w:p>
        </w:tc>
        <w:tc>
          <w:tcPr>
            <w:tcW w:w="0" w:type="auto"/>
            <w:noWrap/>
            <w:vAlign w:val="bottom"/>
            <w:hideMark/>
          </w:tcPr>
          <w:p w14:paraId="26739A8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BFBB39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2246D9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A8CD7E8" w14:textId="77777777" w:rsidR="00000000" w:rsidRDefault="00832D71">
            <w:pPr>
              <w:pStyle w:val="a3"/>
              <w:spacing w:before="0" w:beforeAutospacing="0" w:after="0" w:afterAutospacing="0"/>
              <w:jc w:val="right"/>
              <w:rPr>
                <w:sz w:val="20"/>
                <w:szCs w:val="20"/>
              </w:rPr>
            </w:pPr>
            <w:r>
              <w:rPr>
                <w:sz w:val="20"/>
                <w:szCs w:val="20"/>
              </w:rPr>
              <w:t>16,70</w:t>
            </w:r>
            <w:r>
              <w:rPr>
                <w:sz w:val="20"/>
                <w:szCs w:val="20"/>
              </w:rPr>
              <w:t>0</w:t>
            </w:r>
          </w:p>
        </w:tc>
        <w:tc>
          <w:tcPr>
            <w:tcW w:w="0" w:type="auto"/>
            <w:noWrap/>
            <w:vAlign w:val="bottom"/>
            <w:hideMark/>
          </w:tcPr>
          <w:p w14:paraId="58438C89" w14:textId="77777777" w:rsidR="00000000" w:rsidRDefault="00832D71">
            <w:pPr>
              <w:pStyle w:val="a3"/>
              <w:spacing w:before="0" w:beforeAutospacing="0" w:after="0" w:afterAutospacing="0"/>
              <w:rPr>
                <w:sz w:val="20"/>
                <w:szCs w:val="20"/>
              </w:rPr>
            </w:pPr>
            <w:r>
              <w:rPr>
                <w:sz w:val="20"/>
                <w:szCs w:val="20"/>
              </w:rPr>
              <w:t> </w:t>
            </w:r>
          </w:p>
        </w:tc>
      </w:tr>
      <w:tr w:rsidR="00000000" w14:paraId="4705320E" w14:textId="77777777">
        <w:trPr>
          <w:trHeight w:val="200"/>
          <w:tblCellSpacing w:w="15" w:type="dxa"/>
        </w:trPr>
        <w:tc>
          <w:tcPr>
            <w:tcW w:w="0" w:type="auto"/>
            <w:hideMark/>
          </w:tcPr>
          <w:p w14:paraId="0E25AC46" w14:textId="77777777" w:rsidR="00000000" w:rsidRDefault="00832D71">
            <w:pPr>
              <w:pStyle w:val="a3"/>
              <w:spacing w:before="0" w:beforeAutospacing="0" w:after="0" w:afterAutospacing="0"/>
              <w:ind w:left="200"/>
              <w:rPr>
                <w:sz w:val="20"/>
                <w:szCs w:val="20"/>
              </w:rPr>
            </w:pPr>
            <w:r>
              <w:rPr>
                <w:sz w:val="20"/>
                <w:szCs w:val="20"/>
              </w:rPr>
              <w:t>Customer deposits and advance</w:t>
            </w:r>
            <w:r>
              <w:rPr>
                <w:sz w:val="20"/>
                <w:szCs w:val="20"/>
              </w:rPr>
              <w:t>s</w:t>
            </w:r>
          </w:p>
        </w:tc>
        <w:tc>
          <w:tcPr>
            <w:tcW w:w="0" w:type="auto"/>
            <w:vAlign w:val="bottom"/>
            <w:hideMark/>
          </w:tcPr>
          <w:p w14:paraId="564EA88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2A5597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C65995F" w14:textId="77777777" w:rsidR="00000000" w:rsidRDefault="00832D71">
            <w:pPr>
              <w:pStyle w:val="a3"/>
              <w:spacing w:before="0" w:beforeAutospacing="0" w:after="0" w:afterAutospacing="0"/>
              <w:jc w:val="right"/>
              <w:rPr>
                <w:sz w:val="20"/>
                <w:szCs w:val="20"/>
              </w:rPr>
            </w:pPr>
            <w:r>
              <w:rPr>
                <w:sz w:val="20"/>
                <w:szCs w:val="20"/>
              </w:rPr>
              <w:t>127,59</w:t>
            </w:r>
            <w:r>
              <w:rPr>
                <w:sz w:val="20"/>
                <w:szCs w:val="20"/>
              </w:rPr>
              <w:t>2</w:t>
            </w:r>
          </w:p>
        </w:tc>
        <w:tc>
          <w:tcPr>
            <w:tcW w:w="0" w:type="auto"/>
            <w:noWrap/>
            <w:vAlign w:val="bottom"/>
            <w:hideMark/>
          </w:tcPr>
          <w:p w14:paraId="20B9B06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EB004B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1B13F3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7D2E1F1" w14:textId="77777777" w:rsidR="00000000" w:rsidRDefault="00832D71">
            <w:pPr>
              <w:pStyle w:val="a3"/>
              <w:spacing w:before="0" w:beforeAutospacing="0" w:after="0" w:afterAutospacing="0"/>
              <w:jc w:val="right"/>
              <w:rPr>
                <w:sz w:val="20"/>
                <w:szCs w:val="20"/>
              </w:rPr>
            </w:pPr>
            <w:r>
              <w:rPr>
                <w:sz w:val="20"/>
                <w:szCs w:val="20"/>
              </w:rPr>
              <w:t>111,72</w:t>
            </w:r>
            <w:r>
              <w:rPr>
                <w:sz w:val="20"/>
                <w:szCs w:val="20"/>
              </w:rPr>
              <w:t>7</w:t>
            </w:r>
          </w:p>
        </w:tc>
        <w:tc>
          <w:tcPr>
            <w:tcW w:w="0" w:type="auto"/>
            <w:noWrap/>
            <w:vAlign w:val="bottom"/>
            <w:hideMark/>
          </w:tcPr>
          <w:p w14:paraId="5032C6E5" w14:textId="77777777" w:rsidR="00000000" w:rsidRDefault="00832D71">
            <w:pPr>
              <w:pStyle w:val="a3"/>
              <w:spacing w:before="0" w:beforeAutospacing="0" w:after="0" w:afterAutospacing="0"/>
              <w:rPr>
                <w:sz w:val="20"/>
                <w:szCs w:val="20"/>
              </w:rPr>
            </w:pPr>
            <w:r>
              <w:rPr>
                <w:sz w:val="20"/>
                <w:szCs w:val="20"/>
              </w:rPr>
              <w:t> </w:t>
            </w:r>
          </w:p>
        </w:tc>
      </w:tr>
      <w:tr w:rsidR="00000000" w14:paraId="0E3E270B" w14:textId="77777777">
        <w:trPr>
          <w:trHeight w:val="200"/>
          <w:tblCellSpacing w:w="15" w:type="dxa"/>
        </w:trPr>
        <w:tc>
          <w:tcPr>
            <w:tcW w:w="0" w:type="auto"/>
            <w:hideMark/>
          </w:tcPr>
          <w:p w14:paraId="2D5E2E62" w14:textId="77777777" w:rsidR="00000000" w:rsidRDefault="00832D71">
            <w:pPr>
              <w:pStyle w:val="a3"/>
              <w:spacing w:before="0" w:beforeAutospacing="0" w:after="0" w:afterAutospacing="0"/>
              <w:ind w:left="200"/>
              <w:rPr>
                <w:sz w:val="20"/>
                <w:szCs w:val="20"/>
              </w:rPr>
            </w:pPr>
            <w:r>
              <w:rPr>
                <w:sz w:val="20"/>
                <w:szCs w:val="20"/>
              </w:rPr>
              <w:t>Operating lease liabilitie</w:t>
            </w:r>
            <w:r>
              <w:rPr>
                <w:sz w:val="20"/>
                <w:szCs w:val="20"/>
              </w:rPr>
              <w:t>s</w:t>
            </w:r>
          </w:p>
        </w:tc>
        <w:tc>
          <w:tcPr>
            <w:tcW w:w="0" w:type="auto"/>
            <w:vAlign w:val="bottom"/>
            <w:hideMark/>
          </w:tcPr>
          <w:p w14:paraId="112643A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3FD9C7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368F37A" w14:textId="77777777" w:rsidR="00000000" w:rsidRDefault="00832D71">
            <w:pPr>
              <w:pStyle w:val="a3"/>
              <w:spacing w:before="0" w:beforeAutospacing="0" w:after="0" w:afterAutospacing="0"/>
              <w:jc w:val="right"/>
              <w:rPr>
                <w:sz w:val="20"/>
                <w:szCs w:val="20"/>
              </w:rPr>
            </w:pPr>
            <w:r>
              <w:rPr>
                <w:sz w:val="20"/>
                <w:szCs w:val="20"/>
              </w:rPr>
              <w:t>32,12</w:t>
            </w:r>
            <w:r>
              <w:rPr>
                <w:sz w:val="20"/>
                <w:szCs w:val="20"/>
              </w:rPr>
              <w:t>6</w:t>
            </w:r>
          </w:p>
        </w:tc>
        <w:tc>
          <w:tcPr>
            <w:tcW w:w="0" w:type="auto"/>
            <w:noWrap/>
            <w:vAlign w:val="bottom"/>
            <w:hideMark/>
          </w:tcPr>
          <w:p w14:paraId="5C514C2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5E3AD9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A884F6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A5A12EE" w14:textId="77777777" w:rsidR="00000000" w:rsidRDefault="00832D71">
            <w:pPr>
              <w:pStyle w:val="a3"/>
              <w:spacing w:before="0" w:beforeAutospacing="0" w:after="0" w:afterAutospacing="0"/>
              <w:jc w:val="right"/>
              <w:rPr>
                <w:sz w:val="20"/>
                <w:szCs w:val="20"/>
              </w:rPr>
            </w:pPr>
            <w:r>
              <w:rPr>
                <w:sz w:val="20"/>
                <w:szCs w:val="20"/>
              </w:rPr>
              <w:t>30,87</w:t>
            </w:r>
            <w:r>
              <w:rPr>
                <w:sz w:val="20"/>
                <w:szCs w:val="20"/>
              </w:rPr>
              <w:t>8</w:t>
            </w:r>
          </w:p>
        </w:tc>
        <w:tc>
          <w:tcPr>
            <w:tcW w:w="0" w:type="auto"/>
            <w:noWrap/>
            <w:vAlign w:val="bottom"/>
            <w:hideMark/>
          </w:tcPr>
          <w:p w14:paraId="4C951472" w14:textId="77777777" w:rsidR="00000000" w:rsidRDefault="00832D71">
            <w:pPr>
              <w:pStyle w:val="a3"/>
              <w:spacing w:before="0" w:beforeAutospacing="0" w:after="0" w:afterAutospacing="0"/>
              <w:rPr>
                <w:sz w:val="20"/>
                <w:szCs w:val="20"/>
              </w:rPr>
            </w:pPr>
            <w:r>
              <w:rPr>
                <w:sz w:val="20"/>
                <w:szCs w:val="20"/>
              </w:rPr>
              <w:t> </w:t>
            </w:r>
          </w:p>
        </w:tc>
      </w:tr>
      <w:tr w:rsidR="00000000" w14:paraId="416C3F13" w14:textId="77777777">
        <w:trPr>
          <w:trHeight w:val="200"/>
          <w:tblCellSpacing w:w="15" w:type="dxa"/>
        </w:trPr>
        <w:tc>
          <w:tcPr>
            <w:tcW w:w="0" w:type="auto"/>
            <w:hideMark/>
          </w:tcPr>
          <w:p w14:paraId="016C8B5F" w14:textId="77777777" w:rsidR="00000000" w:rsidRDefault="00832D71">
            <w:pPr>
              <w:pStyle w:val="a3"/>
              <w:spacing w:before="0" w:beforeAutospacing="0" w:after="0" w:afterAutospacing="0"/>
              <w:ind w:left="200"/>
              <w:rPr>
                <w:sz w:val="20"/>
                <w:szCs w:val="20"/>
              </w:rPr>
            </w:pPr>
            <w:r>
              <w:rPr>
                <w:sz w:val="20"/>
                <w:szCs w:val="20"/>
              </w:rPr>
              <w:t>Accrued interes</w:t>
            </w:r>
            <w:r>
              <w:rPr>
                <w:sz w:val="20"/>
                <w:szCs w:val="20"/>
              </w:rPr>
              <w:t>t</w:t>
            </w:r>
          </w:p>
        </w:tc>
        <w:tc>
          <w:tcPr>
            <w:tcW w:w="0" w:type="auto"/>
            <w:vAlign w:val="bottom"/>
            <w:hideMark/>
          </w:tcPr>
          <w:p w14:paraId="3C2B5BB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66AF2D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FF23815" w14:textId="77777777" w:rsidR="00000000" w:rsidRDefault="00832D71">
            <w:pPr>
              <w:pStyle w:val="a3"/>
              <w:spacing w:before="0" w:beforeAutospacing="0" w:after="0" w:afterAutospacing="0"/>
              <w:jc w:val="right"/>
              <w:rPr>
                <w:sz w:val="20"/>
                <w:szCs w:val="20"/>
              </w:rPr>
            </w:pPr>
            <w:r>
              <w:rPr>
                <w:sz w:val="20"/>
                <w:szCs w:val="20"/>
              </w:rPr>
              <w:t>12,34</w:t>
            </w:r>
            <w:r>
              <w:rPr>
                <w:sz w:val="20"/>
                <w:szCs w:val="20"/>
              </w:rPr>
              <w:t>2</w:t>
            </w:r>
          </w:p>
        </w:tc>
        <w:tc>
          <w:tcPr>
            <w:tcW w:w="0" w:type="auto"/>
            <w:noWrap/>
            <w:vAlign w:val="bottom"/>
            <w:hideMark/>
          </w:tcPr>
          <w:p w14:paraId="7A5E56A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02EC9B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DFC455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1FE1E97" w14:textId="77777777" w:rsidR="00000000" w:rsidRDefault="00832D71">
            <w:pPr>
              <w:pStyle w:val="a3"/>
              <w:spacing w:before="0" w:beforeAutospacing="0" w:after="0" w:afterAutospacing="0"/>
              <w:jc w:val="right"/>
              <w:rPr>
                <w:sz w:val="20"/>
                <w:szCs w:val="20"/>
              </w:rPr>
            </w:pPr>
            <w:r>
              <w:rPr>
                <w:sz w:val="20"/>
                <w:szCs w:val="20"/>
              </w:rPr>
              <w:t>13,28</w:t>
            </w:r>
            <w:r>
              <w:rPr>
                <w:sz w:val="20"/>
                <w:szCs w:val="20"/>
              </w:rPr>
              <w:t>7</w:t>
            </w:r>
          </w:p>
        </w:tc>
        <w:tc>
          <w:tcPr>
            <w:tcW w:w="0" w:type="auto"/>
            <w:noWrap/>
            <w:vAlign w:val="bottom"/>
            <w:hideMark/>
          </w:tcPr>
          <w:p w14:paraId="0CE828A7" w14:textId="77777777" w:rsidR="00000000" w:rsidRDefault="00832D71">
            <w:pPr>
              <w:pStyle w:val="a3"/>
              <w:spacing w:before="0" w:beforeAutospacing="0" w:after="0" w:afterAutospacing="0"/>
              <w:rPr>
                <w:sz w:val="20"/>
                <w:szCs w:val="20"/>
              </w:rPr>
            </w:pPr>
            <w:r>
              <w:rPr>
                <w:sz w:val="20"/>
                <w:szCs w:val="20"/>
              </w:rPr>
              <w:t> </w:t>
            </w:r>
          </w:p>
        </w:tc>
      </w:tr>
      <w:tr w:rsidR="00000000" w14:paraId="549F9CA4" w14:textId="77777777">
        <w:trPr>
          <w:trHeight w:val="200"/>
          <w:tblCellSpacing w:w="15" w:type="dxa"/>
        </w:trPr>
        <w:tc>
          <w:tcPr>
            <w:tcW w:w="0" w:type="auto"/>
            <w:hideMark/>
          </w:tcPr>
          <w:p w14:paraId="70BC9368" w14:textId="77777777" w:rsidR="00000000" w:rsidRDefault="00832D71">
            <w:pPr>
              <w:pStyle w:val="a3"/>
              <w:spacing w:before="0" w:beforeAutospacing="0" w:after="0" w:afterAutospacing="0"/>
              <w:ind w:left="200"/>
              <w:rPr>
                <w:sz w:val="20"/>
                <w:szCs w:val="20"/>
              </w:rPr>
            </w:pPr>
            <w:r>
              <w:rPr>
                <w:sz w:val="20"/>
                <w:szCs w:val="20"/>
              </w:rPr>
              <w:t>Other current liabilitie</w:t>
            </w:r>
            <w:r>
              <w:rPr>
                <w:sz w:val="20"/>
                <w:szCs w:val="20"/>
              </w:rPr>
              <w:t>s</w:t>
            </w:r>
          </w:p>
        </w:tc>
        <w:tc>
          <w:tcPr>
            <w:tcW w:w="0" w:type="auto"/>
            <w:vAlign w:val="bottom"/>
            <w:hideMark/>
          </w:tcPr>
          <w:p w14:paraId="0D6FF3B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AE4B15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273D029" w14:textId="77777777" w:rsidR="00000000" w:rsidRDefault="00832D71">
            <w:pPr>
              <w:pStyle w:val="a3"/>
              <w:spacing w:before="0" w:beforeAutospacing="0" w:after="0" w:afterAutospacing="0"/>
              <w:jc w:val="right"/>
              <w:rPr>
                <w:sz w:val="20"/>
                <w:szCs w:val="20"/>
              </w:rPr>
            </w:pPr>
            <w:r>
              <w:rPr>
                <w:sz w:val="20"/>
                <w:szCs w:val="20"/>
              </w:rPr>
              <w:t>45,93</w:t>
            </w:r>
            <w:r>
              <w:rPr>
                <w:sz w:val="20"/>
                <w:szCs w:val="20"/>
              </w:rPr>
              <w:t>6</w:t>
            </w:r>
          </w:p>
        </w:tc>
        <w:tc>
          <w:tcPr>
            <w:tcW w:w="0" w:type="auto"/>
            <w:noWrap/>
            <w:vAlign w:val="bottom"/>
            <w:hideMark/>
          </w:tcPr>
          <w:p w14:paraId="40059D4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26F3AE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032A94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294AC9B" w14:textId="77777777" w:rsidR="00000000" w:rsidRDefault="00832D71">
            <w:pPr>
              <w:pStyle w:val="a3"/>
              <w:spacing w:before="0" w:beforeAutospacing="0" w:after="0" w:afterAutospacing="0"/>
              <w:jc w:val="right"/>
              <w:rPr>
                <w:sz w:val="20"/>
                <w:szCs w:val="20"/>
              </w:rPr>
            </w:pPr>
            <w:r>
              <w:rPr>
                <w:sz w:val="20"/>
                <w:szCs w:val="20"/>
              </w:rPr>
              <w:t>34,57</w:t>
            </w:r>
            <w:r>
              <w:rPr>
                <w:sz w:val="20"/>
                <w:szCs w:val="20"/>
              </w:rPr>
              <w:t>1</w:t>
            </w:r>
          </w:p>
        </w:tc>
        <w:tc>
          <w:tcPr>
            <w:tcW w:w="0" w:type="auto"/>
            <w:noWrap/>
            <w:vAlign w:val="bottom"/>
            <w:hideMark/>
          </w:tcPr>
          <w:p w14:paraId="7CAEAFEA" w14:textId="77777777" w:rsidR="00000000" w:rsidRDefault="00832D71">
            <w:pPr>
              <w:pStyle w:val="a3"/>
              <w:spacing w:before="0" w:beforeAutospacing="0" w:after="0" w:afterAutospacing="0"/>
              <w:rPr>
                <w:sz w:val="20"/>
                <w:szCs w:val="20"/>
              </w:rPr>
            </w:pPr>
            <w:r>
              <w:rPr>
                <w:sz w:val="20"/>
                <w:szCs w:val="20"/>
              </w:rPr>
              <w:t> </w:t>
            </w:r>
          </w:p>
        </w:tc>
      </w:tr>
      <w:tr w:rsidR="00000000" w14:paraId="73C8CC34" w14:textId="77777777">
        <w:trPr>
          <w:trHeight w:val="200"/>
          <w:tblCellSpacing w:w="15" w:type="dxa"/>
        </w:trPr>
        <w:tc>
          <w:tcPr>
            <w:tcW w:w="0" w:type="auto"/>
            <w:hideMark/>
          </w:tcPr>
          <w:p w14:paraId="0A492A81" w14:textId="77777777" w:rsidR="00000000" w:rsidRDefault="00832D71">
            <w:pPr>
              <w:pStyle w:val="a3"/>
              <w:spacing w:before="0" w:beforeAutospacing="0" w:after="0" w:afterAutospacing="0"/>
              <w:ind w:left="400"/>
              <w:rPr>
                <w:sz w:val="20"/>
                <w:szCs w:val="20"/>
              </w:rPr>
            </w:pPr>
            <w:r>
              <w:rPr>
                <w:sz w:val="20"/>
                <w:szCs w:val="20"/>
              </w:rPr>
              <w:t>Total current liabilitie</w:t>
            </w:r>
            <w:r>
              <w:rPr>
                <w:sz w:val="20"/>
                <w:szCs w:val="20"/>
              </w:rPr>
              <w:t>s</w:t>
            </w:r>
          </w:p>
        </w:tc>
        <w:tc>
          <w:tcPr>
            <w:tcW w:w="0" w:type="auto"/>
            <w:vAlign w:val="bottom"/>
            <w:hideMark/>
          </w:tcPr>
          <w:p w14:paraId="33F0520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588CFF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C9EC0ED" w14:textId="77777777" w:rsidR="00000000" w:rsidRDefault="00832D71">
            <w:pPr>
              <w:pStyle w:val="a3"/>
              <w:spacing w:before="0" w:beforeAutospacing="0" w:after="0" w:afterAutospacing="0"/>
              <w:jc w:val="right"/>
              <w:rPr>
                <w:sz w:val="20"/>
                <w:szCs w:val="20"/>
              </w:rPr>
            </w:pPr>
            <w:r>
              <w:rPr>
                <w:sz w:val="20"/>
                <w:szCs w:val="20"/>
              </w:rPr>
              <w:t>306,62</w:t>
            </w:r>
            <w:r>
              <w:rPr>
                <w:sz w:val="20"/>
                <w:szCs w:val="20"/>
              </w:rPr>
              <w:t>2</w:t>
            </w:r>
          </w:p>
        </w:tc>
        <w:tc>
          <w:tcPr>
            <w:tcW w:w="0" w:type="auto"/>
            <w:noWrap/>
            <w:vAlign w:val="bottom"/>
            <w:hideMark/>
          </w:tcPr>
          <w:p w14:paraId="415BEC2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E80A7B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8AF96E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33D4AB9" w14:textId="77777777" w:rsidR="00000000" w:rsidRDefault="00832D71">
            <w:pPr>
              <w:pStyle w:val="a3"/>
              <w:spacing w:before="0" w:beforeAutospacing="0" w:after="0" w:afterAutospacing="0"/>
              <w:jc w:val="right"/>
              <w:rPr>
                <w:sz w:val="20"/>
                <w:szCs w:val="20"/>
              </w:rPr>
            </w:pPr>
            <w:r>
              <w:rPr>
                <w:sz w:val="20"/>
                <w:szCs w:val="20"/>
              </w:rPr>
              <w:t>287,14</w:t>
            </w:r>
            <w:r>
              <w:rPr>
                <w:sz w:val="20"/>
                <w:szCs w:val="20"/>
              </w:rPr>
              <w:t>6</w:t>
            </w:r>
          </w:p>
        </w:tc>
        <w:tc>
          <w:tcPr>
            <w:tcW w:w="0" w:type="auto"/>
            <w:noWrap/>
            <w:vAlign w:val="bottom"/>
            <w:hideMark/>
          </w:tcPr>
          <w:p w14:paraId="1168927F" w14:textId="77777777" w:rsidR="00000000" w:rsidRDefault="00832D71">
            <w:pPr>
              <w:pStyle w:val="a3"/>
              <w:spacing w:before="0" w:beforeAutospacing="0" w:after="0" w:afterAutospacing="0"/>
              <w:rPr>
                <w:sz w:val="20"/>
                <w:szCs w:val="20"/>
              </w:rPr>
            </w:pPr>
            <w:r>
              <w:rPr>
                <w:sz w:val="20"/>
                <w:szCs w:val="20"/>
              </w:rPr>
              <w:t> </w:t>
            </w:r>
          </w:p>
        </w:tc>
      </w:tr>
      <w:tr w:rsidR="00000000" w14:paraId="7338705D" w14:textId="77777777">
        <w:trPr>
          <w:trHeight w:val="200"/>
          <w:tblCellSpacing w:w="15" w:type="dxa"/>
        </w:trPr>
        <w:tc>
          <w:tcPr>
            <w:tcW w:w="0" w:type="auto"/>
            <w:hideMark/>
          </w:tcPr>
          <w:p w14:paraId="794EDE53" w14:textId="77777777" w:rsidR="00000000" w:rsidRDefault="00832D71">
            <w:pPr>
              <w:pStyle w:val="a3"/>
              <w:spacing w:before="0" w:beforeAutospacing="0" w:after="0" w:afterAutospacing="0"/>
              <w:rPr>
                <w:sz w:val="20"/>
                <w:szCs w:val="20"/>
              </w:rPr>
            </w:pPr>
            <w:r>
              <w:rPr>
                <w:sz w:val="20"/>
                <w:szCs w:val="20"/>
              </w:rPr>
              <w:t>Long-term borrowing</w:t>
            </w:r>
            <w:r>
              <w:rPr>
                <w:sz w:val="20"/>
                <w:szCs w:val="20"/>
              </w:rPr>
              <w:t>s</w:t>
            </w:r>
          </w:p>
        </w:tc>
        <w:tc>
          <w:tcPr>
            <w:tcW w:w="0" w:type="auto"/>
            <w:vAlign w:val="bottom"/>
            <w:hideMark/>
          </w:tcPr>
          <w:p w14:paraId="61B404A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224115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CB98AFF" w14:textId="77777777" w:rsidR="00000000" w:rsidRDefault="00832D71">
            <w:pPr>
              <w:pStyle w:val="a3"/>
              <w:spacing w:before="0" w:beforeAutospacing="0" w:after="0" w:afterAutospacing="0"/>
              <w:jc w:val="right"/>
              <w:rPr>
                <w:sz w:val="20"/>
                <w:szCs w:val="20"/>
              </w:rPr>
            </w:pPr>
            <w:r>
              <w:rPr>
                <w:sz w:val="20"/>
                <w:szCs w:val="20"/>
              </w:rPr>
              <w:t>1,077,32</w:t>
            </w:r>
            <w:r>
              <w:rPr>
                <w:sz w:val="20"/>
                <w:szCs w:val="20"/>
              </w:rPr>
              <w:t>9</w:t>
            </w:r>
          </w:p>
        </w:tc>
        <w:tc>
          <w:tcPr>
            <w:tcW w:w="0" w:type="auto"/>
            <w:noWrap/>
            <w:vAlign w:val="bottom"/>
            <w:hideMark/>
          </w:tcPr>
          <w:p w14:paraId="05163D6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13EF11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6B4A4B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B1F4595" w14:textId="77777777" w:rsidR="00000000" w:rsidRDefault="00832D71">
            <w:pPr>
              <w:pStyle w:val="a3"/>
              <w:spacing w:before="0" w:beforeAutospacing="0" w:after="0" w:afterAutospacing="0"/>
              <w:jc w:val="right"/>
              <w:rPr>
                <w:sz w:val="20"/>
                <w:szCs w:val="20"/>
              </w:rPr>
            </w:pPr>
            <w:r>
              <w:rPr>
                <w:sz w:val="20"/>
                <w:szCs w:val="20"/>
              </w:rPr>
              <w:t>1,118,01</w:t>
            </w:r>
            <w:r>
              <w:rPr>
                <w:sz w:val="20"/>
                <w:szCs w:val="20"/>
              </w:rPr>
              <w:t>4</w:t>
            </w:r>
          </w:p>
        </w:tc>
        <w:tc>
          <w:tcPr>
            <w:tcW w:w="0" w:type="auto"/>
            <w:noWrap/>
            <w:vAlign w:val="bottom"/>
            <w:hideMark/>
          </w:tcPr>
          <w:p w14:paraId="79BD6E2B" w14:textId="77777777" w:rsidR="00000000" w:rsidRDefault="00832D71">
            <w:pPr>
              <w:pStyle w:val="a3"/>
              <w:spacing w:before="0" w:beforeAutospacing="0" w:after="0" w:afterAutospacing="0"/>
              <w:rPr>
                <w:sz w:val="20"/>
                <w:szCs w:val="20"/>
              </w:rPr>
            </w:pPr>
            <w:r>
              <w:rPr>
                <w:sz w:val="20"/>
                <w:szCs w:val="20"/>
              </w:rPr>
              <w:t> </w:t>
            </w:r>
          </w:p>
        </w:tc>
      </w:tr>
      <w:tr w:rsidR="00000000" w14:paraId="3E8000DF" w14:textId="77777777">
        <w:trPr>
          <w:trHeight w:val="200"/>
          <w:tblCellSpacing w:w="15" w:type="dxa"/>
        </w:trPr>
        <w:tc>
          <w:tcPr>
            <w:tcW w:w="0" w:type="auto"/>
            <w:hideMark/>
          </w:tcPr>
          <w:p w14:paraId="573B8CA8" w14:textId="77777777" w:rsidR="00000000" w:rsidRDefault="00832D71">
            <w:pPr>
              <w:pStyle w:val="a3"/>
              <w:spacing w:before="0" w:beforeAutospacing="0" w:after="0" w:afterAutospacing="0"/>
              <w:rPr>
                <w:sz w:val="20"/>
                <w:szCs w:val="20"/>
              </w:rPr>
            </w:pPr>
            <w:r>
              <w:rPr>
                <w:sz w:val="20"/>
                <w:szCs w:val="20"/>
              </w:rPr>
              <w:t>Accrued insuranc</w:t>
            </w:r>
            <w:r>
              <w:rPr>
                <w:sz w:val="20"/>
                <w:szCs w:val="20"/>
              </w:rPr>
              <w:t>e</w:t>
            </w:r>
          </w:p>
        </w:tc>
        <w:tc>
          <w:tcPr>
            <w:tcW w:w="0" w:type="auto"/>
            <w:vAlign w:val="bottom"/>
            <w:hideMark/>
          </w:tcPr>
          <w:p w14:paraId="228FE00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4921B9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439991E" w14:textId="77777777" w:rsidR="00000000" w:rsidRDefault="00832D71">
            <w:pPr>
              <w:pStyle w:val="a3"/>
              <w:spacing w:before="0" w:beforeAutospacing="0" w:after="0" w:afterAutospacing="0"/>
              <w:jc w:val="right"/>
              <w:rPr>
                <w:sz w:val="20"/>
                <w:szCs w:val="20"/>
              </w:rPr>
            </w:pPr>
            <w:r>
              <w:rPr>
                <w:sz w:val="20"/>
                <w:szCs w:val="20"/>
              </w:rPr>
              <w:t>53,94</w:t>
            </w:r>
            <w:r>
              <w:rPr>
                <w:sz w:val="20"/>
                <w:szCs w:val="20"/>
              </w:rPr>
              <w:t>5</w:t>
            </w:r>
          </w:p>
        </w:tc>
        <w:tc>
          <w:tcPr>
            <w:tcW w:w="0" w:type="auto"/>
            <w:noWrap/>
            <w:vAlign w:val="bottom"/>
            <w:hideMark/>
          </w:tcPr>
          <w:p w14:paraId="60B3FA4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39447E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A9692C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D88AE16" w14:textId="77777777" w:rsidR="00000000" w:rsidRDefault="00832D71">
            <w:pPr>
              <w:pStyle w:val="a3"/>
              <w:spacing w:before="0" w:beforeAutospacing="0" w:after="0" w:afterAutospacing="0"/>
              <w:jc w:val="right"/>
              <w:rPr>
                <w:sz w:val="20"/>
                <w:szCs w:val="20"/>
              </w:rPr>
            </w:pPr>
            <w:r>
              <w:rPr>
                <w:sz w:val="20"/>
                <w:szCs w:val="20"/>
              </w:rPr>
              <w:t>49,42</w:t>
            </w:r>
            <w:r>
              <w:rPr>
                <w:sz w:val="20"/>
                <w:szCs w:val="20"/>
              </w:rPr>
              <w:t>4</w:t>
            </w:r>
          </w:p>
        </w:tc>
        <w:tc>
          <w:tcPr>
            <w:tcW w:w="0" w:type="auto"/>
            <w:noWrap/>
            <w:vAlign w:val="bottom"/>
            <w:hideMark/>
          </w:tcPr>
          <w:p w14:paraId="1F8B4FC5" w14:textId="77777777" w:rsidR="00000000" w:rsidRDefault="00832D71">
            <w:pPr>
              <w:pStyle w:val="a3"/>
              <w:spacing w:before="0" w:beforeAutospacing="0" w:after="0" w:afterAutospacing="0"/>
              <w:rPr>
                <w:sz w:val="20"/>
                <w:szCs w:val="20"/>
              </w:rPr>
            </w:pPr>
            <w:r>
              <w:rPr>
                <w:sz w:val="20"/>
                <w:szCs w:val="20"/>
              </w:rPr>
              <w:t> </w:t>
            </w:r>
          </w:p>
        </w:tc>
      </w:tr>
      <w:tr w:rsidR="00000000" w14:paraId="779DB45D" w14:textId="77777777">
        <w:trPr>
          <w:trHeight w:val="200"/>
          <w:tblCellSpacing w:w="15" w:type="dxa"/>
        </w:trPr>
        <w:tc>
          <w:tcPr>
            <w:tcW w:w="0" w:type="auto"/>
            <w:hideMark/>
          </w:tcPr>
          <w:p w14:paraId="4FAE4FB7" w14:textId="77777777" w:rsidR="00000000" w:rsidRDefault="00832D71">
            <w:pPr>
              <w:pStyle w:val="a3"/>
              <w:spacing w:before="0" w:beforeAutospacing="0" w:after="0" w:afterAutospacing="0"/>
              <w:rPr>
                <w:sz w:val="20"/>
                <w:szCs w:val="20"/>
              </w:rPr>
            </w:pPr>
            <w:r>
              <w:rPr>
                <w:sz w:val="20"/>
                <w:szCs w:val="20"/>
              </w:rPr>
              <w:t>Operating lease liabilitie</w:t>
            </w:r>
            <w:r>
              <w:rPr>
                <w:sz w:val="20"/>
                <w:szCs w:val="20"/>
              </w:rPr>
              <w:t>s</w:t>
            </w:r>
          </w:p>
        </w:tc>
        <w:tc>
          <w:tcPr>
            <w:tcW w:w="0" w:type="auto"/>
            <w:vAlign w:val="bottom"/>
            <w:hideMark/>
          </w:tcPr>
          <w:p w14:paraId="6D34FE1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505883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0465168" w14:textId="77777777" w:rsidR="00000000" w:rsidRDefault="00832D71">
            <w:pPr>
              <w:pStyle w:val="a3"/>
              <w:spacing w:before="0" w:beforeAutospacing="0" w:after="0" w:afterAutospacing="0"/>
              <w:jc w:val="right"/>
              <w:rPr>
                <w:sz w:val="20"/>
                <w:szCs w:val="20"/>
              </w:rPr>
            </w:pPr>
            <w:r>
              <w:rPr>
                <w:sz w:val="20"/>
                <w:szCs w:val="20"/>
              </w:rPr>
              <w:t>103,67</w:t>
            </w:r>
            <w:r>
              <w:rPr>
                <w:sz w:val="20"/>
                <w:szCs w:val="20"/>
              </w:rPr>
              <w:t>0</w:t>
            </w:r>
          </w:p>
        </w:tc>
        <w:tc>
          <w:tcPr>
            <w:tcW w:w="0" w:type="auto"/>
            <w:noWrap/>
            <w:vAlign w:val="bottom"/>
            <w:hideMark/>
          </w:tcPr>
          <w:p w14:paraId="04ADF6E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0E6840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664585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29DB9E1" w14:textId="77777777" w:rsidR="00000000" w:rsidRDefault="00832D71">
            <w:pPr>
              <w:pStyle w:val="a3"/>
              <w:spacing w:before="0" w:beforeAutospacing="0" w:after="0" w:afterAutospacing="0"/>
              <w:jc w:val="right"/>
              <w:rPr>
                <w:sz w:val="20"/>
                <w:szCs w:val="20"/>
              </w:rPr>
            </w:pPr>
            <w:r>
              <w:rPr>
                <w:sz w:val="20"/>
                <w:szCs w:val="20"/>
              </w:rPr>
              <w:t>98,53</w:t>
            </w:r>
            <w:r>
              <w:rPr>
                <w:sz w:val="20"/>
                <w:szCs w:val="20"/>
              </w:rPr>
              <w:t>2</w:t>
            </w:r>
          </w:p>
        </w:tc>
        <w:tc>
          <w:tcPr>
            <w:tcW w:w="0" w:type="auto"/>
            <w:noWrap/>
            <w:vAlign w:val="bottom"/>
            <w:hideMark/>
          </w:tcPr>
          <w:p w14:paraId="47F0B006" w14:textId="77777777" w:rsidR="00000000" w:rsidRDefault="00832D71">
            <w:pPr>
              <w:pStyle w:val="a3"/>
              <w:spacing w:before="0" w:beforeAutospacing="0" w:after="0" w:afterAutospacing="0"/>
              <w:rPr>
                <w:sz w:val="20"/>
                <w:szCs w:val="20"/>
              </w:rPr>
            </w:pPr>
            <w:r>
              <w:rPr>
                <w:sz w:val="20"/>
                <w:szCs w:val="20"/>
              </w:rPr>
              <w:t> </w:t>
            </w:r>
          </w:p>
        </w:tc>
      </w:tr>
      <w:tr w:rsidR="00000000" w14:paraId="6DDB98FA" w14:textId="77777777">
        <w:trPr>
          <w:trHeight w:val="200"/>
          <w:tblCellSpacing w:w="15" w:type="dxa"/>
        </w:trPr>
        <w:tc>
          <w:tcPr>
            <w:tcW w:w="0" w:type="auto"/>
            <w:hideMark/>
          </w:tcPr>
          <w:p w14:paraId="781D39FC" w14:textId="77777777" w:rsidR="00000000" w:rsidRDefault="00832D71">
            <w:pPr>
              <w:pStyle w:val="a3"/>
              <w:spacing w:before="0" w:beforeAutospacing="0" w:after="0" w:afterAutospacing="0"/>
              <w:rPr>
                <w:sz w:val="20"/>
                <w:szCs w:val="20"/>
              </w:rPr>
            </w:pPr>
            <w:r>
              <w:rPr>
                <w:sz w:val="20"/>
                <w:szCs w:val="20"/>
              </w:rPr>
              <w:t>Other liabilitie</w:t>
            </w:r>
            <w:r>
              <w:rPr>
                <w:sz w:val="20"/>
                <w:szCs w:val="20"/>
              </w:rPr>
              <w:t>s</w:t>
            </w:r>
          </w:p>
        </w:tc>
        <w:tc>
          <w:tcPr>
            <w:tcW w:w="0" w:type="auto"/>
            <w:vAlign w:val="bottom"/>
            <w:hideMark/>
          </w:tcPr>
          <w:p w14:paraId="14466F7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D2EBF8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576B10E" w14:textId="77777777" w:rsidR="00000000" w:rsidRDefault="00832D71">
            <w:pPr>
              <w:pStyle w:val="a3"/>
              <w:spacing w:before="0" w:beforeAutospacing="0" w:after="0" w:afterAutospacing="0"/>
              <w:jc w:val="right"/>
              <w:rPr>
                <w:sz w:val="20"/>
                <w:szCs w:val="20"/>
              </w:rPr>
            </w:pPr>
            <w:r>
              <w:rPr>
                <w:sz w:val="20"/>
                <w:szCs w:val="20"/>
              </w:rPr>
              <w:t>64,63</w:t>
            </w:r>
            <w:r>
              <w:rPr>
                <w:sz w:val="20"/>
                <w:szCs w:val="20"/>
              </w:rPr>
              <w:t>0</w:t>
            </w:r>
          </w:p>
        </w:tc>
        <w:tc>
          <w:tcPr>
            <w:tcW w:w="0" w:type="auto"/>
            <w:noWrap/>
            <w:vAlign w:val="bottom"/>
            <w:hideMark/>
          </w:tcPr>
          <w:p w14:paraId="2573284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DDBE1A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76C018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582A327" w14:textId="77777777" w:rsidR="00000000" w:rsidRDefault="00832D71">
            <w:pPr>
              <w:pStyle w:val="a3"/>
              <w:spacing w:before="0" w:beforeAutospacing="0" w:after="0" w:afterAutospacing="0"/>
              <w:jc w:val="right"/>
              <w:rPr>
                <w:sz w:val="20"/>
                <w:szCs w:val="20"/>
              </w:rPr>
            </w:pPr>
            <w:r>
              <w:rPr>
                <w:sz w:val="20"/>
                <w:szCs w:val="20"/>
              </w:rPr>
              <w:t>73,19</w:t>
            </w:r>
            <w:r>
              <w:rPr>
                <w:sz w:val="20"/>
                <w:szCs w:val="20"/>
              </w:rPr>
              <w:t>3</w:t>
            </w:r>
          </w:p>
        </w:tc>
        <w:tc>
          <w:tcPr>
            <w:tcW w:w="0" w:type="auto"/>
            <w:noWrap/>
            <w:vAlign w:val="bottom"/>
            <w:hideMark/>
          </w:tcPr>
          <w:p w14:paraId="0FBA0196" w14:textId="77777777" w:rsidR="00000000" w:rsidRDefault="00832D71">
            <w:pPr>
              <w:pStyle w:val="a3"/>
              <w:spacing w:before="0" w:beforeAutospacing="0" w:after="0" w:afterAutospacing="0"/>
              <w:rPr>
                <w:sz w:val="20"/>
                <w:szCs w:val="20"/>
              </w:rPr>
            </w:pPr>
            <w:r>
              <w:rPr>
                <w:sz w:val="20"/>
                <w:szCs w:val="20"/>
              </w:rPr>
              <w:t> </w:t>
            </w:r>
          </w:p>
        </w:tc>
      </w:tr>
      <w:tr w:rsidR="00000000" w14:paraId="56BA7C5F" w14:textId="77777777">
        <w:trPr>
          <w:trHeight w:val="200"/>
          <w:tblCellSpacing w:w="15" w:type="dxa"/>
        </w:trPr>
        <w:tc>
          <w:tcPr>
            <w:tcW w:w="0" w:type="auto"/>
            <w:hideMark/>
          </w:tcPr>
          <w:p w14:paraId="1C88A596" w14:textId="77777777" w:rsidR="00000000" w:rsidRDefault="00832D71">
            <w:pPr>
              <w:pStyle w:val="a3"/>
              <w:spacing w:before="0" w:beforeAutospacing="0" w:after="0" w:afterAutospacing="0"/>
              <w:ind w:left="400"/>
              <w:rPr>
                <w:sz w:val="20"/>
                <w:szCs w:val="20"/>
              </w:rPr>
            </w:pPr>
            <w:r>
              <w:rPr>
                <w:sz w:val="20"/>
                <w:szCs w:val="20"/>
              </w:rPr>
              <w:t>Total liabilitie</w:t>
            </w:r>
            <w:r>
              <w:rPr>
                <w:sz w:val="20"/>
                <w:szCs w:val="20"/>
              </w:rPr>
              <w:t>s</w:t>
            </w:r>
          </w:p>
        </w:tc>
        <w:tc>
          <w:tcPr>
            <w:tcW w:w="0" w:type="auto"/>
            <w:vAlign w:val="bottom"/>
            <w:hideMark/>
          </w:tcPr>
          <w:p w14:paraId="41451B3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332283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63E4710" w14:textId="77777777" w:rsidR="00000000" w:rsidRDefault="00832D71">
            <w:pPr>
              <w:pStyle w:val="a3"/>
              <w:spacing w:before="0" w:beforeAutospacing="0" w:after="0" w:afterAutospacing="0"/>
              <w:jc w:val="right"/>
              <w:rPr>
                <w:sz w:val="20"/>
                <w:szCs w:val="20"/>
              </w:rPr>
            </w:pPr>
            <w:r>
              <w:rPr>
                <w:sz w:val="20"/>
                <w:szCs w:val="20"/>
              </w:rPr>
              <w:t>1,606,19</w:t>
            </w:r>
            <w:r>
              <w:rPr>
                <w:sz w:val="20"/>
                <w:szCs w:val="20"/>
              </w:rPr>
              <w:t>6</w:t>
            </w:r>
          </w:p>
        </w:tc>
        <w:tc>
          <w:tcPr>
            <w:tcW w:w="0" w:type="auto"/>
            <w:noWrap/>
            <w:vAlign w:val="bottom"/>
            <w:hideMark/>
          </w:tcPr>
          <w:p w14:paraId="1E38EC4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8CE4EB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DAEAF4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18706BD" w14:textId="77777777" w:rsidR="00000000" w:rsidRDefault="00832D71">
            <w:pPr>
              <w:pStyle w:val="a3"/>
              <w:spacing w:before="0" w:beforeAutospacing="0" w:after="0" w:afterAutospacing="0"/>
              <w:jc w:val="right"/>
              <w:rPr>
                <w:sz w:val="20"/>
                <w:szCs w:val="20"/>
              </w:rPr>
            </w:pPr>
            <w:r>
              <w:rPr>
                <w:sz w:val="20"/>
                <w:szCs w:val="20"/>
              </w:rPr>
              <w:t>1,626,30</w:t>
            </w:r>
            <w:r>
              <w:rPr>
                <w:sz w:val="20"/>
                <w:szCs w:val="20"/>
              </w:rPr>
              <w:t>9</w:t>
            </w:r>
          </w:p>
        </w:tc>
        <w:tc>
          <w:tcPr>
            <w:tcW w:w="0" w:type="auto"/>
            <w:noWrap/>
            <w:vAlign w:val="bottom"/>
            <w:hideMark/>
          </w:tcPr>
          <w:p w14:paraId="141A79AC" w14:textId="77777777" w:rsidR="00000000" w:rsidRDefault="00832D71">
            <w:pPr>
              <w:pStyle w:val="a3"/>
              <w:spacing w:before="0" w:beforeAutospacing="0" w:after="0" w:afterAutospacing="0"/>
              <w:rPr>
                <w:sz w:val="20"/>
                <w:szCs w:val="20"/>
              </w:rPr>
            </w:pPr>
            <w:r>
              <w:rPr>
                <w:sz w:val="20"/>
                <w:szCs w:val="20"/>
              </w:rPr>
              <w:t> </w:t>
            </w:r>
          </w:p>
        </w:tc>
      </w:tr>
      <w:tr w:rsidR="00000000" w14:paraId="2243D53F" w14:textId="77777777">
        <w:trPr>
          <w:trHeight w:val="200"/>
          <w:tblCellSpacing w:w="15" w:type="dxa"/>
        </w:trPr>
        <w:tc>
          <w:tcPr>
            <w:tcW w:w="0" w:type="auto"/>
            <w:hideMark/>
          </w:tcPr>
          <w:p w14:paraId="4B422DE4" w14:textId="77777777" w:rsidR="00000000" w:rsidRDefault="00832D71">
            <w:pPr>
              <w:pStyle w:val="a3"/>
              <w:spacing w:before="0" w:beforeAutospacing="0" w:after="0" w:afterAutospacing="0"/>
              <w:rPr>
                <w:sz w:val="20"/>
                <w:szCs w:val="20"/>
              </w:rPr>
            </w:pPr>
            <w:r>
              <w:rPr>
                <w:sz w:val="20"/>
                <w:szCs w:val="20"/>
              </w:rPr>
              <w:t>Commitments and contingencie</w:t>
            </w:r>
            <w:r>
              <w:rPr>
                <w:sz w:val="20"/>
                <w:szCs w:val="20"/>
              </w:rPr>
              <w:t>s</w:t>
            </w:r>
          </w:p>
        </w:tc>
        <w:tc>
          <w:tcPr>
            <w:tcW w:w="0" w:type="auto"/>
            <w:vAlign w:val="bottom"/>
            <w:hideMark/>
          </w:tcPr>
          <w:p w14:paraId="44E7547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99FAAB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D64769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2261F2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B85D9B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8FECE79" w14:textId="77777777" w:rsidR="00000000" w:rsidRDefault="00832D71">
            <w:pPr>
              <w:pStyle w:val="a3"/>
              <w:spacing w:before="0" w:beforeAutospacing="0" w:after="0" w:afterAutospacing="0"/>
              <w:jc w:val="right"/>
              <w:rPr>
                <w:sz w:val="20"/>
                <w:szCs w:val="20"/>
              </w:rPr>
            </w:pPr>
            <w:r>
              <w:rPr>
                <w:sz w:val="20"/>
                <w:szCs w:val="20"/>
              </w:rPr>
              <w:t> </w:t>
            </w:r>
          </w:p>
        </w:tc>
      </w:tr>
      <w:tr w:rsidR="00000000" w14:paraId="3853206C" w14:textId="77777777">
        <w:trPr>
          <w:trHeight w:val="200"/>
          <w:tblCellSpacing w:w="15" w:type="dxa"/>
        </w:trPr>
        <w:tc>
          <w:tcPr>
            <w:tcW w:w="0" w:type="auto"/>
            <w:hideMark/>
          </w:tcPr>
          <w:p w14:paraId="1F588AD6" w14:textId="77777777" w:rsidR="00000000" w:rsidRDefault="00832D71">
            <w:pPr>
              <w:pStyle w:val="a3"/>
              <w:spacing w:before="0" w:beforeAutospacing="0" w:after="0" w:afterAutospacing="0"/>
              <w:rPr>
                <w:sz w:val="20"/>
                <w:szCs w:val="20"/>
              </w:rPr>
            </w:pPr>
            <w:r>
              <w:rPr>
                <w:sz w:val="20"/>
                <w:szCs w:val="20"/>
              </w:rPr>
              <w:t>Partners' capital</w:t>
            </w:r>
            <w:r>
              <w:rPr>
                <w:sz w:val="20"/>
                <w:szCs w:val="20"/>
              </w:rPr>
              <w:t>:</w:t>
            </w:r>
          </w:p>
        </w:tc>
        <w:tc>
          <w:tcPr>
            <w:tcW w:w="0" w:type="auto"/>
            <w:vAlign w:val="bottom"/>
            <w:hideMark/>
          </w:tcPr>
          <w:p w14:paraId="22D2E905"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0421DE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3825D3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B3F048F"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B9ECC4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60F699B" w14:textId="77777777" w:rsidR="00000000" w:rsidRDefault="00832D71">
            <w:pPr>
              <w:pStyle w:val="a3"/>
              <w:spacing w:before="0" w:beforeAutospacing="0" w:after="0" w:afterAutospacing="0"/>
              <w:jc w:val="right"/>
              <w:rPr>
                <w:sz w:val="20"/>
                <w:szCs w:val="20"/>
              </w:rPr>
            </w:pPr>
            <w:r>
              <w:rPr>
                <w:sz w:val="20"/>
                <w:szCs w:val="20"/>
              </w:rPr>
              <w:t> </w:t>
            </w:r>
          </w:p>
        </w:tc>
      </w:tr>
      <w:tr w:rsidR="00000000" w14:paraId="06641166" w14:textId="77777777">
        <w:trPr>
          <w:trHeight w:val="200"/>
          <w:tblCellSpacing w:w="15" w:type="dxa"/>
        </w:trPr>
        <w:tc>
          <w:tcPr>
            <w:tcW w:w="0" w:type="auto"/>
            <w:hideMark/>
          </w:tcPr>
          <w:p w14:paraId="680FA327" w14:textId="77777777" w:rsidR="00000000" w:rsidRDefault="00832D71">
            <w:pPr>
              <w:pStyle w:val="a3"/>
              <w:spacing w:before="0" w:beforeAutospacing="0" w:after="0" w:afterAutospacing="0"/>
              <w:ind w:left="200"/>
              <w:rPr>
                <w:sz w:val="20"/>
                <w:szCs w:val="20"/>
              </w:rPr>
            </w:pPr>
            <w:r>
              <w:rPr>
                <w:sz w:val="20"/>
                <w:szCs w:val="20"/>
              </w:rPr>
              <w:t xml:space="preserve">Common Unitholders </w:t>
            </w:r>
            <w:r>
              <w:rPr>
                <w:sz w:val="20"/>
                <w:szCs w:val="20"/>
              </w:rPr>
              <w:t>(</w:t>
            </w:r>
            <w:r>
              <w:rPr>
                <w:sz w:val="20"/>
                <w:szCs w:val="20"/>
              </w:rPr>
              <w:t>62,98</w:t>
            </w:r>
            <w:r>
              <w:rPr>
                <w:sz w:val="20"/>
                <w:szCs w:val="20"/>
              </w:rPr>
              <w:t>7</w:t>
            </w:r>
            <w:r>
              <w:rPr>
                <w:sz w:val="20"/>
                <w:szCs w:val="20"/>
              </w:rPr>
              <w:t> and</w:t>
            </w:r>
            <w:r>
              <w:rPr>
                <w:sz w:val="20"/>
                <w:szCs w:val="20"/>
              </w:rPr>
              <w:t xml:space="preserve"> </w:t>
            </w:r>
            <w:r>
              <w:rPr>
                <w:sz w:val="20"/>
                <w:szCs w:val="20"/>
              </w:rPr>
              <w:t>62,53</w:t>
            </w:r>
            <w:r>
              <w:rPr>
                <w:sz w:val="20"/>
                <w:szCs w:val="20"/>
              </w:rPr>
              <w:t>8</w:t>
            </w:r>
            <w:r>
              <w:rPr>
                <w:sz w:val="20"/>
                <w:szCs w:val="20"/>
              </w:rPr>
              <w:t> units issued and outstanding at</w:t>
            </w:r>
            <w:r>
              <w:rPr>
                <w:sz w:val="20"/>
                <w:szCs w:val="20"/>
              </w:rPr>
              <w:br/>
              <w:t>   September 24, 2022 and September 25, 2021, respectively</w:t>
            </w:r>
            <w:r>
              <w:rPr>
                <w:sz w:val="20"/>
                <w:szCs w:val="20"/>
              </w:rPr>
              <w:t>)</w:t>
            </w:r>
          </w:p>
        </w:tc>
        <w:tc>
          <w:tcPr>
            <w:tcW w:w="0" w:type="auto"/>
            <w:vAlign w:val="bottom"/>
            <w:hideMark/>
          </w:tcPr>
          <w:p w14:paraId="3AF2F9C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665A66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4AEA0F4" w14:textId="77777777" w:rsidR="00000000" w:rsidRDefault="00832D71">
            <w:pPr>
              <w:pStyle w:val="a3"/>
              <w:spacing w:before="0" w:beforeAutospacing="0" w:after="0" w:afterAutospacing="0"/>
              <w:jc w:val="right"/>
              <w:rPr>
                <w:sz w:val="20"/>
                <w:szCs w:val="20"/>
              </w:rPr>
            </w:pPr>
            <w:r>
              <w:rPr>
                <w:sz w:val="20"/>
                <w:szCs w:val="20"/>
              </w:rPr>
              <w:t>510,12</w:t>
            </w:r>
            <w:r>
              <w:rPr>
                <w:sz w:val="20"/>
                <w:szCs w:val="20"/>
              </w:rPr>
              <w:t>6</w:t>
            </w:r>
          </w:p>
        </w:tc>
        <w:tc>
          <w:tcPr>
            <w:tcW w:w="0" w:type="auto"/>
            <w:noWrap/>
            <w:vAlign w:val="bottom"/>
            <w:hideMark/>
          </w:tcPr>
          <w:p w14:paraId="4A61860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A60C9F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E31AEE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30F8C0B" w14:textId="77777777" w:rsidR="00000000" w:rsidRDefault="00832D71">
            <w:pPr>
              <w:pStyle w:val="a3"/>
              <w:spacing w:before="0" w:beforeAutospacing="0" w:after="0" w:afterAutospacing="0"/>
              <w:jc w:val="right"/>
              <w:rPr>
                <w:sz w:val="20"/>
                <w:szCs w:val="20"/>
              </w:rPr>
            </w:pPr>
            <w:r>
              <w:rPr>
                <w:sz w:val="20"/>
                <w:szCs w:val="20"/>
              </w:rPr>
              <w:t>443,00</w:t>
            </w:r>
            <w:r>
              <w:rPr>
                <w:sz w:val="20"/>
                <w:szCs w:val="20"/>
              </w:rPr>
              <w:t>5</w:t>
            </w:r>
          </w:p>
        </w:tc>
        <w:tc>
          <w:tcPr>
            <w:tcW w:w="0" w:type="auto"/>
            <w:noWrap/>
            <w:vAlign w:val="bottom"/>
            <w:hideMark/>
          </w:tcPr>
          <w:p w14:paraId="267C3759" w14:textId="77777777" w:rsidR="00000000" w:rsidRDefault="00832D71">
            <w:pPr>
              <w:pStyle w:val="a3"/>
              <w:spacing w:before="0" w:beforeAutospacing="0" w:after="0" w:afterAutospacing="0"/>
              <w:rPr>
                <w:sz w:val="20"/>
                <w:szCs w:val="20"/>
              </w:rPr>
            </w:pPr>
            <w:r>
              <w:rPr>
                <w:sz w:val="20"/>
                <w:szCs w:val="20"/>
              </w:rPr>
              <w:t> </w:t>
            </w:r>
          </w:p>
        </w:tc>
      </w:tr>
      <w:tr w:rsidR="00000000" w14:paraId="423A6CAD" w14:textId="77777777">
        <w:trPr>
          <w:trHeight w:val="200"/>
          <w:tblCellSpacing w:w="15" w:type="dxa"/>
        </w:trPr>
        <w:tc>
          <w:tcPr>
            <w:tcW w:w="0" w:type="auto"/>
            <w:hideMark/>
          </w:tcPr>
          <w:p w14:paraId="47FC3525" w14:textId="77777777" w:rsidR="00000000" w:rsidRDefault="00832D71">
            <w:pPr>
              <w:pStyle w:val="a3"/>
              <w:spacing w:before="0" w:beforeAutospacing="0" w:after="0" w:afterAutospacing="0"/>
              <w:ind w:left="200"/>
              <w:rPr>
                <w:sz w:val="20"/>
                <w:szCs w:val="20"/>
              </w:rPr>
            </w:pPr>
            <w:r>
              <w:rPr>
                <w:sz w:val="20"/>
                <w:szCs w:val="20"/>
              </w:rPr>
              <w:t>Accumulated other comprehensive los</w:t>
            </w:r>
            <w:r>
              <w:rPr>
                <w:sz w:val="20"/>
                <w:szCs w:val="20"/>
              </w:rPr>
              <w:t>s</w:t>
            </w:r>
          </w:p>
        </w:tc>
        <w:tc>
          <w:tcPr>
            <w:tcW w:w="0" w:type="auto"/>
            <w:vAlign w:val="bottom"/>
            <w:hideMark/>
          </w:tcPr>
          <w:p w14:paraId="318FA40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E94ADB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8D8DAAF" w14:textId="77777777" w:rsidR="00000000" w:rsidRDefault="00832D71">
            <w:pPr>
              <w:pStyle w:val="a3"/>
              <w:spacing w:before="0" w:beforeAutospacing="0" w:after="0" w:afterAutospacing="0"/>
              <w:jc w:val="right"/>
              <w:rPr>
                <w:sz w:val="20"/>
                <w:szCs w:val="20"/>
              </w:rPr>
            </w:pPr>
            <w:r>
              <w:rPr>
                <w:sz w:val="20"/>
                <w:szCs w:val="20"/>
              </w:rPr>
              <w:t>(</w:t>
            </w:r>
            <w:r>
              <w:rPr>
                <w:sz w:val="20"/>
                <w:szCs w:val="20"/>
              </w:rPr>
              <w:t>12,59</w:t>
            </w:r>
            <w:r>
              <w:rPr>
                <w:sz w:val="20"/>
                <w:szCs w:val="20"/>
              </w:rPr>
              <w:t>6</w:t>
            </w:r>
          </w:p>
        </w:tc>
        <w:tc>
          <w:tcPr>
            <w:tcW w:w="0" w:type="auto"/>
            <w:noWrap/>
            <w:vAlign w:val="bottom"/>
            <w:hideMark/>
          </w:tcPr>
          <w:p w14:paraId="124A550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8ABAA4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CB0585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43A90D9" w14:textId="77777777" w:rsidR="00000000" w:rsidRDefault="00832D71">
            <w:pPr>
              <w:pStyle w:val="a3"/>
              <w:spacing w:before="0" w:beforeAutospacing="0" w:after="0" w:afterAutospacing="0"/>
              <w:jc w:val="right"/>
              <w:rPr>
                <w:sz w:val="20"/>
                <w:szCs w:val="20"/>
              </w:rPr>
            </w:pPr>
            <w:r>
              <w:rPr>
                <w:sz w:val="20"/>
                <w:szCs w:val="20"/>
              </w:rPr>
              <w:t>(</w:t>
            </w:r>
            <w:r>
              <w:rPr>
                <w:sz w:val="20"/>
                <w:szCs w:val="20"/>
              </w:rPr>
              <w:t>17,58</w:t>
            </w:r>
            <w:r>
              <w:rPr>
                <w:sz w:val="20"/>
                <w:szCs w:val="20"/>
              </w:rPr>
              <w:t>4</w:t>
            </w:r>
          </w:p>
        </w:tc>
        <w:tc>
          <w:tcPr>
            <w:tcW w:w="0" w:type="auto"/>
            <w:noWrap/>
            <w:vAlign w:val="bottom"/>
            <w:hideMark/>
          </w:tcPr>
          <w:p w14:paraId="25D39CFD" w14:textId="77777777" w:rsidR="00000000" w:rsidRDefault="00832D71">
            <w:pPr>
              <w:pStyle w:val="a3"/>
              <w:spacing w:before="0" w:beforeAutospacing="0" w:after="0" w:afterAutospacing="0"/>
              <w:rPr>
                <w:sz w:val="20"/>
                <w:szCs w:val="20"/>
              </w:rPr>
            </w:pPr>
            <w:r>
              <w:rPr>
                <w:sz w:val="20"/>
                <w:szCs w:val="20"/>
              </w:rPr>
              <w:t>)</w:t>
            </w:r>
          </w:p>
        </w:tc>
      </w:tr>
      <w:tr w:rsidR="00000000" w14:paraId="59CE6E2C" w14:textId="77777777">
        <w:trPr>
          <w:trHeight w:val="200"/>
          <w:tblCellSpacing w:w="15" w:type="dxa"/>
        </w:trPr>
        <w:tc>
          <w:tcPr>
            <w:tcW w:w="0" w:type="auto"/>
            <w:hideMark/>
          </w:tcPr>
          <w:p w14:paraId="56680FB9" w14:textId="77777777" w:rsidR="00000000" w:rsidRDefault="00832D71">
            <w:pPr>
              <w:pStyle w:val="a3"/>
              <w:spacing w:before="0" w:beforeAutospacing="0" w:after="0" w:afterAutospacing="0"/>
              <w:ind w:left="400"/>
              <w:rPr>
                <w:sz w:val="20"/>
                <w:szCs w:val="20"/>
              </w:rPr>
            </w:pPr>
            <w:r>
              <w:rPr>
                <w:sz w:val="20"/>
                <w:szCs w:val="20"/>
              </w:rPr>
              <w:t>Total partners' capita</w:t>
            </w:r>
            <w:r>
              <w:rPr>
                <w:sz w:val="20"/>
                <w:szCs w:val="20"/>
              </w:rPr>
              <w:t>l</w:t>
            </w:r>
          </w:p>
        </w:tc>
        <w:tc>
          <w:tcPr>
            <w:tcW w:w="0" w:type="auto"/>
            <w:vAlign w:val="bottom"/>
            <w:hideMark/>
          </w:tcPr>
          <w:p w14:paraId="7130151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CA6920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D3D4C64" w14:textId="77777777" w:rsidR="00000000" w:rsidRDefault="00832D71">
            <w:pPr>
              <w:pStyle w:val="a3"/>
              <w:spacing w:before="0" w:beforeAutospacing="0" w:after="0" w:afterAutospacing="0"/>
              <w:jc w:val="right"/>
              <w:rPr>
                <w:sz w:val="20"/>
                <w:szCs w:val="20"/>
              </w:rPr>
            </w:pPr>
            <w:r>
              <w:rPr>
                <w:sz w:val="20"/>
                <w:szCs w:val="20"/>
              </w:rPr>
              <w:t>497,53</w:t>
            </w:r>
            <w:r>
              <w:rPr>
                <w:sz w:val="20"/>
                <w:szCs w:val="20"/>
              </w:rPr>
              <w:t>0</w:t>
            </w:r>
          </w:p>
        </w:tc>
        <w:tc>
          <w:tcPr>
            <w:tcW w:w="0" w:type="auto"/>
            <w:noWrap/>
            <w:vAlign w:val="bottom"/>
            <w:hideMark/>
          </w:tcPr>
          <w:p w14:paraId="33A8927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50795B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F06F64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921E99C" w14:textId="77777777" w:rsidR="00000000" w:rsidRDefault="00832D71">
            <w:pPr>
              <w:pStyle w:val="a3"/>
              <w:spacing w:before="0" w:beforeAutospacing="0" w:after="0" w:afterAutospacing="0"/>
              <w:jc w:val="right"/>
              <w:rPr>
                <w:sz w:val="20"/>
                <w:szCs w:val="20"/>
              </w:rPr>
            </w:pPr>
            <w:r>
              <w:rPr>
                <w:sz w:val="20"/>
                <w:szCs w:val="20"/>
              </w:rPr>
              <w:t>425,42</w:t>
            </w:r>
            <w:r>
              <w:rPr>
                <w:sz w:val="20"/>
                <w:szCs w:val="20"/>
              </w:rPr>
              <w:t>1</w:t>
            </w:r>
          </w:p>
        </w:tc>
        <w:tc>
          <w:tcPr>
            <w:tcW w:w="0" w:type="auto"/>
            <w:noWrap/>
            <w:vAlign w:val="bottom"/>
            <w:hideMark/>
          </w:tcPr>
          <w:p w14:paraId="250C0953" w14:textId="77777777" w:rsidR="00000000" w:rsidRDefault="00832D71">
            <w:pPr>
              <w:pStyle w:val="a3"/>
              <w:spacing w:before="0" w:beforeAutospacing="0" w:after="0" w:afterAutospacing="0"/>
              <w:rPr>
                <w:sz w:val="20"/>
                <w:szCs w:val="20"/>
              </w:rPr>
            </w:pPr>
            <w:r>
              <w:rPr>
                <w:sz w:val="20"/>
                <w:szCs w:val="20"/>
              </w:rPr>
              <w:t> </w:t>
            </w:r>
          </w:p>
        </w:tc>
      </w:tr>
      <w:tr w:rsidR="00000000" w14:paraId="697DBED5" w14:textId="77777777">
        <w:trPr>
          <w:trHeight w:val="200"/>
          <w:tblCellSpacing w:w="15" w:type="dxa"/>
        </w:trPr>
        <w:tc>
          <w:tcPr>
            <w:tcW w:w="0" w:type="auto"/>
            <w:hideMark/>
          </w:tcPr>
          <w:p w14:paraId="5F657097" w14:textId="77777777" w:rsidR="00000000" w:rsidRDefault="00832D71">
            <w:pPr>
              <w:pStyle w:val="a3"/>
              <w:spacing w:before="0" w:beforeAutospacing="0" w:after="0" w:afterAutospacing="0"/>
              <w:ind w:left="400"/>
              <w:rPr>
                <w:sz w:val="20"/>
                <w:szCs w:val="20"/>
              </w:rPr>
            </w:pPr>
            <w:r>
              <w:rPr>
                <w:sz w:val="20"/>
                <w:szCs w:val="20"/>
              </w:rPr>
              <w:t>Total liabilities and partners' capita</w:t>
            </w:r>
            <w:r>
              <w:rPr>
                <w:sz w:val="20"/>
                <w:szCs w:val="20"/>
              </w:rPr>
              <w:t>l</w:t>
            </w:r>
          </w:p>
        </w:tc>
        <w:tc>
          <w:tcPr>
            <w:tcW w:w="0" w:type="auto"/>
            <w:vAlign w:val="bottom"/>
            <w:hideMark/>
          </w:tcPr>
          <w:p w14:paraId="519D2C3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5B53DC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50EC271" w14:textId="77777777" w:rsidR="00000000" w:rsidRDefault="00832D71">
            <w:pPr>
              <w:pStyle w:val="a3"/>
              <w:spacing w:before="0" w:beforeAutospacing="0" w:after="0" w:afterAutospacing="0"/>
              <w:jc w:val="right"/>
              <w:rPr>
                <w:sz w:val="20"/>
                <w:szCs w:val="20"/>
              </w:rPr>
            </w:pPr>
            <w:r>
              <w:rPr>
                <w:sz w:val="20"/>
                <w:szCs w:val="20"/>
              </w:rPr>
              <w:t>2,103,72</w:t>
            </w:r>
            <w:r>
              <w:rPr>
                <w:sz w:val="20"/>
                <w:szCs w:val="20"/>
              </w:rPr>
              <w:t>6</w:t>
            </w:r>
          </w:p>
        </w:tc>
        <w:tc>
          <w:tcPr>
            <w:tcW w:w="0" w:type="auto"/>
            <w:noWrap/>
            <w:vAlign w:val="bottom"/>
            <w:hideMark/>
          </w:tcPr>
          <w:p w14:paraId="0246652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1A29B6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6306DE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AF5EDB8" w14:textId="77777777" w:rsidR="00000000" w:rsidRDefault="00832D71">
            <w:pPr>
              <w:pStyle w:val="a3"/>
              <w:spacing w:before="0" w:beforeAutospacing="0" w:after="0" w:afterAutospacing="0"/>
              <w:jc w:val="right"/>
              <w:rPr>
                <w:sz w:val="20"/>
                <w:szCs w:val="20"/>
              </w:rPr>
            </w:pPr>
            <w:r>
              <w:rPr>
                <w:sz w:val="20"/>
                <w:szCs w:val="20"/>
              </w:rPr>
              <w:t>2,051,73</w:t>
            </w:r>
            <w:r>
              <w:rPr>
                <w:sz w:val="20"/>
                <w:szCs w:val="20"/>
              </w:rPr>
              <w:t>0</w:t>
            </w:r>
          </w:p>
        </w:tc>
        <w:tc>
          <w:tcPr>
            <w:tcW w:w="0" w:type="auto"/>
            <w:noWrap/>
            <w:vAlign w:val="bottom"/>
            <w:hideMark/>
          </w:tcPr>
          <w:p w14:paraId="47AD96C4" w14:textId="77777777" w:rsidR="00000000" w:rsidRDefault="00832D71">
            <w:pPr>
              <w:pStyle w:val="a3"/>
              <w:spacing w:before="0" w:beforeAutospacing="0" w:after="0" w:afterAutospacing="0"/>
              <w:rPr>
                <w:sz w:val="20"/>
                <w:szCs w:val="20"/>
              </w:rPr>
            </w:pPr>
            <w:r>
              <w:rPr>
                <w:sz w:val="20"/>
                <w:szCs w:val="20"/>
              </w:rPr>
              <w:t> </w:t>
            </w:r>
          </w:p>
        </w:tc>
      </w:tr>
    </w:tbl>
    <w:p w14:paraId="180EE539" w14:textId="77777777" w:rsidR="00000000" w:rsidRDefault="00832D71">
      <w:pPr>
        <w:pStyle w:val="a3"/>
        <w:spacing w:before="0" w:beforeAutospacing="0" w:after="0" w:afterAutospacing="0"/>
        <w:rPr>
          <w:sz w:val="20"/>
          <w:szCs w:val="20"/>
        </w:rPr>
      </w:pPr>
      <w:r>
        <w:rPr>
          <w:sz w:val="20"/>
          <w:szCs w:val="20"/>
        </w:rPr>
        <w:t> </w:t>
      </w:r>
    </w:p>
    <w:p w14:paraId="0E7C6825" w14:textId="77777777" w:rsidR="00000000" w:rsidRDefault="00832D71">
      <w:pPr>
        <w:pStyle w:val="a3"/>
        <w:spacing w:before="0" w:beforeAutospacing="0" w:after="0" w:afterAutospacing="0"/>
        <w:rPr>
          <w:sz w:val="20"/>
          <w:szCs w:val="20"/>
        </w:rPr>
      </w:pPr>
      <w:r>
        <w:rPr>
          <w:sz w:val="20"/>
          <w:szCs w:val="20"/>
        </w:rPr>
        <w:t> </w:t>
      </w:r>
    </w:p>
    <w:p w14:paraId="55B3FBE7" w14:textId="77777777" w:rsidR="00000000" w:rsidRDefault="00832D71">
      <w:pPr>
        <w:pStyle w:val="a3"/>
        <w:spacing w:before="0" w:beforeAutospacing="0" w:after="0" w:afterAutospacing="0"/>
        <w:rPr>
          <w:sz w:val="20"/>
          <w:szCs w:val="20"/>
        </w:rPr>
      </w:pPr>
      <w:r>
        <w:rPr>
          <w:sz w:val="20"/>
          <w:szCs w:val="20"/>
        </w:rPr>
        <w:t> </w:t>
      </w:r>
    </w:p>
    <w:p w14:paraId="74D3AA0D" w14:textId="77777777" w:rsidR="00000000" w:rsidRDefault="00832D71">
      <w:pPr>
        <w:pStyle w:val="a3"/>
        <w:spacing w:before="0" w:beforeAutospacing="0" w:after="0" w:afterAutospacing="0"/>
        <w:rPr>
          <w:sz w:val="20"/>
          <w:szCs w:val="20"/>
        </w:rPr>
      </w:pPr>
      <w:r>
        <w:rPr>
          <w:sz w:val="20"/>
          <w:szCs w:val="20"/>
        </w:rPr>
        <w:t> </w:t>
      </w:r>
    </w:p>
    <w:p w14:paraId="772FAC74" w14:textId="77777777" w:rsidR="00000000" w:rsidRDefault="00832D71">
      <w:pPr>
        <w:pStyle w:val="a3"/>
        <w:spacing w:before="0" w:beforeAutospacing="0" w:after="0" w:afterAutospacing="0"/>
        <w:rPr>
          <w:sz w:val="20"/>
          <w:szCs w:val="20"/>
        </w:rPr>
      </w:pPr>
      <w:r>
        <w:rPr>
          <w:sz w:val="20"/>
          <w:szCs w:val="20"/>
        </w:rPr>
        <w:t> </w:t>
      </w:r>
    </w:p>
    <w:p w14:paraId="7AF7E888" w14:textId="77777777" w:rsidR="00000000" w:rsidRDefault="00832D71">
      <w:pPr>
        <w:pStyle w:val="a3"/>
        <w:spacing w:before="0" w:beforeAutospacing="0" w:after="0" w:afterAutospacing="0"/>
        <w:rPr>
          <w:sz w:val="20"/>
          <w:szCs w:val="20"/>
        </w:rPr>
      </w:pPr>
      <w:r>
        <w:rPr>
          <w:sz w:val="20"/>
          <w:szCs w:val="20"/>
        </w:rPr>
        <w:t> </w:t>
      </w:r>
    </w:p>
    <w:p w14:paraId="13A09621" w14:textId="77777777" w:rsidR="00000000" w:rsidRDefault="00832D71">
      <w:pPr>
        <w:pStyle w:val="a3"/>
        <w:spacing w:before="0" w:beforeAutospacing="0" w:after="0" w:afterAutospacing="0"/>
        <w:rPr>
          <w:sz w:val="20"/>
          <w:szCs w:val="20"/>
        </w:rPr>
      </w:pPr>
      <w:r>
        <w:rPr>
          <w:sz w:val="20"/>
          <w:szCs w:val="20"/>
        </w:rPr>
        <w:t> </w:t>
      </w:r>
    </w:p>
    <w:p w14:paraId="12AC390C" w14:textId="77777777" w:rsidR="00000000" w:rsidRDefault="00832D71">
      <w:pPr>
        <w:pStyle w:val="a3"/>
        <w:spacing w:before="0" w:beforeAutospacing="0" w:after="0" w:afterAutospacing="0"/>
        <w:rPr>
          <w:sz w:val="20"/>
          <w:szCs w:val="20"/>
        </w:rPr>
      </w:pPr>
      <w:r>
        <w:rPr>
          <w:sz w:val="20"/>
          <w:szCs w:val="20"/>
        </w:rPr>
        <w:t> </w:t>
      </w:r>
    </w:p>
    <w:p w14:paraId="741538A7" w14:textId="77777777" w:rsidR="00000000" w:rsidRDefault="00832D71">
      <w:pPr>
        <w:pStyle w:val="a3"/>
        <w:spacing w:before="0" w:beforeAutospacing="0" w:after="0" w:afterAutospacing="0"/>
        <w:rPr>
          <w:sz w:val="20"/>
          <w:szCs w:val="20"/>
        </w:rPr>
      </w:pPr>
      <w:r>
        <w:rPr>
          <w:sz w:val="20"/>
          <w:szCs w:val="20"/>
        </w:rPr>
        <w:t> </w:t>
      </w:r>
    </w:p>
    <w:p w14:paraId="6D2B60D1" w14:textId="77777777" w:rsidR="00000000" w:rsidRDefault="00832D71">
      <w:pPr>
        <w:pStyle w:val="a3"/>
        <w:spacing w:before="0" w:beforeAutospacing="0" w:after="0" w:afterAutospacing="0"/>
        <w:rPr>
          <w:sz w:val="20"/>
          <w:szCs w:val="20"/>
        </w:rPr>
      </w:pPr>
      <w:r>
        <w:rPr>
          <w:sz w:val="20"/>
          <w:szCs w:val="20"/>
        </w:rPr>
        <w:t> </w:t>
      </w:r>
    </w:p>
    <w:p w14:paraId="342E1F66" w14:textId="77777777" w:rsidR="00000000" w:rsidRDefault="00832D71">
      <w:pPr>
        <w:pStyle w:val="a3"/>
        <w:spacing w:before="0" w:beforeAutospacing="0" w:after="0" w:afterAutospacing="0"/>
        <w:rPr>
          <w:sz w:val="20"/>
          <w:szCs w:val="20"/>
        </w:rPr>
      </w:pPr>
      <w:r>
        <w:rPr>
          <w:sz w:val="20"/>
          <w:szCs w:val="20"/>
        </w:rPr>
        <w:t> </w:t>
      </w:r>
    </w:p>
    <w:p w14:paraId="68774E10" w14:textId="77777777" w:rsidR="00000000" w:rsidRDefault="00832D71">
      <w:pPr>
        <w:pStyle w:val="a3"/>
        <w:spacing w:before="0" w:beforeAutospacing="0" w:after="0" w:afterAutospacing="0"/>
        <w:rPr>
          <w:sz w:val="20"/>
          <w:szCs w:val="20"/>
        </w:rPr>
      </w:pPr>
      <w:r>
        <w:rPr>
          <w:sz w:val="20"/>
          <w:szCs w:val="20"/>
        </w:rPr>
        <w:t> </w:t>
      </w:r>
    </w:p>
    <w:p w14:paraId="43FABCFD" w14:textId="77777777" w:rsidR="00000000" w:rsidRDefault="00832D71">
      <w:pPr>
        <w:pStyle w:val="a3"/>
        <w:spacing w:before="0" w:beforeAutospacing="0" w:after="0" w:afterAutospacing="0"/>
        <w:rPr>
          <w:sz w:val="20"/>
          <w:szCs w:val="20"/>
        </w:rPr>
      </w:pPr>
      <w:r>
        <w:rPr>
          <w:sz w:val="20"/>
          <w:szCs w:val="20"/>
        </w:rPr>
        <w:t> </w:t>
      </w:r>
    </w:p>
    <w:p w14:paraId="05311573" w14:textId="77777777" w:rsidR="00000000" w:rsidRDefault="00832D71">
      <w:pPr>
        <w:pStyle w:val="a3"/>
        <w:spacing w:before="0" w:beforeAutospacing="0" w:after="0" w:afterAutospacing="0"/>
        <w:rPr>
          <w:sz w:val="20"/>
          <w:szCs w:val="20"/>
        </w:rPr>
      </w:pPr>
      <w:r>
        <w:rPr>
          <w:sz w:val="20"/>
          <w:szCs w:val="20"/>
        </w:rPr>
        <w:t> </w:t>
      </w:r>
    </w:p>
    <w:p w14:paraId="47108098" w14:textId="77777777" w:rsidR="00000000" w:rsidRDefault="00832D71">
      <w:pPr>
        <w:pStyle w:val="a3"/>
        <w:spacing w:before="0" w:beforeAutospacing="0" w:after="0" w:afterAutospacing="0"/>
        <w:rPr>
          <w:sz w:val="20"/>
          <w:szCs w:val="20"/>
        </w:rPr>
      </w:pPr>
      <w:r>
        <w:rPr>
          <w:sz w:val="20"/>
          <w:szCs w:val="20"/>
        </w:rPr>
        <w:t> </w:t>
      </w:r>
    </w:p>
    <w:p w14:paraId="5F221A50" w14:textId="77777777" w:rsidR="00000000" w:rsidRDefault="00832D71">
      <w:pPr>
        <w:pStyle w:val="a3"/>
        <w:spacing w:before="0" w:beforeAutospacing="0" w:after="0" w:afterAutospacing="0"/>
        <w:rPr>
          <w:sz w:val="20"/>
          <w:szCs w:val="20"/>
        </w:rPr>
      </w:pPr>
      <w:r>
        <w:rPr>
          <w:sz w:val="20"/>
          <w:szCs w:val="20"/>
        </w:rPr>
        <w:t> </w:t>
      </w:r>
    </w:p>
    <w:p w14:paraId="3A5859C3" w14:textId="77777777" w:rsidR="00000000" w:rsidRDefault="00832D71">
      <w:pPr>
        <w:pStyle w:val="a3"/>
        <w:spacing w:before="0" w:beforeAutospacing="0" w:after="0" w:afterAutospacing="0"/>
        <w:rPr>
          <w:sz w:val="20"/>
          <w:szCs w:val="20"/>
        </w:rPr>
      </w:pPr>
      <w:r>
        <w:rPr>
          <w:sz w:val="20"/>
          <w:szCs w:val="20"/>
        </w:rPr>
        <w:t>The accompanying notes are an integral part of these consolidated financial statements</w:t>
      </w:r>
      <w:r>
        <w:rPr>
          <w:sz w:val="20"/>
          <w:szCs w:val="20"/>
        </w:rPr>
        <w:t>.</w:t>
      </w:r>
    </w:p>
    <w:p w14:paraId="6A785A7D" w14:textId="77777777" w:rsidR="00000000" w:rsidRDefault="00832D71">
      <w:pPr>
        <w:pStyle w:val="a3"/>
        <w:spacing w:before="200" w:beforeAutospacing="0" w:after="0" w:afterAutospacing="0"/>
        <w:jc w:val="center"/>
        <w:rPr>
          <w:sz w:val="20"/>
          <w:szCs w:val="20"/>
        </w:rPr>
      </w:pPr>
      <w:r>
        <w:rPr>
          <w:sz w:val="20"/>
          <w:szCs w:val="20"/>
        </w:rPr>
        <w:t>F</w:t>
      </w:r>
      <w:r>
        <w:rPr>
          <w:sz w:val="20"/>
          <w:szCs w:val="20"/>
        </w:rPr>
        <w:t>-</w:t>
      </w:r>
      <w:r>
        <w:rPr>
          <w:sz w:val="20"/>
          <w:szCs w:val="20"/>
        </w:rPr>
        <w:t>4</w:t>
      </w:r>
    </w:p>
    <w:p w14:paraId="263466A5" w14:textId="77777777" w:rsidR="00000000" w:rsidRDefault="00832D71">
      <w:pPr>
        <w:rPr>
          <w:rFonts w:eastAsia="Times New Roman"/>
        </w:rPr>
      </w:pPr>
      <w:r>
        <w:rPr>
          <w:rFonts w:eastAsia="Times New Roman"/>
        </w:rPr>
        <w:pict w14:anchorId="0FB78D21">
          <v:rect id="_x0000_i1123" style="width:0;height:1.5pt" o:hralign="center" o:hrstd="t" o:hr="t" fillcolor="#a0a0a0" stroked="f"/>
        </w:pict>
      </w:r>
    </w:p>
    <w:p w14:paraId="43529DBC" w14:textId="77777777" w:rsidR="00000000" w:rsidRDefault="00832D71">
      <w:pPr>
        <w:pStyle w:val="a3"/>
        <w:spacing w:before="0" w:beforeAutospacing="0" w:after="0" w:afterAutospacing="0"/>
        <w:rPr>
          <w:sz w:val="20"/>
          <w:szCs w:val="20"/>
        </w:rPr>
      </w:pPr>
      <w:r>
        <w:rPr>
          <w:sz w:val="20"/>
          <w:szCs w:val="20"/>
        </w:rPr>
        <w:t> </w:t>
      </w:r>
    </w:p>
    <w:p w14:paraId="537A0E50" w14:textId="77777777" w:rsidR="00000000" w:rsidRDefault="00832D71">
      <w:pPr>
        <w:pStyle w:val="a3"/>
        <w:spacing w:before="0" w:beforeAutospacing="0" w:after="0" w:afterAutospacing="0"/>
        <w:jc w:val="center"/>
        <w:rPr>
          <w:sz w:val="20"/>
          <w:szCs w:val="20"/>
        </w:rPr>
      </w:pPr>
      <w:r>
        <w:rPr>
          <w:b/>
          <w:bCs/>
          <w:sz w:val="20"/>
          <w:szCs w:val="20"/>
        </w:rPr>
        <w:t>SUBURBAN PROPANE PARTNERS, L.P. AND SUBSIDIARIE</w:t>
      </w:r>
      <w:r>
        <w:rPr>
          <w:b/>
          <w:bCs/>
          <w:sz w:val="20"/>
          <w:szCs w:val="20"/>
        </w:rPr>
        <w:t>S</w:t>
      </w:r>
    </w:p>
    <w:p w14:paraId="0C83E4D0" w14:textId="77777777" w:rsidR="00000000" w:rsidRDefault="00832D71">
      <w:pPr>
        <w:pStyle w:val="a3"/>
        <w:spacing w:before="240" w:beforeAutospacing="0" w:after="0" w:afterAutospacing="0"/>
        <w:jc w:val="center"/>
        <w:rPr>
          <w:sz w:val="20"/>
          <w:szCs w:val="20"/>
        </w:rPr>
      </w:pPr>
      <w:r>
        <w:rPr>
          <w:b/>
          <w:bCs/>
          <w:sz w:val="20"/>
          <w:szCs w:val="20"/>
        </w:rPr>
        <w:t>CONSOLIDATED STATE</w:t>
      </w:r>
      <w:r>
        <w:rPr>
          <w:b/>
          <w:bCs/>
          <w:sz w:val="20"/>
          <w:szCs w:val="20"/>
        </w:rPr>
        <w:t>M</w:t>
      </w:r>
      <w:r>
        <w:rPr>
          <w:b/>
          <w:bCs/>
          <w:sz w:val="20"/>
          <w:szCs w:val="20"/>
        </w:rPr>
        <w:t>ENTS OF OPERATION</w:t>
      </w:r>
      <w:r>
        <w:rPr>
          <w:b/>
          <w:bCs/>
          <w:sz w:val="20"/>
          <w:szCs w:val="20"/>
        </w:rPr>
        <w:t>S</w:t>
      </w:r>
    </w:p>
    <w:p w14:paraId="3AEDB98F" w14:textId="77777777" w:rsidR="00000000" w:rsidRDefault="00832D71">
      <w:pPr>
        <w:pStyle w:val="a3"/>
        <w:spacing w:before="0" w:beforeAutospacing="0" w:after="0" w:afterAutospacing="0"/>
        <w:jc w:val="center"/>
        <w:rPr>
          <w:sz w:val="20"/>
          <w:szCs w:val="20"/>
        </w:rPr>
      </w:pPr>
      <w:r>
        <w:rPr>
          <w:sz w:val="20"/>
          <w:szCs w:val="20"/>
        </w:rPr>
        <w:t>(in thousands, except per unit amounts</w:t>
      </w:r>
      <w:r>
        <w:rPr>
          <w:sz w:val="20"/>
          <w:szCs w:val="20"/>
        </w:rPr>
        <w:t>)</w:t>
      </w:r>
    </w:p>
    <w:p w14:paraId="4CF46D0E" w14:textId="77777777" w:rsidR="00000000" w:rsidRDefault="00832D7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53"/>
        <w:gridCol w:w="111"/>
        <w:gridCol w:w="160"/>
        <w:gridCol w:w="860"/>
        <w:gridCol w:w="110"/>
        <w:gridCol w:w="110"/>
        <w:gridCol w:w="160"/>
        <w:gridCol w:w="860"/>
        <w:gridCol w:w="110"/>
        <w:gridCol w:w="110"/>
        <w:gridCol w:w="160"/>
        <w:gridCol w:w="860"/>
        <w:gridCol w:w="142"/>
      </w:tblGrid>
      <w:tr w:rsidR="00000000" w14:paraId="641A277B" w14:textId="77777777">
        <w:trPr>
          <w:tblCellSpacing w:w="15" w:type="dxa"/>
        </w:trPr>
        <w:tc>
          <w:tcPr>
            <w:tcW w:w="2874" w:type="pct"/>
            <w:vAlign w:val="center"/>
            <w:hideMark/>
          </w:tcPr>
          <w:p w14:paraId="58087E36" w14:textId="77777777" w:rsidR="00000000" w:rsidRDefault="00832D71">
            <w:pPr>
              <w:rPr>
                <w:sz w:val="20"/>
                <w:szCs w:val="20"/>
              </w:rPr>
            </w:pPr>
          </w:p>
        </w:tc>
        <w:tc>
          <w:tcPr>
            <w:tcW w:w="69" w:type="pct"/>
            <w:vAlign w:val="center"/>
            <w:hideMark/>
          </w:tcPr>
          <w:p w14:paraId="58DECC6F" w14:textId="77777777" w:rsidR="00000000" w:rsidRDefault="00832D71">
            <w:pPr>
              <w:rPr>
                <w:rFonts w:eastAsia="Times New Roman"/>
                <w:sz w:val="20"/>
                <w:szCs w:val="20"/>
              </w:rPr>
            </w:pPr>
          </w:p>
        </w:tc>
        <w:tc>
          <w:tcPr>
            <w:tcW w:w="50" w:type="pct"/>
            <w:vAlign w:val="center"/>
            <w:hideMark/>
          </w:tcPr>
          <w:p w14:paraId="7655B0F6" w14:textId="77777777" w:rsidR="00000000" w:rsidRDefault="00832D71">
            <w:pPr>
              <w:rPr>
                <w:rFonts w:eastAsia="Times New Roman"/>
                <w:sz w:val="20"/>
                <w:szCs w:val="20"/>
              </w:rPr>
            </w:pPr>
          </w:p>
        </w:tc>
        <w:tc>
          <w:tcPr>
            <w:tcW w:w="532" w:type="pct"/>
            <w:vAlign w:val="center"/>
            <w:hideMark/>
          </w:tcPr>
          <w:p w14:paraId="5072CA1F" w14:textId="77777777" w:rsidR="00000000" w:rsidRDefault="00832D71">
            <w:pPr>
              <w:rPr>
                <w:rFonts w:eastAsia="Times New Roman"/>
                <w:sz w:val="20"/>
                <w:szCs w:val="20"/>
              </w:rPr>
            </w:pPr>
          </w:p>
        </w:tc>
        <w:tc>
          <w:tcPr>
            <w:tcW w:w="50" w:type="pct"/>
            <w:vAlign w:val="center"/>
            <w:hideMark/>
          </w:tcPr>
          <w:p w14:paraId="5EC0F1BC" w14:textId="77777777" w:rsidR="00000000" w:rsidRDefault="00832D71">
            <w:pPr>
              <w:rPr>
                <w:rFonts w:eastAsia="Times New Roman"/>
                <w:sz w:val="20"/>
                <w:szCs w:val="20"/>
              </w:rPr>
            </w:pPr>
          </w:p>
        </w:tc>
        <w:tc>
          <w:tcPr>
            <w:tcW w:w="69" w:type="pct"/>
            <w:vAlign w:val="center"/>
            <w:hideMark/>
          </w:tcPr>
          <w:p w14:paraId="2B069769" w14:textId="77777777" w:rsidR="00000000" w:rsidRDefault="00832D71">
            <w:pPr>
              <w:rPr>
                <w:rFonts w:eastAsia="Times New Roman"/>
                <w:sz w:val="20"/>
                <w:szCs w:val="20"/>
              </w:rPr>
            </w:pPr>
          </w:p>
        </w:tc>
        <w:tc>
          <w:tcPr>
            <w:tcW w:w="50" w:type="pct"/>
            <w:vAlign w:val="center"/>
            <w:hideMark/>
          </w:tcPr>
          <w:p w14:paraId="36EB5004" w14:textId="77777777" w:rsidR="00000000" w:rsidRDefault="00832D71">
            <w:pPr>
              <w:rPr>
                <w:rFonts w:eastAsia="Times New Roman"/>
                <w:sz w:val="20"/>
                <w:szCs w:val="20"/>
              </w:rPr>
            </w:pPr>
          </w:p>
        </w:tc>
        <w:tc>
          <w:tcPr>
            <w:tcW w:w="532" w:type="pct"/>
            <w:vAlign w:val="center"/>
            <w:hideMark/>
          </w:tcPr>
          <w:p w14:paraId="7C697E1E" w14:textId="77777777" w:rsidR="00000000" w:rsidRDefault="00832D71">
            <w:pPr>
              <w:rPr>
                <w:rFonts w:eastAsia="Times New Roman"/>
                <w:sz w:val="20"/>
                <w:szCs w:val="20"/>
              </w:rPr>
            </w:pPr>
          </w:p>
        </w:tc>
        <w:tc>
          <w:tcPr>
            <w:tcW w:w="50" w:type="pct"/>
            <w:vAlign w:val="center"/>
            <w:hideMark/>
          </w:tcPr>
          <w:p w14:paraId="76184ED7" w14:textId="77777777" w:rsidR="00000000" w:rsidRDefault="00832D71">
            <w:pPr>
              <w:rPr>
                <w:rFonts w:eastAsia="Times New Roman"/>
                <w:sz w:val="20"/>
                <w:szCs w:val="20"/>
              </w:rPr>
            </w:pPr>
          </w:p>
        </w:tc>
        <w:tc>
          <w:tcPr>
            <w:tcW w:w="69" w:type="pct"/>
            <w:vAlign w:val="center"/>
            <w:hideMark/>
          </w:tcPr>
          <w:p w14:paraId="1D957762" w14:textId="77777777" w:rsidR="00000000" w:rsidRDefault="00832D71">
            <w:pPr>
              <w:rPr>
                <w:rFonts w:eastAsia="Times New Roman"/>
                <w:sz w:val="20"/>
                <w:szCs w:val="20"/>
              </w:rPr>
            </w:pPr>
          </w:p>
        </w:tc>
        <w:tc>
          <w:tcPr>
            <w:tcW w:w="50" w:type="pct"/>
            <w:vAlign w:val="center"/>
            <w:hideMark/>
          </w:tcPr>
          <w:p w14:paraId="0A11A606" w14:textId="77777777" w:rsidR="00000000" w:rsidRDefault="00832D71">
            <w:pPr>
              <w:rPr>
                <w:rFonts w:eastAsia="Times New Roman"/>
                <w:sz w:val="20"/>
                <w:szCs w:val="20"/>
              </w:rPr>
            </w:pPr>
          </w:p>
        </w:tc>
        <w:tc>
          <w:tcPr>
            <w:tcW w:w="551" w:type="pct"/>
            <w:vAlign w:val="center"/>
            <w:hideMark/>
          </w:tcPr>
          <w:p w14:paraId="621AE93A" w14:textId="77777777" w:rsidR="00000000" w:rsidRDefault="00832D71">
            <w:pPr>
              <w:rPr>
                <w:rFonts w:eastAsia="Times New Roman"/>
                <w:sz w:val="20"/>
                <w:szCs w:val="20"/>
              </w:rPr>
            </w:pPr>
          </w:p>
        </w:tc>
        <w:tc>
          <w:tcPr>
            <w:tcW w:w="50" w:type="pct"/>
            <w:vAlign w:val="center"/>
            <w:hideMark/>
          </w:tcPr>
          <w:p w14:paraId="3D7246FD" w14:textId="77777777" w:rsidR="00000000" w:rsidRDefault="00832D71">
            <w:pPr>
              <w:rPr>
                <w:rFonts w:eastAsia="Times New Roman"/>
                <w:sz w:val="20"/>
                <w:szCs w:val="20"/>
              </w:rPr>
            </w:pPr>
          </w:p>
        </w:tc>
      </w:tr>
      <w:tr w:rsidR="00000000" w14:paraId="17EB35BA" w14:textId="77777777">
        <w:trPr>
          <w:trHeight w:val="160"/>
          <w:tblCellSpacing w:w="15" w:type="dxa"/>
        </w:trPr>
        <w:tc>
          <w:tcPr>
            <w:tcW w:w="0" w:type="auto"/>
            <w:vAlign w:val="bottom"/>
            <w:hideMark/>
          </w:tcPr>
          <w:p w14:paraId="5A699623"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FB1B19B"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10"/>
            <w:vAlign w:val="bottom"/>
            <w:hideMark/>
          </w:tcPr>
          <w:p w14:paraId="7EF74891" w14:textId="77777777" w:rsidR="00000000" w:rsidRDefault="00832D71">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14:paraId="6FA7EAE5"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74D0C65" w14:textId="77777777">
        <w:trPr>
          <w:trHeight w:val="160"/>
          <w:tblCellSpacing w:w="15" w:type="dxa"/>
        </w:trPr>
        <w:tc>
          <w:tcPr>
            <w:tcW w:w="0" w:type="auto"/>
            <w:vAlign w:val="bottom"/>
            <w:hideMark/>
          </w:tcPr>
          <w:p w14:paraId="3578CEA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69CAB57"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3661E2A" w14:textId="77777777" w:rsidR="00000000" w:rsidRDefault="00832D71">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14:paraId="2FA03150"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F908DE0"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79F8C9C" w14:textId="77777777" w:rsidR="00000000" w:rsidRDefault="00832D71">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14:paraId="1EE22C6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5CDCB7F"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304B8CE" w14:textId="77777777" w:rsidR="00000000" w:rsidRDefault="00832D71">
            <w:pPr>
              <w:pStyle w:val="a3"/>
              <w:spacing w:before="0" w:beforeAutospacing="0" w:after="0" w:afterAutospacing="0"/>
              <w:jc w:val="center"/>
              <w:rPr>
                <w:sz w:val="16"/>
                <w:szCs w:val="16"/>
              </w:rPr>
            </w:pPr>
            <w:r>
              <w:rPr>
                <w:b/>
                <w:bCs/>
                <w:sz w:val="16"/>
                <w:szCs w:val="16"/>
              </w:rPr>
              <w:t>September 26</w:t>
            </w:r>
            <w:r>
              <w:rPr>
                <w:b/>
                <w:bCs/>
                <w:sz w:val="16"/>
                <w:szCs w:val="16"/>
              </w:rPr>
              <w:t>,</w:t>
            </w:r>
          </w:p>
        </w:tc>
        <w:tc>
          <w:tcPr>
            <w:tcW w:w="0" w:type="auto"/>
            <w:vAlign w:val="bottom"/>
            <w:hideMark/>
          </w:tcPr>
          <w:p w14:paraId="07327F5F"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4D39D146" w14:textId="77777777">
        <w:trPr>
          <w:trHeight w:val="160"/>
          <w:tblCellSpacing w:w="15" w:type="dxa"/>
        </w:trPr>
        <w:tc>
          <w:tcPr>
            <w:tcW w:w="0" w:type="auto"/>
            <w:vAlign w:val="bottom"/>
            <w:hideMark/>
          </w:tcPr>
          <w:p w14:paraId="21E150F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BEBD823"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1CFB0B4"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17BA91C8"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B775576"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C167C5D"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65ADD639"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9002BC3"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69BB69F"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4EB9E959"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92A2476" w14:textId="77777777">
        <w:trPr>
          <w:trHeight w:val="200"/>
          <w:tblCellSpacing w:w="15" w:type="dxa"/>
        </w:trPr>
        <w:tc>
          <w:tcPr>
            <w:tcW w:w="0" w:type="auto"/>
            <w:hideMark/>
          </w:tcPr>
          <w:p w14:paraId="3E1E5162" w14:textId="77777777" w:rsidR="00000000" w:rsidRDefault="00832D71">
            <w:pPr>
              <w:pStyle w:val="a3"/>
              <w:spacing w:before="0" w:beforeAutospacing="0" w:after="0" w:afterAutospacing="0"/>
              <w:rPr>
                <w:sz w:val="20"/>
                <w:szCs w:val="20"/>
              </w:rPr>
            </w:pPr>
            <w:r>
              <w:rPr>
                <w:sz w:val="20"/>
                <w:szCs w:val="20"/>
              </w:rPr>
              <w:t>Revenue</w:t>
            </w:r>
            <w:r>
              <w:rPr>
                <w:sz w:val="20"/>
                <w:szCs w:val="20"/>
              </w:rPr>
              <w:t>s</w:t>
            </w:r>
          </w:p>
        </w:tc>
        <w:tc>
          <w:tcPr>
            <w:tcW w:w="0" w:type="auto"/>
            <w:vAlign w:val="center"/>
            <w:hideMark/>
          </w:tcPr>
          <w:p w14:paraId="2C24E61C" w14:textId="77777777" w:rsidR="00000000" w:rsidRDefault="00832D71">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1E9C7AE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4244C6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center"/>
            <w:hideMark/>
          </w:tcPr>
          <w:p w14:paraId="2F95079B" w14:textId="77777777" w:rsidR="00000000" w:rsidRDefault="00832D71">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035191A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B4DDDC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center"/>
            <w:hideMark/>
          </w:tcPr>
          <w:p w14:paraId="25411B65" w14:textId="77777777" w:rsidR="00000000" w:rsidRDefault="00832D71">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4DC4B9D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F1A909A" w14:textId="77777777" w:rsidR="00000000" w:rsidRDefault="00832D71">
            <w:pPr>
              <w:pStyle w:val="a3"/>
              <w:spacing w:before="0" w:beforeAutospacing="0" w:after="0" w:afterAutospacing="0"/>
              <w:jc w:val="right"/>
              <w:rPr>
                <w:sz w:val="20"/>
                <w:szCs w:val="20"/>
              </w:rPr>
            </w:pPr>
            <w:r>
              <w:rPr>
                <w:sz w:val="20"/>
                <w:szCs w:val="20"/>
              </w:rPr>
              <w:t> </w:t>
            </w:r>
          </w:p>
        </w:tc>
      </w:tr>
      <w:tr w:rsidR="00000000" w14:paraId="39EC2B99" w14:textId="77777777">
        <w:trPr>
          <w:trHeight w:val="200"/>
          <w:tblCellSpacing w:w="15" w:type="dxa"/>
        </w:trPr>
        <w:tc>
          <w:tcPr>
            <w:tcW w:w="0" w:type="auto"/>
            <w:hideMark/>
          </w:tcPr>
          <w:p w14:paraId="30C58568" w14:textId="77777777" w:rsidR="00000000" w:rsidRDefault="00832D71">
            <w:pPr>
              <w:pStyle w:val="a3"/>
              <w:spacing w:before="0" w:beforeAutospacing="0" w:after="0" w:afterAutospacing="0"/>
              <w:ind w:left="200"/>
              <w:rPr>
                <w:sz w:val="20"/>
                <w:szCs w:val="20"/>
              </w:rPr>
            </w:pPr>
            <w:r>
              <w:rPr>
                <w:sz w:val="20"/>
                <w:szCs w:val="20"/>
              </w:rPr>
              <w:t>Propan</w:t>
            </w:r>
            <w:r>
              <w:rPr>
                <w:sz w:val="20"/>
                <w:szCs w:val="20"/>
              </w:rPr>
              <w:t>e</w:t>
            </w:r>
          </w:p>
        </w:tc>
        <w:tc>
          <w:tcPr>
            <w:tcW w:w="0" w:type="auto"/>
            <w:vAlign w:val="center"/>
            <w:hideMark/>
          </w:tcPr>
          <w:p w14:paraId="249BA5A6"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022E93F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FF04413" w14:textId="77777777" w:rsidR="00000000" w:rsidRDefault="00832D71">
            <w:pPr>
              <w:pStyle w:val="a3"/>
              <w:spacing w:before="0" w:beforeAutospacing="0" w:after="0" w:afterAutospacing="0"/>
              <w:jc w:val="right"/>
              <w:rPr>
                <w:sz w:val="20"/>
                <w:szCs w:val="20"/>
              </w:rPr>
            </w:pPr>
            <w:r>
              <w:rPr>
                <w:sz w:val="20"/>
                <w:szCs w:val="20"/>
              </w:rPr>
              <w:t>1,313,55</w:t>
            </w:r>
            <w:r>
              <w:rPr>
                <w:sz w:val="20"/>
                <w:szCs w:val="20"/>
              </w:rPr>
              <w:t>6</w:t>
            </w:r>
          </w:p>
        </w:tc>
        <w:tc>
          <w:tcPr>
            <w:tcW w:w="0" w:type="auto"/>
            <w:noWrap/>
            <w:vAlign w:val="bottom"/>
            <w:hideMark/>
          </w:tcPr>
          <w:p w14:paraId="4F706DB6"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272DC3AC"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21B86E2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B67CC9A" w14:textId="77777777" w:rsidR="00000000" w:rsidRDefault="00832D71">
            <w:pPr>
              <w:pStyle w:val="a3"/>
              <w:spacing w:before="0" w:beforeAutospacing="0" w:after="0" w:afterAutospacing="0"/>
              <w:jc w:val="right"/>
              <w:rPr>
                <w:sz w:val="20"/>
                <w:szCs w:val="20"/>
              </w:rPr>
            </w:pPr>
            <w:r>
              <w:rPr>
                <w:sz w:val="20"/>
                <w:szCs w:val="20"/>
              </w:rPr>
              <w:t>1,140,45</w:t>
            </w:r>
            <w:r>
              <w:rPr>
                <w:sz w:val="20"/>
                <w:szCs w:val="20"/>
              </w:rPr>
              <w:t>7</w:t>
            </w:r>
          </w:p>
        </w:tc>
        <w:tc>
          <w:tcPr>
            <w:tcW w:w="0" w:type="auto"/>
            <w:noWrap/>
            <w:vAlign w:val="bottom"/>
            <w:hideMark/>
          </w:tcPr>
          <w:p w14:paraId="18210D62"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470B2F7C"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13297B7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9717E42" w14:textId="77777777" w:rsidR="00000000" w:rsidRDefault="00832D71">
            <w:pPr>
              <w:pStyle w:val="a3"/>
              <w:spacing w:before="0" w:beforeAutospacing="0" w:after="0" w:afterAutospacing="0"/>
              <w:jc w:val="right"/>
              <w:rPr>
                <w:sz w:val="20"/>
                <w:szCs w:val="20"/>
              </w:rPr>
            </w:pPr>
            <w:r>
              <w:rPr>
                <w:sz w:val="20"/>
                <w:szCs w:val="20"/>
              </w:rPr>
              <w:t>955,14</w:t>
            </w:r>
            <w:r>
              <w:rPr>
                <w:sz w:val="20"/>
                <w:szCs w:val="20"/>
              </w:rPr>
              <w:t>3</w:t>
            </w:r>
          </w:p>
        </w:tc>
        <w:tc>
          <w:tcPr>
            <w:tcW w:w="0" w:type="auto"/>
            <w:noWrap/>
            <w:vAlign w:val="bottom"/>
            <w:hideMark/>
          </w:tcPr>
          <w:p w14:paraId="52058C82" w14:textId="77777777" w:rsidR="00000000" w:rsidRDefault="00832D71">
            <w:pPr>
              <w:pStyle w:val="a3"/>
              <w:spacing w:before="0" w:beforeAutospacing="0" w:after="0" w:afterAutospacing="0"/>
              <w:rPr>
                <w:sz w:val="20"/>
                <w:szCs w:val="20"/>
              </w:rPr>
            </w:pPr>
            <w:r>
              <w:rPr>
                <w:sz w:val="20"/>
                <w:szCs w:val="20"/>
              </w:rPr>
              <w:t> </w:t>
            </w:r>
          </w:p>
        </w:tc>
      </w:tr>
      <w:tr w:rsidR="00000000" w14:paraId="7D7C40E1" w14:textId="77777777">
        <w:trPr>
          <w:trHeight w:val="200"/>
          <w:tblCellSpacing w:w="15" w:type="dxa"/>
        </w:trPr>
        <w:tc>
          <w:tcPr>
            <w:tcW w:w="0" w:type="auto"/>
            <w:hideMark/>
          </w:tcPr>
          <w:p w14:paraId="3451544A" w14:textId="77777777" w:rsidR="00000000" w:rsidRDefault="00832D71">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vAlign w:val="center"/>
            <w:hideMark/>
          </w:tcPr>
          <w:p w14:paraId="2F1B6E34"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4A5F9A2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0A8CAA4" w14:textId="77777777" w:rsidR="00000000" w:rsidRDefault="00832D71">
            <w:pPr>
              <w:pStyle w:val="a3"/>
              <w:spacing w:before="0" w:beforeAutospacing="0" w:after="0" w:afterAutospacing="0"/>
              <w:jc w:val="right"/>
              <w:rPr>
                <w:sz w:val="20"/>
                <w:szCs w:val="20"/>
              </w:rPr>
            </w:pPr>
            <w:r>
              <w:rPr>
                <w:sz w:val="20"/>
                <w:szCs w:val="20"/>
              </w:rPr>
              <w:t>95,15</w:t>
            </w:r>
            <w:r>
              <w:rPr>
                <w:sz w:val="20"/>
                <w:szCs w:val="20"/>
              </w:rPr>
              <w:t>7</w:t>
            </w:r>
          </w:p>
        </w:tc>
        <w:tc>
          <w:tcPr>
            <w:tcW w:w="0" w:type="auto"/>
            <w:noWrap/>
            <w:vAlign w:val="bottom"/>
            <w:hideMark/>
          </w:tcPr>
          <w:p w14:paraId="7672C992"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2CABD7A2"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577C236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06770E0" w14:textId="77777777" w:rsidR="00000000" w:rsidRDefault="00832D71">
            <w:pPr>
              <w:pStyle w:val="a3"/>
              <w:spacing w:before="0" w:beforeAutospacing="0" w:after="0" w:afterAutospacing="0"/>
              <w:jc w:val="right"/>
              <w:rPr>
                <w:sz w:val="20"/>
                <w:szCs w:val="20"/>
              </w:rPr>
            </w:pPr>
            <w:r>
              <w:rPr>
                <w:sz w:val="20"/>
                <w:szCs w:val="20"/>
              </w:rPr>
              <w:t>67,10</w:t>
            </w:r>
            <w:r>
              <w:rPr>
                <w:sz w:val="20"/>
                <w:szCs w:val="20"/>
              </w:rPr>
              <w:t>4</w:t>
            </w:r>
          </w:p>
        </w:tc>
        <w:tc>
          <w:tcPr>
            <w:tcW w:w="0" w:type="auto"/>
            <w:noWrap/>
            <w:vAlign w:val="bottom"/>
            <w:hideMark/>
          </w:tcPr>
          <w:p w14:paraId="2B621346"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6C8A2C5C"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0BD4ADA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9168641" w14:textId="77777777" w:rsidR="00000000" w:rsidRDefault="00832D71">
            <w:pPr>
              <w:pStyle w:val="a3"/>
              <w:spacing w:before="0" w:beforeAutospacing="0" w:after="0" w:afterAutospacing="0"/>
              <w:jc w:val="right"/>
              <w:rPr>
                <w:sz w:val="20"/>
                <w:szCs w:val="20"/>
              </w:rPr>
            </w:pPr>
            <w:r>
              <w:rPr>
                <w:sz w:val="20"/>
                <w:szCs w:val="20"/>
              </w:rPr>
              <w:t>75,03</w:t>
            </w:r>
            <w:r>
              <w:rPr>
                <w:sz w:val="20"/>
                <w:szCs w:val="20"/>
              </w:rPr>
              <w:t>9</w:t>
            </w:r>
          </w:p>
        </w:tc>
        <w:tc>
          <w:tcPr>
            <w:tcW w:w="0" w:type="auto"/>
            <w:noWrap/>
            <w:vAlign w:val="bottom"/>
            <w:hideMark/>
          </w:tcPr>
          <w:p w14:paraId="70295A5B" w14:textId="77777777" w:rsidR="00000000" w:rsidRDefault="00832D71">
            <w:pPr>
              <w:pStyle w:val="a3"/>
              <w:spacing w:before="0" w:beforeAutospacing="0" w:after="0" w:afterAutospacing="0"/>
              <w:rPr>
                <w:sz w:val="20"/>
                <w:szCs w:val="20"/>
              </w:rPr>
            </w:pPr>
            <w:r>
              <w:rPr>
                <w:sz w:val="20"/>
                <w:szCs w:val="20"/>
              </w:rPr>
              <w:t> </w:t>
            </w:r>
          </w:p>
        </w:tc>
      </w:tr>
      <w:tr w:rsidR="00000000" w14:paraId="32E6B27F" w14:textId="77777777">
        <w:trPr>
          <w:trHeight w:val="200"/>
          <w:tblCellSpacing w:w="15" w:type="dxa"/>
        </w:trPr>
        <w:tc>
          <w:tcPr>
            <w:tcW w:w="0" w:type="auto"/>
            <w:hideMark/>
          </w:tcPr>
          <w:p w14:paraId="22D1E044" w14:textId="77777777" w:rsidR="00000000" w:rsidRDefault="00832D71">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vAlign w:val="center"/>
            <w:hideMark/>
          </w:tcPr>
          <w:p w14:paraId="6895532A"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43A4508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B1C520" w14:textId="77777777" w:rsidR="00000000" w:rsidRDefault="00832D71">
            <w:pPr>
              <w:pStyle w:val="a3"/>
              <w:spacing w:before="0" w:beforeAutospacing="0" w:after="0" w:afterAutospacing="0"/>
              <w:jc w:val="right"/>
              <w:rPr>
                <w:sz w:val="20"/>
                <w:szCs w:val="20"/>
              </w:rPr>
            </w:pPr>
            <w:r>
              <w:rPr>
                <w:sz w:val="20"/>
                <w:szCs w:val="20"/>
              </w:rPr>
              <w:t>39,51</w:t>
            </w:r>
            <w:r>
              <w:rPr>
                <w:sz w:val="20"/>
                <w:szCs w:val="20"/>
              </w:rPr>
              <w:t>1</w:t>
            </w:r>
          </w:p>
        </w:tc>
        <w:tc>
          <w:tcPr>
            <w:tcW w:w="0" w:type="auto"/>
            <w:noWrap/>
            <w:vAlign w:val="bottom"/>
            <w:hideMark/>
          </w:tcPr>
          <w:p w14:paraId="6BE4290D"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2B07BC0E"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62C620F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5EB0F7F" w14:textId="77777777" w:rsidR="00000000" w:rsidRDefault="00832D71">
            <w:pPr>
              <w:pStyle w:val="a3"/>
              <w:spacing w:before="0" w:beforeAutospacing="0" w:after="0" w:afterAutospacing="0"/>
              <w:jc w:val="right"/>
              <w:rPr>
                <w:sz w:val="20"/>
                <w:szCs w:val="20"/>
              </w:rPr>
            </w:pPr>
            <w:r>
              <w:rPr>
                <w:sz w:val="20"/>
                <w:szCs w:val="20"/>
              </w:rPr>
              <w:t>30,42</w:t>
            </w:r>
            <w:r>
              <w:rPr>
                <w:sz w:val="20"/>
                <w:szCs w:val="20"/>
              </w:rPr>
              <w:t>5</w:t>
            </w:r>
          </w:p>
        </w:tc>
        <w:tc>
          <w:tcPr>
            <w:tcW w:w="0" w:type="auto"/>
            <w:noWrap/>
            <w:vAlign w:val="bottom"/>
            <w:hideMark/>
          </w:tcPr>
          <w:p w14:paraId="05BE79B2"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774F4D1F"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384E859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767B7EA" w14:textId="77777777" w:rsidR="00000000" w:rsidRDefault="00832D71">
            <w:pPr>
              <w:pStyle w:val="a3"/>
              <w:spacing w:before="0" w:beforeAutospacing="0" w:after="0" w:afterAutospacing="0"/>
              <w:jc w:val="right"/>
              <w:rPr>
                <w:sz w:val="20"/>
                <w:szCs w:val="20"/>
              </w:rPr>
            </w:pPr>
            <w:r>
              <w:rPr>
                <w:sz w:val="20"/>
                <w:szCs w:val="20"/>
              </w:rPr>
              <w:t>31,18</w:t>
            </w:r>
            <w:r>
              <w:rPr>
                <w:sz w:val="20"/>
                <w:szCs w:val="20"/>
              </w:rPr>
              <w:t>4</w:t>
            </w:r>
          </w:p>
        </w:tc>
        <w:tc>
          <w:tcPr>
            <w:tcW w:w="0" w:type="auto"/>
            <w:noWrap/>
            <w:vAlign w:val="bottom"/>
            <w:hideMark/>
          </w:tcPr>
          <w:p w14:paraId="21075F7B" w14:textId="77777777" w:rsidR="00000000" w:rsidRDefault="00832D71">
            <w:pPr>
              <w:pStyle w:val="a3"/>
              <w:spacing w:before="0" w:beforeAutospacing="0" w:after="0" w:afterAutospacing="0"/>
              <w:rPr>
                <w:sz w:val="20"/>
                <w:szCs w:val="20"/>
              </w:rPr>
            </w:pPr>
            <w:r>
              <w:rPr>
                <w:sz w:val="20"/>
                <w:szCs w:val="20"/>
              </w:rPr>
              <w:t> </w:t>
            </w:r>
          </w:p>
        </w:tc>
      </w:tr>
      <w:tr w:rsidR="00000000" w14:paraId="5E3DCD96" w14:textId="77777777">
        <w:trPr>
          <w:trHeight w:val="200"/>
          <w:tblCellSpacing w:w="15" w:type="dxa"/>
        </w:trPr>
        <w:tc>
          <w:tcPr>
            <w:tcW w:w="0" w:type="auto"/>
            <w:hideMark/>
          </w:tcPr>
          <w:p w14:paraId="575A908C" w14:textId="77777777" w:rsidR="00000000" w:rsidRDefault="00832D71">
            <w:pPr>
              <w:pStyle w:val="a3"/>
              <w:spacing w:before="0" w:beforeAutospacing="0" w:after="0" w:afterAutospacing="0"/>
              <w:ind w:left="200"/>
              <w:rPr>
                <w:sz w:val="20"/>
                <w:szCs w:val="20"/>
              </w:rPr>
            </w:pPr>
            <w:r>
              <w:rPr>
                <w:sz w:val="20"/>
                <w:szCs w:val="20"/>
              </w:rPr>
              <w:t>All othe</w:t>
            </w:r>
            <w:r>
              <w:rPr>
                <w:sz w:val="20"/>
                <w:szCs w:val="20"/>
              </w:rPr>
              <w:t>r</w:t>
            </w:r>
          </w:p>
        </w:tc>
        <w:tc>
          <w:tcPr>
            <w:tcW w:w="0" w:type="auto"/>
            <w:vAlign w:val="center"/>
            <w:hideMark/>
          </w:tcPr>
          <w:p w14:paraId="48681F9A"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5D91417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88A63DA" w14:textId="77777777" w:rsidR="00000000" w:rsidRDefault="00832D71">
            <w:pPr>
              <w:pStyle w:val="a3"/>
              <w:spacing w:before="0" w:beforeAutospacing="0" w:after="0" w:afterAutospacing="0"/>
              <w:jc w:val="right"/>
              <w:rPr>
                <w:sz w:val="20"/>
                <w:szCs w:val="20"/>
              </w:rPr>
            </w:pPr>
            <w:r>
              <w:rPr>
                <w:sz w:val="20"/>
                <w:szCs w:val="20"/>
              </w:rPr>
              <w:t>53,24</w:t>
            </w:r>
            <w:r>
              <w:rPr>
                <w:sz w:val="20"/>
                <w:szCs w:val="20"/>
              </w:rPr>
              <w:t>1</w:t>
            </w:r>
          </w:p>
        </w:tc>
        <w:tc>
          <w:tcPr>
            <w:tcW w:w="0" w:type="auto"/>
            <w:noWrap/>
            <w:vAlign w:val="bottom"/>
            <w:hideMark/>
          </w:tcPr>
          <w:p w14:paraId="60257D4E"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194514BF"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0A399D1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F4C0339" w14:textId="77777777" w:rsidR="00000000" w:rsidRDefault="00832D71">
            <w:pPr>
              <w:pStyle w:val="a3"/>
              <w:spacing w:before="0" w:beforeAutospacing="0" w:after="0" w:afterAutospacing="0"/>
              <w:jc w:val="right"/>
              <w:rPr>
                <w:sz w:val="20"/>
                <w:szCs w:val="20"/>
              </w:rPr>
            </w:pPr>
            <w:r>
              <w:rPr>
                <w:sz w:val="20"/>
                <w:szCs w:val="20"/>
              </w:rPr>
              <w:t>50,76</w:t>
            </w:r>
            <w:r>
              <w:rPr>
                <w:sz w:val="20"/>
                <w:szCs w:val="20"/>
              </w:rPr>
              <w:t>9</w:t>
            </w:r>
          </w:p>
        </w:tc>
        <w:tc>
          <w:tcPr>
            <w:tcW w:w="0" w:type="auto"/>
            <w:noWrap/>
            <w:vAlign w:val="bottom"/>
            <w:hideMark/>
          </w:tcPr>
          <w:p w14:paraId="02247E53"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4D0ED6BF"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4D5137C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FD4B3D7" w14:textId="77777777" w:rsidR="00000000" w:rsidRDefault="00832D71">
            <w:pPr>
              <w:pStyle w:val="a3"/>
              <w:spacing w:before="0" w:beforeAutospacing="0" w:after="0" w:afterAutospacing="0"/>
              <w:jc w:val="right"/>
              <w:rPr>
                <w:sz w:val="20"/>
                <w:szCs w:val="20"/>
              </w:rPr>
            </w:pPr>
            <w:r>
              <w:rPr>
                <w:sz w:val="20"/>
                <w:szCs w:val="20"/>
              </w:rPr>
              <w:t>46,53</w:t>
            </w:r>
            <w:r>
              <w:rPr>
                <w:sz w:val="20"/>
                <w:szCs w:val="20"/>
              </w:rPr>
              <w:t>1</w:t>
            </w:r>
          </w:p>
        </w:tc>
        <w:tc>
          <w:tcPr>
            <w:tcW w:w="0" w:type="auto"/>
            <w:noWrap/>
            <w:vAlign w:val="bottom"/>
            <w:hideMark/>
          </w:tcPr>
          <w:p w14:paraId="5E0418F1" w14:textId="77777777" w:rsidR="00000000" w:rsidRDefault="00832D71">
            <w:pPr>
              <w:pStyle w:val="a3"/>
              <w:spacing w:before="0" w:beforeAutospacing="0" w:after="0" w:afterAutospacing="0"/>
              <w:rPr>
                <w:sz w:val="20"/>
                <w:szCs w:val="20"/>
              </w:rPr>
            </w:pPr>
            <w:r>
              <w:rPr>
                <w:sz w:val="20"/>
                <w:szCs w:val="20"/>
              </w:rPr>
              <w:t> </w:t>
            </w:r>
          </w:p>
        </w:tc>
      </w:tr>
      <w:tr w:rsidR="00000000" w14:paraId="5AB137AB" w14:textId="77777777">
        <w:trPr>
          <w:trHeight w:val="200"/>
          <w:tblCellSpacing w:w="15" w:type="dxa"/>
        </w:trPr>
        <w:tc>
          <w:tcPr>
            <w:tcW w:w="0" w:type="auto"/>
            <w:hideMark/>
          </w:tcPr>
          <w:p w14:paraId="0404CCE3"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4734C854"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4EF60A4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FF4C50B" w14:textId="77777777" w:rsidR="00000000" w:rsidRDefault="00832D71">
            <w:pPr>
              <w:pStyle w:val="a3"/>
              <w:spacing w:before="0" w:beforeAutospacing="0" w:after="0" w:afterAutospacing="0"/>
              <w:jc w:val="right"/>
              <w:rPr>
                <w:sz w:val="20"/>
                <w:szCs w:val="20"/>
              </w:rPr>
            </w:pPr>
            <w:r>
              <w:rPr>
                <w:sz w:val="20"/>
                <w:szCs w:val="20"/>
              </w:rPr>
              <w:t>1,501,46</w:t>
            </w:r>
            <w:r>
              <w:rPr>
                <w:sz w:val="20"/>
                <w:szCs w:val="20"/>
              </w:rPr>
              <w:t>5</w:t>
            </w:r>
          </w:p>
        </w:tc>
        <w:tc>
          <w:tcPr>
            <w:tcW w:w="0" w:type="auto"/>
            <w:noWrap/>
            <w:vAlign w:val="bottom"/>
            <w:hideMark/>
          </w:tcPr>
          <w:p w14:paraId="7C3817E0"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0EF8E743"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7DCCA49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ED432D7" w14:textId="77777777" w:rsidR="00000000" w:rsidRDefault="00832D71">
            <w:pPr>
              <w:pStyle w:val="a3"/>
              <w:spacing w:before="0" w:beforeAutospacing="0" w:after="0" w:afterAutospacing="0"/>
              <w:jc w:val="right"/>
              <w:rPr>
                <w:sz w:val="20"/>
                <w:szCs w:val="20"/>
              </w:rPr>
            </w:pPr>
            <w:r>
              <w:rPr>
                <w:sz w:val="20"/>
                <w:szCs w:val="20"/>
              </w:rPr>
              <w:t>1,288,75</w:t>
            </w:r>
            <w:r>
              <w:rPr>
                <w:sz w:val="20"/>
                <w:szCs w:val="20"/>
              </w:rPr>
              <w:t>5</w:t>
            </w:r>
          </w:p>
        </w:tc>
        <w:tc>
          <w:tcPr>
            <w:tcW w:w="0" w:type="auto"/>
            <w:noWrap/>
            <w:vAlign w:val="bottom"/>
            <w:hideMark/>
          </w:tcPr>
          <w:p w14:paraId="1DAF3C3F"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66A70411"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3053EF7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F15B824" w14:textId="77777777" w:rsidR="00000000" w:rsidRDefault="00832D71">
            <w:pPr>
              <w:pStyle w:val="a3"/>
              <w:spacing w:before="0" w:beforeAutospacing="0" w:after="0" w:afterAutospacing="0"/>
              <w:jc w:val="right"/>
              <w:rPr>
                <w:sz w:val="20"/>
                <w:szCs w:val="20"/>
              </w:rPr>
            </w:pPr>
            <w:r>
              <w:rPr>
                <w:sz w:val="20"/>
                <w:szCs w:val="20"/>
              </w:rPr>
              <w:t>1,107,89</w:t>
            </w:r>
            <w:r>
              <w:rPr>
                <w:sz w:val="20"/>
                <w:szCs w:val="20"/>
              </w:rPr>
              <w:t>7</w:t>
            </w:r>
          </w:p>
        </w:tc>
        <w:tc>
          <w:tcPr>
            <w:tcW w:w="0" w:type="auto"/>
            <w:noWrap/>
            <w:vAlign w:val="bottom"/>
            <w:hideMark/>
          </w:tcPr>
          <w:p w14:paraId="1F45FABF" w14:textId="77777777" w:rsidR="00000000" w:rsidRDefault="00832D71">
            <w:pPr>
              <w:pStyle w:val="a3"/>
              <w:spacing w:before="0" w:beforeAutospacing="0" w:after="0" w:afterAutospacing="0"/>
              <w:rPr>
                <w:sz w:val="20"/>
                <w:szCs w:val="20"/>
              </w:rPr>
            </w:pPr>
            <w:r>
              <w:rPr>
                <w:sz w:val="20"/>
                <w:szCs w:val="20"/>
              </w:rPr>
              <w:t> </w:t>
            </w:r>
          </w:p>
        </w:tc>
      </w:tr>
      <w:tr w:rsidR="00000000" w14:paraId="6197991B" w14:textId="77777777">
        <w:trPr>
          <w:trHeight w:val="200"/>
          <w:tblCellSpacing w:w="15" w:type="dxa"/>
        </w:trPr>
        <w:tc>
          <w:tcPr>
            <w:tcW w:w="0" w:type="auto"/>
            <w:hideMark/>
          </w:tcPr>
          <w:p w14:paraId="5BB1837F" w14:textId="77777777" w:rsidR="00000000" w:rsidRDefault="00832D71">
            <w:pPr>
              <w:pStyle w:val="a3"/>
              <w:spacing w:before="0" w:beforeAutospacing="0" w:after="0" w:afterAutospacing="0"/>
              <w:rPr>
                <w:sz w:val="20"/>
                <w:szCs w:val="20"/>
              </w:rPr>
            </w:pPr>
            <w:r>
              <w:rPr>
                <w:sz w:val="20"/>
                <w:szCs w:val="20"/>
              </w:rPr>
              <w:t>Costs and expense</w:t>
            </w:r>
            <w:r>
              <w:rPr>
                <w:sz w:val="20"/>
                <w:szCs w:val="20"/>
              </w:rPr>
              <w:t>s</w:t>
            </w:r>
          </w:p>
        </w:tc>
        <w:tc>
          <w:tcPr>
            <w:tcW w:w="0" w:type="auto"/>
            <w:vAlign w:val="center"/>
            <w:hideMark/>
          </w:tcPr>
          <w:p w14:paraId="440E79F3" w14:textId="77777777" w:rsidR="00000000" w:rsidRDefault="00832D71">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7A693EC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29B7BB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center"/>
            <w:hideMark/>
          </w:tcPr>
          <w:p w14:paraId="11E6FB46" w14:textId="77777777" w:rsidR="00000000" w:rsidRDefault="00832D71">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6542585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D43C60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center"/>
            <w:hideMark/>
          </w:tcPr>
          <w:p w14:paraId="6C105B12" w14:textId="77777777" w:rsidR="00000000" w:rsidRDefault="00832D71">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4A82B6A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3A5FAEA" w14:textId="77777777" w:rsidR="00000000" w:rsidRDefault="00832D71">
            <w:pPr>
              <w:pStyle w:val="a3"/>
              <w:spacing w:before="0" w:beforeAutospacing="0" w:after="0" w:afterAutospacing="0"/>
              <w:jc w:val="right"/>
              <w:rPr>
                <w:sz w:val="20"/>
                <w:szCs w:val="20"/>
              </w:rPr>
            </w:pPr>
            <w:r>
              <w:rPr>
                <w:sz w:val="20"/>
                <w:szCs w:val="20"/>
              </w:rPr>
              <w:t> </w:t>
            </w:r>
          </w:p>
        </w:tc>
      </w:tr>
      <w:tr w:rsidR="00000000" w14:paraId="47A7DFA1" w14:textId="77777777">
        <w:trPr>
          <w:trHeight w:val="200"/>
          <w:tblCellSpacing w:w="15" w:type="dxa"/>
        </w:trPr>
        <w:tc>
          <w:tcPr>
            <w:tcW w:w="0" w:type="auto"/>
            <w:hideMark/>
          </w:tcPr>
          <w:p w14:paraId="0FD98032" w14:textId="77777777" w:rsidR="00000000" w:rsidRDefault="00832D71">
            <w:pPr>
              <w:pStyle w:val="a3"/>
              <w:spacing w:before="0" w:beforeAutospacing="0" w:after="0" w:afterAutospacing="0"/>
              <w:ind w:left="200"/>
              <w:rPr>
                <w:sz w:val="20"/>
                <w:szCs w:val="20"/>
              </w:rPr>
            </w:pPr>
            <w:r>
              <w:rPr>
                <w:sz w:val="20"/>
                <w:szCs w:val="20"/>
              </w:rPr>
              <w:t>Cost of products sol</w:t>
            </w:r>
            <w:r>
              <w:rPr>
                <w:sz w:val="20"/>
                <w:szCs w:val="20"/>
              </w:rPr>
              <w:t>d</w:t>
            </w:r>
          </w:p>
        </w:tc>
        <w:tc>
          <w:tcPr>
            <w:tcW w:w="0" w:type="auto"/>
            <w:vAlign w:val="center"/>
            <w:hideMark/>
          </w:tcPr>
          <w:p w14:paraId="2617BA69"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7757031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01F7FD8" w14:textId="77777777" w:rsidR="00000000" w:rsidRDefault="00832D71">
            <w:pPr>
              <w:pStyle w:val="a3"/>
              <w:spacing w:before="0" w:beforeAutospacing="0" w:after="0" w:afterAutospacing="0"/>
              <w:jc w:val="right"/>
              <w:rPr>
                <w:sz w:val="20"/>
                <w:szCs w:val="20"/>
              </w:rPr>
            </w:pPr>
            <w:r>
              <w:rPr>
                <w:sz w:val="20"/>
                <w:szCs w:val="20"/>
              </w:rPr>
              <w:t>712,12</w:t>
            </w:r>
            <w:r>
              <w:rPr>
                <w:sz w:val="20"/>
                <w:szCs w:val="20"/>
              </w:rPr>
              <w:t>3</w:t>
            </w:r>
          </w:p>
        </w:tc>
        <w:tc>
          <w:tcPr>
            <w:tcW w:w="0" w:type="auto"/>
            <w:noWrap/>
            <w:vAlign w:val="bottom"/>
            <w:hideMark/>
          </w:tcPr>
          <w:p w14:paraId="33787BAE"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302D7F81"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5C8141A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5C113BC" w14:textId="77777777" w:rsidR="00000000" w:rsidRDefault="00832D71">
            <w:pPr>
              <w:pStyle w:val="a3"/>
              <w:spacing w:before="0" w:beforeAutospacing="0" w:after="0" w:afterAutospacing="0"/>
              <w:jc w:val="right"/>
              <w:rPr>
                <w:sz w:val="20"/>
                <w:szCs w:val="20"/>
              </w:rPr>
            </w:pPr>
            <w:r>
              <w:rPr>
                <w:sz w:val="20"/>
                <w:szCs w:val="20"/>
              </w:rPr>
              <w:t>485,47</w:t>
            </w:r>
            <w:r>
              <w:rPr>
                <w:sz w:val="20"/>
                <w:szCs w:val="20"/>
              </w:rPr>
              <w:t>8</w:t>
            </w:r>
          </w:p>
        </w:tc>
        <w:tc>
          <w:tcPr>
            <w:tcW w:w="0" w:type="auto"/>
            <w:noWrap/>
            <w:vAlign w:val="bottom"/>
            <w:hideMark/>
          </w:tcPr>
          <w:p w14:paraId="3B1F129A"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321968BA"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13D365B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FF0DAAB" w14:textId="77777777" w:rsidR="00000000" w:rsidRDefault="00832D71">
            <w:pPr>
              <w:pStyle w:val="a3"/>
              <w:spacing w:before="0" w:beforeAutospacing="0" w:after="0" w:afterAutospacing="0"/>
              <w:jc w:val="right"/>
              <w:rPr>
                <w:sz w:val="20"/>
                <w:szCs w:val="20"/>
              </w:rPr>
            </w:pPr>
            <w:r>
              <w:rPr>
                <w:sz w:val="20"/>
                <w:szCs w:val="20"/>
              </w:rPr>
              <w:t>382,95</w:t>
            </w:r>
            <w:r>
              <w:rPr>
                <w:sz w:val="20"/>
                <w:szCs w:val="20"/>
              </w:rPr>
              <w:t>1</w:t>
            </w:r>
          </w:p>
        </w:tc>
        <w:tc>
          <w:tcPr>
            <w:tcW w:w="0" w:type="auto"/>
            <w:noWrap/>
            <w:vAlign w:val="bottom"/>
            <w:hideMark/>
          </w:tcPr>
          <w:p w14:paraId="4601A1C5" w14:textId="77777777" w:rsidR="00000000" w:rsidRDefault="00832D71">
            <w:pPr>
              <w:pStyle w:val="a3"/>
              <w:spacing w:before="0" w:beforeAutospacing="0" w:after="0" w:afterAutospacing="0"/>
              <w:rPr>
                <w:sz w:val="20"/>
                <w:szCs w:val="20"/>
              </w:rPr>
            </w:pPr>
            <w:r>
              <w:rPr>
                <w:sz w:val="20"/>
                <w:szCs w:val="20"/>
              </w:rPr>
              <w:t> </w:t>
            </w:r>
          </w:p>
        </w:tc>
      </w:tr>
      <w:tr w:rsidR="00000000" w14:paraId="1F21A825" w14:textId="77777777">
        <w:trPr>
          <w:trHeight w:val="200"/>
          <w:tblCellSpacing w:w="15" w:type="dxa"/>
        </w:trPr>
        <w:tc>
          <w:tcPr>
            <w:tcW w:w="0" w:type="auto"/>
            <w:hideMark/>
          </w:tcPr>
          <w:p w14:paraId="0E3AEDE5" w14:textId="77777777" w:rsidR="00000000" w:rsidRDefault="00832D71">
            <w:pPr>
              <w:pStyle w:val="a3"/>
              <w:spacing w:before="0" w:beforeAutospacing="0" w:after="0" w:afterAutospacing="0"/>
              <w:ind w:left="200"/>
              <w:rPr>
                <w:sz w:val="20"/>
                <w:szCs w:val="20"/>
              </w:rPr>
            </w:pPr>
            <w:r>
              <w:rPr>
                <w:sz w:val="20"/>
                <w:szCs w:val="20"/>
              </w:rPr>
              <w:t>Operatin</w:t>
            </w:r>
            <w:r>
              <w:rPr>
                <w:sz w:val="20"/>
                <w:szCs w:val="20"/>
              </w:rPr>
              <w:t>g</w:t>
            </w:r>
          </w:p>
        </w:tc>
        <w:tc>
          <w:tcPr>
            <w:tcW w:w="0" w:type="auto"/>
            <w:vAlign w:val="center"/>
            <w:hideMark/>
          </w:tcPr>
          <w:p w14:paraId="05C52BD5"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782F425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8114479" w14:textId="77777777" w:rsidR="00000000" w:rsidRDefault="00832D71">
            <w:pPr>
              <w:pStyle w:val="a3"/>
              <w:spacing w:before="0" w:beforeAutospacing="0" w:after="0" w:afterAutospacing="0"/>
              <w:jc w:val="right"/>
              <w:rPr>
                <w:sz w:val="20"/>
                <w:szCs w:val="20"/>
              </w:rPr>
            </w:pPr>
            <w:r>
              <w:rPr>
                <w:sz w:val="20"/>
                <w:szCs w:val="20"/>
              </w:rPr>
              <w:t>442,41</w:t>
            </w:r>
            <w:r>
              <w:rPr>
                <w:sz w:val="20"/>
                <w:szCs w:val="20"/>
              </w:rPr>
              <w:t>1</w:t>
            </w:r>
          </w:p>
        </w:tc>
        <w:tc>
          <w:tcPr>
            <w:tcW w:w="0" w:type="auto"/>
            <w:noWrap/>
            <w:vAlign w:val="bottom"/>
            <w:hideMark/>
          </w:tcPr>
          <w:p w14:paraId="597C9E69"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1CD614CA"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5BE8396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6EF5B8A" w14:textId="77777777" w:rsidR="00000000" w:rsidRDefault="00832D71">
            <w:pPr>
              <w:pStyle w:val="a3"/>
              <w:spacing w:before="0" w:beforeAutospacing="0" w:after="0" w:afterAutospacing="0"/>
              <w:jc w:val="right"/>
              <w:rPr>
                <w:sz w:val="20"/>
                <w:szCs w:val="20"/>
              </w:rPr>
            </w:pPr>
            <w:r>
              <w:rPr>
                <w:sz w:val="20"/>
                <w:szCs w:val="20"/>
              </w:rPr>
              <w:t>411,39</w:t>
            </w:r>
            <w:r>
              <w:rPr>
                <w:sz w:val="20"/>
                <w:szCs w:val="20"/>
              </w:rPr>
              <w:t>0</w:t>
            </w:r>
          </w:p>
        </w:tc>
        <w:tc>
          <w:tcPr>
            <w:tcW w:w="0" w:type="auto"/>
            <w:noWrap/>
            <w:vAlign w:val="bottom"/>
            <w:hideMark/>
          </w:tcPr>
          <w:p w14:paraId="5797BAA3"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72DFE2A4"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1206AF3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57C4106" w14:textId="77777777" w:rsidR="00000000" w:rsidRDefault="00832D71">
            <w:pPr>
              <w:pStyle w:val="a3"/>
              <w:spacing w:before="0" w:beforeAutospacing="0" w:after="0" w:afterAutospacing="0"/>
              <w:jc w:val="right"/>
              <w:rPr>
                <w:sz w:val="20"/>
                <w:szCs w:val="20"/>
              </w:rPr>
            </w:pPr>
            <w:r>
              <w:rPr>
                <w:sz w:val="20"/>
                <w:szCs w:val="20"/>
              </w:rPr>
              <w:t>401,95</w:t>
            </w:r>
            <w:r>
              <w:rPr>
                <w:sz w:val="20"/>
                <w:szCs w:val="20"/>
              </w:rPr>
              <w:t>8</w:t>
            </w:r>
          </w:p>
        </w:tc>
        <w:tc>
          <w:tcPr>
            <w:tcW w:w="0" w:type="auto"/>
            <w:noWrap/>
            <w:vAlign w:val="bottom"/>
            <w:hideMark/>
          </w:tcPr>
          <w:p w14:paraId="2AD74292" w14:textId="77777777" w:rsidR="00000000" w:rsidRDefault="00832D71">
            <w:pPr>
              <w:pStyle w:val="a3"/>
              <w:spacing w:before="0" w:beforeAutospacing="0" w:after="0" w:afterAutospacing="0"/>
              <w:rPr>
                <w:sz w:val="20"/>
                <w:szCs w:val="20"/>
              </w:rPr>
            </w:pPr>
            <w:r>
              <w:rPr>
                <w:sz w:val="20"/>
                <w:szCs w:val="20"/>
              </w:rPr>
              <w:t> </w:t>
            </w:r>
          </w:p>
        </w:tc>
      </w:tr>
      <w:tr w:rsidR="00000000" w14:paraId="14B688E0" w14:textId="77777777">
        <w:trPr>
          <w:trHeight w:val="200"/>
          <w:tblCellSpacing w:w="15" w:type="dxa"/>
        </w:trPr>
        <w:tc>
          <w:tcPr>
            <w:tcW w:w="0" w:type="auto"/>
            <w:hideMark/>
          </w:tcPr>
          <w:p w14:paraId="693C4365" w14:textId="77777777" w:rsidR="00000000" w:rsidRDefault="00832D71">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center"/>
            <w:hideMark/>
          </w:tcPr>
          <w:p w14:paraId="47F25D1F"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37EB498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8707CA9" w14:textId="77777777" w:rsidR="00000000" w:rsidRDefault="00832D71">
            <w:pPr>
              <w:pStyle w:val="a3"/>
              <w:spacing w:before="0" w:beforeAutospacing="0" w:after="0" w:afterAutospacing="0"/>
              <w:jc w:val="right"/>
              <w:rPr>
                <w:sz w:val="20"/>
                <w:szCs w:val="20"/>
              </w:rPr>
            </w:pPr>
            <w:r>
              <w:rPr>
                <w:sz w:val="20"/>
                <w:szCs w:val="20"/>
              </w:rPr>
              <w:t>81,75</w:t>
            </w:r>
            <w:r>
              <w:rPr>
                <w:sz w:val="20"/>
                <w:szCs w:val="20"/>
              </w:rPr>
              <w:t>6</w:t>
            </w:r>
          </w:p>
        </w:tc>
        <w:tc>
          <w:tcPr>
            <w:tcW w:w="0" w:type="auto"/>
            <w:noWrap/>
            <w:vAlign w:val="bottom"/>
            <w:hideMark/>
          </w:tcPr>
          <w:p w14:paraId="6E6B3735"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2231E7F6"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6F9C9E0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666A42A" w14:textId="77777777" w:rsidR="00000000" w:rsidRDefault="00832D71">
            <w:pPr>
              <w:pStyle w:val="a3"/>
              <w:spacing w:before="0" w:beforeAutospacing="0" w:after="0" w:afterAutospacing="0"/>
              <w:jc w:val="right"/>
              <w:rPr>
                <w:sz w:val="20"/>
                <w:szCs w:val="20"/>
              </w:rPr>
            </w:pPr>
            <w:r>
              <w:rPr>
                <w:sz w:val="20"/>
                <w:szCs w:val="20"/>
              </w:rPr>
              <w:t>74,09</w:t>
            </w:r>
            <w:r>
              <w:rPr>
                <w:sz w:val="20"/>
                <w:szCs w:val="20"/>
              </w:rPr>
              <w:t>6</w:t>
            </w:r>
          </w:p>
        </w:tc>
        <w:tc>
          <w:tcPr>
            <w:tcW w:w="0" w:type="auto"/>
            <w:noWrap/>
            <w:vAlign w:val="bottom"/>
            <w:hideMark/>
          </w:tcPr>
          <w:p w14:paraId="0AB4DFC3"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57F90305"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06F5C61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DBD09B8" w14:textId="77777777" w:rsidR="00000000" w:rsidRDefault="00832D71">
            <w:pPr>
              <w:pStyle w:val="a3"/>
              <w:spacing w:before="0" w:beforeAutospacing="0" w:after="0" w:afterAutospacing="0"/>
              <w:jc w:val="right"/>
              <w:rPr>
                <w:sz w:val="20"/>
                <w:szCs w:val="20"/>
              </w:rPr>
            </w:pPr>
            <w:r>
              <w:rPr>
                <w:sz w:val="20"/>
                <w:szCs w:val="20"/>
              </w:rPr>
              <w:t>65,92</w:t>
            </w:r>
            <w:r>
              <w:rPr>
                <w:sz w:val="20"/>
                <w:szCs w:val="20"/>
              </w:rPr>
              <w:t>7</w:t>
            </w:r>
          </w:p>
        </w:tc>
        <w:tc>
          <w:tcPr>
            <w:tcW w:w="0" w:type="auto"/>
            <w:noWrap/>
            <w:vAlign w:val="bottom"/>
            <w:hideMark/>
          </w:tcPr>
          <w:p w14:paraId="782A9582" w14:textId="77777777" w:rsidR="00000000" w:rsidRDefault="00832D71">
            <w:pPr>
              <w:pStyle w:val="a3"/>
              <w:spacing w:before="0" w:beforeAutospacing="0" w:after="0" w:afterAutospacing="0"/>
              <w:rPr>
                <w:sz w:val="20"/>
                <w:szCs w:val="20"/>
              </w:rPr>
            </w:pPr>
            <w:r>
              <w:rPr>
                <w:sz w:val="20"/>
                <w:szCs w:val="20"/>
              </w:rPr>
              <w:t> </w:t>
            </w:r>
          </w:p>
        </w:tc>
      </w:tr>
      <w:tr w:rsidR="00000000" w14:paraId="3DDBB2B7" w14:textId="77777777">
        <w:trPr>
          <w:trHeight w:val="200"/>
          <w:tblCellSpacing w:w="15" w:type="dxa"/>
        </w:trPr>
        <w:tc>
          <w:tcPr>
            <w:tcW w:w="0" w:type="auto"/>
            <w:hideMark/>
          </w:tcPr>
          <w:p w14:paraId="39ADBB8A" w14:textId="77777777" w:rsidR="00000000" w:rsidRDefault="00832D71">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vAlign w:val="center"/>
            <w:hideMark/>
          </w:tcPr>
          <w:p w14:paraId="59005F85"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7E5D489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BB75399" w14:textId="77777777" w:rsidR="00000000" w:rsidRDefault="00832D71">
            <w:pPr>
              <w:pStyle w:val="a3"/>
              <w:spacing w:before="0" w:beforeAutospacing="0" w:after="0" w:afterAutospacing="0"/>
              <w:jc w:val="right"/>
              <w:rPr>
                <w:sz w:val="20"/>
                <w:szCs w:val="20"/>
              </w:rPr>
            </w:pPr>
            <w:r>
              <w:rPr>
                <w:sz w:val="20"/>
                <w:szCs w:val="20"/>
              </w:rPr>
              <w:t>58,84</w:t>
            </w:r>
            <w:r>
              <w:rPr>
                <w:sz w:val="20"/>
                <w:szCs w:val="20"/>
              </w:rPr>
              <w:t>8</w:t>
            </w:r>
          </w:p>
        </w:tc>
        <w:tc>
          <w:tcPr>
            <w:tcW w:w="0" w:type="auto"/>
            <w:noWrap/>
            <w:vAlign w:val="bottom"/>
            <w:hideMark/>
          </w:tcPr>
          <w:p w14:paraId="230F0700"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128C4C7E"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2B5F27C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C870637" w14:textId="77777777" w:rsidR="00000000" w:rsidRDefault="00832D71">
            <w:pPr>
              <w:pStyle w:val="a3"/>
              <w:spacing w:before="0" w:beforeAutospacing="0" w:after="0" w:afterAutospacing="0"/>
              <w:jc w:val="right"/>
              <w:rPr>
                <w:sz w:val="20"/>
                <w:szCs w:val="20"/>
              </w:rPr>
            </w:pPr>
            <w:r>
              <w:rPr>
                <w:sz w:val="20"/>
                <w:szCs w:val="20"/>
              </w:rPr>
              <w:t>104,55</w:t>
            </w:r>
            <w:r>
              <w:rPr>
                <w:sz w:val="20"/>
                <w:szCs w:val="20"/>
              </w:rPr>
              <w:t>5</w:t>
            </w:r>
          </w:p>
        </w:tc>
        <w:tc>
          <w:tcPr>
            <w:tcW w:w="0" w:type="auto"/>
            <w:noWrap/>
            <w:vAlign w:val="bottom"/>
            <w:hideMark/>
          </w:tcPr>
          <w:p w14:paraId="630659E6"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05B3B861"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5AB5235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21908EE" w14:textId="77777777" w:rsidR="00000000" w:rsidRDefault="00832D71">
            <w:pPr>
              <w:pStyle w:val="a3"/>
              <w:spacing w:before="0" w:beforeAutospacing="0" w:after="0" w:afterAutospacing="0"/>
              <w:jc w:val="right"/>
              <w:rPr>
                <w:sz w:val="20"/>
                <w:szCs w:val="20"/>
              </w:rPr>
            </w:pPr>
            <w:r>
              <w:rPr>
                <w:sz w:val="20"/>
                <w:szCs w:val="20"/>
              </w:rPr>
              <w:t>116,79</w:t>
            </w:r>
            <w:r>
              <w:rPr>
                <w:sz w:val="20"/>
                <w:szCs w:val="20"/>
              </w:rPr>
              <w:t>1</w:t>
            </w:r>
          </w:p>
        </w:tc>
        <w:tc>
          <w:tcPr>
            <w:tcW w:w="0" w:type="auto"/>
            <w:noWrap/>
            <w:vAlign w:val="bottom"/>
            <w:hideMark/>
          </w:tcPr>
          <w:p w14:paraId="4578943D" w14:textId="77777777" w:rsidR="00000000" w:rsidRDefault="00832D71">
            <w:pPr>
              <w:pStyle w:val="a3"/>
              <w:spacing w:before="0" w:beforeAutospacing="0" w:after="0" w:afterAutospacing="0"/>
              <w:rPr>
                <w:sz w:val="20"/>
                <w:szCs w:val="20"/>
              </w:rPr>
            </w:pPr>
            <w:r>
              <w:rPr>
                <w:sz w:val="20"/>
                <w:szCs w:val="20"/>
              </w:rPr>
              <w:t> </w:t>
            </w:r>
          </w:p>
        </w:tc>
      </w:tr>
      <w:tr w:rsidR="00000000" w14:paraId="1B1E3B24" w14:textId="77777777">
        <w:trPr>
          <w:trHeight w:val="200"/>
          <w:tblCellSpacing w:w="15" w:type="dxa"/>
        </w:trPr>
        <w:tc>
          <w:tcPr>
            <w:tcW w:w="0" w:type="auto"/>
            <w:hideMark/>
          </w:tcPr>
          <w:p w14:paraId="3063E60E"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037D7D2F"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00381C3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3A0116D" w14:textId="77777777" w:rsidR="00000000" w:rsidRDefault="00832D71">
            <w:pPr>
              <w:pStyle w:val="a3"/>
              <w:spacing w:before="0" w:beforeAutospacing="0" w:after="0" w:afterAutospacing="0"/>
              <w:jc w:val="right"/>
              <w:rPr>
                <w:sz w:val="20"/>
                <w:szCs w:val="20"/>
              </w:rPr>
            </w:pPr>
            <w:r>
              <w:rPr>
                <w:sz w:val="20"/>
                <w:szCs w:val="20"/>
              </w:rPr>
              <w:t>1,295,13</w:t>
            </w:r>
            <w:r>
              <w:rPr>
                <w:sz w:val="20"/>
                <w:szCs w:val="20"/>
              </w:rPr>
              <w:t>8</w:t>
            </w:r>
          </w:p>
        </w:tc>
        <w:tc>
          <w:tcPr>
            <w:tcW w:w="0" w:type="auto"/>
            <w:noWrap/>
            <w:vAlign w:val="bottom"/>
            <w:hideMark/>
          </w:tcPr>
          <w:p w14:paraId="2EC93E18"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795FE91B"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6F7EA84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90AB0F0" w14:textId="77777777" w:rsidR="00000000" w:rsidRDefault="00832D71">
            <w:pPr>
              <w:pStyle w:val="a3"/>
              <w:spacing w:before="0" w:beforeAutospacing="0" w:after="0" w:afterAutospacing="0"/>
              <w:jc w:val="right"/>
              <w:rPr>
                <w:sz w:val="20"/>
                <w:szCs w:val="20"/>
              </w:rPr>
            </w:pPr>
            <w:r>
              <w:rPr>
                <w:sz w:val="20"/>
                <w:szCs w:val="20"/>
              </w:rPr>
              <w:t>1,075,51</w:t>
            </w:r>
            <w:r>
              <w:rPr>
                <w:sz w:val="20"/>
                <w:szCs w:val="20"/>
              </w:rPr>
              <w:t>9</w:t>
            </w:r>
          </w:p>
        </w:tc>
        <w:tc>
          <w:tcPr>
            <w:tcW w:w="0" w:type="auto"/>
            <w:noWrap/>
            <w:vAlign w:val="bottom"/>
            <w:hideMark/>
          </w:tcPr>
          <w:p w14:paraId="5A32DED9"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6C9C07BE"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38E1E6D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D622983" w14:textId="77777777" w:rsidR="00000000" w:rsidRDefault="00832D71">
            <w:pPr>
              <w:pStyle w:val="a3"/>
              <w:spacing w:before="0" w:beforeAutospacing="0" w:after="0" w:afterAutospacing="0"/>
              <w:jc w:val="right"/>
              <w:rPr>
                <w:sz w:val="20"/>
                <w:szCs w:val="20"/>
              </w:rPr>
            </w:pPr>
            <w:r>
              <w:rPr>
                <w:sz w:val="20"/>
                <w:szCs w:val="20"/>
              </w:rPr>
              <w:t>967,62</w:t>
            </w:r>
            <w:r>
              <w:rPr>
                <w:sz w:val="20"/>
                <w:szCs w:val="20"/>
              </w:rPr>
              <w:t>7</w:t>
            </w:r>
          </w:p>
        </w:tc>
        <w:tc>
          <w:tcPr>
            <w:tcW w:w="0" w:type="auto"/>
            <w:noWrap/>
            <w:vAlign w:val="bottom"/>
            <w:hideMark/>
          </w:tcPr>
          <w:p w14:paraId="49DF6B25" w14:textId="77777777" w:rsidR="00000000" w:rsidRDefault="00832D71">
            <w:pPr>
              <w:pStyle w:val="a3"/>
              <w:spacing w:before="0" w:beforeAutospacing="0" w:after="0" w:afterAutospacing="0"/>
              <w:rPr>
                <w:sz w:val="20"/>
                <w:szCs w:val="20"/>
              </w:rPr>
            </w:pPr>
            <w:r>
              <w:rPr>
                <w:sz w:val="20"/>
                <w:szCs w:val="20"/>
              </w:rPr>
              <w:t> </w:t>
            </w:r>
          </w:p>
        </w:tc>
      </w:tr>
      <w:tr w:rsidR="00000000" w14:paraId="7EFC34C7" w14:textId="77777777">
        <w:trPr>
          <w:trHeight w:val="200"/>
          <w:tblCellSpacing w:w="15" w:type="dxa"/>
        </w:trPr>
        <w:tc>
          <w:tcPr>
            <w:tcW w:w="0" w:type="auto"/>
            <w:hideMark/>
          </w:tcPr>
          <w:p w14:paraId="71CF9F9A" w14:textId="77777777" w:rsidR="00000000" w:rsidRDefault="00832D71">
            <w:pPr>
              <w:pStyle w:val="a3"/>
              <w:spacing w:before="0" w:beforeAutospacing="0" w:after="0" w:afterAutospacing="0"/>
              <w:rPr>
                <w:sz w:val="20"/>
                <w:szCs w:val="20"/>
              </w:rPr>
            </w:pPr>
            <w:r>
              <w:rPr>
                <w:sz w:val="20"/>
                <w:szCs w:val="20"/>
              </w:rPr>
              <w:t>Operating incom</w:t>
            </w:r>
            <w:r>
              <w:rPr>
                <w:sz w:val="20"/>
                <w:szCs w:val="20"/>
              </w:rPr>
              <w:t>e</w:t>
            </w:r>
          </w:p>
        </w:tc>
        <w:tc>
          <w:tcPr>
            <w:tcW w:w="0" w:type="auto"/>
            <w:vAlign w:val="center"/>
            <w:hideMark/>
          </w:tcPr>
          <w:p w14:paraId="452ADABF"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1816985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5DF4255" w14:textId="77777777" w:rsidR="00000000" w:rsidRDefault="00832D71">
            <w:pPr>
              <w:pStyle w:val="a3"/>
              <w:spacing w:before="0" w:beforeAutospacing="0" w:after="0" w:afterAutospacing="0"/>
              <w:jc w:val="right"/>
              <w:rPr>
                <w:sz w:val="20"/>
                <w:szCs w:val="20"/>
              </w:rPr>
            </w:pPr>
            <w:r>
              <w:rPr>
                <w:sz w:val="20"/>
                <w:szCs w:val="20"/>
              </w:rPr>
              <w:t>206,32</w:t>
            </w:r>
            <w:r>
              <w:rPr>
                <w:sz w:val="20"/>
                <w:szCs w:val="20"/>
              </w:rPr>
              <w:t>7</w:t>
            </w:r>
          </w:p>
        </w:tc>
        <w:tc>
          <w:tcPr>
            <w:tcW w:w="0" w:type="auto"/>
            <w:noWrap/>
            <w:vAlign w:val="bottom"/>
            <w:hideMark/>
          </w:tcPr>
          <w:p w14:paraId="510092F7"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1E12F0A3"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57A66E1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6D93547" w14:textId="77777777" w:rsidR="00000000" w:rsidRDefault="00832D71">
            <w:pPr>
              <w:pStyle w:val="a3"/>
              <w:spacing w:before="0" w:beforeAutospacing="0" w:after="0" w:afterAutospacing="0"/>
              <w:jc w:val="right"/>
              <w:rPr>
                <w:sz w:val="20"/>
                <w:szCs w:val="20"/>
              </w:rPr>
            </w:pPr>
            <w:r>
              <w:rPr>
                <w:sz w:val="20"/>
                <w:szCs w:val="20"/>
              </w:rPr>
              <w:t>213,23</w:t>
            </w:r>
            <w:r>
              <w:rPr>
                <w:sz w:val="20"/>
                <w:szCs w:val="20"/>
              </w:rPr>
              <w:t>6</w:t>
            </w:r>
          </w:p>
        </w:tc>
        <w:tc>
          <w:tcPr>
            <w:tcW w:w="0" w:type="auto"/>
            <w:noWrap/>
            <w:vAlign w:val="bottom"/>
            <w:hideMark/>
          </w:tcPr>
          <w:p w14:paraId="75DDB9FC"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5634E68A"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467D2ED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B7B1831" w14:textId="77777777" w:rsidR="00000000" w:rsidRDefault="00832D71">
            <w:pPr>
              <w:pStyle w:val="a3"/>
              <w:spacing w:before="0" w:beforeAutospacing="0" w:after="0" w:afterAutospacing="0"/>
              <w:jc w:val="right"/>
              <w:rPr>
                <w:sz w:val="20"/>
                <w:szCs w:val="20"/>
              </w:rPr>
            </w:pPr>
            <w:r>
              <w:rPr>
                <w:sz w:val="20"/>
                <w:szCs w:val="20"/>
              </w:rPr>
              <w:t>140,27</w:t>
            </w:r>
            <w:r>
              <w:rPr>
                <w:sz w:val="20"/>
                <w:szCs w:val="20"/>
              </w:rPr>
              <w:t>0</w:t>
            </w:r>
          </w:p>
        </w:tc>
        <w:tc>
          <w:tcPr>
            <w:tcW w:w="0" w:type="auto"/>
            <w:noWrap/>
            <w:vAlign w:val="bottom"/>
            <w:hideMark/>
          </w:tcPr>
          <w:p w14:paraId="4C5BF614" w14:textId="77777777" w:rsidR="00000000" w:rsidRDefault="00832D71">
            <w:pPr>
              <w:pStyle w:val="a3"/>
              <w:spacing w:before="0" w:beforeAutospacing="0" w:after="0" w:afterAutospacing="0"/>
              <w:rPr>
                <w:sz w:val="20"/>
                <w:szCs w:val="20"/>
              </w:rPr>
            </w:pPr>
            <w:r>
              <w:rPr>
                <w:sz w:val="20"/>
                <w:szCs w:val="20"/>
              </w:rPr>
              <w:t> </w:t>
            </w:r>
          </w:p>
        </w:tc>
      </w:tr>
      <w:tr w:rsidR="00000000" w14:paraId="5347D47E" w14:textId="77777777">
        <w:trPr>
          <w:trHeight w:val="200"/>
          <w:tblCellSpacing w:w="15" w:type="dxa"/>
        </w:trPr>
        <w:tc>
          <w:tcPr>
            <w:tcW w:w="0" w:type="auto"/>
            <w:hideMark/>
          </w:tcPr>
          <w:p w14:paraId="2C81BC7E" w14:textId="77777777" w:rsidR="00000000" w:rsidRDefault="00832D71">
            <w:pPr>
              <w:pStyle w:val="a3"/>
              <w:spacing w:before="0" w:beforeAutospacing="0" w:after="0" w:afterAutospacing="0"/>
              <w:rPr>
                <w:sz w:val="20"/>
                <w:szCs w:val="20"/>
              </w:rPr>
            </w:pPr>
            <w:r>
              <w:rPr>
                <w:sz w:val="20"/>
                <w:szCs w:val="20"/>
              </w:rPr>
              <w:t>Loss on debt extinguishmen</w:t>
            </w:r>
            <w:r>
              <w:rPr>
                <w:sz w:val="20"/>
                <w:szCs w:val="20"/>
              </w:rPr>
              <w:t>t</w:t>
            </w:r>
          </w:p>
        </w:tc>
        <w:tc>
          <w:tcPr>
            <w:tcW w:w="0" w:type="auto"/>
            <w:vAlign w:val="center"/>
            <w:hideMark/>
          </w:tcPr>
          <w:p w14:paraId="0828ED8B"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252D90B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0157E31"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3397031B"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435EEC77"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2BA259E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E6020D4" w14:textId="77777777" w:rsidR="00000000" w:rsidRDefault="00832D71">
            <w:pPr>
              <w:pStyle w:val="a3"/>
              <w:spacing w:before="0" w:beforeAutospacing="0" w:after="0" w:afterAutospacing="0"/>
              <w:jc w:val="right"/>
              <w:rPr>
                <w:sz w:val="20"/>
                <w:szCs w:val="20"/>
              </w:rPr>
            </w:pPr>
            <w:r>
              <w:rPr>
                <w:sz w:val="20"/>
                <w:szCs w:val="20"/>
              </w:rPr>
              <w:t>16,02</w:t>
            </w:r>
            <w:r>
              <w:rPr>
                <w:sz w:val="20"/>
                <w:szCs w:val="20"/>
              </w:rPr>
              <w:t>9</w:t>
            </w:r>
          </w:p>
        </w:tc>
        <w:tc>
          <w:tcPr>
            <w:tcW w:w="0" w:type="auto"/>
            <w:noWrap/>
            <w:vAlign w:val="bottom"/>
            <w:hideMark/>
          </w:tcPr>
          <w:p w14:paraId="18D82F0C"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3891A485"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46614EE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E1C7319"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9</w:t>
            </w:r>
          </w:p>
        </w:tc>
        <w:tc>
          <w:tcPr>
            <w:tcW w:w="0" w:type="auto"/>
            <w:noWrap/>
            <w:vAlign w:val="bottom"/>
            <w:hideMark/>
          </w:tcPr>
          <w:p w14:paraId="447839A2" w14:textId="77777777" w:rsidR="00000000" w:rsidRDefault="00832D71">
            <w:pPr>
              <w:pStyle w:val="a3"/>
              <w:spacing w:before="0" w:beforeAutospacing="0" w:after="0" w:afterAutospacing="0"/>
              <w:rPr>
                <w:sz w:val="20"/>
                <w:szCs w:val="20"/>
              </w:rPr>
            </w:pPr>
            <w:r>
              <w:rPr>
                <w:sz w:val="20"/>
                <w:szCs w:val="20"/>
              </w:rPr>
              <w:t> </w:t>
            </w:r>
          </w:p>
        </w:tc>
      </w:tr>
      <w:tr w:rsidR="00000000" w14:paraId="56393767" w14:textId="77777777">
        <w:trPr>
          <w:trHeight w:val="200"/>
          <w:tblCellSpacing w:w="15" w:type="dxa"/>
        </w:trPr>
        <w:tc>
          <w:tcPr>
            <w:tcW w:w="0" w:type="auto"/>
            <w:hideMark/>
          </w:tcPr>
          <w:p w14:paraId="05AFBB0C" w14:textId="77777777" w:rsidR="00000000" w:rsidRDefault="00832D71">
            <w:pPr>
              <w:pStyle w:val="a3"/>
              <w:spacing w:before="0" w:beforeAutospacing="0" w:after="0" w:afterAutospacing="0"/>
              <w:rPr>
                <w:sz w:val="20"/>
                <w:szCs w:val="20"/>
              </w:rPr>
            </w:pPr>
            <w:r>
              <w:rPr>
                <w:sz w:val="20"/>
                <w:szCs w:val="20"/>
              </w:rPr>
              <w:t>Interest expense, ne</w:t>
            </w:r>
            <w:r>
              <w:rPr>
                <w:sz w:val="20"/>
                <w:szCs w:val="20"/>
              </w:rPr>
              <w:t>t</w:t>
            </w:r>
          </w:p>
        </w:tc>
        <w:tc>
          <w:tcPr>
            <w:tcW w:w="0" w:type="auto"/>
            <w:vAlign w:val="center"/>
            <w:hideMark/>
          </w:tcPr>
          <w:p w14:paraId="41A76399"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4DA4ACD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186854C" w14:textId="77777777" w:rsidR="00000000" w:rsidRDefault="00832D71">
            <w:pPr>
              <w:pStyle w:val="a3"/>
              <w:spacing w:before="0" w:beforeAutospacing="0" w:after="0" w:afterAutospacing="0"/>
              <w:jc w:val="right"/>
              <w:rPr>
                <w:sz w:val="20"/>
                <w:szCs w:val="20"/>
              </w:rPr>
            </w:pPr>
            <w:r>
              <w:rPr>
                <w:sz w:val="20"/>
                <w:szCs w:val="20"/>
              </w:rPr>
              <w:t>60,65</w:t>
            </w:r>
            <w:r>
              <w:rPr>
                <w:sz w:val="20"/>
                <w:szCs w:val="20"/>
              </w:rPr>
              <w:t>8</w:t>
            </w:r>
          </w:p>
        </w:tc>
        <w:tc>
          <w:tcPr>
            <w:tcW w:w="0" w:type="auto"/>
            <w:noWrap/>
            <w:vAlign w:val="bottom"/>
            <w:hideMark/>
          </w:tcPr>
          <w:p w14:paraId="60B4975D"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0B1FB410"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5A4B852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E4023FA" w14:textId="77777777" w:rsidR="00000000" w:rsidRDefault="00832D71">
            <w:pPr>
              <w:pStyle w:val="a3"/>
              <w:spacing w:before="0" w:beforeAutospacing="0" w:after="0" w:afterAutospacing="0"/>
              <w:jc w:val="right"/>
              <w:rPr>
                <w:sz w:val="20"/>
                <w:szCs w:val="20"/>
              </w:rPr>
            </w:pPr>
            <w:r>
              <w:rPr>
                <w:sz w:val="20"/>
                <w:szCs w:val="20"/>
              </w:rPr>
              <w:t>68,13</w:t>
            </w:r>
            <w:r>
              <w:rPr>
                <w:sz w:val="20"/>
                <w:szCs w:val="20"/>
              </w:rPr>
              <w:t>2</w:t>
            </w:r>
          </w:p>
        </w:tc>
        <w:tc>
          <w:tcPr>
            <w:tcW w:w="0" w:type="auto"/>
            <w:noWrap/>
            <w:vAlign w:val="bottom"/>
            <w:hideMark/>
          </w:tcPr>
          <w:p w14:paraId="1DB0FC7F"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29D36356"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2D96B3D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97EBBB1" w14:textId="77777777" w:rsidR="00000000" w:rsidRDefault="00832D71">
            <w:pPr>
              <w:pStyle w:val="a3"/>
              <w:spacing w:before="0" w:beforeAutospacing="0" w:after="0" w:afterAutospacing="0"/>
              <w:jc w:val="right"/>
              <w:rPr>
                <w:sz w:val="20"/>
                <w:szCs w:val="20"/>
              </w:rPr>
            </w:pPr>
            <w:r>
              <w:rPr>
                <w:sz w:val="20"/>
                <w:szCs w:val="20"/>
              </w:rPr>
              <w:t>74,72</w:t>
            </w:r>
            <w:r>
              <w:rPr>
                <w:sz w:val="20"/>
                <w:szCs w:val="20"/>
              </w:rPr>
              <w:t>7</w:t>
            </w:r>
          </w:p>
        </w:tc>
        <w:tc>
          <w:tcPr>
            <w:tcW w:w="0" w:type="auto"/>
            <w:noWrap/>
            <w:vAlign w:val="bottom"/>
            <w:hideMark/>
          </w:tcPr>
          <w:p w14:paraId="5DF334B0" w14:textId="77777777" w:rsidR="00000000" w:rsidRDefault="00832D71">
            <w:pPr>
              <w:pStyle w:val="a3"/>
              <w:spacing w:before="0" w:beforeAutospacing="0" w:after="0" w:afterAutospacing="0"/>
              <w:rPr>
                <w:sz w:val="20"/>
                <w:szCs w:val="20"/>
              </w:rPr>
            </w:pPr>
            <w:r>
              <w:rPr>
                <w:sz w:val="20"/>
                <w:szCs w:val="20"/>
              </w:rPr>
              <w:t> </w:t>
            </w:r>
          </w:p>
        </w:tc>
      </w:tr>
      <w:tr w:rsidR="00000000" w14:paraId="20B1AFE3" w14:textId="77777777">
        <w:trPr>
          <w:trHeight w:val="200"/>
          <w:tblCellSpacing w:w="15" w:type="dxa"/>
        </w:trPr>
        <w:tc>
          <w:tcPr>
            <w:tcW w:w="0" w:type="auto"/>
            <w:hideMark/>
          </w:tcPr>
          <w:p w14:paraId="6C0F40BC" w14:textId="77777777" w:rsidR="00000000" w:rsidRDefault="00832D71">
            <w:pPr>
              <w:pStyle w:val="a3"/>
              <w:spacing w:before="0" w:beforeAutospacing="0" w:after="0" w:afterAutospacing="0"/>
              <w:rPr>
                <w:sz w:val="20"/>
                <w:szCs w:val="20"/>
              </w:rPr>
            </w:pPr>
            <w:r>
              <w:rPr>
                <w:sz w:val="20"/>
                <w:szCs w:val="20"/>
              </w:rPr>
              <w:t>Other, ne</w:t>
            </w:r>
            <w:r>
              <w:rPr>
                <w:sz w:val="20"/>
                <w:szCs w:val="20"/>
              </w:rPr>
              <w:t>t</w:t>
            </w:r>
          </w:p>
        </w:tc>
        <w:tc>
          <w:tcPr>
            <w:tcW w:w="0" w:type="auto"/>
            <w:vAlign w:val="center"/>
            <w:hideMark/>
          </w:tcPr>
          <w:p w14:paraId="20334FBB"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6B866DE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F33473B" w14:textId="77777777" w:rsidR="00000000" w:rsidRDefault="00832D71">
            <w:pPr>
              <w:pStyle w:val="a3"/>
              <w:spacing w:before="0" w:beforeAutospacing="0" w:after="0" w:afterAutospacing="0"/>
              <w:jc w:val="right"/>
              <w:rPr>
                <w:sz w:val="20"/>
                <w:szCs w:val="20"/>
              </w:rPr>
            </w:pPr>
            <w:r>
              <w:rPr>
                <w:sz w:val="20"/>
                <w:szCs w:val="20"/>
              </w:rPr>
              <w:t>5,53</w:t>
            </w:r>
            <w:r>
              <w:rPr>
                <w:sz w:val="20"/>
                <w:szCs w:val="20"/>
              </w:rPr>
              <w:t>2</w:t>
            </w:r>
          </w:p>
        </w:tc>
        <w:tc>
          <w:tcPr>
            <w:tcW w:w="0" w:type="auto"/>
            <w:noWrap/>
            <w:vAlign w:val="bottom"/>
            <w:hideMark/>
          </w:tcPr>
          <w:p w14:paraId="0D407648"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7D066572"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796EB69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75F48D3" w14:textId="77777777" w:rsidR="00000000" w:rsidRDefault="00832D71">
            <w:pPr>
              <w:pStyle w:val="a3"/>
              <w:spacing w:before="0" w:beforeAutospacing="0" w:after="0" w:afterAutospacing="0"/>
              <w:jc w:val="right"/>
              <w:rPr>
                <w:sz w:val="20"/>
                <w:szCs w:val="20"/>
              </w:rPr>
            </w:pPr>
            <w:r>
              <w:rPr>
                <w:sz w:val="20"/>
                <w:szCs w:val="20"/>
              </w:rPr>
              <w:t>5,17</w:t>
            </w:r>
            <w:r>
              <w:rPr>
                <w:sz w:val="20"/>
                <w:szCs w:val="20"/>
              </w:rPr>
              <w:t>2</w:t>
            </w:r>
          </w:p>
        </w:tc>
        <w:tc>
          <w:tcPr>
            <w:tcW w:w="0" w:type="auto"/>
            <w:noWrap/>
            <w:vAlign w:val="bottom"/>
            <w:hideMark/>
          </w:tcPr>
          <w:p w14:paraId="0D798047"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093ACB0F"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2F8CB8D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49B16DF" w14:textId="77777777" w:rsidR="00000000" w:rsidRDefault="00832D71">
            <w:pPr>
              <w:pStyle w:val="a3"/>
              <w:spacing w:before="0" w:beforeAutospacing="0" w:after="0" w:afterAutospacing="0"/>
              <w:jc w:val="right"/>
              <w:rPr>
                <w:sz w:val="20"/>
                <w:szCs w:val="20"/>
              </w:rPr>
            </w:pPr>
            <w:r>
              <w:rPr>
                <w:sz w:val="20"/>
                <w:szCs w:val="20"/>
              </w:rPr>
              <w:t>4,82</w:t>
            </w:r>
            <w:r>
              <w:rPr>
                <w:sz w:val="20"/>
                <w:szCs w:val="20"/>
              </w:rPr>
              <w:t>2</w:t>
            </w:r>
          </w:p>
        </w:tc>
        <w:tc>
          <w:tcPr>
            <w:tcW w:w="0" w:type="auto"/>
            <w:noWrap/>
            <w:vAlign w:val="bottom"/>
            <w:hideMark/>
          </w:tcPr>
          <w:p w14:paraId="0CC946E6" w14:textId="77777777" w:rsidR="00000000" w:rsidRDefault="00832D71">
            <w:pPr>
              <w:pStyle w:val="a3"/>
              <w:spacing w:before="0" w:beforeAutospacing="0" w:after="0" w:afterAutospacing="0"/>
              <w:rPr>
                <w:sz w:val="20"/>
                <w:szCs w:val="20"/>
              </w:rPr>
            </w:pPr>
            <w:r>
              <w:rPr>
                <w:sz w:val="20"/>
                <w:szCs w:val="20"/>
              </w:rPr>
              <w:t> </w:t>
            </w:r>
          </w:p>
        </w:tc>
      </w:tr>
      <w:tr w:rsidR="00000000" w14:paraId="0F0A178A" w14:textId="77777777">
        <w:trPr>
          <w:trHeight w:val="200"/>
          <w:tblCellSpacing w:w="15" w:type="dxa"/>
        </w:trPr>
        <w:tc>
          <w:tcPr>
            <w:tcW w:w="0" w:type="auto"/>
            <w:hideMark/>
          </w:tcPr>
          <w:p w14:paraId="5BB55222" w14:textId="77777777" w:rsidR="00000000" w:rsidRDefault="00832D71">
            <w:pPr>
              <w:pStyle w:val="a3"/>
              <w:spacing w:before="0" w:beforeAutospacing="0" w:after="0" w:afterAutospacing="0"/>
              <w:rPr>
                <w:sz w:val="20"/>
                <w:szCs w:val="20"/>
              </w:rPr>
            </w:pPr>
            <w:r>
              <w:rPr>
                <w:sz w:val="20"/>
                <w:szCs w:val="20"/>
              </w:rPr>
              <w:t>Income before provision for (benefit from) income taxe</w:t>
            </w:r>
            <w:r>
              <w:rPr>
                <w:sz w:val="20"/>
                <w:szCs w:val="20"/>
              </w:rPr>
              <w:t>s</w:t>
            </w:r>
          </w:p>
        </w:tc>
        <w:tc>
          <w:tcPr>
            <w:tcW w:w="0" w:type="auto"/>
            <w:vAlign w:val="center"/>
            <w:hideMark/>
          </w:tcPr>
          <w:p w14:paraId="561CC4CE"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28B7069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0850DC7" w14:textId="77777777" w:rsidR="00000000" w:rsidRDefault="00832D71">
            <w:pPr>
              <w:pStyle w:val="a3"/>
              <w:spacing w:before="0" w:beforeAutospacing="0" w:after="0" w:afterAutospacing="0"/>
              <w:jc w:val="right"/>
              <w:rPr>
                <w:sz w:val="20"/>
                <w:szCs w:val="20"/>
              </w:rPr>
            </w:pPr>
            <w:r>
              <w:rPr>
                <w:sz w:val="20"/>
                <w:szCs w:val="20"/>
              </w:rPr>
              <w:t>140,13</w:t>
            </w:r>
            <w:r>
              <w:rPr>
                <w:sz w:val="20"/>
                <w:szCs w:val="20"/>
              </w:rPr>
              <w:t>7</w:t>
            </w:r>
          </w:p>
        </w:tc>
        <w:tc>
          <w:tcPr>
            <w:tcW w:w="0" w:type="auto"/>
            <w:noWrap/>
            <w:vAlign w:val="bottom"/>
            <w:hideMark/>
          </w:tcPr>
          <w:p w14:paraId="5B6E37E0"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2E626923"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1068389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9508ACC" w14:textId="77777777" w:rsidR="00000000" w:rsidRDefault="00832D71">
            <w:pPr>
              <w:pStyle w:val="a3"/>
              <w:spacing w:before="0" w:beforeAutospacing="0" w:after="0" w:afterAutospacing="0"/>
              <w:jc w:val="right"/>
              <w:rPr>
                <w:sz w:val="20"/>
                <w:szCs w:val="20"/>
              </w:rPr>
            </w:pPr>
            <w:r>
              <w:rPr>
                <w:sz w:val="20"/>
                <w:szCs w:val="20"/>
              </w:rPr>
              <w:t>123,90</w:t>
            </w:r>
            <w:r>
              <w:rPr>
                <w:sz w:val="20"/>
                <w:szCs w:val="20"/>
              </w:rPr>
              <w:t>3</w:t>
            </w:r>
          </w:p>
        </w:tc>
        <w:tc>
          <w:tcPr>
            <w:tcW w:w="0" w:type="auto"/>
            <w:noWrap/>
            <w:vAlign w:val="bottom"/>
            <w:hideMark/>
          </w:tcPr>
          <w:p w14:paraId="71E96A94"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22AAB1FE"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097B2B6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53DB962" w14:textId="77777777" w:rsidR="00000000" w:rsidRDefault="00832D71">
            <w:pPr>
              <w:pStyle w:val="a3"/>
              <w:spacing w:before="0" w:beforeAutospacing="0" w:after="0" w:afterAutospacing="0"/>
              <w:jc w:val="right"/>
              <w:rPr>
                <w:sz w:val="20"/>
                <w:szCs w:val="20"/>
              </w:rPr>
            </w:pPr>
            <w:r>
              <w:rPr>
                <w:sz w:val="20"/>
                <w:szCs w:val="20"/>
              </w:rPr>
              <w:t>60,61</w:t>
            </w:r>
            <w:r>
              <w:rPr>
                <w:sz w:val="20"/>
                <w:szCs w:val="20"/>
              </w:rPr>
              <w:t>2</w:t>
            </w:r>
          </w:p>
        </w:tc>
        <w:tc>
          <w:tcPr>
            <w:tcW w:w="0" w:type="auto"/>
            <w:noWrap/>
            <w:vAlign w:val="bottom"/>
            <w:hideMark/>
          </w:tcPr>
          <w:p w14:paraId="3BFDB4B3" w14:textId="77777777" w:rsidR="00000000" w:rsidRDefault="00832D71">
            <w:pPr>
              <w:pStyle w:val="a3"/>
              <w:spacing w:before="0" w:beforeAutospacing="0" w:after="0" w:afterAutospacing="0"/>
              <w:rPr>
                <w:sz w:val="20"/>
                <w:szCs w:val="20"/>
              </w:rPr>
            </w:pPr>
            <w:r>
              <w:rPr>
                <w:sz w:val="20"/>
                <w:szCs w:val="20"/>
              </w:rPr>
              <w:t> </w:t>
            </w:r>
          </w:p>
        </w:tc>
      </w:tr>
      <w:tr w:rsidR="00000000" w14:paraId="597A23A4" w14:textId="77777777">
        <w:trPr>
          <w:trHeight w:val="200"/>
          <w:tblCellSpacing w:w="15" w:type="dxa"/>
        </w:trPr>
        <w:tc>
          <w:tcPr>
            <w:tcW w:w="0" w:type="auto"/>
            <w:hideMark/>
          </w:tcPr>
          <w:p w14:paraId="1135BAD0" w14:textId="77777777" w:rsidR="00000000" w:rsidRDefault="00832D71">
            <w:pPr>
              <w:pStyle w:val="a3"/>
              <w:spacing w:before="0" w:beforeAutospacing="0" w:after="0" w:afterAutospacing="0"/>
              <w:rPr>
                <w:sz w:val="20"/>
                <w:szCs w:val="20"/>
              </w:rPr>
            </w:pPr>
            <w:r>
              <w:rPr>
                <w:sz w:val="20"/>
                <w:szCs w:val="20"/>
              </w:rPr>
              <w:t>Provision for (benefit from) income taxe</w:t>
            </w:r>
            <w:r>
              <w:rPr>
                <w:sz w:val="20"/>
                <w:szCs w:val="20"/>
              </w:rPr>
              <w:t>s</w:t>
            </w:r>
          </w:p>
        </w:tc>
        <w:tc>
          <w:tcPr>
            <w:tcW w:w="0" w:type="auto"/>
            <w:vAlign w:val="center"/>
            <w:hideMark/>
          </w:tcPr>
          <w:p w14:paraId="554C8172"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730EE1F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D0045C8" w14:textId="77777777" w:rsidR="00000000" w:rsidRDefault="00832D71">
            <w:pPr>
              <w:pStyle w:val="a3"/>
              <w:spacing w:before="0" w:beforeAutospacing="0" w:after="0" w:afterAutospacing="0"/>
              <w:jc w:val="right"/>
              <w:rPr>
                <w:sz w:val="20"/>
                <w:szCs w:val="20"/>
              </w:rPr>
            </w:pPr>
            <w:r>
              <w:rPr>
                <w:sz w:val="20"/>
                <w:szCs w:val="20"/>
              </w:rPr>
              <w:t>42</w:t>
            </w:r>
            <w:r>
              <w:rPr>
                <w:sz w:val="20"/>
                <w:szCs w:val="20"/>
              </w:rPr>
              <w:t>9</w:t>
            </w:r>
          </w:p>
        </w:tc>
        <w:tc>
          <w:tcPr>
            <w:tcW w:w="0" w:type="auto"/>
            <w:noWrap/>
            <w:vAlign w:val="bottom"/>
            <w:hideMark/>
          </w:tcPr>
          <w:p w14:paraId="2E81DD34"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470FDBAC"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466B2FC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914940D" w14:textId="77777777" w:rsidR="00000000" w:rsidRDefault="00832D71">
            <w:pPr>
              <w:pStyle w:val="a3"/>
              <w:spacing w:before="0" w:beforeAutospacing="0" w:after="0" w:afterAutospacing="0"/>
              <w:jc w:val="right"/>
              <w:rPr>
                <w:sz w:val="20"/>
                <w:szCs w:val="20"/>
              </w:rPr>
            </w:pPr>
            <w:r>
              <w:rPr>
                <w:sz w:val="20"/>
                <w:szCs w:val="20"/>
              </w:rPr>
              <w:t>1,11</w:t>
            </w:r>
            <w:r>
              <w:rPr>
                <w:sz w:val="20"/>
                <w:szCs w:val="20"/>
              </w:rPr>
              <w:t>0</w:t>
            </w:r>
          </w:p>
        </w:tc>
        <w:tc>
          <w:tcPr>
            <w:tcW w:w="0" w:type="auto"/>
            <w:noWrap/>
            <w:vAlign w:val="bottom"/>
            <w:hideMark/>
          </w:tcPr>
          <w:p w14:paraId="45807763"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6C70E16F"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418562A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5274A5C" w14:textId="77777777" w:rsidR="00000000" w:rsidRDefault="00832D71">
            <w:pPr>
              <w:pStyle w:val="a3"/>
              <w:spacing w:before="0" w:beforeAutospacing="0" w:after="0" w:afterAutospacing="0"/>
              <w:jc w:val="right"/>
              <w:rPr>
                <w:sz w:val="20"/>
                <w:szCs w:val="20"/>
              </w:rPr>
            </w:pPr>
            <w:r>
              <w:rPr>
                <w:sz w:val="20"/>
                <w:szCs w:val="20"/>
              </w:rPr>
              <w:t>(</w:t>
            </w:r>
            <w:r>
              <w:rPr>
                <w:sz w:val="20"/>
                <w:szCs w:val="20"/>
              </w:rPr>
              <w:t>14</w:t>
            </w:r>
            <w:r>
              <w:rPr>
                <w:sz w:val="20"/>
                <w:szCs w:val="20"/>
              </w:rPr>
              <w:t>6</w:t>
            </w:r>
          </w:p>
        </w:tc>
        <w:tc>
          <w:tcPr>
            <w:tcW w:w="0" w:type="auto"/>
            <w:noWrap/>
            <w:vAlign w:val="bottom"/>
            <w:hideMark/>
          </w:tcPr>
          <w:p w14:paraId="3F5C7826" w14:textId="77777777" w:rsidR="00000000" w:rsidRDefault="00832D71">
            <w:pPr>
              <w:pStyle w:val="a3"/>
              <w:spacing w:before="0" w:beforeAutospacing="0" w:after="0" w:afterAutospacing="0"/>
              <w:rPr>
                <w:sz w:val="20"/>
                <w:szCs w:val="20"/>
              </w:rPr>
            </w:pPr>
            <w:r>
              <w:rPr>
                <w:sz w:val="20"/>
                <w:szCs w:val="20"/>
              </w:rPr>
              <w:t>)</w:t>
            </w:r>
          </w:p>
        </w:tc>
      </w:tr>
      <w:tr w:rsidR="00000000" w14:paraId="41DBBC5D" w14:textId="77777777">
        <w:trPr>
          <w:trHeight w:val="200"/>
          <w:tblCellSpacing w:w="15" w:type="dxa"/>
        </w:trPr>
        <w:tc>
          <w:tcPr>
            <w:tcW w:w="0" w:type="auto"/>
            <w:hideMark/>
          </w:tcPr>
          <w:p w14:paraId="3DB6429D" w14:textId="77777777" w:rsidR="00000000" w:rsidRDefault="00832D71">
            <w:pPr>
              <w:pStyle w:val="a3"/>
              <w:spacing w:before="0" w:beforeAutospacing="0" w:after="0" w:afterAutospacing="0"/>
              <w:rPr>
                <w:sz w:val="20"/>
                <w:szCs w:val="20"/>
              </w:rPr>
            </w:pPr>
            <w:r>
              <w:rPr>
                <w:sz w:val="20"/>
                <w:szCs w:val="20"/>
              </w:rPr>
              <w:t>Net incom</w:t>
            </w:r>
            <w:r>
              <w:rPr>
                <w:sz w:val="20"/>
                <w:szCs w:val="20"/>
              </w:rPr>
              <w:t>e</w:t>
            </w:r>
          </w:p>
        </w:tc>
        <w:tc>
          <w:tcPr>
            <w:tcW w:w="0" w:type="auto"/>
            <w:vAlign w:val="center"/>
            <w:hideMark/>
          </w:tcPr>
          <w:p w14:paraId="14265A6D"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1E67D5D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082CB68" w14:textId="77777777" w:rsidR="00000000" w:rsidRDefault="00832D71">
            <w:pPr>
              <w:pStyle w:val="a3"/>
              <w:spacing w:before="0" w:beforeAutospacing="0" w:after="0" w:afterAutospacing="0"/>
              <w:jc w:val="right"/>
              <w:rPr>
                <w:sz w:val="20"/>
                <w:szCs w:val="20"/>
              </w:rPr>
            </w:pPr>
            <w:r>
              <w:rPr>
                <w:sz w:val="20"/>
                <w:szCs w:val="20"/>
              </w:rPr>
              <w:t>139,70</w:t>
            </w:r>
            <w:r>
              <w:rPr>
                <w:sz w:val="20"/>
                <w:szCs w:val="20"/>
              </w:rPr>
              <w:t>8</w:t>
            </w:r>
          </w:p>
        </w:tc>
        <w:tc>
          <w:tcPr>
            <w:tcW w:w="0" w:type="auto"/>
            <w:noWrap/>
            <w:vAlign w:val="bottom"/>
            <w:hideMark/>
          </w:tcPr>
          <w:p w14:paraId="04C220C3"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266F935C"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217504F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14B6732" w14:textId="77777777" w:rsidR="00000000" w:rsidRDefault="00832D71">
            <w:pPr>
              <w:pStyle w:val="a3"/>
              <w:spacing w:before="0" w:beforeAutospacing="0" w:after="0" w:afterAutospacing="0"/>
              <w:jc w:val="right"/>
              <w:rPr>
                <w:sz w:val="20"/>
                <w:szCs w:val="20"/>
              </w:rPr>
            </w:pPr>
            <w:r>
              <w:rPr>
                <w:sz w:val="20"/>
                <w:szCs w:val="20"/>
              </w:rPr>
              <w:t>122,79</w:t>
            </w:r>
            <w:r>
              <w:rPr>
                <w:sz w:val="20"/>
                <w:szCs w:val="20"/>
              </w:rPr>
              <w:t>3</w:t>
            </w:r>
          </w:p>
        </w:tc>
        <w:tc>
          <w:tcPr>
            <w:tcW w:w="0" w:type="auto"/>
            <w:noWrap/>
            <w:vAlign w:val="bottom"/>
            <w:hideMark/>
          </w:tcPr>
          <w:p w14:paraId="64C2B43E"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1C898884"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6346E93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26D1AAD" w14:textId="77777777" w:rsidR="00000000" w:rsidRDefault="00832D71">
            <w:pPr>
              <w:pStyle w:val="a3"/>
              <w:spacing w:before="0" w:beforeAutospacing="0" w:after="0" w:afterAutospacing="0"/>
              <w:jc w:val="right"/>
              <w:rPr>
                <w:sz w:val="20"/>
                <w:szCs w:val="20"/>
              </w:rPr>
            </w:pPr>
            <w:r>
              <w:rPr>
                <w:sz w:val="20"/>
                <w:szCs w:val="20"/>
              </w:rPr>
              <w:t>60,75</w:t>
            </w:r>
            <w:r>
              <w:rPr>
                <w:sz w:val="20"/>
                <w:szCs w:val="20"/>
              </w:rPr>
              <w:t>8</w:t>
            </w:r>
          </w:p>
        </w:tc>
        <w:tc>
          <w:tcPr>
            <w:tcW w:w="0" w:type="auto"/>
            <w:noWrap/>
            <w:vAlign w:val="bottom"/>
            <w:hideMark/>
          </w:tcPr>
          <w:p w14:paraId="1EA52DD3" w14:textId="77777777" w:rsidR="00000000" w:rsidRDefault="00832D71">
            <w:pPr>
              <w:pStyle w:val="a3"/>
              <w:spacing w:before="0" w:beforeAutospacing="0" w:after="0" w:afterAutospacing="0"/>
              <w:rPr>
                <w:sz w:val="20"/>
                <w:szCs w:val="20"/>
              </w:rPr>
            </w:pPr>
            <w:r>
              <w:rPr>
                <w:sz w:val="20"/>
                <w:szCs w:val="20"/>
              </w:rPr>
              <w:t> </w:t>
            </w:r>
          </w:p>
        </w:tc>
      </w:tr>
      <w:tr w:rsidR="00000000" w14:paraId="6E8D252C" w14:textId="77777777">
        <w:trPr>
          <w:trHeight w:val="200"/>
          <w:tblCellSpacing w:w="15" w:type="dxa"/>
        </w:trPr>
        <w:tc>
          <w:tcPr>
            <w:tcW w:w="0" w:type="auto"/>
            <w:hideMark/>
          </w:tcPr>
          <w:p w14:paraId="25D604EB" w14:textId="77777777" w:rsidR="00000000" w:rsidRDefault="00832D71">
            <w:pPr>
              <w:pStyle w:val="a3"/>
              <w:spacing w:before="0" w:beforeAutospacing="0" w:after="0" w:afterAutospacing="0"/>
              <w:rPr>
                <w:sz w:val="20"/>
                <w:szCs w:val="20"/>
              </w:rPr>
            </w:pPr>
            <w:r>
              <w:rPr>
                <w:sz w:val="20"/>
                <w:szCs w:val="20"/>
              </w:rPr>
              <w:t>Net income per Common Unit - basi</w:t>
            </w:r>
            <w:r>
              <w:rPr>
                <w:sz w:val="20"/>
                <w:szCs w:val="20"/>
              </w:rPr>
              <w:t>c</w:t>
            </w:r>
          </w:p>
        </w:tc>
        <w:tc>
          <w:tcPr>
            <w:tcW w:w="0" w:type="auto"/>
            <w:vAlign w:val="center"/>
            <w:hideMark/>
          </w:tcPr>
          <w:p w14:paraId="1E8769A4"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4BEC69E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7A6CA82" w14:textId="77777777" w:rsidR="00000000" w:rsidRDefault="00832D71">
            <w:pPr>
              <w:pStyle w:val="a3"/>
              <w:spacing w:before="0" w:beforeAutospacing="0" w:after="0" w:afterAutospacing="0"/>
              <w:jc w:val="right"/>
              <w:rPr>
                <w:sz w:val="20"/>
                <w:szCs w:val="20"/>
              </w:rPr>
            </w:pPr>
            <w:r>
              <w:rPr>
                <w:sz w:val="20"/>
                <w:szCs w:val="20"/>
              </w:rPr>
              <w:t>2.2</w:t>
            </w:r>
            <w:r>
              <w:rPr>
                <w:sz w:val="20"/>
                <w:szCs w:val="20"/>
              </w:rPr>
              <w:t>1</w:t>
            </w:r>
          </w:p>
        </w:tc>
        <w:tc>
          <w:tcPr>
            <w:tcW w:w="0" w:type="auto"/>
            <w:noWrap/>
            <w:vAlign w:val="bottom"/>
            <w:hideMark/>
          </w:tcPr>
          <w:p w14:paraId="64B3BB09"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5E1B31FE"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5459C26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284B1AF" w14:textId="77777777" w:rsidR="00000000" w:rsidRDefault="00832D71">
            <w:pPr>
              <w:pStyle w:val="a3"/>
              <w:spacing w:before="0" w:beforeAutospacing="0" w:after="0" w:afterAutospacing="0"/>
              <w:jc w:val="right"/>
              <w:rPr>
                <w:sz w:val="20"/>
                <w:szCs w:val="20"/>
              </w:rPr>
            </w:pPr>
            <w:r>
              <w:rPr>
                <w:sz w:val="20"/>
                <w:szCs w:val="20"/>
              </w:rPr>
              <w:t>1.9</w:t>
            </w:r>
            <w:r>
              <w:rPr>
                <w:sz w:val="20"/>
                <w:szCs w:val="20"/>
              </w:rPr>
              <w:t>6</w:t>
            </w:r>
          </w:p>
        </w:tc>
        <w:tc>
          <w:tcPr>
            <w:tcW w:w="0" w:type="auto"/>
            <w:noWrap/>
            <w:vAlign w:val="bottom"/>
            <w:hideMark/>
          </w:tcPr>
          <w:p w14:paraId="07A13123"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4DE6C5C9"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293E811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DEB3DB9" w14:textId="77777777" w:rsidR="00000000" w:rsidRDefault="00832D71">
            <w:pPr>
              <w:pStyle w:val="a3"/>
              <w:spacing w:before="0" w:beforeAutospacing="0" w:after="0" w:afterAutospacing="0"/>
              <w:jc w:val="right"/>
              <w:rPr>
                <w:sz w:val="20"/>
                <w:szCs w:val="20"/>
              </w:rPr>
            </w:pPr>
            <w:r>
              <w:rPr>
                <w:sz w:val="20"/>
                <w:szCs w:val="20"/>
              </w:rPr>
              <w:t>0.9</w:t>
            </w:r>
            <w:r>
              <w:rPr>
                <w:sz w:val="20"/>
                <w:szCs w:val="20"/>
              </w:rPr>
              <w:t>8</w:t>
            </w:r>
          </w:p>
        </w:tc>
        <w:tc>
          <w:tcPr>
            <w:tcW w:w="0" w:type="auto"/>
            <w:noWrap/>
            <w:vAlign w:val="bottom"/>
            <w:hideMark/>
          </w:tcPr>
          <w:p w14:paraId="24ABD167" w14:textId="77777777" w:rsidR="00000000" w:rsidRDefault="00832D71">
            <w:pPr>
              <w:pStyle w:val="a3"/>
              <w:spacing w:before="0" w:beforeAutospacing="0" w:after="0" w:afterAutospacing="0"/>
              <w:rPr>
                <w:sz w:val="20"/>
                <w:szCs w:val="20"/>
              </w:rPr>
            </w:pPr>
            <w:r>
              <w:rPr>
                <w:sz w:val="20"/>
                <w:szCs w:val="20"/>
              </w:rPr>
              <w:t> </w:t>
            </w:r>
          </w:p>
        </w:tc>
      </w:tr>
      <w:tr w:rsidR="00000000" w14:paraId="19ABCE2F" w14:textId="77777777">
        <w:trPr>
          <w:trHeight w:val="200"/>
          <w:tblCellSpacing w:w="15" w:type="dxa"/>
        </w:trPr>
        <w:tc>
          <w:tcPr>
            <w:tcW w:w="0" w:type="auto"/>
            <w:hideMark/>
          </w:tcPr>
          <w:p w14:paraId="37D7F123" w14:textId="77777777" w:rsidR="00000000" w:rsidRDefault="00832D71">
            <w:pPr>
              <w:pStyle w:val="a3"/>
              <w:spacing w:before="0" w:beforeAutospacing="0" w:after="0" w:afterAutospacing="0"/>
              <w:rPr>
                <w:sz w:val="20"/>
                <w:szCs w:val="20"/>
              </w:rPr>
            </w:pPr>
            <w:r>
              <w:rPr>
                <w:sz w:val="20"/>
                <w:szCs w:val="20"/>
              </w:rPr>
              <w:t>Weighted average number of Common Units outstanding - basi</w:t>
            </w:r>
            <w:r>
              <w:rPr>
                <w:sz w:val="20"/>
                <w:szCs w:val="20"/>
              </w:rPr>
              <w:t>c</w:t>
            </w:r>
          </w:p>
        </w:tc>
        <w:tc>
          <w:tcPr>
            <w:tcW w:w="0" w:type="auto"/>
            <w:vAlign w:val="center"/>
            <w:hideMark/>
          </w:tcPr>
          <w:p w14:paraId="724A91C5"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31C72C6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0FF2C62" w14:textId="77777777" w:rsidR="00000000" w:rsidRDefault="00832D71">
            <w:pPr>
              <w:pStyle w:val="a3"/>
              <w:spacing w:before="0" w:beforeAutospacing="0" w:after="0" w:afterAutospacing="0"/>
              <w:jc w:val="right"/>
              <w:rPr>
                <w:sz w:val="20"/>
                <w:szCs w:val="20"/>
              </w:rPr>
            </w:pPr>
            <w:r>
              <w:rPr>
                <w:sz w:val="20"/>
                <w:szCs w:val="20"/>
              </w:rPr>
              <w:t>63,21</w:t>
            </w:r>
            <w:r>
              <w:rPr>
                <w:sz w:val="20"/>
                <w:szCs w:val="20"/>
              </w:rPr>
              <w:t>2</w:t>
            </w:r>
          </w:p>
        </w:tc>
        <w:tc>
          <w:tcPr>
            <w:tcW w:w="0" w:type="auto"/>
            <w:noWrap/>
            <w:vAlign w:val="bottom"/>
            <w:hideMark/>
          </w:tcPr>
          <w:p w14:paraId="18567196"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475053FE"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6FB3229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6421913" w14:textId="77777777" w:rsidR="00000000" w:rsidRDefault="00832D71">
            <w:pPr>
              <w:pStyle w:val="a3"/>
              <w:spacing w:before="0" w:beforeAutospacing="0" w:after="0" w:afterAutospacing="0"/>
              <w:jc w:val="right"/>
              <w:rPr>
                <w:sz w:val="20"/>
                <w:szCs w:val="20"/>
              </w:rPr>
            </w:pPr>
            <w:r>
              <w:rPr>
                <w:sz w:val="20"/>
                <w:szCs w:val="20"/>
              </w:rPr>
              <w:t>62,71</w:t>
            </w:r>
            <w:r>
              <w:rPr>
                <w:sz w:val="20"/>
                <w:szCs w:val="20"/>
              </w:rPr>
              <w:t>3</w:t>
            </w:r>
          </w:p>
        </w:tc>
        <w:tc>
          <w:tcPr>
            <w:tcW w:w="0" w:type="auto"/>
            <w:noWrap/>
            <w:vAlign w:val="bottom"/>
            <w:hideMark/>
          </w:tcPr>
          <w:p w14:paraId="70C8C63D"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616A1848"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3E32616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DCF0E00" w14:textId="77777777" w:rsidR="00000000" w:rsidRDefault="00832D71">
            <w:pPr>
              <w:pStyle w:val="a3"/>
              <w:spacing w:before="0" w:beforeAutospacing="0" w:after="0" w:afterAutospacing="0"/>
              <w:jc w:val="right"/>
              <w:rPr>
                <w:sz w:val="20"/>
                <w:szCs w:val="20"/>
              </w:rPr>
            </w:pPr>
            <w:r>
              <w:rPr>
                <w:sz w:val="20"/>
                <w:szCs w:val="20"/>
              </w:rPr>
              <w:t>62,29</w:t>
            </w:r>
            <w:r>
              <w:rPr>
                <w:sz w:val="20"/>
                <w:szCs w:val="20"/>
              </w:rPr>
              <w:t>9</w:t>
            </w:r>
          </w:p>
        </w:tc>
        <w:tc>
          <w:tcPr>
            <w:tcW w:w="0" w:type="auto"/>
            <w:noWrap/>
            <w:vAlign w:val="bottom"/>
            <w:hideMark/>
          </w:tcPr>
          <w:p w14:paraId="7B58D337" w14:textId="77777777" w:rsidR="00000000" w:rsidRDefault="00832D71">
            <w:pPr>
              <w:pStyle w:val="a3"/>
              <w:spacing w:before="0" w:beforeAutospacing="0" w:after="0" w:afterAutospacing="0"/>
              <w:rPr>
                <w:sz w:val="20"/>
                <w:szCs w:val="20"/>
              </w:rPr>
            </w:pPr>
            <w:r>
              <w:rPr>
                <w:sz w:val="20"/>
                <w:szCs w:val="20"/>
              </w:rPr>
              <w:t> </w:t>
            </w:r>
          </w:p>
        </w:tc>
      </w:tr>
      <w:tr w:rsidR="00000000" w14:paraId="1C34FE0C" w14:textId="77777777">
        <w:trPr>
          <w:trHeight w:val="200"/>
          <w:tblCellSpacing w:w="15" w:type="dxa"/>
        </w:trPr>
        <w:tc>
          <w:tcPr>
            <w:tcW w:w="0" w:type="auto"/>
            <w:hideMark/>
          </w:tcPr>
          <w:p w14:paraId="6F119572" w14:textId="77777777" w:rsidR="00000000" w:rsidRDefault="00832D71">
            <w:pPr>
              <w:pStyle w:val="a3"/>
              <w:spacing w:before="0" w:beforeAutospacing="0" w:after="0" w:afterAutospacing="0"/>
              <w:rPr>
                <w:sz w:val="20"/>
                <w:szCs w:val="20"/>
              </w:rPr>
            </w:pPr>
            <w:r>
              <w:rPr>
                <w:sz w:val="20"/>
                <w:szCs w:val="20"/>
              </w:rPr>
              <w:t>Net income per Common Unit - dilute</w:t>
            </w:r>
            <w:r>
              <w:rPr>
                <w:sz w:val="20"/>
                <w:szCs w:val="20"/>
              </w:rPr>
              <w:t>d</w:t>
            </w:r>
          </w:p>
        </w:tc>
        <w:tc>
          <w:tcPr>
            <w:tcW w:w="0" w:type="auto"/>
            <w:vAlign w:val="center"/>
            <w:hideMark/>
          </w:tcPr>
          <w:p w14:paraId="109F3559"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46CE3F6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163CC87" w14:textId="77777777" w:rsidR="00000000" w:rsidRDefault="00832D71">
            <w:pPr>
              <w:pStyle w:val="a3"/>
              <w:spacing w:before="0" w:beforeAutospacing="0" w:after="0" w:afterAutospacing="0"/>
              <w:jc w:val="right"/>
              <w:rPr>
                <w:sz w:val="20"/>
                <w:szCs w:val="20"/>
              </w:rPr>
            </w:pPr>
            <w:r>
              <w:rPr>
                <w:sz w:val="20"/>
                <w:szCs w:val="20"/>
              </w:rPr>
              <w:t>2.1</w:t>
            </w:r>
            <w:r>
              <w:rPr>
                <w:sz w:val="20"/>
                <w:szCs w:val="20"/>
              </w:rPr>
              <w:t>8</w:t>
            </w:r>
          </w:p>
        </w:tc>
        <w:tc>
          <w:tcPr>
            <w:tcW w:w="0" w:type="auto"/>
            <w:noWrap/>
            <w:vAlign w:val="bottom"/>
            <w:hideMark/>
          </w:tcPr>
          <w:p w14:paraId="1CAA3D06"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49F3CAE6"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28BBAA7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287EAC1" w14:textId="77777777" w:rsidR="00000000" w:rsidRDefault="00832D71">
            <w:pPr>
              <w:pStyle w:val="a3"/>
              <w:spacing w:before="0" w:beforeAutospacing="0" w:after="0" w:afterAutospacing="0"/>
              <w:jc w:val="right"/>
              <w:rPr>
                <w:sz w:val="20"/>
                <w:szCs w:val="20"/>
              </w:rPr>
            </w:pPr>
            <w:r>
              <w:rPr>
                <w:sz w:val="20"/>
                <w:szCs w:val="20"/>
              </w:rPr>
              <w:t>1.9</w:t>
            </w:r>
            <w:r>
              <w:rPr>
                <w:sz w:val="20"/>
                <w:szCs w:val="20"/>
              </w:rPr>
              <w:t>4</w:t>
            </w:r>
          </w:p>
        </w:tc>
        <w:tc>
          <w:tcPr>
            <w:tcW w:w="0" w:type="auto"/>
            <w:noWrap/>
            <w:vAlign w:val="bottom"/>
            <w:hideMark/>
          </w:tcPr>
          <w:p w14:paraId="7345BF2F"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55C45C71"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691B4A5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6FEFB83" w14:textId="77777777" w:rsidR="00000000" w:rsidRDefault="00832D71">
            <w:pPr>
              <w:pStyle w:val="a3"/>
              <w:spacing w:before="0" w:beforeAutospacing="0" w:after="0" w:afterAutospacing="0"/>
              <w:jc w:val="right"/>
              <w:rPr>
                <w:sz w:val="20"/>
                <w:szCs w:val="20"/>
              </w:rPr>
            </w:pPr>
            <w:r>
              <w:rPr>
                <w:sz w:val="20"/>
                <w:szCs w:val="20"/>
              </w:rPr>
              <w:t>0.9</w:t>
            </w:r>
            <w:r>
              <w:rPr>
                <w:sz w:val="20"/>
                <w:szCs w:val="20"/>
              </w:rPr>
              <w:t>7</w:t>
            </w:r>
          </w:p>
        </w:tc>
        <w:tc>
          <w:tcPr>
            <w:tcW w:w="0" w:type="auto"/>
            <w:noWrap/>
            <w:vAlign w:val="bottom"/>
            <w:hideMark/>
          </w:tcPr>
          <w:p w14:paraId="0F03B49F" w14:textId="77777777" w:rsidR="00000000" w:rsidRDefault="00832D71">
            <w:pPr>
              <w:pStyle w:val="a3"/>
              <w:spacing w:before="0" w:beforeAutospacing="0" w:after="0" w:afterAutospacing="0"/>
              <w:rPr>
                <w:sz w:val="20"/>
                <w:szCs w:val="20"/>
              </w:rPr>
            </w:pPr>
            <w:r>
              <w:rPr>
                <w:sz w:val="20"/>
                <w:szCs w:val="20"/>
              </w:rPr>
              <w:t> </w:t>
            </w:r>
          </w:p>
        </w:tc>
      </w:tr>
      <w:tr w:rsidR="00000000" w14:paraId="7FFA913B" w14:textId="77777777">
        <w:trPr>
          <w:trHeight w:val="200"/>
          <w:tblCellSpacing w:w="15" w:type="dxa"/>
        </w:trPr>
        <w:tc>
          <w:tcPr>
            <w:tcW w:w="0" w:type="auto"/>
            <w:hideMark/>
          </w:tcPr>
          <w:p w14:paraId="3802D45F" w14:textId="77777777" w:rsidR="00000000" w:rsidRDefault="00832D71">
            <w:pPr>
              <w:pStyle w:val="a3"/>
              <w:spacing w:before="0" w:beforeAutospacing="0" w:after="0" w:afterAutospacing="0"/>
              <w:rPr>
                <w:sz w:val="20"/>
                <w:szCs w:val="20"/>
              </w:rPr>
            </w:pPr>
            <w:r>
              <w:rPr>
                <w:sz w:val="20"/>
                <w:szCs w:val="20"/>
              </w:rPr>
              <w:t>Weighted average number of Common Units outstanding - dilute</w:t>
            </w:r>
            <w:r>
              <w:rPr>
                <w:sz w:val="20"/>
                <w:szCs w:val="20"/>
              </w:rPr>
              <w:t>d</w:t>
            </w:r>
          </w:p>
        </w:tc>
        <w:tc>
          <w:tcPr>
            <w:tcW w:w="0" w:type="auto"/>
            <w:vAlign w:val="center"/>
            <w:hideMark/>
          </w:tcPr>
          <w:p w14:paraId="5F9A1B53"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36171EB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001101E" w14:textId="77777777" w:rsidR="00000000" w:rsidRDefault="00832D71">
            <w:pPr>
              <w:pStyle w:val="a3"/>
              <w:spacing w:before="0" w:beforeAutospacing="0" w:after="0" w:afterAutospacing="0"/>
              <w:jc w:val="right"/>
              <w:rPr>
                <w:sz w:val="20"/>
                <w:szCs w:val="20"/>
              </w:rPr>
            </w:pPr>
            <w:r>
              <w:rPr>
                <w:sz w:val="20"/>
                <w:szCs w:val="20"/>
              </w:rPr>
              <w:t>64,01</w:t>
            </w:r>
            <w:r>
              <w:rPr>
                <w:sz w:val="20"/>
                <w:szCs w:val="20"/>
              </w:rPr>
              <w:t>8</w:t>
            </w:r>
          </w:p>
        </w:tc>
        <w:tc>
          <w:tcPr>
            <w:tcW w:w="0" w:type="auto"/>
            <w:noWrap/>
            <w:vAlign w:val="bottom"/>
            <w:hideMark/>
          </w:tcPr>
          <w:p w14:paraId="33D421FF"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6C28F7F8"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7ABDD81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0187D1E" w14:textId="77777777" w:rsidR="00000000" w:rsidRDefault="00832D71">
            <w:pPr>
              <w:pStyle w:val="a3"/>
              <w:spacing w:before="0" w:beforeAutospacing="0" w:after="0" w:afterAutospacing="0"/>
              <w:jc w:val="right"/>
              <w:rPr>
                <w:sz w:val="20"/>
                <w:szCs w:val="20"/>
              </w:rPr>
            </w:pPr>
            <w:r>
              <w:rPr>
                <w:sz w:val="20"/>
                <w:szCs w:val="20"/>
              </w:rPr>
              <w:t>63,31</w:t>
            </w:r>
            <w:r>
              <w:rPr>
                <w:sz w:val="20"/>
                <w:szCs w:val="20"/>
              </w:rPr>
              <w:t>3</w:t>
            </w:r>
          </w:p>
        </w:tc>
        <w:tc>
          <w:tcPr>
            <w:tcW w:w="0" w:type="auto"/>
            <w:noWrap/>
            <w:vAlign w:val="bottom"/>
            <w:hideMark/>
          </w:tcPr>
          <w:p w14:paraId="2684C4BD"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4E7C3C29"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0F1CBEE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CD43467" w14:textId="77777777" w:rsidR="00000000" w:rsidRDefault="00832D71">
            <w:pPr>
              <w:pStyle w:val="a3"/>
              <w:spacing w:before="0" w:beforeAutospacing="0" w:after="0" w:afterAutospacing="0"/>
              <w:jc w:val="right"/>
              <w:rPr>
                <w:sz w:val="20"/>
                <w:szCs w:val="20"/>
              </w:rPr>
            </w:pPr>
            <w:r>
              <w:rPr>
                <w:sz w:val="20"/>
                <w:szCs w:val="20"/>
              </w:rPr>
              <w:t>62,72</w:t>
            </w:r>
            <w:r>
              <w:rPr>
                <w:sz w:val="20"/>
                <w:szCs w:val="20"/>
              </w:rPr>
              <w:t>7</w:t>
            </w:r>
          </w:p>
        </w:tc>
        <w:tc>
          <w:tcPr>
            <w:tcW w:w="0" w:type="auto"/>
            <w:noWrap/>
            <w:vAlign w:val="bottom"/>
            <w:hideMark/>
          </w:tcPr>
          <w:p w14:paraId="53EB2BC2" w14:textId="77777777" w:rsidR="00000000" w:rsidRDefault="00832D71">
            <w:pPr>
              <w:pStyle w:val="a3"/>
              <w:spacing w:before="0" w:beforeAutospacing="0" w:after="0" w:afterAutospacing="0"/>
              <w:rPr>
                <w:sz w:val="20"/>
                <w:szCs w:val="20"/>
              </w:rPr>
            </w:pPr>
            <w:r>
              <w:rPr>
                <w:sz w:val="20"/>
                <w:szCs w:val="20"/>
              </w:rPr>
              <w:t> </w:t>
            </w:r>
          </w:p>
        </w:tc>
      </w:tr>
    </w:tbl>
    <w:p w14:paraId="4AA289E1" w14:textId="77777777" w:rsidR="00000000" w:rsidRDefault="00832D71">
      <w:pPr>
        <w:pStyle w:val="a3"/>
        <w:spacing w:before="0" w:beforeAutospacing="0" w:after="0" w:afterAutospacing="0"/>
        <w:rPr>
          <w:sz w:val="20"/>
          <w:szCs w:val="20"/>
        </w:rPr>
      </w:pPr>
      <w:r>
        <w:rPr>
          <w:sz w:val="20"/>
          <w:szCs w:val="20"/>
        </w:rPr>
        <w:t> </w:t>
      </w:r>
    </w:p>
    <w:p w14:paraId="589069E8" w14:textId="77777777" w:rsidR="00000000" w:rsidRDefault="00832D71">
      <w:pPr>
        <w:pStyle w:val="a3"/>
        <w:spacing w:before="0" w:beforeAutospacing="0" w:after="0" w:afterAutospacing="0"/>
        <w:rPr>
          <w:sz w:val="20"/>
          <w:szCs w:val="20"/>
        </w:rPr>
      </w:pPr>
      <w:r>
        <w:rPr>
          <w:sz w:val="20"/>
          <w:szCs w:val="20"/>
        </w:rPr>
        <w:t> </w:t>
      </w:r>
    </w:p>
    <w:p w14:paraId="373BDC12" w14:textId="77777777" w:rsidR="00000000" w:rsidRDefault="00832D71">
      <w:pPr>
        <w:pStyle w:val="a3"/>
        <w:spacing w:before="0" w:beforeAutospacing="0" w:after="0" w:afterAutospacing="0"/>
        <w:rPr>
          <w:sz w:val="20"/>
          <w:szCs w:val="20"/>
        </w:rPr>
      </w:pPr>
      <w:r>
        <w:rPr>
          <w:sz w:val="20"/>
          <w:szCs w:val="20"/>
        </w:rPr>
        <w:t> </w:t>
      </w:r>
    </w:p>
    <w:p w14:paraId="0E7682DF" w14:textId="77777777" w:rsidR="00000000" w:rsidRDefault="00832D71">
      <w:pPr>
        <w:pStyle w:val="a3"/>
        <w:spacing w:before="0" w:beforeAutospacing="0" w:after="0" w:afterAutospacing="0"/>
        <w:rPr>
          <w:sz w:val="20"/>
          <w:szCs w:val="20"/>
        </w:rPr>
      </w:pPr>
      <w:r>
        <w:rPr>
          <w:sz w:val="20"/>
          <w:szCs w:val="20"/>
        </w:rPr>
        <w:t> </w:t>
      </w:r>
    </w:p>
    <w:p w14:paraId="738760CD" w14:textId="77777777" w:rsidR="00000000" w:rsidRDefault="00832D71">
      <w:pPr>
        <w:pStyle w:val="a3"/>
        <w:spacing w:before="0" w:beforeAutospacing="0" w:after="0" w:afterAutospacing="0"/>
        <w:rPr>
          <w:sz w:val="20"/>
          <w:szCs w:val="20"/>
        </w:rPr>
      </w:pPr>
      <w:r>
        <w:rPr>
          <w:sz w:val="20"/>
          <w:szCs w:val="20"/>
        </w:rPr>
        <w:t> </w:t>
      </w:r>
    </w:p>
    <w:p w14:paraId="2B9996BA" w14:textId="77777777" w:rsidR="00000000" w:rsidRDefault="00832D71">
      <w:pPr>
        <w:pStyle w:val="a3"/>
        <w:spacing w:before="0" w:beforeAutospacing="0" w:after="0" w:afterAutospacing="0"/>
        <w:rPr>
          <w:sz w:val="20"/>
          <w:szCs w:val="20"/>
        </w:rPr>
      </w:pPr>
      <w:r>
        <w:rPr>
          <w:sz w:val="20"/>
          <w:szCs w:val="20"/>
        </w:rPr>
        <w:t> </w:t>
      </w:r>
    </w:p>
    <w:p w14:paraId="3E3839F5" w14:textId="77777777" w:rsidR="00000000" w:rsidRDefault="00832D71">
      <w:pPr>
        <w:pStyle w:val="a3"/>
        <w:spacing w:before="0" w:beforeAutospacing="0" w:after="0" w:afterAutospacing="0"/>
        <w:rPr>
          <w:sz w:val="20"/>
          <w:szCs w:val="20"/>
        </w:rPr>
      </w:pPr>
      <w:r>
        <w:rPr>
          <w:sz w:val="20"/>
          <w:szCs w:val="20"/>
        </w:rPr>
        <w:t> </w:t>
      </w:r>
    </w:p>
    <w:p w14:paraId="0E14446C" w14:textId="77777777" w:rsidR="00000000" w:rsidRDefault="00832D71">
      <w:pPr>
        <w:pStyle w:val="a3"/>
        <w:spacing w:before="0" w:beforeAutospacing="0" w:after="0" w:afterAutospacing="0"/>
        <w:rPr>
          <w:sz w:val="20"/>
          <w:szCs w:val="20"/>
        </w:rPr>
      </w:pPr>
      <w:r>
        <w:rPr>
          <w:sz w:val="20"/>
          <w:szCs w:val="20"/>
        </w:rPr>
        <w:t> </w:t>
      </w:r>
    </w:p>
    <w:p w14:paraId="3A91A399" w14:textId="77777777" w:rsidR="00000000" w:rsidRDefault="00832D71">
      <w:pPr>
        <w:pStyle w:val="a3"/>
        <w:spacing w:before="0" w:beforeAutospacing="0" w:after="0" w:afterAutospacing="0"/>
        <w:rPr>
          <w:sz w:val="20"/>
          <w:szCs w:val="20"/>
        </w:rPr>
      </w:pPr>
      <w:r>
        <w:rPr>
          <w:sz w:val="20"/>
          <w:szCs w:val="20"/>
        </w:rPr>
        <w:t> </w:t>
      </w:r>
    </w:p>
    <w:p w14:paraId="003DFF8D" w14:textId="77777777" w:rsidR="00000000" w:rsidRDefault="00832D71">
      <w:pPr>
        <w:pStyle w:val="a3"/>
        <w:spacing w:before="0" w:beforeAutospacing="0" w:after="0" w:afterAutospacing="0"/>
        <w:rPr>
          <w:sz w:val="20"/>
          <w:szCs w:val="20"/>
        </w:rPr>
      </w:pPr>
      <w:r>
        <w:rPr>
          <w:sz w:val="20"/>
          <w:szCs w:val="20"/>
        </w:rPr>
        <w:t> </w:t>
      </w:r>
    </w:p>
    <w:p w14:paraId="658164F7" w14:textId="77777777" w:rsidR="00000000" w:rsidRDefault="00832D71">
      <w:pPr>
        <w:pStyle w:val="a3"/>
        <w:spacing w:before="0" w:beforeAutospacing="0" w:after="0" w:afterAutospacing="0"/>
        <w:rPr>
          <w:sz w:val="20"/>
          <w:szCs w:val="20"/>
        </w:rPr>
      </w:pPr>
      <w:r>
        <w:rPr>
          <w:sz w:val="20"/>
          <w:szCs w:val="20"/>
        </w:rPr>
        <w:t> </w:t>
      </w:r>
    </w:p>
    <w:p w14:paraId="300B4009" w14:textId="77777777" w:rsidR="00000000" w:rsidRDefault="00832D71">
      <w:pPr>
        <w:pStyle w:val="a3"/>
        <w:spacing w:before="0" w:beforeAutospacing="0" w:after="0" w:afterAutospacing="0"/>
        <w:rPr>
          <w:sz w:val="20"/>
          <w:szCs w:val="20"/>
        </w:rPr>
      </w:pPr>
      <w:r>
        <w:rPr>
          <w:sz w:val="20"/>
          <w:szCs w:val="20"/>
        </w:rPr>
        <w:t> </w:t>
      </w:r>
    </w:p>
    <w:p w14:paraId="3AA45523" w14:textId="77777777" w:rsidR="00000000" w:rsidRDefault="00832D71">
      <w:pPr>
        <w:pStyle w:val="a3"/>
        <w:spacing w:before="0" w:beforeAutospacing="0" w:after="0" w:afterAutospacing="0"/>
        <w:rPr>
          <w:sz w:val="20"/>
          <w:szCs w:val="20"/>
        </w:rPr>
      </w:pPr>
      <w:r>
        <w:rPr>
          <w:sz w:val="20"/>
          <w:szCs w:val="20"/>
        </w:rPr>
        <w:t> </w:t>
      </w:r>
    </w:p>
    <w:p w14:paraId="4D62FE93" w14:textId="77777777" w:rsidR="00000000" w:rsidRDefault="00832D71">
      <w:pPr>
        <w:pStyle w:val="a3"/>
        <w:spacing w:before="0" w:beforeAutospacing="0" w:after="0" w:afterAutospacing="0"/>
        <w:rPr>
          <w:sz w:val="20"/>
          <w:szCs w:val="20"/>
        </w:rPr>
      </w:pPr>
      <w:r>
        <w:rPr>
          <w:sz w:val="20"/>
          <w:szCs w:val="20"/>
        </w:rPr>
        <w:t> </w:t>
      </w:r>
    </w:p>
    <w:p w14:paraId="69CD2597" w14:textId="77777777" w:rsidR="00000000" w:rsidRDefault="00832D71">
      <w:pPr>
        <w:pStyle w:val="a3"/>
        <w:spacing w:before="0" w:beforeAutospacing="0" w:after="0" w:afterAutospacing="0"/>
        <w:rPr>
          <w:sz w:val="20"/>
          <w:szCs w:val="20"/>
        </w:rPr>
      </w:pPr>
      <w:r>
        <w:rPr>
          <w:sz w:val="20"/>
          <w:szCs w:val="20"/>
        </w:rPr>
        <w:t> </w:t>
      </w:r>
    </w:p>
    <w:p w14:paraId="7E280A09" w14:textId="77777777" w:rsidR="00000000" w:rsidRDefault="00832D71">
      <w:pPr>
        <w:pStyle w:val="a3"/>
        <w:spacing w:before="0" w:beforeAutospacing="0" w:after="0" w:afterAutospacing="0"/>
        <w:rPr>
          <w:sz w:val="20"/>
          <w:szCs w:val="20"/>
        </w:rPr>
      </w:pPr>
      <w:r>
        <w:rPr>
          <w:sz w:val="20"/>
          <w:szCs w:val="20"/>
        </w:rPr>
        <w:t> </w:t>
      </w:r>
    </w:p>
    <w:p w14:paraId="611608F5" w14:textId="77777777" w:rsidR="00000000" w:rsidRDefault="00832D71">
      <w:pPr>
        <w:pStyle w:val="a3"/>
        <w:spacing w:before="0" w:beforeAutospacing="0" w:after="0" w:afterAutospacing="0"/>
        <w:rPr>
          <w:sz w:val="20"/>
          <w:szCs w:val="20"/>
        </w:rPr>
      </w:pPr>
      <w:r>
        <w:rPr>
          <w:sz w:val="20"/>
          <w:szCs w:val="20"/>
        </w:rPr>
        <w:t> </w:t>
      </w:r>
    </w:p>
    <w:p w14:paraId="25628B6D" w14:textId="77777777" w:rsidR="00000000" w:rsidRDefault="00832D71">
      <w:pPr>
        <w:pStyle w:val="a3"/>
        <w:spacing w:before="0" w:beforeAutospacing="0" w:after="0" w:afterAutospacing="0"/>
        <w:rPr>
          <w:sz w:val="20"/>
          <w:szCs w:val="20"/>
        </w:rPr>
      </w:pPr>
      <w:r>
        <w:rPr>
          <w:sz w:val="20"/>
          <w:szCs w:val="20"/>
        </w:rPr>
        <w:t> </w:t>
      </w:r>
    </w:p>
    <w:p w14:paraId="508BA811" w14:textId="77777777" w:rsidR="00000000" w:rsidRDefault="00832D71">
      <w:pPr>
        <w:pStyle w:val="a3"/>
        <w:spacing w:before="0" w:beforeAutospacing="0" w:after="0" w:afterAutospacing="0"/>
        <w:rPr>
          <w:sz w:val="20"/>
          <w:szCs w:val="20"/>
        </w:rPr>
      </w:pPr>
      <w:r>
        <w:rPr>
          <w:sz w:val="20"/>
          <w:szCs w:val="20"/>
        </w:rPr>
        <w:t> </w:t>
      </w:r>
    </w:p>
    <w:p w14:paraId="18BB7B5B" w14:textId="77777777" w:rsidR="00000000" w:rsidRDefault="00832D71">
      <w:pPr>
        <w:pStyle w:val="a3"/>
        <w:spacing w:before="0" w:beforeAutospacing="0" w:after="0" w:afterAutospacing="0"/>
        <w:rPr>
          <w:sz w:val="20"/>
          <w:szCs w:val="20"/>
        </w:rPr>
      </w:pPr>
      <w:r>
        <w:rPr>
          <w:sz w:val="20"/>
          <w:szCs w:val="20"/>
        </w:rPr>
        <w:t> </w:t>
      </w:r>
    </w:p>
    <w:p w14:paraId="6B780A1A" w14:textId="77777777" w:rsidR="00000000" w:rsidRDefault="00832D71">
      <w:pPr>
        <w:pStyle w:val="a3"/>
        <w:spacing w:before="0" w:beforeAutospacing="0" w:after="0" w:afterAutospacing="0"/>
        <w:rPr>
          <w:sz w:val="20"/>
          <w:szCs w:val="20"/>
        </w:rPr>
      </w:pPr>
      <w:r>
        <w:rPr>
          <w:sz w:val="20"/>
          <w:szCs w:val="20"/>
        </w:rPr>
        <w:t> </w:t>
      </w:r>
    </w:p>
    <w:p w14:paraId="7728828D" w14:textId="77777777" w:rsidR="00000000" w:rsidRDefault="00832D71">
      <w:pPr>
        <w:pStyle w:val="a3"/>
        <w:spacing w:before="0" w:beforeAutospacing="0" w:after="0" w:afterAutospacing="0"/>
        <w:rPr>
          <w:sz w:val="20"/>
          <w:szCs w:val="20"/>
        </w:rPr>
      </w:pPr>
      <w:r>
        <w:rPr>
          <w:sz w:val="20"/>
          <w:szCs w:val="20"/>
        </w:rPr>
        <w:t> </w:t>
      </w:r>
    </w:p>
    <w:p w14:paraId="682545D8" w14:textId="77777777" w:rsidR="00000000" w:rsidRDefault="00832D71">
      <w:pPr>
        <w:pStyle w:val="a3"/>
        <w:spacing w:before="0" w:beforeAutospacing="0" w:after="0" w:afterAutospacing="0"/>
        <w:rPr>
          <w:sz w:val="20"/>
          <w:szCs w:val="20"/>
        </w:rPr>
      </w:pPr>
      <w:r>
        <w:rPr>
          <w:sz w:val="20"/>
          <w:szCs w:val="20"/>
        </w:rPr>
        <w:t> </w:t>
      </w:r>
    </w:p>
    <w:p w14:paraId="78F55B96" w14:textId="77777777" w:rsidR="00000000" w:rsidRDefault="00832D71">
      <w:pPr>
        <w:pStyle w:val="a3"/>
        <w:spacing w:before="0" w:beforeAutospacing="0" w:after="0" w:afterAutospacing="0"/>
        <w:rPr>
          <w:sz w:val="20"/>
          <w:szCs w:val="20"/>
        </w:rPr>
      </w:pPr>
      <w:r>
        <w:rPr>
          <w:sz w:val="20"/>
          <w:szCs w:val="20"/>
        </w:rPr>
        <w:t> </w:t>
      </w:r>
    </w:p>
    <w:p w14:paraId="77C78DD0" w14:textId="77777777" w:rsidR="00000000" w:rsidRDefault="00832D71">
      <w:pPr>
        <w:pStyle w:val="a3"/>
        <w:spacing w:before="0" w:beforeAutospacing="0" w:after="0" w:afterAutospacing="0"/>
        <w:rPr>
          <w:sz w:val="20"/>
          <w:szCs w:val="20"/>
        </w:rPr>
      </w:pPr>
      <w:r>
        <w:rPr>
          <w:sz w:val="20"/>
          <w:szCs w:val="20"/>
        </w:rPr>
        <w:t> </w:t>
      </w:r>
    </w:p>
    <w:p w14:paraId="3D985C60" w14:textId="77777777" w:rsidR="00000000" w:rsidRDefault="00832D71">
      <w:pPr>
        <w:pStyle w:val="a3"/>
        <w:spacing w:before="0" w:beforeAutospacing="0" w:after="0" w:afterAutospacing="0"/>
        <w:rPr>
          <w:sz w:val="20"/>
          <w:szCs w:val="20"/>
        </w:rPr>
      </w:pPr>
      <w:r>
        <w:rPr>
          <w:sz w:val="20"/>
          <w:szCs w:val="20"/>
        </w:rPr>
        <w:t> </w:t>
      </w:r>
    </w:p>
    <w:p w14:paraId="191C9370" w14:textId="77777777" w:rsidR="00000000" w:rsidRDefault="00832D71">
      <w:pPr>
        <w:pStyle w:val="a3"/>
        <w:spacing w:before="0" w:beforeAutospacing="0" w:after="0" w:afterAutospacing="0"/>
        <w:rPr>
          <w:sz w:val="20"/>
          <w:szCs w:val="20"/>
        </w:rPr>
      </w:pPr>
      <w:r>
        <w:rPr>
          <w:sz w:val="20"/>
          <w:szCs w:val="20"/>
        </w:rPr>
        <w:t> </w:t>
      </w:r>
    </w:p>
    <w:p w14:paraId="7850EAE1" w14:textId="77777777" w:rsidR="00000000" w:rsidRDefault="00832D71">
      <w:pPr>
        <w:pStyle w:val="a3"/>
        <w:spacing w:before="0" w:beforeAutospacing="0" w:after="0" w:afterAutospacing="0"/>
        <w:rPr>
          <w:sz w:val="20"/>
          <w:szCs w:val="20"/>
        </w:rPr>
      </w:pPr>
      <w:r>
        <w:rPr>
          <w:sz w:val="20"/>
          <w:szCs w:val="20"/>
        </w:rPr>
        <w:t> </w:t>
      </w:r>
    </w:p>
    <w:p w14:paraId="534FA69C" w14:textId="77777777" w:rsidR="00000000" w:rsidRDefault="00832D71">
      <w:pPr>
        <w:pStyle w:val="a3"/>
        <w:spacing w:before="0" w:beforeAutospacing="0" w:after="0" w:afterAutospacing="0"/>
        <w:rPr>
          <w:sz w:val="20"/>
          <w:szCs w:val="20"/>
        </w:rPr>
      </w:pPr>
      <w:r>
        <w:rPr>
          <w:sz w:val="20"/>
          <w:szCs w:val="20"/>
        </w:rPr>
        <w:t>The acc</w:t>
      </w:r>
      <w:r>
        <w:rPr>
          <w:sz w:val="20"/>
          <w:szCs w:val="20"/>
        </w:rPr>
        <w:t>ompanying notes are an integral part of these consolidated financial statements</w:t>
      </w:r>
      <w:r>
        <w:rPr>
          <w:sz w:val="20"/>
          <w:szCs w:val="20"/>
        </w:rPr>
        <w:t>.</w:t>
      </w:r>
    </w:p>
    <w:p w14:paraId="31B785AA" w14:textId="77777777" w:rsidR="00000000" w:rsidRDefault="00832D71">
      <w:pPr>
        <w:pStyle w:val="a3"/>
        <w:spacing w:before="200" w:beforeAutospacing="0" w:after="0" w:afterAutospacing="0"/>
        <w:jc w:val="center"/>
        <w:rPr>
          <w:sz w:val="20"/>
          <w:szCs w:val="20"/>
        </w:rPr>
      </w:pPr>
      <w:r>
        <w:rPr>
          <w:sz w:val="20"/>
          <w:szCs w:val="20"/>
        </w:rPr>
        <w:t>F</w:t>
      </w:r>
      <w:r>
        <w:rPr>
          <w:sz w:val="20"/>
          <w:szCs w:val="20"/>
        </w:rPr>
        <w:t>-</w:t>
      </w:r>
      <w:r>
        <w:rPr>
          <w:sz w:val="20"/>
          <w:szCs w:val="20"/>
        </w:rPr>
        <w:t>5</w:t>
      </w:r>
    </w:p>
    <w:p w14:paraId="688FA02D" w14:textId="77777777" w:rsidR="00000000" w:rsidRDefault="00832D71">
      <w:pPr>
        <w:rPr>
          <w:rFonts w:eastAsia="Times New Roman"/>
        </w:rPr>
      </w:pPr>
      <w:r>
        <w:rPr>
          <w:rFonts w:eastAsia="Times New Roman"/>
        </w:rPr>
        <w:pict w14:anchorId="0FADE031">
          <v:rect id="_x0000_i1124" style="width:0;height:1.5pt" o:hralign="center" o:hrstd="t" o:hr="t" fillcolor="#a0a0a0" stroked="f"/>
        </w:pict>
      </w:r>
    </w:p>
    <w:p w14:paraId="6900BAE2" w14:textId="77777777" w:rsidR="00000000" w:rsidRDefault="00832D71">
      <w:pPr>
        <w:pStyle w:val="a3"/>
        <w:spacing w:before="0" w:beforeAutospacing="0" w:after="0" w:afterAutospacing="0"/>
        <w:rPr>
          <w:sz w:val="20"/>
          <w:szCs w:val="20"/>
        </w:rPr>
      </w:pPr>
      <w:r>
        <w:rPr>
          <w:sz w:val="20"/>
          <w:szCs w:val="20"/>
        </w:rPr>
        <w:t> </w:t>
      </w:r>
    </w:p>
    <w:p w14:paraId="5C0E5674" w14:textId="77777777" w:rsidR="00000000" w:rsidRDefault="00832D71">
      <w:pPr>
        <w:pStyle w:val="a3"/>
        <w:spacing w:before="0" w:beforeAutospacing="0" w:after="0" w:afterAutospacing="0"/>
        <w:jc w:val="center"/>
        <w:rPr>
          <w:sz w:val="20"/>
          <w:szCs w:val="20"/>
        </w:rPr>
      </w:pPr>
      <w:r>
        <w:rPr>
          <w:b/>
          <w:bCs/>
          <w:sz w:val="20"/>
          <w:szCs w:val="20"/>
        </w:rPr>
        <w:t>SUBURBAN PROPANE PARTNERS, L.P. AND SUBSIDIARIE</w:t>
      </w:r>
      <w:r>
        <w:rPr>
          <w:b/>
          <w:bCs/>
          <w:sz w:val="20"/>
          <w:szCs w:val="20"/>
        </w:rPr>
        <w:t>S</w:t>
      </w:r>
    </w:p>
    <w:p w14:paraId="2D177EA0" w14:textId="77777777" w:rsidR="00000000" w:rsidRDefault="00832D71">
      <w:pPr>
        <w:pStyle w:val="a3"/>
        <w:spacing w:before="240" w:beforeAutospacing="0" w:after="0" w:afterAutospacing="0"/>
        <w:jc w:val="center"/>
        <w:rPr>
          <w:sz w:val="20"/>
          <w:szCs w:val="20"/>
        </w:rPr>
      </w:pPr>
      <w:r>
        <w:rPr>
          <w:b/>
          <w:bCs/>
          <w:sz w:val="20"/>
          <w:szCs w:val="20"/>
        </w:rPr>
        <w:t>CONSOLIDATED STATEMENTS</w:t>
      </w:r>
      <w:r>
        <w:rPr>
          <w:b/>
          <w:bCs/>
          <w:sz w:val="20"/>
          <w:szCs w:val="20"/>
        </w:rPr>
        <w:t xml:space="preserve"> </w:t>
      </w:r>
      <w:r>
        <w:rPr>
          <w:b/>
          <w:bCs/>
          <w:sz w:val="20"/>
          <w:szCs w:val="20"/>
        </w:rPr>
        <w:t>OF COMPREHENSIVE INCOM</w:t>
      </w:r>
      <w:r>
        <w:rPr>
          <w:b/>
          <w:bCs/>
          <w:sz w:val="20"/>
          <w:szCs w:val="20"/>
        </w:rPr>
        <w:t>E</w:t>
      </w:r>
    </w:p>
    <w:p w14:paraId="79619BD6" w14:textId="77777777" w:rsidR="00000000" w:rsidRDefault="00832D71">
      <w:pPr>
        <w:pStyle w:val="a3"/>
        <w:spacing w:before="0" w:beforeAutospacing="0" w:after="0" w:afterAutospacing="0"/>
        <w:jc w:val="center"/>
        <w:rPr>
          <w:sz w:val="20"/>
          <w:szCs w:val="20"/>
        </w:rPr>
      </w:pPr>
      <w:r>
        <w:rPr>
          <w:sz w:val="20"/>
          <w:szCs w:val="20"/>
        </w:rPr>
        <w:t>(in thousands</w:t>
      </w:r>
      <w:r>
        <w:rPr>
          <w:sz w:val="20"/>
          <w:szCs w:val="20"/>
        </w:rPr>
        <w:t>)</w:t>
      </w:r>
    </w:p>
    <w:p w14:paraId="30A4472C" w14:textId="77777777" w:rsidR="00000000" w:rsidRDefault="00832D7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16"/>
        <w:gridCol w:w="111"/>
        <w:gridCol w:w="160"/>
        <w:gridCol w:w="743"/>
        <w:gridCol w:w="110"/>
        <w:gridCol w:w="112"/>
        <w:gridCol w:w="160"/>
        <w:gridCol w:w="743"/>
        <w:gridCol w:w="110"/>
        <w:gridCol w:w="113"/>
        <w:gridCol w:w="161"/>
        <w:gridCol w:w="1225"/>
        <w:gridCol w:w="142"/>
      </w:tblGrid>
      <w:tr w:rsidR="00000000" w14:paraId="64EC1CE9" w14:textId="77777777">
        <w:trPr>
          <w:tblCellSpacing w:w="15" w:type="dxa"/>
        </w:trPr>
        <w:tc>
          <w:tcPr>
            <w:tcW w:w="2785" w:type="pct"/>
            <w:vAlign w:val="center"/>
            <w:hideMark/>
          </w:tcPr>
          <w:p w14:paraId="294B2227" w14:textId="77777777" w:rsidR="00000000" w:rsidRDefault="00832D71">
            <w:pPr>
              <w:rPr>
                <w:sz w:val="20"/>
                <w:szCs w:val="20"/>
              </w:rPr>
            </w:pPr>
          </w:p>
        </w:tc>
        <w:tc>
          <w:tcPr>
            <w:tcW w:w="67" w:type="pct"/>
            <w:vAlign w:val="center"/>
            <w:hideMark/>
          </w:tcPr>
          <w:p w14:paraId="4269EA5D" w14:textId="77777777" w:rsidR="00000000" w:rsidRDefault="00832D71">
            <w:pPr>
              <w:rPr>
                <w:rFonts w:eastAsia="Times New Roman"/>
                <w:sz w:val="20"/>
                <w:szCs w:val="20"/>
              </w:rPr>
            </w:pPr>
          </w:p>
        </w:tc>
        <w:tc>
          <w:tcPr>
            <w:tcW w:w="50" w:type="pct"/>
            <w:vAlign w:val="center"/>
            <w:hideMark/>
          </w:tcPr>
          <w:p w14:paraId="7450D476" w14:textId="77777777" w:rsidR="00000000" w:rsidRDefault="00832D71">
            <w:pPr>
              <w:rPr>
                <w:rFonts w:eastAsia="Times New Roman"/>
                <w:sz w:val="20"/>
                <w:szCs w:val="20"/>
              </w:rPr>
            </w:pPr>
          </w:p>
        </w:tc>
        <w:tc>
          <w:tcPr>
            <w:tcW w:w="468" w:type="pct"/>
            <w:vAlign w:val="center"/>
            <w:hideMark/>
          </w:tcPr>
          <w:p w14:paraId="5BF3BB89" w14:textId="77777777" w:rsidR="00000000" w:rsidRDefault="00832D71">
            <w:pPr>
              <w:rPr>
                <w:rFonts w:eastAsia="Times New Roman"/>
                <w:sz w:val="20"/>
                <w:szCs w:val="20"/>
              </w:rPr>
            </w:pPr>
          </w:p>
        </w:tc>
        <w:tc>
          <w:tcPr>
            <w:tcW w:w="50" w:type="pct"/>
            <w:vAlign w:val="center"/>
            <w:hideMark/>
          </w:tcPr>
          <w:p w14:paraId="306E5C99" w14:textId="77777777" w:rsidR="00000000" w:rsidRDefault="00832D71">
            <w:pPr>
              <w:rPr>
                <w:rFonts w:eastAsia="Times New Roman"/>
                <w:sz w:val="20"/>
                <w:szCs w:val="20"/>
              </w:rPr>
            </w:pPr>
          </w:p>
        </w:tc>
        <w:tc>
          <w:tcPr>
            <w:tcW w:w="68" w:type="pct"/>
            <w:vAlign w:val="center"/>
            <w:hideMark/>
          </w:tcPr>
          <w:p w14:paraId="14E32DA8" w14:textId="77777777" w:rsidR="00000000" w:rsidRDefault="00832D71">
            <w:pPr>
              <w:rPr>
                <w:rFonts w:eastAsia="Times New Roman"/>
                <w:sz w:val="20"/>
                <w:szCs w:val="20"/>
              </w:rPr>
            </w:pPr>
          </w:p>
        </w:tc>
        <w:tc>
          <w:tcPr>
            <w:tcW w:w="50" w:type="pct"/>
            <w:vAlign w:val="center"/>
            <w:hideMark/>
          </w:tcPr>
          <w:p w14:paraId="6A5B31DD" w14:textId="77777777" w:rsidR="00000000" w:rsidRDefault="00832D71">
            <w:pPr>
              <w:rPr>
                <w:rFonts w:eastAsia="Times New Roman"/>
                <w:sz w:val="20"/>
                <w:szCs w:val="20"/>
              </w:rPr>
            </w:pPr>
          </w:p>
        </w:tc>
        <w:tc>
          <w:tcPr>
            <w:tcW w:w="468" w:type="pct"/>
            <w:vAlign w:val="center"/>
            <w:hideMark/>
          </w:tcPr>
          <w:p w14:paraId="4794CF17" w14:textId="77777777" w:rsidR="00000000" w:rsidRDefault="00832D71">
            <w:pPr>
              <w:rPr>
                <w:rFonts w:eastAsia="Times New Roman"/>
                <w:sz w:val="20"/>
                <w:szCs w:val="20"/>
              </w:rPr>
            </w:pPr>
          </w:p>
        </w:tc>
        <w:tc>
          <w:tcPr>
            <w:tcW w:w="50" w:type="pct"/>
            <w:vAlign w:val="center"/>
            <w:hideMark/>
          </w:tcPr>
          <w:p w14:paraId="32D97D19" w14:textId="77777777" w:rsidR="00000000" w:rsidRDefault="00832D71">
            <w:pPr>
              <w:rPr>
                <w:rFonts w:eastAsia="Times New Roman"/>
                <w:sz w:val="20"/>
                <w:szCs w:val="20"/>
              </w:rPr>
            </w:pPr>
          </w:p>
        </w:tc>
        <w:tc>
          <w:tcPr>
            <w:tcW w:w="68" w:type="pct"/>
            <w:vAlign w:val="center"/>
            <w:hideMark/>
          </w:tcPr>
          <w:p w14:paraId="5CA0F675" w14:textId="77777777" w:rsidR="00000000" w:rsidRDefault="00832D71">
            <w:pPr>
              <w:rPr>
                <w:rFonts w:eastAsia="Times New Roman"/>
                <w:sz w:val="20"/>
                <w:szCs w:val="20"/>
              </w:rPr>
            </w:pPr>
          </w:p>
        </w:tc>
        <w:tc>
          <w:tcPr>
            <w:tcW w:w="50" w:type="pct"/>
            <w:vAlign w:val="center"/>
            <w:hideMark/>
          </w:tcPr>
          <w:p w14:paraId="261BC032" w14:textId="77777777" w:rsidR="00000000" w:rsidRDefault="00832D71">
            <w:pPr>
              <w:rPr>
                <w:rFonts w:eastAsia="Times New Roman"/>
                <w:sz w:val="20"/>
                <w:szCs w:val="20"/>
              </w:rPr>
            </w:pPr>
          </w:p>
        </w:tc>
        <w:tc>
          <w:tcPr>
            <w:tcW w:w="773" w:type="pct"/>
            <w:vAlign w:val="center"/>
            <w:hideMark/>
          </w:tcPr>
          <w:p w14:paraId="11A901E7" w14:textId="77777777" w:rsidR="00000000" w:rsidRDefault="00832D71">
            <w:pPr>
              <w:rPr>
                <w:rFonts w:eastAsia="Times New Roman"/>
                <w:sz w:val="20"/>
                <w:szCs w:val="20"/>
              </w:rPr>
            </w:pPr>
          </w:p>
        </w:tc>
        <w:tc>
          <w:tcPr>
            <w:tcW w:w="50" w:type="pct"/>
            <w:vAlign w:val="center"/>
            <w:hideMark/>
          </w:tcPr>
          <w:p w14:paraId="1BBAB630" w14:textId="77777777" w:rsidR="00000000" w:rsidRDefault="00832D71">
            <w:pPr>
              <w:rPr>
                <w:rFonts w:eastAsia="Times New Roman"/>
                <w:sz w:val="20"/>
                <w:szCs w:val="20"/>
              </w:rPr>
            </w:pPr>
          </w:p>
        </w:tc>
      </w:tr>
      <w:tr w:rsidR="00000000" w14:paraId="25A7302D" w14:textId="77777777">
        <w:trPr>
          <w:trHeight w:val="160"/>
          <w:tblCellSpacing w:w="15" w:type="dxa"/>
        </w:trPr>
        <w:tc>
          <w:tcPr>
            <w:tcW w:w="0" w:type="auto"/>
            <w:vAlign w:val="bottom"/>
            <w:hideMark/>
          </w:tcPr>
          <w:p w14:paraId="511E0FCE"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95120AA"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10"/>
            <w:vAlign w:val="bottom"/>
            <w:hideMark/>
          </w:tcPr>
          <w:p w14:paraId="085ED089" w14:textId="77777777" w:rsidR="00000000" w:rsidRDefault="00832D71">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14:paraId="3872C2C7"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1BA0F45A" w14:textId="77777777">
        <w:trPr>
          <w:trHeight w:val="160"/>
          <w:tblCellSpacing w:w="15" w:type="dxa"/>
        </w:trPr>
        <w:tc>
          <w:tcPr>
            <w:tcW w:w="0" w:type="auto"/>
            <w:vAlign w:val="bottom"/>
            <w:hideMark/>
          </w:tcPr>
          <w:p w14:paraId="19EFE6B2"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37204EC"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833856F" w14:textId="77777777" w:rsidR="00000000" w:rsidRDefault="00832D71">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14:paraId="1B92D9E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BBE3FF1"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CA7F642" w14:textId="77777777" w:rsidR="00000000" w:rsidRDefault="00832D71">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14:paraId="529F4FF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4CB98A9"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1AC74BE" w14:textId="77777777" w:rsidR="00000000" w:rsidRDefault="00832D71">
            <w:pPr>
              <w:pStyle w:val="a3"/>
              <w:spacing w:before="0" w:beforeAutospacing="0" w:after="0" w:afterAutospacing="0"/>
              <w:jc w:val="center"/>
              <w:rPr>
                <w:sz w:val="16"/>
                <w:szCs w:val="16"/>
              </w:rPr>
            </w:pPr>
            <w:r>
              <w:rPr>
                <w:b/>
                <w:bCs/>
                <w:sz w:val="16"/>
                <w:szCs w:val="16"/>
              </w:rPr>
              <w:t>September 26</w:t>
            </w:r>
            <w:r>
              <w:rPr>
                <w:b/>
                <w:bCs/>
                <w:sz w:val="16"/>
                <w:szCs w:val="16"/>
              </w:rPr>
              <w:t>,</w:t>
            </w:r>
          </w:p>
        </w:tc>
        <w:tc>
          <w:tcPr>
            <w:tcW w:w="0" w:type="auto"/>
            <w:vAlign w:val="bottom"/>
            <w:hideMark/>
          </w:tcPr>
          <w:p w14:paraId="600785B2"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1239B425" w14:textId="77777777">
        <w:trPr>
          <w:trHeight w:val="160"/>
          <w:tblCellSpacing w:w="15" w:type="dxa"/>
        </w:trPr>
        <w:tc>
          <w:tcPr>
            <w:tcW w:w="0" w:type="auto"/>
            <w:vAlign w:val="bottom"/>
            <w:hideMark/>
          </w:tcPr>
          <w:p w14:paraId="08CAEFC0"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C5C3E10"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9C5D730"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25DD0B28"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C01B248"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8214933"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1002099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9369416"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DDBEC9A"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7910BD43"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2E653B3" w14:textId="77777777">
        <w:trPr>
          <w:trHeight w:val="200"/>
          <w:tblCellSpacing w:w="15" w:type="dxa"/>
        </w:trPr>
        <w:tc>
          <w:tcPr>
            <w:tcW w:w="0" w:type="auto"/>
            <w:hideMark/>
          </w:tcPr>
          <w:p w14:paraId="4AC0AC35" w14:textId="77777777" w:rsidR="00000000" w:rsidRDefault="00832D71">
            <w:pPr>
              <w:pStyle w:val="a3"/>
              <w:spacing w:before="0" w:beforeAutospacing="0" w:after="0" w:afterAutospacing="0"/>
              <w:rPr>
                <w:sz w:val="20"/>
                <w:szCs w:val="20"/>
              </w:rPr>
            </w:pPr>
            <w:r>
              <w:rPr>
                <w:sz w:val="20"/>
                <w:szCs w:val="20"/>
              </w:rPr>
              <w:t>Net incom</w:t>
            </w:r>
            <w:r>
              <w:rPr>
                <w:sz w:val="20"/>
                <w:szCs w:val="20"/>
              </w:rPr>
              <w:t>e</w:t>
            </w:r>
          </w:p>
        </w:tc>
        <w:tc>
          <w:tcPr>
            <w:tcW w:w="0" w:type="auto"/>
            <w:vAlign w:val="bottom"/>
            <w:hideMark/>
          </w:tcPr>
          <w:p w14:paraId="5C9B530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DCC40D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FDFDB56" w14:textId="77777777" w:rsidR="00000000" w:rsidRDefault="00832D71">
            <w:pPr>
              <w:pStyle w:val="a3"/>
              <w:spacing w:before="0" w:beforeAutospacing="0" w:after="0" w:afterAutospacing="0"/>
              <w:jc w:val="right"/>
              <w:rPr>
                <w:sz w:val="20"/>
                <w:szCs w:val="20"/>
              </w:rPr>
            </w:pPr>
            <w:r>
              <w:rPr>
                <w:sz w:val="20"/>
                <w:szCs w:val="20"/>
              </w:rPr>
              <w:t>139,70</w:t>
            </w:r>
            <w:r>
              <w:rPr>
                <w:sz w:val="20"/>
                <w:szCs w:val="20"/>
              </w:rPr>
              <w:t>8</w:t>
            </w:r>
          </w:p>
        </w:tc>
        <w:tc>
          <w:tcPr>
            <w:tcW w:w="0" w:type="auto"/>
            <w:noWrap/>
            <w:vAlign w:val="bottom"/>
            <w:hideMark/>
          </w:tcPr>
          <w:p w14:paraId="39EE2F4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199C4F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325F45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21BD226" w14:textId="77777777" w:rsidR="00000000" w:rsidRDefault="00832D71">
            <w:pPr>
              <w:pStyle w:val="a3"/>
              <w:spacing w:before="0" w:beforeAutospacing="0" w:after="0" w:afterAutospacing="0"/>
              <w:jc w:val="right"/>
              <w:rPr>
                <w:sz w:val="20"/>
                <w:szCs w:val="20"/>
              </w:rPr>
            </w:pPr>
            <w:r>
              <w:rPr>
                <w:sz w:val="20"/>
                <w:szCs w:val="20"/>
              </w:rPr>
              <w:t>122,79</w:t>
            </w:r>
            <w:r>
              <w:rPr>
                <w:sz w:val="20"/>
                <w:szCs w:val="20"/>
              </w:rPr>
              <w:t>3</w:t>
            </w:r>
          </w:p>
        </w:tc>
        <w:tc>
          <w:tcPr>
            <w:tcW w:w="0" w:type="auto"/>
            <w:noWrap/>
            <w:vAlign w:val="bottom"/>
            <w:hideMark/>
          </w:tcPr>
          <w:p w14:paraId="6059DCA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272998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179C0D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6E7D372" w14:textId="77777777" w:rsidR="00000000" w:rsidRDefault="00832D71">
            <w:pPr>
              <w:pStyle w:val="a3"/>
              <w:spacing w:before="0" w:beforeAutospacing="0" w:after="0" w:afterAutospacing="0"/>
              <w:jc w:val="right"/>
              <w:rPr>
                <w:sz w:val="20"/>
                <w:szCs w:val="20"/>
              </w:rPr>
            </w:pPr>
            <w:r>
              <w:rPr>
                <w:sz w:val="20"/>
                <w:szCs w:val="20"/>
              </w:rPr>
              <w:t>60,75</w:t>
            </w:r>
            <w:r>
              <w:rPr>
                <w:sz w:val="20"/>
                <w:szCs w:val="20"/>
              </w:rPr>
              <w:t>8</w:t>
            </w:r>
          </w:p>
        </w:tc>
        <w:tc>
          <w:tcPr>
            <w:tcW w:w="0" w:type="auto"/>
            <w:noWrap/>
            <w:vAlign w:val="bottom"/>
            <w:hideMark/>
          </w:tcPr>
          <w:p w14:paraId="26A78000" w14:textId="77777777" w:rsidR="00000000" w:rsidRDefault="00832D71">
            <w:pPr>
              <w:pStyle w:val="a3"/>
              <w:spacing w:before="0" w:beforeAutospacing="0" w:after="0" w:afterAutospacing="0"/>
              <w:rPr>
                <w:sz w:val="20"/>
                <w:szCs w:val="20"/>
              </w:rPr>
            </w:pPr>
            <w:r>
              <w:rPr>
                <w:sz w:val="20"/>
                <w:szCs w:val="20"/>
              </w:rPr>
              <w:t> </w:t>
            </w:r>
          </w:p>
        </w:tc>
      </w:tr>
      <w:tr w:rsidR="00000000" w14:paraId="218EDF03" w14:textId="77777777">
        <w:trPr>
          <w:trHeight w:val="200"/>
          <w:tblCellSpacing w:w="15" w:type="dxa"/>
        </w:trPr>
        <w:tc>
          <w:tcPr>
            <w:tcW w:w="0" w:type="auto"/>
            <w:hideMark/>
          </w:tcPr>
          <w:p w14:paraId="5925A961" w14:textId="77777777" w:rsidR="00000000" w:rsidRDefault="00832D71">
            <w:pPr>
              <w:pStyle w:val="a3"/>
              <w:spacing w:before="0" w:beforeAutospacing="0" w:after="0" w:afterAutospacing="0"/>
              <w:rPr>
                <w:sz w:val="20"/>
                <w:szCs w:val="20"/>
              </w:rPr>
            </w:pPr>
            <w:r>
              <w:rPr>
                <w:sz w:val="20"/>
                <w:szCs w:val="20"/>
              </w:rPr>
              <w:t>Other comprehensive income</w:t>
            </w:r>
            <w:r>
              <w:rPr>
                <w:sz w:val="20"/>
                <w:szCs w:val="20"/>
              </w:rPr>
              <w:t>:</w:t>
            </w:r>
          </w:p>
        </w:tc>
        <w:tc>
          <w:tcPr>
            <w:tcW w:w="0" w:type="auto"/>
            <w:vAlign w:val="bottom"/>
            <w:hideMark/>
          </w:tcPr>
          <w:p w14:paraId="14DFE6A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CA05B2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ED6A44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B68932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5E21FD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EEBC7C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65C0D3C"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4749F0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905760F" w14:textId="77777777" w:rsidR="00000000" w:rsidRDefault="00832D71">
            <w:pPr>
              <w:pStyle w:val="a3"/>
              <w:spacing w:before="0" w:beforeAutospacing="0" w:after="0" w:afterAutospacing="0"/>
              <w:jc w:val="right"/>
              <w:rPr>
                <w:sz w:val="20"/>
                <w:szCs w:val="20"/>
              </w:rPr>
            </w:pPr>
            <w:r>
              <w:rPr>
                <w:sz w:val="20"/>
                <w:szCs w:val="20"/>
              </w:rPr>
              <w:t> </w:t>
            </w:r>
          </w:p>
        </w:tc>
      </w:tr>
      <w:tr w:rsidR="00000000" w14:paraId="4F789B7B" w14:textId="77777777">
        <w:trPr>
          <w:trHeight w:val="200"/>
          <w:tblCellSpacing w:w="15" w:type="dxa"/>
        </w:trPr>
        <w:tc>
          <w:tcPr>
            <w:tcW w:w="0" w:type="auto"/>
            <w:hideMark/>
          </w:tcPr>
          <w:p w14:paraId="010E4D76" w14:textId="77777777" w:rsidR="00000000" w:rsidRDefault="00832D71">
            <w:pPr>
              <w:pStyle w:val="a3"/>
              <w:spacing w:before="0" w:beforeAutospacing="0" w:after="0" w:afterAutospacing="0"/>
              <w:ind w:left="200"/>
              <w:rPr>
                <w:sz w:val="20"/>
                <w:szCs w:val="20"/>
              </w:rPr>
            </w:pPr>
            <w:r>
              <w:rPr>
                <w:sz w:val="20"/>
                <w:szCs w:val="20"/>
              </w:rPr>
              <w:t>Amortization of net actuarial gains (losses) and prior service credits into</w:t>
            </w:r>
            <w:r>
              <w:rPr>
                <w:sz w:val="20"/>
                <w:szCs w:val="20"/>
              </w:rPr>
              <w:br/>
              <w:t>   earnings and net change in funded status of benefit plan</w:t>
            </w:r>
            <w:r>
              <w:rPr>
                <w:sz w:val="20"/>
                <w:szCs w:val="20"/>
              </w:rPr>
              <w:t>s</w:t>
            </w:r>
          </w:p>
        </w:tc>
        <w:tc>
          <w:tcPr>
            <w:tcW w:w="0" w:type="auto"/>
            <w:vAlign w:val="bottom"/>
            <w:hideMark/>
          </w:tcPr>
          <w:p w14:paraId="1CBE536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C925E5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63A7010" w14:textId="77777777" w:rsidR="00000000" w:rsidRDefault="00832D71">
            <w:pPr>
              <w:pStyle w:val="a3"/>
              <w:spacing w:before="0" w:beforeAutospacing="0" w:after="0" w:afterAutospacing="0"/>
              <w:jc w:val="right"/>
              <w:rPr>
                <w:sz w:val="20"/>
                <w:szCs w:val="20"/>
              </w:rPr>
            </w:pPr>
            <w:r>
              <w:rPr>
                <w:sz w:val="20"/>
                <w:szCs w:val="20"/>
              </w:rPr>
              <w:t>4,14</w:t>
            </w:r>
            <w:r>
              <w:rPr>
                <w:sz w:val="20"/>
                <w:szCs w:val="20"/>
              </w:rPr>
              <w:t>8</w:t>
            </w:r>
          </w:p>
        </w:tc>
        <w:tc>
          <w:tcPr>
            <w:tcW w:w="0" w:type="auto"/>
            <w:noWrap/>
            <w:vAlign w:val="bottom"/>
            <w:hideMark/>
          </w:tcPr>
          <w:p w14:paraId="2AE9CB0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61E0A9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988BD7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DD92EB5" w14:textId="77777777" w:rsidR="00000000" w:rsidRDefault="00832D71">
            <w:pPr>
              <w:pStyle w:val="a3"/>
              <w:spacing w:before="0" w:beforeAutospacing="0" w:after="0" w:afterAutospacing="0"/>
              <w:jc w:val="right"/>
              <w:rPr>
                <w:sz w:val="20"/>
                <w:szCs w:val="20"/>
              </w:rPr>
            </w:pPr>
            <w:r>
              <w:rPr>
                <w:sz w:val="20"/>
                <w:szCs w:val="20"/>
              </w:rPr>
              <w:t>7,23</w:t>
            </w:r>
            <w:r>
              <w:rPr>
                <w:sz w:val="20"/>
                <w:szCs w:val="20"/>
              </w:rPr>
              <w:t>4</w:t>
            </w:r>
          </w:p>
        </w:tc>
        <w:tc>
          <w:tcPr>
            <w:tcW w:w="0" w:type="auto"/>
            <w:noWrap/>
            <w:vAlign w:val="bottom"/>
            <w:hideMark/>
          </w:tcPr>
          <w:p w14:paraId="0FE1C39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319A98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A88D3C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E30E37E" w14:textId="77777777" w:rsidR="00000000" w:rsidRDefault="00832D71">
            <w:pPr>
              <w:pStyle w:val="a3"/>
              <w:spacing w:before="0" w:beforeAutospacing="0" w:after="0" w:afterAutospacing="0"/>
              <w:jc w:val="right"/>
              <w:rPr>
                <w:sz w:val="20"/>
                <w:szCs w:val="20"/>
              </w:rPr>
            </w:pPr>
            <w:r>
              <w:rPr>
                <w:sz w:val="20"/>
                <w:szCs w:val="20"/>
              </w:rPr>
              <w:t>(</w:t>
            </w:r>
            <w:r>
              <w:rPr>
                <w:sz w:val="20"/>
                <w:szCs w:val="20"/>
              </w:rPr>
              <w:t>64</w:t>
            </w:r>
            <w:r>
              <w:rPr>
                <w:sz w:val="20"/>
                <w:szCs w:val="20"/>
              </w:rPr>
              <w:t>1</w:t>
            </w:r>
          </w:p>
        </w:tc>
        <w:tc>
          <w:tcPr>
            <w:tcW w:w="0" w:type="auto"/>
            <w:noWrap/>
            <w:vAlign w:val="bottom"/>
            <w:hideMark/>
          </w:tcPr>
          <w:p w14:paraId="549411B8" w14:textId="77777777" w:rsidR="00000000" w:rsidRDefault="00832D71">
            <w:pPr>
              <w:pStyle w:val="a3"/>
              <w:spacing w:before="0" w:beforeAutospacing="0" w:after="0" w:afterAutospacing="0"/>
              <w:rPr>
                <w:sz w:val="20"/>
                <w:szCs w:val="20"/>
              </w:rPr>
            </w:pPr>
            <w:r>
              <w:rPr>
                <w:sz w:val="20"/>
                <w:szCs w:val="20"/>
              </w:rPr>
              <w:t>)</w:t>
            </w:r>
          </w:p>
        </w:tc>
      </w:tr>
      <w:tr w:rsidR="00000000" w14:paraId="5A5601D5" w14:textId="77777777">
        <w:trPr>
          <w:trHeight w:val="200"/>
          <w:tblCellSpacing w:w="15" w:type="dxa"/>
        </w:trPr>
        <w:tc>
          <w:tcPr>
            <w:tcW w:w="0" w:type="auto"/>
            <w:hideMark/>
          </w:tcPr>
          <w:p w14:paraId="60F19D24" w14:textId="77777777" w:rsidR="00000000" w:rsidRDefault="00832D71">
            <w:pPr>
              <w:pStyle w:val="a3"/>
              <w:spacing w:before="0" w:beforeAutospacing="0" w:after="0" w:afterAutospacing="0"/>
              <w:ind w:left="200"/>
              <w:rPr>
                <w:sz w:val="20"/>
                <w:szCs w:val="20"/>
              </w:rPr>
            </w:pPr>
            <w:r>
              <w:rPr>
                <w:sz w:val="20"/>
                <w:szCs w:val="20"/>
              </w:rPr>
              <w:t>Recognition in earnings of net actuarial loss for pension settlemen</w:t>
            </w:r>
            <w:r>
              <w:rPr>
                <w:sz w:val="20"/>
                <w:szCs w:val="20"/>
              </w:rPr>
              <w:t>t</w:t>
            </w:r>
          </w:p>
        </w:tc>
        <w:tc>
          <w:tcPr>
            <w:tcW w:w="0" w:type="auto"/>
            <w:vAlign w:val="bottom"/>
            <w:hideMark/>
          </w:tcPr>
          <w:p w14:paraId="302657A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9FD78E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C13606D" w14:textId="77777777" w:rsidR="00000000" w:rsidRDefault="00832D71">
            <w:pPr>
              <w:pStyle w:val="a3"/>
              <w:spacing w:before="0" w:beforeAutospacing="0" w:after="0" w:afterAutospacing="0"/>
              <w:jc w:val="right"/>
              <w:rPr>
                <w:sz w:val="20"/>
                <w:szCs w:val="20"/>
              </w:rPr>
            </w:pPr>
            <w:r>
              <w:rPr>
                <w:sz w:val="20"/>
                <w:szCs w:val="20"/>
              </w:rPr>
              <w:t>84</w:t>
            </w:r>
            <w:r>
              <w:rPr>
                <w:sz w:val="20"/>
                <w:szCs w:val="20"/>
              </w:rPr>
              <w:t>0</w:t>
            </w:r>
          </w:p>
        </w:tc>
        <w:tc>
          <w:tcPr>
            <w:tcW w:w="0" w:type="auto"/>
            <w:noWrap/>
            <w:vAlign w:val="bottom"/>
            <w:hideMark/>
          </w:tcPr>
          <w:p w14:paraId="2E6705C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1553E0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E39FFE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21B9EA2" w14:textId="77777777" w:rsidR="00000000" w:rsidRDefault="00832D71">
            <w:pPr>
              <w:pStyle w:val="a3"/>
              <w:spacing w:before="0" w:beforeAutospacing="0" w:after="0" w:afterAutospacing="0"/>
              <w:jc w:val="right"/>
              <w:rPr>
                <w:sz w:val="20"/>
                <w:szCs w:val="20"/>
              </w:rPr>
            </w:pPr>
            <w:r>
              <w:rPr>
                <w:sz w:val="20"/>
                <w:szCs w:val="20"/>
              </w:rPr>
              <w:t>95</w:t>
            </w:r>
            <w:r>
              <w:rPr>
                <w:sz w:val="20"/>
                <w:szCs w:val="20"/>
              </w:rPr>
              <w:t>8</w:t>
            </w:r>
          </w:p>
        </w:tc>
        <w:tc>
          <w:tcPr>
            <w:tcW w:w="0" w:type="auto"/>
            <w:noWrap/>
            <w:vAlign w:val="bottom"/>
            <w:hideMark/>
          </w:tcPr>
          <w:p w14:paraId="48A1729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4B6A8A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E70202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E8E2ECA" w14:textId="77777777" w:rsidR="00000000" w:rsidRDefault="00832D71">
            <w:pPr>
              <w:pStyle w:val="a3"/>
              <w:spacing w:before="0" w:beforeAutospacing="0" w:after="0" w:afterAutospacing="0"/>
              <w:jc w:val="right"/>
              <w:rPr>
                <w:sz w:val="20"/>
                <w:szCs w:val="20"/>
              </w:rPr>
            </w:pPr>
            <w:r>
              <w:rPr>
                <w:sz w:val="20"/>
                <w:szCs w:val="20"/>
              </w:rPr>
              <w:t>1,05</w:t>
            </w:r>
            <w:r>
              <w:rPr>
                <w:sz w:val="20"/>
                <w:szCs w:val="20"/>
              </w:rPr>
              <w:t>1</w:t>
            </w:r>
          </w:p>
        </w:tc>
        <w:tc>
          <w:tcPr>
            <w:tcW w:w="0" w:type="auto"/>
            <w:noWrap/>
            <w:vAlign w:val="bottom"/>
            <w:hideMark/>
          </w:tcPr>
          <w:p w14:paraId="3FA5E52F" w14:textId="77777777" w:rsidR="00000000" w:rsidRDefault="00832D71">
            <w:pPr>
              <w:pStyle w:val="a3"/>
              <w:spacing w:before="0" w:beforeAutospacing="0" w:after="0" w:afterAutospacing="0"/>
              <w:rPr>
                <w:sz w:val="20"/>
                <w:szCs w:val="20"/>
              </w:rPr>
            </w:pPr>
            <w:r>
              <w:rPr>
                <w:sz w:val="20"/>
                <w:szCs w:val="20"/>
              </w:rPr>
              <w:t> </w:t>
            </w:r>
          </w:p>
        </w:tc>
      </w:tr>
      <w:tr w:rsidR="00000000" w14:paraId="05A16308" w14:textId="77777777">
        <w:trPr>
          <w:trHeight w:val="200"/>
          <w:tblCellSpacing w:w="15" w:type="dxa"/>
        </w:trPr>
        <w:tc>
          <w:tcPr>
            <w:tcW w:w="0" w:type="auto"/>
            <w:hideMark/>
          </w:tcPr>
          <w:p w14:paraId="30912657" w14:textId="77777777" w:rsidR="00000000" w:rsidRDefault="00832D71">
            <w:pPr>
              <w:pStyle w:val="a3"/>
              <w:spacing w:before="0" w:beforeAutospacing="0" w:after="0" w:afterAutospacing="0"/>
              <w:rPr>
                <w:sz w:val="20"/>
                <w:szCs w:val="20"/>
              </w:rPr>
            </w:pPr>
            <w:r>
              <w:rPr>
                <w:sz w:val="20"/>
                <w:szCs w:val="20"/>
              </w:rPr>
              <w:t>Other comprehensive incom</w:t>
            </w:r>
            <w:r>
              <w:rPr>
                <w:sz w:val="20"/>
                <w:szCs w:val="20"/>
              </w:rPr>
              <w:t>e</w:t>
            </w:r>
          </w:p>
        </w:tc>
        <w:tc>
          <w:tcPr>
            <w:tcW w:w="0" w:type="auto"/>
            <w:vAlign w:val="bottom"/>
            <w:hideMark/>
          </w:tcPr>
          <w:p w14:paraId="4B78A8E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EF482D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54BE1D9" w14:textId="77777777" w:rsidR="00000000" w:rsidRDefault="00832D71">
            <w:pPr>
              <w:pStyle w:val="a3"/>
              <w:spacing w:before="0" w:beforeAutospacing="0" w:after="0" w:afterAutospacing="0"/>
              <w:jc w:val="right"/>
              <w:rPr>
                <w:sz w:val="20"/>
                <w:szCs w:val="20"/>
              </w:rPr>
            </w:pPr>
            <w:r>
              <w:rPr>
                <w:sz w:val="20"/>
                <w:szCs w:val="20"/>
              </w:rPr>
              <w:t>4,98</w:t>
            </w:r>
            <w:r>
              <w:rPr>
                <w:sz w:val="20"/>
                <w:szCs w:val="20"/>
              </w:rPr>
              <w:t>8</w:t>
            </w:r>
          </w:p>
        </w:tc>
        <w:tc>
          <w:tcPr>
            <w:tcW w:w="0" w:type="auto"/>
            <w:noWrap/>
            <w:vAlign w:val="bottom"/>
            <w:hideMark/>
          </w:tcPr>
          <w:p w14:paraId="3B240BC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0E5029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CA0921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711BB0C" w14:textId="77777777" w:rsidR="00000000" w:rsidRDefault="00832D71">
            <w:pPr>
              <w:pStyle w:val="a3"/>
              <w:spacing w:before="0" w:beforeAutospacing="0" w:after="0" w:afterAutospacing="0"/>
              <w:jc w:val="right"/>
              <w:rPr>
                <w:sz w:val="20"/>
                <w:szCs w:val="20"/>
              </w:rPr>
            </w:pPr>
            <w:r>
              <w:rPr>
                <w:sz w:val="20"/>
                <w:szCs w:val="20"/>
              </w:rPr>
              <w:t>8,19</w:t>
            </w:r>
            <w:r>
              <w:rPr>
                <w:sz w:val="20"/>
                <w:szCs w:val="20"/>
              </w:rPr>
              <w:t>2</w:t>
            </w:r>
          </w:p>
        </w:tc>
        <w:tc>
          <w:tcPr>
            <w:tcW w:w="0" w:type="auto"/>
            <w:noWrap/>
            <w:vAlign w:val="bottom"/>
            <w:hideMark/>
          </w:tcPr>
          <w:p w14:paraId="5E419FC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69AE4F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F4EAB8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8162A30" w14:textId="77777777" w:rsidR="00000000" w:rsidRDefault="00832D71">
            <w:pPr>
              <w:pStyle w:val="a3"/>
              <w:spacing w:before="0" w:beforeAutospacing="0" w:after="0" w:afterAutospacing="0"/>
              <w:jc w:val="right"/>
              <w:rPr>
                <w:sz w:val="20"/>
                <w:szCs w:val="20"/>
              </w:rPr>
            </w:pPr>
            <w:r>
              <w:rPr>
                <w:sz w:val="20"/>
                <w:szCs w:val="20"/>
              </w:rPr>
              <w:t>41</w:t>
            </w:r>
            <w:r>
              <w:rPr>
                <w:sz w:val="20"/>
                <w:szCs w:val="20"/>
              </w:rPr>
              <w:t>0</w:t>
            </w:r>
          </w:p>
        </w:tc>
        <w:tc>
          <w:tcPr>
            <w:tcW w:w="0" w:type="auto"/>
            <w:noWrap/>
            <w:vAlign w:val="bottom"/>
            <w:hideMark/>
          </w:tcPr>
          <w:p w14:paraId="255D415D" w14:textId="77777777" w:rsidR="00000000" w:rsidRDefault="00832D71">
            <w:pPr>
              <w:pStyle w:val="a3"/>
              <w:spacing w:before="0" w:beforeAutospacing="0" w:after="0" w:afterAutospacing="0"/>
              <w:rPr>
                <w:sz w:val="20"/>
                <w:szCs w:val="20"/>
              </w:rPr>
            </w:pPr>
            <w:r>
              <w:rPr>
                <w:sz w:val="20"/>
                <w:szCs w:val="20"/>
              </w:rPr>
              <w:t> </w:t>
            </w:r>
          </w:p>
        </w:tc>
      </w:tr>
      <w:tr w:rsidR="00000000" w14:paraId="3AFDC002" w14:textId="77777777">
        <w:trPr>
          <w:trHeight w:val="200"/>
          <w:tblCellSpacing w:w="15" w:type="dxa"/>
        </w:trPr>
        <w:tc>
          <w:tcPr>
            <w:tcW w:w="0" w:type="auto"/>
            <w:hideMark/>
          </w:tcPr>
          <w:p w14:paraId="1B60E002" w14:textId="77777777" w:rsidR="00000000" w:rsidRDefault="00832D71">
            <w:pPr>
              <w:pStyle w:val="a3"/>
              <w:spacing w:before="0" w:beforeAutospacing="0" w:after="0" w:afterAutospacing="0"/>
              <w:rPr>
                <w:sz w:val="20"/>
                <w:szCs w:val="20"/>
              </w:rPr>
            </w:pPr>
            <w:r>
              <w:rPr>
                <w:sz w:val="20"/>
                <w:szCs w:val="20"/>
              </w:rPr>
              <w:t>Total comprehensive incom</w:t>
            </w:r>
            <w:r>
              <w:rPr>
                <w:sz w:val="20"/>
                <w:szCs w:val="20"/>
              </w:rPr>
              <w:t>e</w:t>
            </w:r>
          </w:p>
        </w:tc>
        <w:tc>
          <w:tcPr>
            <w:tcW w:w="0" w:type="auto"/>
            <w:vAlign w:val="bottom"/>
            <w:hideMark/>
          </w:tcPr>
          <w:p w14:paraId="6E7E65B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21232F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F3B159D" w14:textId="77777777" w:rsidR="00000000" w:rsidRDefault="00832D71">
            <w:pPr>
              <w:pStyle w:val="a3"/>
              <w:spacing w:before="0" w:beforeAutospacing="0" w:after="0" w:afterAutospacing="0"/>
              <w:jc w:val="right"/>
              <w:rPr>
                <w:sz w:val="20"/>
                <w:szCs w:val="20"/>
              </w:rPr>
            </w:pPr>
            <w:r>
              <w:rPr>
                <w:sz w:val="20"/>
                <w:szCs w:val="20"/>
              </w:rPr>
              <w:t>144,69</w:t>
            </w:r>
            <w:r>
              <w:rPr>
                <w:sz w:val="20"/>
                <w:szCs w:val="20"/>
              </w:rPr>
              <w:t>6</w:t>
            </w:r>
          </w:p>
        </w:tc>
        <w:tc>
          <w:tcPr>
            <w:tcW w:w="0" w:type="auto"/>
            <w:noWrap/>
            <w:vAlign w:val="bottom"/>
            <w:hideMark/>
          </w:tcPr>
          <w:p w14:paraId="68B8EB9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9341D7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F5B048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1C9352F" w14:textId="77777777" w:rsidR="00000000" w:rsidRDefault="00832D71">
            <w:pPr>
              <w:pStyle w:val="a3"/>
              <w:spacing w:before="0" w:beforeAutospacing="0" w:after="0" w:afterAutospacing="0"/>
              <w:jc w:val="right"/>
              <w:rPr>
                <w:sz w:val="20"/>
                <w:szCs w:val="20"/>
              </w:rPr>
            </w:pPr>
            <w:r>
              <w:rPr>
                <w:sz w:val="20"/>
                <w:szCs w:val="20"/>
              </w:rPr>
              <w:t>130,98</w:t>
            </w:r>
            <w:r>
              <w:rPr>
                <w:sz w:val="20"/>
                <w:szCs w:val="20"/>
              </w:rPr>
              <w:t>5</w:t>
            </w:r>
          </w:p>
        </w:tc>
        <w:tc>
          <w:tcPr>
            <w:tcW w:w="0" w:type="auto"/>
            <w:noWrap/>
            <w:vAlign w:val="bottom"/>
            <w:hideMark/>
          </w:tcPr>
          <w:p w14:paraId="7F0A486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887983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4E6597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402A62F" w14:textId="77777777" w:rsidR="00000000" w:rsidRDefault="00832D71">
            <w:pPr>
              <w:pStyle w:val="a3"/>
              <w:spacing w:before="0" w:beforeAutospacing="0" w:after="0" w:afterAutospacing="0"/>
              <w:jc w:val="right"/>
              <w:rPr>
                <w:sz w:val="20"/>
                <w:szCs w:val="20"/>
              </w:rPr>
            </w:pPr>
            <w:r>
              <w:rPr>
                <w:sz w:val="20"/>
                <w:szCs w:val="20"/>
              </w:rPr>
              <w:t>61,16</w:t>
            </w:r>
            <w:r>
              <w:rPr>
                <w:sz w:val="20"/>
                <w:szCs w:val="20"/>
              </w:rPr>
              <w:t>8</w:t>
            </w:r>
          </w:p>
        </w:tc>
        <w:tc>
          <w:tcPr>
            <w:tcW w:w="0" w:type="auto"/>
            <w:noWrap/>
            <w:vAlign w:val="bottom"/>
            <w:hideMark/>
          </w:tcPr>
          <w:p w14:paraId="54AE3A41" w14:textId="77777777" w:rsidR="00000000" w:rsidRDefault="00832D71">
            <w:pPr>
              <w:pStyle w:val="a3"/>
              <w:spacing w:before="0" w:beforeAutospacing="0" w:after="0" w:afterAutospacing="0"/>
              <w:rPr>
                <w:sz w:val="20"/>
                <w:szCs w:val="20"/>
              </w:rPr>
            </w:pPr>
            <w:r>
              <w:rPr>
                <w:sz w:val="20"/>
                <w:szCs w:val="20"/>
              </w:rPr>
              <w:t> </w:t>
            </w:r>
          </w:p>
        </w:tc>
      </w:tr>
    </w:tbl>
    <w:p w14:paraId="33BBD1E3" w14:textId="77777777" w:rsidR="00000000" w:rsidRDefault="00832D71">
      <w:pPr>
        <w:pStyle w:val="a3"/>
        <w:spacing w:before="0" w:beforeAutospacing="0" w:after="0" w:afterAutospacing="0"/>
        <w:rPr>
          <w:sz w:val="20"/>
          <w:szCs w:val="20"/>
        </w:rPr>
      </w:pPr>
      <w:r>
        <w:rPr>
          <w:sz w:val="20"/>
          <w:szCs w:val="20"/>
        </w:rPr>
        <w:t> </w:t>
      </w:r>
    </w:p>
    <w:p w14:paraId="476FBE0B" w14:textId="77777777" w:rsidR="00000000" w:rsidRDefault="00832D71">
      <w:pPr>
        <w:pStyle w:val="a3"/>
        <w:spacing w:before="0" w:beforeAutospacing="0" w:after="0" w:afterAutospacing="0"/>
        <w:rPr>
          <w:sz w:val="20"/>
          <w:szCs w:val="20"/>
        </w:rPr>
      </w:pPr>
      <w:r>
        <w:rPr>
          <w:sz w:val="20"/>
          <w:szCs w:val="20"/>
        </w:rPr>
        <w:t> </w:t>
      </w:r>
    </w:p>
    <w:p w14:paraId="24DA77E7" w14:textId="77777777" w:rsidR="00000000" w:rsidRDefault="00832D71">
      <w:pPr>
        <w:pStyle w:val="a3"/>
        <w:spacing w:before="0" w:beforeAutospacing="0" w:after="0" w:afterAutospacing="0"/>
        <w:rPr>
          <w:sz w:val="20"/>
          <w:szCs w:val="20"/>
        </w:rPr>
      </w:pPr>
      <w:r>
        <w:rPr>
          <w:sz w:val="20"/>
          <w:szCs w:val="20"/>
        </w:rPr>
        <w:t> </w:t>
      </w:r>
    </w:p>
    <w:p w14:paraId="6C368C77" w14:textId="77777777" w:rsidR="00000000" w:rsidRDefault="00832D71">
      <w:pPr>
        <w:pStyle w:val="a3"/>
        <w:spacing w:before="0" w:beforeAutospacing="0" w:after="0" w:afterAutospacing="0"/>
        <w:rPr>
          <w:sz w:val="20"/>
          <w:szCs w:val="20"/>
        </w:rPr>
      </w:pPr>
      <w:r>
        <w:rPr>
          <w:sz w:val="20"/>
          <w:szCs w:val="20"/>
        </w:rPr>
        <w:t> </w:t>
      </w:r>
    </w:p>
    <w:p w14:paraId="03B7B03D" w14:textId="77777777" w:rsidR="00000000" w:rsidRDefault="00832D71">
      <w:pPr>
        <w:pStyle w:val="a3"/>
        <w:spacing w:before="0" w:beforeAutospacing="0" w:after="0" w:afterAutospacing="0"/>
        <w:rPr>
          <w:sz w:val="20"/>
          <w:szCs w:val="20"/>
        </w:rPr>
      </w:pPr>
      <w:r>
        <w:rPr>
          <w:sz w:val="20"/>
          <w:szCs w:val="20"/>
        </w:rPr>
        <w:t> </w:t>
      </w:r>
    </w:p>
    <w:p w14:paraId="38F0C324" w14:textId="77777777" w:rsidR="00000000" w:rsidRDefault="00832D71">
      <w:pPr>
        <w:pStyle w:val="a3"/>
        <w:spacing w:before="0" w:beforeAutospacing="0" w:after="0" w:afterAutospacing="0"/>
        <w:rPr>
          <w:sz w:val="20"/>
          <w:szCs w:val="20"/>
        </w:rPr>
      </w:pPr>
      <w:r>
        <w:rPr>
          <w:sz w:val="20"/>
          <w:szCs w:val="20"/>
        </w:rPr>
        <w:t> </w:t>
      </w:r>
    </w:p>
    <w:p w14:paraId="077B11A6" w14:textId="77777777" w:rsidR="00000000" w:rsidRDefault="00832D71">
      <w:pPr>
        <w:pStyle w:val="a3"/>
        <w:spacing w:before="0" w:beforeAutospacing="0" w:after="0" w:afterAutospacing="0"/>
        <w:rPr>
          <w:sz w:val="20"/>
          <w:szCs w:val="20"/>
        </w:rPr>
      </w:pPr>
      <w:r>
        <w:rPr>
          <w:sz w:val="20"/>
          <w:szCs w:val="20"/>
        </w:rPr>
        <w:t> </w:t>
      </w:r>
    </w:p>
    <w:p w14:paraId="1760D16B" w14:textId="77777777" w:rsidR="00000000" w:rsidRDefault="00832D71">
      <w:pPr>
        <w:pStyle w:val="a3"/>
        <w:spacing w:before="0" w:beforeAutospacing="0" w:after="0" w:afterAutospacing="0"/>
        <w:rPr>
          <w:sz w:val="20"/>
          <w:szCs w:val="20"/>
        </w:rPr>
      </w:pPr>
      <w:r>
        <w:rPr>
          <w:sz w:val="20"/>
          <w:szCs w:val="20"/>
        </w:rPr>
        <w:t> </w:t>
      </w:r>
    </w:p>
    <w:p w14:paraId="784EAD9D" w14:textId="77777777" w:rsidR="00000000" w:rsidRDefault="00832D71">
      <w:pPr>
        <w:pStyle w:val="a3"/>
        <w:spacing w:before="0" w:beforeAutospacing="0" w:after="0" w:afterAutospacing="0"/>
        <w:rPr>
          <w:sz w:val="20"/>
          <w:szCs w:val="20"/>
        </w:rPr>
      </w:pPr>
      <w:r>
        <w:rPr>
          <w:sz w:val="20"/>
          <w:szCs w:val="20"/>
        </w:rPr>
        <w:t> </w:t>
      </w:r>
    </w:p>
    <w:p w14:paraId="7D6765A1" w14:textId="77777777" w:rsidR="00000000" w:rsidRDefault="00832D71">
      <w:pPr>
        <w:pStyle w:val="a3"/>
        <w:spacing w:before="0" w:beforeAutospacing="0" w:after="0" w:afterAutospacing="0"/>
        <w:rPr>
          <w:sz w:val="20"/>
          <w:szCs w:val="20"/>
        </w:rPr>
      </w:pPr>
      <w:r>
        <w:rPr>
          <w:sz w:val="20"/>
          <w:szCs w:val="20"/>
        </w:rPr>
        <w:t> </w:t>
      </w:r>
    </w:p>
    <w:p w14:paraId="02B2CC99" w14:textId="77777777" w:rsidR="00000000" w:rsidRDefault="00832D71">
      <w:pPr>
        <w:pStyle w:val="a3"/>
        <w:spacing w:before="0" w:beforeAutospacing="0" w:after="0" w:afterAutospacing="0"/>
        <w:rPr>
          <w:sz w:val="20"/>
          <w:szCs w:val="20"/>
        </w:rPr>
      </w:pPr>
      <w:r>
        <w:rPr>
          <w:sz w:val="20"/>
          <w:szCs w:val="20"/>
        </w:rPr>
        <w:t> </w:t>
      </w:r>
    </w:p>
    <w:p w14:paraId="205FCDD8" w14:textId="77777777" w:rsidR="00000000" w:rsidRDefault="00832D71">
      <w:pPr>
        <w:pStyle w:val="a3"/>
        <w:spacing w:before="0" w:beforeAutospacing="0" w:after="0" w:afterAutospacing="0"/>
        <w:rPr>
          <w:sz w:val="20"/>
          <w:szCs w:val="20"/>
        </w:rPr>
      </w:pPr>
      <w:r>
        <w:rPr>
          <w:sz w:val="20"/>
          <w:szCs w:val="20"/>
        </w:rPr>
        <w:t> </w:t>
      </w:r>
    </w:p>
    <w:p w14:paraId="16689D28" w14:textId="77777777" w:rsidR="00000000" w:rsidRDefault="00832D71">
      <w:pPr>
        <w:pStyle w:val="a3"/>
        <w:spacing w:before="0" w:beforeAutospacing="0" w:after="0" w:afterAutospacing="0"/>
        <w:rPr>
          <w:sz w:val="20"/>
          <w:szCs w:val="20"/>
        </w:rPr>
      </w:pPr>
      <w:r>
        <w:rPr>
          <w:sz w:val="20"/>
          <w:szCs w:val="20"/>
        </w:rPr>
        <w:t> </w:t>
      </w:r>
    </w:p>
    <w:p w14:paraId="4661CF2A" w14:textId="77777777" w:rsidR="00000000" w:rsidRDefault="00832D71">
      <w:pPr>
        <w:pStyle w:val="a3"/>
        <w:spacing w:before="0" w:beforeAutospacing="0" w:after="0" w:afterAutospacing="0"/>
        <w:rPr>
          <w:sz w:val="20"/>
          <w:szCs w:val="20"/>
        </w:rPr>
      </w:pPr>
      <w:r>
        <w:rPr>
          <w:sz w:val="20"/>
          <w:szCs w:val="20"/>
        </w:rPr>
        <w:t> </w:t>
      </w:r>
    </w:p>
    <w:p w14:paraId="31554A9C" w14:textId="77777777" w:rsidR="00000000" w:rsidRDefault="00832D71">
      <w:pPr>
        <w:pStyle w:val="a3"/>
        <w:spacing w:before="0" w:beforeAutospacing="0" w:after="0" w:afterAutospacing="0"/>
        <w:rPr>
          <w:sz w:val="20"/>
          <w:szCs w:val="20"/>
        </w:rPr>
      </w:pPr>
      <w:r>
        <w:rPr>
          <w:sz w:val="20"/>
          <w:szCs w:val="20"/>
        </w:rPr>
        <w:t> </w:t>
      </w:r>
    </w:p>
    <w:p w14:paraId="301C2009" w14:textId="77777777" w:rsidR="00000000" w:rsidRDefault="00832D71">
      <w:pPr>
        <w:pStyle w:val="a3"/>
        <w:spacing w:before="0" w:beforeAutospacing="0" w:after="0" w:afterAutospacing="0"/>
        <w:rPr>
          <w:sz w:val="20"/>
          <w:szCs w:val="20"/>
        </w:rPr>
      </w:pPr>
      <w:r>
        <w:rPr>
          <w:sz w:val="20"/>
          <w:szCs w:val="20"/>
        </w:rPr>
        <w:t> </w:t>
      </w:r>
    </w:p>
    <w:p w14:paraId="4205B92F" w14:textId="77777777" w:rsidR="00000000" w:rsidRDefault="00832D71">
      <w:pPr>
        <w:pStyle w:val="a3"/>
        <w:spacing w:before="0" w:beforeAutospacing="0" w:after="0" w:afterAutospacing="0"/>
        <w:rPr>
          <w:sz w:val="20"/>
          <w:szCs w:val="20"/>
        </w:rPr>
      </w:pPr>
      <w:r>
        <w:rPr>
          <w:sz w:val="20"/>
          <w:szCs w:val="20"/>
        </w:rPr>
        <w:t> </w:t>
      </w:r>
    </w:p>
    <w:p w14:paraId="709E1796" w14:textId="77777777" w:rsidR="00000000" w:rsidRDefault="00832D71">
      <w:pPr>
        <w:pStyle w:val="a3"/>
        <w:spacing w:before="0" w:beforeAutospacing="0" w:after="0" w:afterAutospacing="0"/>
        <w:rPr>
          <w:sz w:val="20"/>
          <w:szCs w:val="20"/>
        </w:rPr>
      </w:pPr>
      <w:r>
        <w:rPr>
          <w:sz w:val="20"/>
          <w:szCs w:val="20"/>
        </w:rPr>
        <w:t> </w:t>
      </w:r>
    </w:p>
    <w:p w14:paraId="7BFBDBAF" w14:textId="77777777" w:rsidR="00000000" w:rsidRDefault="00832D71">
      <w:pPr>
        <w:pStyle w:val="a3"/>
        <w:spacing w:before="0" w:beforeAutospacing="0" w:after="0" w:afterAutospacing="0"/>
        <w:rPr>
          <w:sz w:val="20"/>
          <w:szCs w:val="20"/>
        </w:rPr>
      </w:pPr>
      <w:r>
        <w:rPr>
          <w:sz w:val="20"/>
          <w:szCs w:val="20"/>
        </w:rPr>
        <w:t> </w:t>
      </w:r>
    </w:p>
    <w:p w14:paraId="0827D512" w14:textId="77777777" w:rsidR="00000000" w:rsidRDefault="00832D71">
      <w:pPr>
        <w:pStyle w:val="a3"/>
        <w:spacing w:before="0" w:beforeAutospacing="0" w:after="0" w:afterAutospacing="0"/>
        <w:rPr>
          <w:sz w:val="20"/>
          <w:szCs w:val="20"/>
        </w:rPr>
      </w:pPr>
      <w:r>
        <w:rPr>
          <w:sz w:val="20"/>
          <w:szCs w:val="20"/>
        </w:rPr>
        <w:t> </w:t>
      </w:r>
    </w:p>
    <w:p w14:paraId="7B25B6D4" w14:textId="77777777" w:rsidR="00000000" w:rsidRDefault="00832D71">
      <w:pPr>
        <w:pStyle w:val="a3"/>
        <w:spacing w:before="0" w:beforeAutospacing="0" w:after="0" w:afterAutospacing="0"/>
        <w:rPr>
          <w:sz w:val="20"/>
          <w:szCs w:val="20"/>
        </w:rPr>
      </w:pPr>
      <w:r>
        <w:rPr>
          <w:sz w:val="20"/>
          <w:szCs w:val="20"/>
        </w:rPr>
        <w:t> </w:t>
      </w:r>
    </w:p>
    <w:p w14:paraId="70E3D20F" w14:textId="77777777" w:rsidR="00000000" w:rsidRDefault="00832D71">
      <w:pPr>
        <w:pStyle w:val="a3"/>
        <w:spacing w:before="0" w:beforeAutospacing="0" w:after="0" w:afterAutospacing="0"/>
        <w:rPr>
          <w:sz w:val="20"/>
          <w:szCs w:val="20"/>
        </w:rPr>
      </w:pPr>
      <w:r>
        <w:rPr>
          <w:sz w:val="20"/>
          <w:szCs w:val="20"/>
        </w:rPr>
        <w:t> </w:t>
      </w:r>
    </w:p>
    <w:p w14:paraId="6EFE6AC7" w14:textId="77777777" w:rsidR="00000000" w:rsidRDefault="00832D71">
      <w:pPr>
        <w:pStyle w:val="a3"/>
        <w:spacing w:before="0" w:beforeAutospacing="0" w:after="0" w:afterAutospacing="0"/>
        <w:rPr>
          <w:sz w:val="20"/>
          <w:szCs w:val="20"/>
        </w:rPr>
      </w:pPr>
      <w:r>
        <w:rPr>
          <w:sz w:val="20"/>
          <w:szCs w:val="20"/>
        </w:rPr>
        <w:t> </w:t>
      </w:r>
    </w:p>
    <w:p w14:paraId="315352B3" w14:textId="77777777" w:rsidR="00000000" w:rsidRDefault="00832D71">
      <w:pPr>
        <w:pStyle w:val="a3"/>
        <w:spacing w:before="0" w:beforeAutospacing="0" w:after="0" w:afterAutospacing="0"/>
        <w:rPr>
          <w:sz w:val="20"/>
          <w:szCs w:val="20"/>
        </w:rPr>
      </w:pPr>
      <w:r>
        <w:rPr>
          <w:sz w:val="20"/>
          <w:szCs w:val="20"/>
        </w:rPr>
        <w:t> </w:t>
      </w:r>
    </w:p>
    <w:p w14:paraId="649860FC" w14:textId="77777777" w:rsidR="00000000" w:rsidRDefault="00832D71">
      <w:pPr>
        <w:pStyle w:val="a3"/>
        <w:spacing w:before="0" w:beforeAutospacing="0" w:after="0" w:afterAutospacing="0"/>
        <w:rPr>
          <w:sz w:val="20"/>
          <w:szCs w:val="20"/>
        </w:rPr>
      </w:pPr>
      <w:r>
        <w:rPr>
          <w:sz w:val="20"/>
          <w:szCs w:val="20"/>
        </w:rPr>
        <w:t> </w:t>
      </w:r>
    </w:p>
    <w:p w14:paraId="44CD9A15" w14:textId="77777777" w:rsidR="00000000" w:rsidRDefault="00832D71">
      <w:pPr>
        <w:pStyle w:val="a3"/>
        <w:spacing w:before="0" w:beforeAutospacing="0" w:after="0" w:afterAutospacing="0"/>
        <w:rPr>
          <w:sz w:val="20"/>
          <w:szCs w:val="20"/>
        </w:rPr>
      </w:pPr>
      <w:r>
        <w:rPr>
          <w:sz w:val="20"/>
          <w:szCs w:val="20"/>
        </w:rPr>
        <w:t> </w:t>
      </w:r>
    </w:p>
    <w:p w14:paraId="1E9CFF1B" w14:textId="77777777" w:rsidR="00000000" w:rsidRDefault="00832D71">
      <w:pPr>
        <w:pStyle w:val="a3"/>
        <w:spacing w:before="0" w:beforeAutospacing="0" w:after="0" w:afterAutospacing="0"/>
        <w:rPr>
          <w:sz w:val="20"/>
          <w:szCs w:val="20"/>
        </w:rPr>
      </w:pPr>
      <w:r>
        <w:rPr>
          <w:sz w:val="20"/>
          <w:szCs w:val="20"/>
        </w:rPr>
        <w:t> </w:t>
      </w:r>
    </w:p>
    <w:p w14:paraId="07F382BB" w14:textId="77777777" w:rsidR="00000000" w:rsidRDefault="00832D71">
      <w:pPr>
        <w:pStyle w:val="a3"/>
        <w:spacing w:before="0" w:beforeAutospacing="0" w:after="0" w:afterAutospacing="0"/>
        <w:rPr>
          <w:sz w:val="20"/>
          <w:szCs w:val="20"/>
        </w:rPr>
      </w:pPr>
      <w:r>
        <w:rPr>
          <w:sz w:val="20"/>
          <w:szCs w:val="20"/>
        </w:rPr>
        <w:t> </w:t>
      </w:r>
    </w:p>
    <w:p w14:paraId="23EB0432" w14:textId="77777777" w:rsidR="00000000" w:rsidRDefault="00832D71">
      <w:pPr>
        <w:pStyle w:val="a3"/>
        <w:spacing w:before="0" w:beforeAutospacing="0" w:after="0" w:afterAutospacing="0"/>
        <w:rPr>
          <w:sz w:val="20"/>
          <w:szCs w:val="20"/>
        </w:rPr>
      </w:pPr>
      <w:r>
        <w:rPr>
          <w:sz w:val="20"/>
          <w:szCs w:val="20"/>
        </w:rPr>
        <w:t> </w:t>
      </w:r>
    </w:p>
    <w:p w14:paraId="0A0CB7DA" w14:textId="77777777" w:rsidR="00000000" w:rsidRDefault="00832D71">
      <w:pPr>
        <w:pStyle w:val="a3"/>
        <w:spacing w:before="0" w:beforeAutospacing="0" w:after="0" w:afterAutospacing="0"/>
        <w:rPr>
          <w:sz w:val="20"/>
          <w:szCs w:val="20"/>
        </w:rPr>
      </w:pPr>
      <w:r>
        <w:rPr>
          <w:sz w:val="20"/>
          <w:szCs w:val="20"/>
        </w:rPr>
        <w:t> </w:t>
      </w:r>
    </w:p>
    <w:p w14:paraId="24F5D6D3" w14:textId="77777777" w:rsidR="00000000" w:rsidRDefault="00832D71">
      <w:pPr>
        <w:pStyle w:val="a3"/>
        <w:spacing w:before="0" w:beforeAutospacing="0" w:after="0" w:afterAutospacing="0"/>
        <w:rPr>
          <w:sz w:val="20"/>
          <w:szCs w:val="20"/>
        </w:rPr>
      </w:pPr>
      <w:r>
        <w:rPr>
          <w:sz w:val="20"/>
          <w:szCs w:val="20"/>
        </w:rPr>
        <w:t> </w:t>
      </w:r>
    </w:p>
    <w:p w14:paraId="063F3213" w14:textId="77777777" w:rsidR="00000000" w:rsidRDefault="00832D71">
      <w:pPr>
        <w:pStyle w:val="a3"/>
        <w:spacing w:before="0" w:beforeAutospacing="0" w:after="0" w:afterAutospacing="0"/>
        <w:rPr>
          <w:sz w:val="20"/>
          <w:szCs w:val="20"/>
        </w:rPr>
      </w:pPr>
      <w:r>
        <w:rPr>
          <w:sz w:val="20"/>
          <w:szCs w:val="20"/>
        </w:rPr>
        <w:t> </w:t>
      </w:r>
    </w:p>
    <w:p w14:paraId="4170B913" w14:textId="77777777" w:rsidR="00000000" w:rsidRDefault="00832D71">
      <w:pPr>
        <w:pStyle w:val="a3"/>
        <w:spacing w:before="0" w:beforeAutospacing="0" w:after="0" w:afterAutospacing="0"/>
        <w:rPr>
          <w:sz w:val="20"/>
          <w:szCs w:val="20"/>
        </w:rPr>
      </w:pPr>
      <w:r>
        <w:rPr>
          <w:sz w:val="20"/>
          <w:szCs w:val="20"/>
        </w:rPr>
        <w:t> </w:t>
      </w:r>
    </w:p>
    <w:p w14:paraId="1C78F442" w14:textId="77777777" w:rsidR="00000000" w:rsidRDefault="00832D71">
      <w:pPr>
        <w:pStyle w:val="a3"/>
        <w:spacing w:before="0" w:beforeAutospacing="0" w:after="0" w:afterAutospacing="0"/>
        <w:rPr>
          <w:sz w:val="20"/>
          <w:szCs w:val="20"/>
        </w:rPr>
      </w:pPr>
      <w:r>
        <w:rPr>
          <w:sz w:val="20"/>
          <w:szCs w:val="20"/>
        </w:rPr>
        <w:t> </w:t>
      </w:r>
    </w:p>
    <w:p w14:paraId="673F4019" w14:textId="77777777" w:rsidR="00000000" w:rsidRDefault="00832D71">
      <w:pPr>
        <w:pStyle w:val="a3"/>
        <w:spacing w:before="0" w:beforeAutospacing="0" w:after="0" w:afterAutospacing="0"/>
        <w:rPr>
          <w:sz w:val="20"/>
          <w:szCs w:val="20"/>
        </w:rPr>
      </w:pPr>
      <w:r>
        <w:rPr>
          <w:sz w:val="20"/>
          <w:szCs w:val="20"/>
        </w:rPr>
        <w:t> </w:t>
      </w:r>
    </w:p>
    <w:p w14:paraId="008ADACC" w14:textId="77777777" w:rsidR="00000000" w:rsidRDefault="00832D71">
      <w:pPr>
        <w:pStyle w:val="a3"/>
        <w:spacing w:before="0" w:beforeAutospacing="0" w:after="0" w:afterAutospacing="0"/>
        <w:rPr>
          <w:sz w:val="20"/>
          <w:szCs w:val="20"/>
        </w:rPr>
      </w:pPr>
      <w:r>
        <w:rPr>
          <w:sz w:val="20"/>
          <w:szCs w:val="20"/>
        </w:rPr>
        <w:t> </w:t>
      </w:r>
    </w:p>
    <w:p w14:paraId="69F8842C" w14:textId="77777777" w:rsidR="00000000" w:rsidRDefault="00832D71">
      <w:pPr>
        <w:pStyle w:val="a3"/>
        <w:spacing w:before="0" w:beforeAutospacing="0" w:after="0" w:afterAutospacing="0"/>
        <w:rPr>
          <w:sz w:val="20"/>
          <w:szCs w:val="20"/>
        </w:rPr>
      </w:pPr>
      <w:r>
        <w:rPr>
          <w:sz w:val="20"/>
          <w:szCs w:val="20"/>
        </w:rPr>
        <w:t> </w:t>
      </w:r>
    </w:p>
    <w:p w14:paraId="7DF3716F" w14:textId="77777777" w:rsidR="00000000" w:rsidRDefault="00832D71">
      <w:pPr>
        <w:pStyle w:val="a3"/>
        <w:spacing w:before="0" w:beforeAutospacing="0" w:after="0" w:afterAutospacing="0"/>
        <w:rPr>
          <w:sz w:val="20"/>
          <w:szCs w:val="20"/>
        </w:rPr>
      </w:pPr>
      <w:r>
        <w:rPr>
          <w:sz w:val="20"/>
          <w:szCs w:val="20"/>
        </w:rPr>
        <w:t> </w:t>
      </w:r>
    </w:p>
    <w:p w14:paraId="7F53B8BD" w14:textId="77777777" w:rsidR="00000000" w:rsidRDefault="00832D71">
      <w:pPr>
        <w:pStyle w:val="a3"/>
        <w:spacing w:before="0" w:beforeAutospacing="0" w:after="0" w:afterAutospacing="0"/>
        <w:rPr>
          <w:sz w:val="20"/>
          <w:szCs w:val="20"/>
        </w:rPr>
      </w:pPr>
      <w:r>
        <w:rPr>
          <w:sz w:val="20"/>
          <w:szCs w:val="20"/>
        </w:rPr>
        <w:t> </w:t>
      </w:r>
    </w:p>
    <w:p w14:paraId="49E32FF5" w14:textId="77777777" w:rsidR="00000000" w:rsidRDefault="00832D71">
      <w:pPr>
        <w:pStyle w:val="a3"/>
        <w:spacing w:before="0" w:beforeAutospacing="0" w:after="0" w:afterAutospacing="0"/>
        <w:rPr>
          <w:sz w:val="20"/>
          <w:szCs w:val="20"/>
        </w:rPr>
      </w:pPr>
      <w:r>
        <w:rPr>
          <w:sz w:val="20"/>
          <w:szCs w:val="20"/>
        </w:rPr>
        <w:t> </w:t>
      </w:r>
    </w:p>
    <w:p w14:paraId="2BB3A93D" w14:textId="77777777" w:rsidR="00000000" w:rsidRDefault="00832D71">
      <w:pPr>
        <w:pStyle w:val="a3"/>
        <w:spacing w:before="0" w:beforeAutospacing="0" w:after="0" w:afterAutospacing="0"/>
        <w:rPr>
          <w:sz w:val="20"/>
          <w:szCs w:val="20"/>
        </w:rPr>
      </w:pPr>
      <w:r>
        <w:rPr>
          <w:sz w:val="20"/>
          <w:szCs w:val="20"/>
        </w:rPr>
        <w:t> </w:t>
      </w:r>
    </w:p>
    <w:p w14:paraId="26705DD5" w14:textId="77777777" w:rsidR="00000000" w:rsidRDefault="00832D71">
      <w:pPr>
        <w:pStyle w:val="a3"/>
        <w:spacing w:before="0" w:beforeAutospacing="0" w:after="0" w:afterAutospacing="0"/>
        <w:rPr>
          <w:sz w:val="20"/>
          <w:szCs w:val="20"/>
        </w:rPr>
      </w:pPr>
      <w:r>
        <w:rPr>
          <w:sz w:val="20"/>
          <w:szCs w:val="20"/>
        </w:rPr>
        <w:t> </w:t>
      </w:r>
    </w:p>
    <w:p w14:paraId="3FCC7198" w14:textId="77777777" w:rsidR="00000000" w:rsidRDefault="00832D71">
      <w:pPr>
        <w:pStyle w:val="a3"/>
        <w:spacing w:before="0" w:beforeAutospacing="0" w:after="0" w:afterAutospacing="0"/>
        <w:rPr>
          <w:sz w:val="20"/>
          <w:szCs w:val="20"/>
        </w:rPr>
      </w:pPr>
      <w:r>
        <w:rPr>
          <w:sz w:val="20"/>
          <w:szCs w:val="20"/>
        </w:rPr>
        <w:t> </w:t>
      </w:r>
    </w:p>
    <w:p w14:paraId="212EBD6C" w14:textId="77777777" w:rsidR="00000000" w:rsidRDefault="00832D71">
      <w:pPr>
        <w:pStyle w:val="a3"/>
        <w:spacing w:before="0" w:beforeAutospacing="0" w:after="0" w:afterAutospacing="0"/>
        <w:rPr>
          <w:sz w:val="20"/>
          <w:szCs w:val="20"/>
        </w:rPr>
      </w:pPr>
      <w:r>
        <w:rPr>
          <w:sz w:val="20"/>
          <w:szCs w:val="20"/>
        </w:rPr>
        <w:t>The accompanying notes are an integral part of these consolidated financial statements</w:t>
      </w:r>
      <w:r>
        <w:rPr>
          <w:sz w:val="20"/>
          <w:szCs w:val="20"/>
        </w:rPr>
        <w:t>.</w:t>
      </w:r>
    </w:p>
    <w:p w14:paraId="19258C9D" w14:textId="77777777" w:rsidR="00000000" w:rsidRDefault="00832D71">
      <w:pPr>
        <w:pStyle w:val="a3"/>
        <w:spacing w:before="200" w:beforeAutospacing="0" w:after="0" w:afterAutospacing="0"/>
        <w:jc w:val="center"/>
        <w:rPr>
          <w:sz w:val="20"/>
          <w:szCs w:val="20"/>
        </w:rPr>
      </w:pPr>
      <w:r>
        <w:rPr>
          <w:sz w:val="20"/>
          <w:szCs w:val="20"/>
        </w:rPr>
        <w:t>F</w:t>
      </w:r>
      <w:r>
        <w:rPr>
          <w:sz w:val="20"/>
          <w:szCs w:val="20"/>
        </w:rPr>
        <w:t>-</w:t>
      </w:r>
      <w:r>
        <w:rPr>
          <w:sz w:val="20"/>
          <w:szCs w:val="20"/>
        </w:rPr>
        <w:t>6</w:t>
      </w:r>
    </w:p>
    <w:p w14:paraId="5090153D" w14:textId="77777777" w:rsidR="00000000" w:rsidRDefault="00832D71">
      <w:pPr>
        <w:rPr>
          <w:rFonts w:eastAsia="Times New Roman"/>
        </w:rPr>
      </w:pPr>
      <w:r>
        <w:rPr>
          <w:rFonts w:eastAsia="Times New Roman"/>
        </w:rPr>
        <w:pict w14:anchorId="1C7E69EE">
          <v:rect id="_x0000_i1125" style="width:0;height:1.5pt" o:hralign="center" o:hrstd="t" o:hr="t" fillcolor="#a0a0a0" stroked="f"/>
        </w:pict>
      </w:r>
    </w:p>
    <w:p w14:paraId="428B9376" w14:textId="77777777" w:rsidR="00000000" w:rsidRDefault="00832D71">
      <w:pPr>
        <w:pStyle w:val="a3"/>
        <w:spacing w:before="0" w:beforeAutospacing="0" w:after="0" w:afterAutospacing="0"/>
        <w:rPr>
          <w:sz w:val="20"/>
          <w:szCs w:val="20"/>
        </w:rPr>
      </w:pPr>
      <w:r>
        <w:rPr>
          <w:sz w:val="20"/>
          <w:szCs w:val="20"/>
        </w:rPr>
        <w:t> </w:t>
      </w:r>
    </w:p>
    <w:p w14:paraId="7FA4E896" w14:textId="77777777" w:rsidR="00000000" w:rsidRDefault="00832D71">
      <w:pPr>
        <w:pStyle w:val="a3"/>
        <w:spacing w:before="0" w:beforeAutospacing="0" w:after="0" w:afterAutospacing="0"/>
        <w:jc w:val="center"/>
        <w:rPr>
          <w:sz w:val="20"/>
          <w:szCs w:val="20"/>
        </w:rPr>
      </w:pPr>
      <w:r>
        <w:rPr>
          <w:b/>
          <w:bCs/>
          <w:sz w:val="20"/>
          <w:szCs w:val="20"/>
        </w:rPr>
        <w:t>SUBURBAN PROPANE PARTNERS, L.P. AND SUBSIDIARIE</w:t>
      </w:r>
      <w:r>
        <w:rPr>
          <w:b/>
          <w:bCs/>
          <w:sz w:val="20"/>
          <w:szCs w:val="20"/>
        </w:rPr>
        <w:t>S</w:t>
      </w:r>
    </w:p>
    <w:p w14:paraId="747BB0B5" w14:textId="77777777" w:rsidR="00000000" w:rsidRDefault="00832D71">
      <w:pPr>
        <w:pStyle w:val="a3"/>
        <w:spacing w:before="240" w:beforeAutospacing="0" w:after="0" w:afterAutospacing="0"/>
        <w:jc w:val="center"/>
        <w:rPr>
          <w:sz w:val="20"/>
          <w:szCs w:val="20"/>
        </w:rPr>
      </w:pPr>
      <w:r>
        <w:rPr>
          <w:b/>
          <w:bCs/>
          <w:sz w:val="20"/>
          <w:szCs w:val="20"/>
        </w:rPr>
        <w:t>CONSOLIDATED STATE</w:t>
      </w:r>
      <w:r>
        <w:rPr>
          <w:b/>
          <w:bCs/>
          <w:sz w:val="20"/>
          <w:szCs w:val="20"/>
        </w:rPr>
        <w:t>M</w:t>
      </w:r>
      <w:r>
        <w:rPr>
          <w:b/>
          <w:bCs/>
          <w:sz w:val="20"/>
          <w:szCs w:val="20"/>
        </w:rPr>
        <w:t>ENTS OF CASH FLOW</w:t>
      </w:r>
      <w:r>
        <w:rPr>
          <w:b/>
          <w:bCs/>
          <w:sz w:val="20"/>
          <w:szCs w:val="20"/>
        </w:rPr>
        <w:t>S</w:t>
      </w:r>
    </w:p>
    <w:p w14:paraId="48371773" w14:textId="77777777" w:rsidR="00000000" w:rsidRDefault="00832D71">
      <w:pPr>
        <w:pStyle w:val="a3"/>
        <w:spacing w:before="0" w:beforeAutospacing="0" w:after="0" w:afterAutospacing="0"/>
        <w:jc w:val="center"/>
        <w:rPr>
          <w:sz w:val="20"/>
          <w:szCs w:val="20"/>
        </w:rPr>
      </w:pPr>
      <w:r>
        <w:rPr>
          <w:sz w:val="20"/>
          <w:szCs w:val="20"/>
        </w:rPr>
        <w:t>(in thousands</w:t>
      </w:r>
      <w:r>
        <w:rPr>
          <w:sz w:val="20"/>
          <w:szCs w:val="20"/>
        </w:rPr>
        <w:t>)</w:t>
      </w:r>
    </w:p>
    <w:p w14:paraId="048B6ED2" w14:textId="77777777" w:rsidR="00000000" w:rsidRDefault="00832D7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51"/>
        <w:gridCol w:w="110"/>
        <w:gridCol w:w="160"/>
        <w:gridCol w:w="842"/>
        <w:gridCol w:w="127"/>
        <w:gridCol w:w="110"/>
        <w:gridCol w:w="160"/>
        <w:gridCol w:w="843"/>
        <w:gridCol w:w="127"/>
        <w:gridCol w:w="110"/>
        <w:gridCol w:w="160"/>
        <w:gridCol w:w="864"/>
        <w:gridCol w:w="142"/>
      </w:tblGrid>
      <w:tr w:rsidR="00000000" w14:paraId="13BE872D" w14:textId="77777777">
        <w:trPr>
          <w:tblCellSpacing w:w="15" w:type="dxa"/>
        </w:trPr>
        <w:tc>
          <w:tcPr>
            <w:tcW w:w="2874" w:type="pct"/>
            <w:vAlign w:val="center"/>
            <w:hideMark/>
          </w:tcPr>
          <w:p w14:paraId="7427322C" w14:textId="77777777" w:rsidR="00000000" w:rsidRDefault="00832D71">
            <w:pPr>
              <w:rPr>
                <w:sz w:val="20"/>
                <w:szCs w:val="20"/>
              </w:rPr>
            </w:pPr>
          </w:p>
        </w:tc>
        <w:tc>
          <w:tcPr>
            <w:tcW w:w="69" w:type="pct"/>
            <w:vAlign w:val="center"/>
            <w:hideMark/>
          </w:tcPr>
          <w:p w14:paraId="1EBCB18E" w14:textId="77777777" w:rsidR="00000000" w:rsidRDefault="00832D71">
            <w:pPr>
              <w:rPr>
                <w:rFonts w:eastAsia="Times New Roman"/>
                <w:sz w:val="20"/>
                <w:szCs w:val="20"/>
              </w:rPr>
            </w:pPr>
          </w:p>
        </w:tc>
        <w:tc>
          <w:tcPr>
            <w:tcW w:w="50" w:type="pct"/>
            <w:vAlign w:val="center"/>
            <w:hideMark/>
          </w:tcPr>
          <w:p w14:paraId="47F459E5" w14:textId="77777777" w:rsidR="00000000" w:rsidRDefault="00832D71">
            <w:pPr>
              <w:rPr>
                <w:rFonts w:eastAsia="Times New Roman"/>
                <w:sz w:val="20"/>
                <w:szCs w:val="20"/>
              </w:rPr>
            </w:pPr>
          </w:p>
        </w:tc>
        <w:tc>
          <w:tcPr>
            <w:tcW w:w="534" w:type="pct"/>
            <w:vAlign w:val="center"/>
            <w:hideMark/>
          </w:tcPr>
          <w:p w14:paraId="042980B5" w14:textId="77777777" w:rsidR="00000000" w:rsidRDefault="00832D71">
            <w:pPr>
              <w:rPr>
                <w:rFonts w:eastAsia="Times New Roman"/>
                <w:sz w:val="20"/>
                <w:szCs w:val="20"/>
              </w:rPr>
            </w:pPr>
          </w:p>
        </w:tc>
        <w:tc>
          <w:tcPr>
            <w:tcW w:w="50" w:type="pct"/>
            <w:vAlign w:val="center"/>
            <w:hideMark/>
          </w:tcPr>
          <w:p w14:paraId="473B636A" w14:textId="77777777" w:rsidR="00000000" w:rsidRDefault="00832D71">
            <w:pPr>
              <w:rPr>
                <w:rFonts w:eastAsia="Times New Roman"/>
                <w:sz w:val="20"/>
                <w:szCs w:val="20"/>
              </w:rPr>
            </w:pPr>
          </w:p>
        </w:tc>
        <w:tc>
          <w:tcPr>
            <w:tcW w:w="69" w:type="pct"/>
            <w:vAlign w:val="center"/>
            <w:hideMark/>
          </w:tcPr>
          <w:p w14:paraId="4C61B42C" w14:textId="77777777" w:rsidR="00000000" w:rsidRDefault="00832D71">
            <w:pPr>
              <w:rPr>
                <w:rFonts w:eastAsia="Times New Roman"/>
                <w:sz w:val="20"/>
                <w:szCs w:val="20"/>
              </w:rPr>
            </w:pPr>
          </w:p>
        </w:tc>
        <w:tc>
          <w:tcPr>
            <w:tcW w:w="50" w:type="pct"/>
            <w:vAlign w:val="center"/>
            <w:hideMark/>
          </w:tcPr>
          <w:p w14:paraId="5B49CD94" w14:textId="77777777" w:rsidR="00000000" w:rsidRDefault="00832D71">
            <w:pPr>
              <w:rPr>
                <w:rFonts w:eastAsia="Times New Roman"/>
                <w:sz w:val="20"/>
                <w:szCs w:val="20"/>
              </w:rPr>
            </w:pPr>
          </w:p>
        </w:tc>
        <w:tc>
          <w:tcPr>
            <w:tcW w:w="534" w:type="pct"/>
            <w:vAlign w:val="center"/>
            <w:hideMark/>
          </w:tcPr>
          <w:p w14:paraId="39609F8D" w14:textId="77777777" w:rsidR="00000000" w:rsidRDefault="00832D71">
            <w:pPr>
              <w:rPr>
                <w:rFonts w:eastAsia="Times New Roman"/>
                <w:sz w:val="20"/>
                <w:szCs w:val="20"/>
              </w:rPr>
            </w:pPr>
          </w:p>
        </w:tc>
        <w:tc>
          <w:tcPr>
            <w:tcW w:w="50" w:type="pct"/>
            <w:vAlign w:val="center"/>
            <w:hideMark/>
          </w:tcPr>
          <w:p w14:paraId="4AD5B692" w14:textId="77777777" w:rsidR="00000000" w:rsidRDefault="00832D71">
            <w:pPr>
              <w:rPr>
                <w:rFonts w:eastAsia="Times New Roman"/>
                <w:sz w:val="20"/>
                <w:szCs w:val="20"/>
              </w:rPr>
            </w:pPr>
          </w:p>
        </w:tc>
        <w:tc>
          <w:tcPr>
            <w:tcW w:w="69" w:type="pct"/>
            <w:vAlign w:val="center"/>
            <w:hideMark/>
          </w:tcPr>
          <w:p w14:paraId="03C9CA6C" w14:textId="77777777" w:rsidR="00000000" w:rsidRDefault="00832D71">
            <w:pPr>
              <w:rPr>
                <w:rFonts w:eastAsia="Times New Roman"/>
                <w:sz w:val="20"/>
                <w:szCs w:val="20"/>
              </w:rPr>
            </w:pPr>
          </w:p>
        </w:tc>
        <w:tc>
          <w:tcPr>
            <w:tcW w:w="50" w:type="pct"/>
            <w:vAlign w:val="center"/>
            <w:hideMark/>
          </w:tcPr>
          <w:p w14:paraId="6F673A5E" w14:textId="77777777" w:rsidR="00000000" w:rsidRDefault="00832D71">
            <w:pPr>
              <w:rPr>
                <w:rFonts w:eastAsia="Times New Roman"/>
                <w:sz w:val="20"/>
                <w:szCs w:val="20"/>
              </w:rPr>
            </w:pPr>
          </w:p>
        </w:tc>
        <w:tc>
          <w:tcPr>
            <w:tcW w:w="547" w:type="pct"/>
            <w:vAlign w:val="center"/>
            <w:hideMark/>
          </w:tcPr>
          <w:p w14:paraId="66371DA2" w14:textId="77777777" w:rsidR="00000000" w:rsidRDefault="00832D71">
            <w:pPr>
              <w:rPr>
                <w:rFonts w:eastAsia="Times New Roman"/>
                <w:sz w:val="20"/>
                <w:szCs w:val="20"/>
              </w:rPr>
            </w:pPr>
          </w:p>
        </w:tc>
        <w:tc>
          <w:tcPr>
            <w:tcW w:w="50" w:type="pct"/>
            <w:vAlign w:val="center"/>
            <w:hideMark/>
          </w:tcPr>
          <w:p w14:paraId="6B78C8DC" w14:textId="77777777" w:rsidR="00000000" w:rsidRDefault="00832D71">
            <w:pPr>
              <w:rPr>
                <w:rFonts w:eastAsia="Times New Roman"/>
                <w:sz w:val="20"/>
                <w:szCs w:val="20"/>
              </w:rPr>
            </w:pPr>
          </w:p>
        </w:tc>
      </w:tr>
      <w:tr w:rsidR="00000000" w14:paraId="786A5985" w14:textId="77777777">
        <w:trPr>
          <w:trHeight w:val="160"/>
          <w:tblCellSpacing w:w="15" w:type="dxa"/>
        </w:trPr>
        <w:tc>
          <w:tcPr>
            <w:tcW w:w="0" w:type="auto"/>
            <w:vAlign w:val="bottom"/>
            <w:hideMark/>
          </w:tcPr>
          <w:p w14:paraId="0F54888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905E826"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10"/>
            <w:vAlign w:val="bottom"/>
            <w:hideMark/>
          </w:tcPr>
          <w:p w14:paraId="32A7DC7D" w14:textId="77777777" w:rsidR="00000000" w:rsidRDefault="00832D71">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14:paraId="6CC2635A"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6F6BA5B1" w14:textId="77777777">
        <w:trPr>
          <w:trHeight w:val="160"/>
          <w:tblCellSpacing w:w="15" w:type="dxa"/>
        </w:trPr>
        <w:tc>
          <w:tcPr>
            <w:tcW w:w="0" w:type="auto"/>
            <w:vAlign w:val="bottom"/>
            <w:hideMark/>
          </w:tcPr>
          <w:p w14:paraId="22F93DD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EC5A0E4"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EBA317C" w14:textId="77777777" w:rsidR="00000000" w:rsidRDefault="00832D71">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14:paraId="18090FAE"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EAB5171"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D601D9C" w14:textId="77777777" w:rsidR="00000000" w:rsidRDefault="00832D71">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14:paraId="6B5CE76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6262C76"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184A72C" w14:textId="77777777" w:rsidR="00000000" w:rsidRDefault="00832D71">
            <w:pPr>
              <w:pStyle w:val="a3"/>
              <w:spacing w:before="0" w:beforeAutospacing="0" w:after="0" w:afterAutospacing="0"/>
              <w:jc w:val="center"/>
              <w:rPr>
                <w:sz w:val="16"/>
                <w:szCs w:val="16"/>
              </w:rPr>
            </w:pPr>
            <w:r>
              <w:rPr>
                <w:b/>
                <w:bCs/>
                <w:sz w:val="16"/>
                <w:szCs w:val="16"/>
              </w:rPr>
              <w:t>September 26</w:t>
            </w:r>
            <w:r>
              <w:rPr>
                <w:b/>
                <w:bCs/>
                <w:sz w:val="16"/>
                <w:szCs w:val="16"/>
              </w:rPr>
              <w:t>,</w:t>
            </w:r>
          </w:p>
        </w:tc>
        <w:tc>
          <w:tcPr>
            <w:tcW w:w="0" w:type="auto"/>
            <w:vAlign w:val="bottom"/>
            <w:hideMark/>
          </w:tcPr>
          <w:p w14:paraId="390E29F0"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68C235A" w14:textId="77777777">
        <w:trPr>
          <w:trHeight w:val="160"/>
          <w:tblCellSpacing w:w="15" w:type="dxa"/>
        </w:trPr>
        <w:tc>
          <w:tcPr>
            <w:tcW w:w="0" w:type="auto"/>
            <w:vAlign w:val="bottom"/>
            <w:hideMark/>
          </w:tcPr>
          <w:p w14:paraId="0FC05869"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10C7734"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645F589"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4E954F9"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66DA3E1"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734DD41"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721903D1"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4B456C5"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571A87E"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0459DD51"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521E1BE" w14:textId="77777777">
        <w:trPr>
          <w:trHeight w:val="200"/>
          <w:tblCellSpacing w:w="15" w:type="dxa"/>
        </w:trPr>
        <w:tc>
          <w:tcPr>
            <w:tcW w:w="0" w:type="auto"/>
            <w:hideMark/>
          </w:tcPr>
          <w:p w14:paraId="4934ECA4" w14:textId="77777777" w:rsidR="00000000" w:rsidRDefault="00832D71">
            <w:pPr>
              <w:pStyle w:val="a3"/>
              <w:spacing w:before="0" w:beforeAutospacing="0" w:after="0" w:afterAutospacing="0"/>
              <w:rPr>
                <w:sz w:val="20"/>
                <w:szCs w:val="20"/>
              </w:rPr>
            </w:pPr>
            <w:r>
              <w:rPr>
                <w:sz w:val="20"/>
                <w:szCs w:val="20"/>
              </w:rPr>
              <w:t>Cash flows from operating activities</w:t>
            </w:r>
            <w:r>
              <w:rPr>
                <w:sz w:val="20"/>
                <w:szCs w:val="20"/>
              </w:rPr>
              <w:t>:</w:t>
            </w:r>
          </w:p>
        </w:tc>
        <w:tc>
          <w:tcPr>
            <w:tcW w:w="0" w:type="auto"/>
            <w:vAlign w:val="bottom"/>
            <w:hideMark/>
          </w:tcPr>
          <w:p w14:paraId="0E672B3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6F1BC7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2D6FE4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CE5278F"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E2B5CE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09826D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816078D"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402C8E1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85377A6" w14:textId="77777777" w:rsidR="00000000" w:rsidRDefault="00832D71">
            <w:pPr>
              <w:pStyle w:val="a3"/>
              <w:spacing w:before="0" w:beforeAutospacing="0" w:after="0" w:afterAutospacing="0"/>
              <w:jc w:val="right"/>
              <w:rPr>
                <w:sz w:val="20"/>
                <w:szCs w:val="20"/>
              </w:rPr>
            </w:pPr>
            <w:r>
              <w:rPr>
                <w:sz w:val="20"/>
                <w:szCs w:val="20"/>
              </w:rPr>
              <w:t> </w:t>
            </w:r>
          </w:p>
        </w:tc>
      </w:tr>
      <w:tr w:rsidR="00000000" w14:paraId="54CA2A42" w14:textId="77777777">
        <w:trPr>
          <w:trHeight w:val="200"/>
          <w:tblCellSpacing w:w="15" w:type="dxa"/>
        </w:trPr>
        <w:tc>
          <w:tcPr>
            <w:tcW w:w="0" w:type="auto"/>
            <w:hideMark/>
          </w:tcPr>
          <w:p w14:paraId="7FDDDF9B" w14:textId="77777777" w:rsidR="00000000" w:rsidRDefault="00832D71">
            <w:pPr>
              <w:pStyle w:val="a3"/>
              <w:spacing w:before="0" w:beforeAutospacing="0" w:after="0" w:afterAutospacing="0"/>
              <w:ind w:left="200"/>
              <w:rPr>
                <w:sz w:val="20"/>
                <w:szCs w:val="20"/>
              </w:rPr>
            </w:pPr>
            <w:r>
              <w:rPr>
                <w:sz w:val="20"/>
                <w:szCs w:val="20"/>
              </w:rPr>
              <w:t>Net incom</w:t>
            </w:r>
            <w:r>
              <w:rPr>
                <w:sz w:val="20"/>
                <w:szCs w:val="20"/>
              </w:rPr>
              <w:t>e</w:t>
            </w:r>
          </w:p>
        </w:tc>
        <w:tc>
          <w:tcPr>
            <w:tcW w:w="0" w:type="auto"/>
            <w:vAlign w:val="bottom"/>
            <w:hideMark/>
          </w:tcPr>
          <w:p w14:paraId="7DD8363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AA5C8F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51B3026" w14:textId="77777777" w:rsidR="00000000" w:rsidRDefault="00832D71">
            <w:pPr>
              <w:pStyle w:val="a3"/>
              <w:spacing w:before="0" w:beforeAutospacing="0" w:after="0" w:afterAutospacing="0"/>
              <w:jc w:val="right"/>
              <w:rPr>
                <w:sz w:val="20"/>
                <w:szCs w:val="20"/>
              </w:rPr>
            </w:pPr>
            <w:r>
              <w:rPr>
                <w:sz w:val="20"/>
                <w:szCs w:val="20"/>
              </w:rPr>
              <w:t>139,70</w:t>
            </w:r>
            <w:r>
              <w:rPr>
                <w:sz w:val="20"/>
                <w:szCs w:val="20"/>
              </w:rPr>
              <w:t>8</w:t>
            </w:r>
          </w:p>
        </w:tc>
        <w:tc>
          <w:tcPr>
            <w:tcW w:w="0" w:type="auto"/>
            <w:noWrap/>
            <w:vAlign w:val="bottom"/>
            <w:hideMark/>
          </w:tcPr>
          <w:p w14:paraId="2F13172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A6BAB4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F97800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217DC05" w14:textId="77777777" w:rsidR="00000000" w:rsidRDefault="00832D71">
            <w:pPr>
              <w:pStyle w:val="a3"/>
              <w:spacing w:before="0" w:beforeAutospacing="0" w:after="0" w:afterAutospacing="0"/>
              <w:jc w:val="right"/>
              <w:rPr>
                <w:sz w:val="20"/>
                <w:szCs w:val="20"/>
              </w:rPr>
            </w:pPr>
            <w:r>
              <w:rPr>
                <w:sz w:val="20"/>
                <w:szCs w:val="20"/>
              </w:rPr>
              <w:t>122,79</w:t>
            </w:r>
            <w:r>
              <w:rPr>
                <w:sz w:val="20"/>
                <w:szCs w:val="20"/>
              </w:rPr>
              <w:t>3</w:t>
            </w:r>
          </w:p>
        </w:tc>
        <w:tc>
          <w:tcPr>
            <w:tcW w:w="0" w:type="auto"/>
            <w:noWrap/>
            <w:vAlign w:val="bottom"/>
            <w:hideMark/>
          </w:tcPr>
          <w:p w14:paraId="7860843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9BDB229"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6D68A9E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34C03E6" w14:textId="77777777" w:rsidR="00000000" w:rsidRDefault="00832D71">
            <w:pPr>
              <w:pStyle w:val="a3"/>
              <w:spacing w:before="0" w:beforeAutospacing="0" w:after="0" w:afterAutospacing="0"/>
              <w:jc w:val="right"/>
              <w:rPr>
                <w:sz w:val="20"/>
                <w:szCs w:val="20"/>
              </w:rPr>
            </w:pPr>
            <w:r>
              <w:rPr>
                <w:sz w:val="20"/>
                <w:szCs w:val="20"/>
              </w:rPr>
              <w:t>60,75</w:t>
            </w:r>
            <w:r>
              <w:rPr>
                <w:sz w:val="20"/>
                <w:szCs w:val="20"/>
              </w:rPr>
              <w:t>8</w:t>
            </w:r>
          </w:p>
        </w:tc>
        <w:tc>
          <w:tcPr>
            <w:tcW w:w="0" w:type="auto"/>
            <w:noWrap/>
            <w:vAlign w:val="bottom"/>
            <w:hideMark/>
          </w:tcPr>
          <w:p w14:paraId="763E72E1" w14:textId="77777777" w:rsidR="00000000" w:rsidRDefault="00832D71">
            <w:pPr>
              <w:pStyle w:val="a3"/>
              <w:spacing w:before="0" w:beforeAutospacing="0" w:after="0" w:afterAutospacing="0"/>
              <w:rPr>
                <w:sz w:val="20"/>
                <w:szCs w:val="20"/>
              </w:rPr>
            </w:pPr>
            <w:r>
              <w:rPr>
                <w:sz w:val="20"/>
                <w:szCs w:val="20"/>
              </w:rPr>
              <w:t> </w:t>
            </w:r>
          </w:p>
        </w:tc>
      </w:tr>
      <w:tr w:rsidR="00000000" w14:paraId="0BCADDBE" w14:textId="77777777">
        <w:trPr>
          <w:trHeight w:val="200"/>
          <w:tblCellSpacing w:w="15" w:type="dxa"/>
        </w:trPr>
        <w:tc>
          <w:tcPr>
            <w:tcW w:w="0" w:type="auto"/>
            <w:hideMark/>
          </w:tcPr>
          <w:p w14:paraId="6AC3FE04" w14:textId="77777777" w:rsidR="00000000" w:rsidRDefault="00832D71">
            <w:pPr>
              <w:pStyle w:val="a3"/>
              <w:spacing w:before="0" w:beforeAutospacing="0" w:after="0" w:afterAutospacing="0"/>
              <w:ind w:left="200"/>
              <w:rPr>
                <w:sz w:val="20"/>
                <w:szCs w:val="20"/>
              </w:rPr>
            </w:pPr>
            <w:r>
              <w:rPr>
                <w:sz w:val="20"/>
                <w:szCs w:val="20"/>
              </w:rPr>
              <w:t>Adjustments to reconcile net income to net cash provided by operations</w:t>
            </w:r>
            <w:r>
              <w:rPr>
                <w:sz w:val="20"/>
                <w:szCs w:val="20"/>
              </w:rPr>
              <w:t>:</w:t>
            </w:r>
          </w:p>
        </w:tc>
        <w:tc>
          <w:tcPr>
            <w:tcW w:w="0" w:type="auto"/>
            <w:vAlign w:val="bottom"/>
            <w:hideMark/>
          </w:tcPr>
          <w:p w14:paraId="7BF4C9B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8EAC79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1F7FDE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1D3EE6C"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A6E498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4068A0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9EAB0F8"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B94064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8C229D0" w14:textId="77777777" w:rsidR="00000000" w:rsidRDefault="00832D71">
            <w:pPr>
              <w:pStyle w:val="a3"/>
              <w:spacing w:before="0" w:beforeAutospacing="0" w:after="0" w:afterAutospacing="0"/>
              <w:jc w:val="right"/>
              <w:rPr>
                <w:sz w:val="20"/>
                <w:szCs w:val="20"/>
              </w:rPr>
            </w:pPr>
            <w:r>
              <w:rPr>
                <w:sz w:val="20"/>
                <w:szCs w:val="20"/>
              </w:rPr>
              <w:t> </w:t>
            </w:r>
          </w:p>
        </w:tc>
      </w:tr>
      <w:tr w:rsidR="00000000" w14:paraId="6B23DF40" w14:textId="77777777">
        <w:trPr>
          <w:trHeight w:val="200"/>
          <w:tblCellSpacing w:w="15" w:type="dxa"/>
        </w:trPr>
        <w:tc>
          <w:tcPr>
            <w:tcW w:w="0" w:type="auto"/>
            <w:hideMark/>
          </w:tcPr>
          <w:p w14:paraId="00A978F3" w14:textId="77777777" w:rsidR="00000000" w:rsidRDefault="00832D71">
            <w:pPr>
              <w:pStyle w:val="a3"/>
              <w:spacing w:before="0" w:beforeAutospacing="0" w:after="0" w:afterAutospacing="0"/>
              <w:ind w:left="400"/>
              <w:rPr>
                <w:sz w:val="20"/>
                <w:szCs w:val="20"/>
              </w:rPr>
            </w:pPr>
            <w:r>
              <w:rPr>
                <w:sz w:val="20"/>
                <w:szCs w:val="20"/>
              </w:rPr>
              <w:t>Depreciation and amortizatio</w:t>
            </w:r>
            <w:r>
              <w:rPr>
                <w:sz w:val="20"/>
                <w:szCs w:val="20"/>
              </w:rPr>
              <w:t>n</w:t>
            </w:r>
          </w:p>
        </w:tc>
        <w:tc>
          <w:tcPr>
            <w:tcW w:w="0" w:type="auto"/>
            <w:vAlign w:val="bottom"/>
            <w:hideMark/>
          </w:tcPr>
          <w:p w14:paraId="0091BB3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1C8555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D7EFBEE" w14:textId="77777777" w:rsidR="00000000" w:rsidRDefault="00832D71">
            <w:pPr>
              <w:pStyle w:val="a3"/>
              <w:spacing w:before="0" w:beforeAutospacing="0" w:after="0" w:afterAutospacing="0"/>
              <w:jc w:val="right"/>
              <w:rPr>
                <w:sz w:val="20"/>
                <w:szCs w:val="20"/>
              </w:rPr>
            </w:pPr>
            <w:r>
              <w:rPr>
                <w:sz w:val="20"/>
                <w:szCs w:val="20"/>
              </w:rPr>
              <w:t>58,84</w:t>
            </w:r>
            <w:r>
              <w:rPr>
                <w:sz w:val="20"/>
                <w:szCs w:val="20"/>
              </w:rPr>
              <w:t>8</w:t>
            </w:r>
          </w:p>
        </w:tc>
        <w:tc>
          <w:tcPr>
            <w:tcW w:w="0" w:type="auto"/>
            <w:noWrap/>
            <w:vAlign w:val="bottom"/>
            <w:hideMark/>
          </w:tcPr>
          <w:p w14:paraId="7B93946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7B217E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64CC28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9CF904E" w14:textId="77777777" w:rsidR="00000000" w:rsidRDefault="00832D71">
            <w:pPr>
              <w:pStyle w:val="a3"/>
              <w:spacing w:before="0" w:beforeAutospacing="0" w:after="0" w:afterAutospacing="0"/>
              <w:jc w:val="right"/>
              <w:rPr>
                <w:sz w:val="20"/>
                <w:szCs w:val="20"/>
              </w:rPr>
            </w:pPr>
            <w:r>
              <w:rPr>
                <w:sz w:val="20"/>
                <w:szCs w:val="20"/>
              </w:rPr>
              <w:t>104,55</w:t>
            </w:r>
            <w:r>
              <w:rPr>
                <w:sz w:val="20"/>
                <w:szCs w:val="20"/>
              </w:rPr>
              <w:t>5</w:t>
            </w:r>
          </w:p>
        </w:tc>
        <w:tc>
          <w:tcPr>
            <w:tcW w:w="0" w:type="auto"/>
            <w:noWrap/>
            <w:vAlign w:val="bottom"/>
            <w:hideMark/>
          </w:tcPr>
          <w:p w14:paraId="6ADFE35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A20723E"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39CB89D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074DF37" w14:textId="77777777" w:rsidR="00000000" w:rsidRDefault="00832D71">
            <w:pPr>
              <w:pStyle w:val="a3"/>
              <w:spacing w:before="0" w:beforeAutospacing="0" w:after="0" w:afterAutospacing="0"/>
              <w:jc w:val="right"/>
              <w:rPr>
                <w:sz w:val="20"/>
                <w:szCs w:val="20"/>
              </w:rPr>
            </w:pPr>
            <w:r>
              <w:rPr>
                <w:sz w:val="20"/>
                <w:szCs w:val="20"/>
              </w:rPr>
              <w:t>116,79</w:t>
            </w:r>
            <w:r>
              <w:rPr>
                <w:sz w:val="20"/>
                <w:szCs w:val="20"/>
              </w:rPr>
              <w:t>1</w:t>
            </w:r>
          </w:p>
        </w:tc>
        <w:tc>
          <w:tcPr>
            <w:tcW w:w="0" w:type="auto"/>
            <w:noWrap/>
            <w:vAlign w:val="bottom"/>
            <w:hideMark/>
          </w:tcPr>
          <w:p w14:paraId="2EA42B74" w14:textId="77777777" w:rsidR="00000000" w:rsidRDefault="00832D71">
            <w:pPr>
              <w:pStyle w:val="a3"/>
              <w:spacing w:before="0" w:beforeAutospacing="0" w:after="0" w:afterAutospacing="0"/>
              <w:rPr>
                <w:sz w:val="20"/>
                <w:szCs w:val="20"/>
              </w:rPr>
            </w:pPr>
            <w:r>
              <w:rPr>
                <w:sz w:val="20"/>
                <w:szCs w:val="20"/>
              </w:rPr>
              <w:t> </w:t>
            </w:r>
          </w:p>
        </w:tc>
      </w:tr>
      <w:tr w:rsidR="00000000" w14:paraId="32608FF6" w14:textId="77777777">
        <w:trPr>
          <w:trHeight w:val="200"/>
          <w:tblCellSpacing w:w="15" w:type="dxa"/>
        </w:trPr>
        <w:tc>
          <w:tcPr>
            <w:tcW w:w="0" w:type="auto"/>
            <w:hideMark/>
          </w:tcPr>
          <w:p w14:paraId="5A38797C" w14:textId="77777777" w:rsidR="00000000" w:rsidRDefault="00832D71">
            <w:pPr>
              <w:pStyle w:val="a3"/>
              <w:spacing w:before="0" w:beforeAutospacing="0" w:after="0" w:afterAutospacing="0"/>
              <w:ind w:left="400"/>
              <w:rPr>
                <w:sz w:val="20"/>
                <w:szCs w:val="20"/>
              </w:rPr>
            </w:pPr>
            <w:r>
              <w:rPr>
                <w:sz w:val="20"/>
                <w:szCs w:val="20"/>
              </w:rPr>
              <w:t>Compensation costs recognized under Restricted Unit Plan</w:t>
            </w:r>
            <w:r>
              <w:rPr>
                <w:sz w:val="20"/>
                <w:szCs w:val="20"/>
              </w:rPr>
              <w:t>s</w:t>
            </w:r>
          </w:p>
        </w:tc>
        <w:tc>
          <w:tcPr>
            <w:tcW w:w="0" w:type="auto"/>
            <w:vAlign w:val="bottom"/>
            <w:hideMark/>
          </w:tcPr>
          <w:p w14:paraId="43995EC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DD655E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2AB708A" w14:textId="77777777" w:rsidR="00000000" w:rsidRDefault="00832D71">
            <w:pPr>
              <w:pStyle w:val="a3"/>
              <w:spacing w:before="0" w:beforeAutospacing="0" w:after="0" w:afterAutospacing="0"/>
              <w:jc w:val="right"/>
              <w:rPr>
                <w:sz w:val="20"/>
                <w:szCs w:val="20"/>
              </w:rPr>
            </w:pPr>
            <w:r>
              <w:rPr>
                <w:sz w:val="20"/>
                <w:szCs w:val="20"/>
              </w:rPr>
              <w:t>11,25</w:t>
            </w:r>
            <w:r>
              <w:rPr>
                <w:sz w:val="20"/>
                <w:szCs w:val="20"/>
              </w:rPr>
              <w:t>3</w:t>
            </w:r>
          </w:p>
        </w:tc>
        <w:tc>
          <w:tcPr>
            <w:tcW w:w="0" w:type="auto"/>
            <w:noWrap/>
            <w:vAlign w:val="bottom"/>
            <w:hideMark/>
          </w:tcPr>
          <w:p w14:paraId="1609395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AE8DAC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21EC66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1AE7F31" w14:textId="77777777" w:rsidR="00000000" w:rsidRDefault="00832D71">
            <w:pPr>
              <w:pStyle w:val="a3"/>
              <w:spacing w:before="0" w:beforeAutospacing="0" w:after="0" w:afterAutospacing="0"/>
              <w:jc w:val="right"/>
              <w:rPr>
                <w:sz w:val="20"/>
                <w:szCs w:val="20"/>
              </w:rPr>
            </w:pPr>
            <w:r>
              <w:rPr>
                <w:sz w:val="20"/>
                <w:szCs w:val="20"/>
              </w:rPr>
              <w:t>10,07</w:t>
            </w:r>
            <w:r>
              <w:rPr>
                <w:sz w:val="20"/>
                <w:szCs w:val="20"/>
              </w:rPr>
              <w:t>3</w:t>
            </w:r>
          </w:p>
        </w:tc>
        <w:tc>
          <w:tcPr>
            <w:tcW w:w="0" w:type="auto"/>
            <w:noWrap/>
            <w:vAlign w:val="bottom"/>
            <w:hideMark/>
          </w:tcPr>
          <w:p w14:paraId="1E52347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2B4C0B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B52B98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FA5141D" w14:textId="77777777" w:rsidR="00000000" w:rsidRDefault="00832D71">
            <w:pPr>
              <w:pStyle w:val="a3"/>
              <w:spacing w:before="0" w:beforeAutospacing="0" w:after="0" w:afterAutospacing="0"/>
              <w:jc w:val="right"/>
              <w:rPr>
                <w:sz w:val="20"/>
                <w:szCs w:val="20"/>
              </w:rPr>
            </w:pPr>
            <w:r>
              <w:rPr>
                <w:sz w:val="20"/>
                <w:szCs w:val="20"/>
              </w:rPr>
              <w:t>9,24</w:t>
            </w:r>
            <w:r>
              <w:rPr>
                <w:sz w:val="20"/>
                <w:szCs w:val="20"/>
              </w:rPr>
              <w:t>2</w:t>
            </w:r>
          </w:p>
        </w:tc>
        <w:tc>
          <w:tcPr>
            <w:tcW w:w="0" w:type="auto"/>
            <w:noWrap/>
            <w:vAlign w:val="bottom"/>
            <w:hideMark/>
          </w:tcPr>
          <w:p w14:paraId="6B0177DF" w14:textId="77777777" w:rsidR="00000000" w:rsidRDefault="00832D71">
            <w:pPr>
              <w:pStyle w:val="a3"/>
              <w:spacing w:before="0" w:beforeAutospacing="0" w:after="0" w:afterAutospacing="0"/>
              <w:rPr>
                <w:sz w:val="20"/>
                <w:szCs w:val="20"/>
              </w:rPr>
            </w:pPr>
            <w:r>
              <w:rPr>
                <w:sz w:val="20"/>
                <w:szCs w:val="20"/>
              </w:rPr>
              <w:t> </w:t>
            </w:r>
          </w:p>
        </w:tc>
      </w:tr>
      <w:tr w:rsidR="00000000" w14:paraId="23BB15A5" w14:textId="77777777">
        <w:trPr>
          <w:trHeight w:val="200"/>
          <w:tblCellSpacing w:w="15" w:type="dxa"/>
        </w:trPr>
        <w:tc>
          <w:tcPr>
            <w:tcW w:w="0" w:type="auto"/>
            <w:hideMark/>
          </w:tcPr>
          <w:p w14:paraId="3D7FA436" w14:textId="77777777" w:rsidR="00000000" w:rsidRDefault="00832D71">
            <w:pPr>
              <w:pStyle w:val="a3"/>
              <w:spacing w:before="0" w:beforeAutospacing="0" w:after="0" w:afterAutospacing="0"/>
              <w:ind w:left="400"/>
              <w:rPr>
                <w:sz w:val="20"/>
                <w:szCs w:val="20"/>
              </w:rPr>
            </w:pPr>
            <w:r>
              <w:rPr>
                <w:sz w:val="20"/>
                <w:szCs w:val="20"/>
              </w:rPr>
              <w:t>Loss on debt extinguishmen</w:t>
            </w:r>
            <w:r>
              <w:rPr>
                <w:sz w:val="20"/>
                <w:szCs w:val="20"/>
              </w:rPr>
              <w:t>t</w:t>
            </w:r>
          </w:p>
        </w:tc>
        <w:tc>
          <w:tcPr>
            <w:tcW w:w="0" w:type="auto"/>
            <w:vAlign w:val="bottom"/>
            <w:hideMark/>
          </w:tcPr>
          <w:p w14:paraId="64CB8F4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0443A3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47AE66B"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79E6497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29C8B8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AA2AB3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D8F34A5" w14:textId="77777777" w:rsidR="00000000" w:rsidRDefault="00832D71">
            <w:pPr>
              <w:pStyle w:val="a3"/>
              <w:spacing w:before="0" w:beforeAutospacing="0" w:after="0" w:afterAutospacing="0"/>
              <w:jc w:val="right"/>
              <w:rPr>
                <w:sz w:val="20"/>
                <w:szCs w:val="20"/>
              </w:rPr>
            </w:pPr>
            <w:r>
              <w:rPr>
                <w:sz w:val="20"/>
                <w:szCs w:val="20"/>
              </w:rPr>
              <w:t>16,02</w:t>
            </w:r>
            <w:r>
              <w:rPr>
                <w:sz w:val="20"/>
                <w:szCs w:val="20"/>
              </w:rPr>
              <w:t>9</w:t>
            </w:r>
          </w:p>
        </w:tc>
        <w:tc>
          <w:tcPr>
            <w:tcW w:w="0" w:type="auto"/>
            <w:noWrap/>
            <w:vAlign w:val="bottom"/>
            <w:hideMark/>
          </w:tcPr>
          <w:p w14:paraId="29E38BB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973A301"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044127B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29C9255"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9</w:t>
            </w:r>
          </w:p>
        </w:tc>
        <w:tc>
          <w:tcPr>
            <w:tcW w:w="0" w:type="auto"/>
            <w:noWrap/>
            <w:vAlign w:val="bottom"/>
            <w:hideMark/>
          </w:tcPr>
          <w:p w14:paraId="5BA6A955" w14:textId="77777777" w:rsidR="00000000" w:rsidRDefault="00832D71">
            <w:pPr>
              <w:pStyle w:val="a3"/>
              <w:spacing w:before="0" w:beforeAutospacing="0" w:after="0" w:afterAutospacing="0"/>
              <w:rPr>
                <w:sz w:val="20"/>
                <w:szCs w:val="20"/>
              </w:rPr>
            </w:pPr>
            <w:r>
              <w:rPr>
                <w:sz w:val="20"/>
                <w:szCs w:val="20"/>
              </w:rPr>
              <w:t> </w:t>
            </w:r>
          </w:p>
        </w:tc>
      </w:tr>
      <w:tr w:rsidR="00000000" w14:paraId="5B5CF46F" w14:textId="77777777">
        <w:trPr>
          <w:trHeight w:val="200"/>
          <w:tblCellSpacing w:w="15" w:type="dxa"/>
        </w:trPr>
        <w:tc>
          <w:tcPr>
            <w:tcW w:w="0" w:type="auto"/>
            <w:hideMark/>
          </w:tcPr>
          <w:p w14:paraId="5B3A26C4" w14:textId="77777777" w:rsidR="00000000" w:rsidRDefault="00832D71">
            <w:pPr>
              <w:pStyle w:val="a3"/>
              <w:spacing w:before="0" w:beforeAutospacing="0" w:after="0" w:afterAutospacing="0"/>
              <w:ind w:left="400"/>
              <w:rPr>
                <w:sz w:val="20"/>
                <w:szCs w:val="20"/>
              </w:rPr>
            </w:pPr>
            <w:r>
              <w:rPr>
                <w:sz w:val="20"/>
                <w:szCs w:val="20"/>
              </w:rPr>
              <w:t>Pension settlement charg</w:t>
            </w:r>
            <w:r>
              <w:rPr>
                <w:sz w:val="20"/>
                <w:szCs w:val="20"/>
              </w:rPr>
              <w:t>e</w:t>
            </w:r>
          </w:p>
        </w:tc>
        <w:tc>
          <w:tcPr>
            <w:tcW w:w="0" w:type="auto"/>
            <w:vAlign w:val="bottom"/>
            <w:hideMark/>
          </w:tcPr>
          <w:p w14:paraId="60EE268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B484C5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FA5ED98" w14:textId="77777777" w:rsidR="00000000" w:rsidRDefault="00832D71">
            <w:pPr>
              <w:pStyle w:val="a3"/>
              <w:spacing w:before="0" w:beforeAutospacing="0" w:after="0" w:afterAutospacing="0"/>
              <w:jc w:val="right"/>
              <w:rPr>
                <w:sz w:val="20"/>
                <w:szCs w:val="20"/>
              </w:rPr>
            </w:pPr>
            <w:r>
              <w:rPr>
                <w:sz w:val="20"/>
                <w:szCs w:val="20"/>
              </w:rPr>
              <w:t>84</w:t>
            </w:r>
            <w:r>
              <w:rPr>
                <w:sz w:val="20"/>
                <w:szCs w:val="20"/>
              </w:rPr>
              <w:t>0</w:t>
            </w:r>
          </w:p>
        </w:tc>
        <w:tc>
          <w:tcPr>
            <w:tcW w:w="0" w:type="auto"/>
            <w:noWrap/>
            <w:vAlign w:val="bottom"/>
            <w:hideMark/>
          </w:tcPr>
          <w:p w14:paraId="6B988BF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63ED2A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32452F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38FC910" w14:textId="77777777" w:rsidR="00000000" w:rsidRDefault="00832D71">
            <w:pPr>
              <w:pStyle w:val="a3"/>
              <w:spacing w:before="0" w:beforeAutospacing="0" w:after="0" w:afterAutospacing="0"/>
              <w:jc w:val="right"/>
              <w:rPr>
                <w:sz w:val="20"/>
                <w:szCs w:val="20"/>
              </w:rPr>
            </w:pPr>
            <w:r>
              <w:rPr>
                <w:sz w:val="20"/>
                <w:szCs w:val="20"/>
              </w:rPr>
              <w:t>95</w:t>
            </w:r>
            <w:r>
              <w:rPr>
                <w:sz w:val="20"/>
                <w:szCs w:val="20"/>
              </w:rPr>
              <w:t>8</w:t>
            </w:r>
          </w:p>
        </w:tc>
        <w:tc>
          <w:tcPr>
            <w:tcW w:w="0" w:type="auto"/>
            <w:noWrap/>
            <w:vAlign w:val="bottom"/>
            <w:hideMark/>
          </w:tcPr>
          <w:p w14:paraId="1E2143E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D36CDA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A7B9C1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31FE8E9" w14:textId="77777777" w:rsidR="00000000" w:rsidRDefault="00832D71">
            <w:pPr>
              <w:pStyle w:val="a3"/>
              <w:spacing w:before="0" w:beforeAutospacing="0" w:after="0" w:afterAutospacing="0"/>
              <w:jc w:val="right"/>
              <w:rPr>
                <w:sz w:val="20"/>
                <w:szCs w:val="20"/>
              </w:rPr>
            </w:pPr>
            <w:r>
              <w:rPr>
                <w:sz w:val="20"/>
                <w:szCs w:val="20"/>
              </w:rPr>
              <w:t>1,05</w:t>
            </w:r>
            <w:r>
              <w:rPr>
                <w:sz w:val="20"/>
                <w:szCs w:val="20"/>
              </w:rPr>
              <w:t>1</w:t>
            </w:r>
          </w:p>
        </w:tc>
        <w:tc>
          <w:tcPr>
            <w:tcW w:w="0" w:type="auto"/>
            <w:noWrap/>
            <w:vAlign w:val="bottom"/>
            <w:hideMark/>
          </w:tcPr>
          <w:p w14:paraId="6A370237" w14:textId="77777777" w:rsidR="00000000" w:rsidRDefault="00832D71">
            <w:pPr>
              <w:pStyle w:val="a3"/>
              <w:spacing w:before="0" w:beforeAutospacing="0" w:after="0" w:afterAutospacing="0"/>
              <w:rPr>
                <w:sz w:val="20"/>
                <w:szCs w:val="20"/>
              </w:rPr>
            </w:pPr>
            <w:r>
              <w:rPr>
                <w:sz w:val="20"/>
                <w:szCs w:val="20"/>
              </w:rPr>
              <w:t> </w:t>
            </w:r>
          </w:p>
        </w:tc>
      </w:tr>
      <w:tr w:rsidR="00000000" w14:paraId="4A3B39F4" w14:textId="77777777">
        <w:trPr>
          <w:trHeight w:val="200"/>
          <w:tblCellSpacing w:w="15" w:type="dxa"/>
        </w:trPr>
        <w:tc>
          <w:tcPr>
            <w:tcW w:w="0" w:type="auto"/>
            <w:hideMark/>
          </w:tcPr>
          <w:p w14:paraId="181A3B37" w14:textId="77777777" w:rsidR="00000000" w:rsidRDefault="00832D71">
            <w:pPr>
              <w:pStyle w:val="a3"/>
              <w:spacing w:before="0" w:beforeAutospacing="0" w:after="0" w:afterAutospacing="0"/>
              <w:ind w:left="400"/>
              <w:rPr>
                <w:sz w:val="20"/>
                <w:szCs w:val="20"/>
              </w:rPr>
            </w:pPr>
            <w:r>
              <w:rPr>
                <w:sz w:val="20"/>
                <w:szCs w:val="20"/>
              </w:rPr>
              <w:t>Other, ne</w:t>
            </w:r>
            <w:r>
              <w:rPr>
                <w:sz w:val="20"/>
                <w:szCs w:val="20"/>
              </w:rPr>
              <w:t>t</w:t>
            </w:r>
          </w:p>
        </w:tc>
        <w:tc>
          <w:tcPr>
            <w:tcW w:w="0" w:type="auto"/>
            <w:vAlign w:val="bottom"/>
            <w:hideMark/>
          </w:tcPr>
          <w:p w14:paraId="415E6E3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EB8226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90BC59E" w14:textId="77777777" w:rsidR="00000000" w:rsidRDefault="00832D71">
            <w:pPr>
              <w:pStyle w:val="a3"/>
              <w:spacing w:before="0" w:beforeAutospacing="0" w:after="0" w:afterAutospacing="0"/>
              <w:jc w:val="right"/>
              <w:rPr>
                <w:sz w:val="20"/>
                <w:szCs w:val="20"/>
              </w:rPr>
            </w:pPr>
            <w:r>
              <w:rPr>
                <w:sz w:val="20"/>
                <w:szCs w:val="20"/>
              </w:rPr>
              <w:t>2,97</w:t>
            </w:r>
            <w:r>
              <w:rPr>
                <w:sz w:val="20"/>
                <w:szCs w:val="20"/>
              </w:rPr>
              <w:t>1</w:t>
            </w:r>
          </w:p>
        </w:tc>
        <w:tc>
          <w:tcPr>
            <w:tcW w:w="0" w:type="auto"/>
            <w:noWrap/>
            <w:vAlign w:val="bottom"/>
            <w:hideMark/>
          </w:tcPr>
          <w:p w14:paraId="33A92B3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BEAED1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E97441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C1CA03F" w14:textId="77777777" w:rsidR="00000000" w:rsidRDefault="00832D71">
            <w:pPr>
              <w:pStyle w:val="a3"/>
              <w:spacing w:before="0" w:beforeAutospacing="0" w:after="0" w:afterAutospacing="0"/>
              <w:jc w:val="right"/>
              <w:rPr>
                <w:sz w:val="20"/>
                <w:szCs w:val="20"/>
              </w:rPr>
            </w:pPr>
            <w:r>
              <w:rPr>
                <w:sz w:val="20"/>
                <w:szCs w:val="20"/>
              </w:rPr>
              <w:t>3,07</w:t>
            </w:r>
            <w:r>
              <w:rPr>
                <w:sz w:val="20"/>
                <w:szCs w:val="20"/>
              </w:rPr>
              <w:t>8</w:t>
            </w:r>
          </w:p>
        </w:tc>
        <w:tc>
          <w:tcPr>
            <w:tcW w:w="0" w:type="auto"/>
            <w:noWrap/>
            <w:vAlign w:val="bottom"/>
            <w:hideMark/>
          </w:tcPr>
          <w:p w14:paraId="413C3BA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ECA047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719E79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7D5E1E5" w14:textId="77777777" w:rsidR="00000000" w:rsidRDefault="00832D71">
            <w:pPr>
              <w:pStyle w:val="a3"/>
              <w:spacing w:before="0" w:beforeAutospacing="0" w:after="0" w:afterAutospacing="0"/>
              <w:jc w:val="right"/>
              <w:rPr>
                <w:sz w:val="20"/>
                <w:szCs w:val="20"/>
              </w:rPr>
            </w:pPr>
            <w:r>
              <w:rPr>
                <w:sz w:val="20"/>
                <w:szCs w:val="20"/>
              </w:rPr>
              <w:t>92</w:t>
            </w:r>
            <w:r>
              <w:rPr>
                <w:sz w:val="20"/>
                <w:szCs w:val="20"/>
              </w:rPr>
              <w:t>3</w:t>
            </w:r>
          </w:p>
        </w:tc>
        <w:tc>
          <w:tcPr>
            <w:tcW w:w="0" w:type="auto"/>
            <w:noWrap/>
            <w:vAlign w:val="bottom"/>
            <w:hideMark/>
          </w:tcPr>
          <w:p w14:paraId="1347F2D3" w14:textId="77777777" w:rsidR="00000000" w:rsidRDefault="00832D71">
            <w:pPr>
              <w:pStyle w:val="a3"/>
              <w:spacing w:before="0" w:beforeAutospacing="0" w:after="0" w:afterAutospacing="0"/>
              <w:rPr>
                <w:sz w:val="20"/>
                <w:szCs w:val="20"/>
              </w:rPr>
            </w:pPr>
            <w:r>
              <w:rPr>
                <w:sz w:val="20"/>
                <w:szCs w:val="20"/>
              </w:rPr>
              <w:t> </w:t>
            </w:r>
          </w:p>
        </w:tc>
      </w:tr>
      <w:tr w:rsidR="00000000" w14:paraId="23FDB3D4" w14:textId="77777777">
        <w:trPr>
          <w:trHeight w:val="200"/>
          <w:tblCellSpacing w:w="15" w:type="dxa"/>
        </w:trPr>
        <w:tc>
          <w:tcPr>
            <w:tcW w:w="0" w:type="auto"/>
            <w:hideMark/>
          </w:tcPr>
          <w:p w14:paraId="5D2B3369" w14:textId="77777777" w:rsidR="00000000" w:rsidRDefault="00832D71">
            <w:pPr>
              <w:pStyle w:val="a3"/>
              <w:spacing w:before="0" w:beforeAutospacing="0" w:after="0" w:afterAutospacing="0"/>
              <w:ind w:left="200"/>
              <w:rPr>
                <w:sz w:val="20"/>
                <w:szCs w:val="20"/>
              </w:rPr>
            </w:pPr>
            <w:r>
              <w:rPr>
                <w:sz w:val="20"/>
                <w:szCs w:val="20"/>
              </w:rPr>
              <w:t>Changes in assets and liabilities</w:t>
            </w:r>
            <w:r>
              <w:rPr>
                <w:sz w:val="20"/>
                <w:szCs w:val="20"/>
              </w:rPr>
              <w:t>:</w:t>
            </w:r>
          </w:p>
        </w:tc>
        <w:tc>
          <w:tcPr>
            <w:tcW w:w="0" w:type="auto"/>
            <w:vAlign w:val="bottom"/>
            <w:hideMark/>
          </w:tcPr>
          <w:p w14:paraId="5D6020F4"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BDD1A5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C4946E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2334745"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441F31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116943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A40CEEF"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34F6F3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96A098F" w14:textId="77777777" w:rsidR="00000000" w:rsidRDefault="00832D71">
            <w:pPr>
              <w:pStyle w:val="a3"/>
              <w:spacing w:before="0" w:beforeAutospacing="0" w:after="0" w:afterAutospacing="0"/>
              <w:jc w:val="right"/>
              <w:rPr>
                <w:sz w:val="20"/>
                <w:szCs w:val="20"/>
              </w:rPr>
            </w:pPr>
            <w:r>
              <w:rPr>
                <w:sz w:val="20"/>
                <w:szCs w:val="20"/>
              </w:rPr>
              <w:t> </w:t>
            </w:r>
          </w:p>
        </w:tc>
      </w:tr>
      <w:tr w:rsidR="00000000" w14:paraId="79658325" w14:textId="77777777">
        <w:trPr>
          <w:trHeight w:val="200"/>
          <w:tblCellSpacing w:w="15" w:type="dxa"/>
        </w:trPr>
        <w:tc>
          <w:tcPr>
            <w:tcW w:w="0" w:type="auto"/>
            <w:hideMark/>
          </w:tcPr>
          <w:p w14:paraId="56E88FAD" w14:textId="77777777" w:rsidR="00000000" w:rsidRDefault="00832D71">
            <w:pPr>
              <w:pStyle w:val="a3"/>
              <w:spacing w:before="0" w:beforeAutospacing="0" w:after="0" w:afterAutospacing="0"/>
              <w:ind w:left="400"/>
              <w:rPr>
                <w:sz w:val="20"/>
                <w:szCs w:val="20"/>
              </w:rPr>
            </w:pPr>
            <w:r>
              <w:rPr>
                <w:sz w:val="20"/>
                <w:szCs w:val="20"/>
              </w:rPr>
              <w:t>Accounts receivabl</w:t>
            </w:r>
            <w:r>
              <w:rPr>
                <w:sz w:val="20"/>
                <w:szCs w:val="20"/>
              </w:rPr>
              <w:t>e</w:t>
            </w:r>
          </w:p>
        </w:tc>
        <w:tc>
          <w:tcPr>
            <w:tcW w:w="0" w:type="auto"/>
            <w:vAlign w:val="bottom"/>
            <w:hideMark/>
          </w:tcPr>
          <w:p w14:paraId="32DCBA8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8EC053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18FD4DB" w14:textId="77777777" w:rsidR="00000000" w:rsidRDefault="00832D71">
            <w:pPr>
              <w:pStyle w:val="a3"/>
              <w:spacing w:before="0" w:beforeAutospacing="0" w:after="0" w:afterAutospacing="0"/>
              <w:jc w:val="right"/>
              <w:rPr>
                <w:sz w:val="20"/>
                <w:szCs w:val="20"/>
              </w:rPr>
            </w:pPr>
            <w:r>
              <w:rPr>
                <w:sz w:val="20"/>
                <w:szCs w:val="20"/>
              </w:rPr>
              <w:t>(</w:t>
            </w:r>
            <w:r>
              <w:rPr>
                <w:sz w:val="20"/>
                <w:szCs w:val="20"/>
              </w:rPr>
              <w:t>7,09</w:t>
            </w:r>
            <w:r>
              <w:rPr>
                <w:sz w:val="20"/>
                <w:szCs w:val="20"/>
              </w:rPr>
              <w:t>5</w:t>
            </w:r>
          </w:p>
        </w:tc>
        <w:tc>
          <w:tcPr>
            <w:tcW w:w="0" w:type="auto"/>
            <w:noWrap/>
            <w:vAlign w:val="bottom"/>
            <w:hideMark/>
          </w:tcPr>
          <w:p w14:paraId="35E5CE4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C26F88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E18DCC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ADAD605" w14:textId="77777777" w:rsidR="00000000" w:rsidRDefault="00832D71">
            <w:pPr>
              <w:pStyle w:val="a3"/>
              <w:spacing w:before="0" w:beforeAutospacing="0" w:after="0" w:afterAutospacing="0"/>
              <w:jc w:val="right"/>
              <w:rPr>
                <w:sz w:val="20"/>
                <w:szCs w:val="20"/>
              </w:rPr>
            </w:pPr>
            <w:r>
              <w:rPr>
                <w:sz w:val="20"/>
                <w:szCs w:val="20"/>
              </w:rPr>
              <w:t>(</w:t>
            </w:r>
            <w:r>
              <w:rPr>
                <w:sz w:val="20"/>
                <w:szCs w:val="20"/>
              </w:rPr>
              <w:t>15,91</w:t>
            </w:r>
            <w:r>
              <w:rPr>
                <w:sz w:val="20"/>
                <w:szCs w:val="20"/>
              </w:rPr>
              <w:t>4</w:t>
            </w:r>
          </w:p>
        </w:tc>
        <w:tc>
          <w:tcPr>
            <w:tcW w:w="0" w:type="auto"/>
            <w:noWrap/>
            <w:vAlign w:val="bottom"/>
            <w:hideMark/>
          </w:tcPr>
          <w:p w14:paraId="6851773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856C34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38D8BC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837173E" w14:textId="77777777" w:rsidR="00000000" w:rsidRDefault="00832D71">
            <w:pPr>
              <w:pStyle w:val="a3"/>
              <w:spacing w:before="0" w:beforeAutospacing="0" w:after="0" w:afterAutospacing="0"/>
              <w:jc w:val="right"/>
              <w:rPr>
                <w:sz w:val="20"/>
                <w:szCs w:val="20"/>
              </w:rPr>
            </w:pPr>
            <w:r>
              <w:rPr>
                <w:sz w:val="20"/>
                <w:szCs w:val="20"/>
              </w:rPr>
              <w:t>4,46</w:t>
            </w:r>
            <w:r>
              <w:rPr>
                <w:sz w:val="20"/>
                <w:szCs w:val="20"/>
              </w:rPr>
              <w:t>6</w:t>
            </w:r>
          </w:p>
        </w:tc>
        <w:tc>
          <w:tcPr>
            <w:tcW w:w="0" w:type="auto"/>
            <w:noWrap/>
            <w:vAlign w:val="bottom"/>
            <w:hideMark/>
          </w:tcPr>
          <w:p w14:paraId="7483A533" w14:textId="77777777" w:rsidR="00000000" w:rsidRDefault="00832D71">
            <w:pPr>
              <w:pStyle w:val="a3"/>
              <w:spacing w:before="0" w:beforeAutospacing="0" w:after="0" w:afterAutospacing="0"/>
              <w:rPr>
                <w:sz w:val="20"/>
                <w:szCs w:val="20"/>
              </w:rPr>
            </w:pPr>
            <w:r>
              <w:rPr>
                <w:sz w:val="20"/>
                <w:szCs w:val="20"/>
              </w:rPr>
              <w:t> </w:t>
            </w:r>
          </w:p>
        </w:tc>
      </w:tr>
      <w:tr w:rsidR="00000000" w14:paraId="7E49710F" w14:textId="77777777">
        <w:trPr>
          <w:trHeight w:val="200"/>
          <w:tblCellSpacing w:w="15" w:type="dxa"/>
        </w:trPr>
        <w:tc>
          <w:tcPr>
            <w:tcW w:w="0" w:type="auto"/>
            <w:hideMark/>
          </w:tcPr>
          <w:p w14:paraId="466518C1" w14:textId="77777777" w:rsidR="00000000" w:rsidRDefault="00832D71">
            <w:pPr>
              <w:pStyle w:val="a3"/>
              <w:spacing w:before="0" w:beforeAutospacing="0" w:after="0" w:afterAutospacing="0"/>
              <w:ind w:left="400"/>
              <w:rPr>
                <w:sz w:val="20"/>
                <w:szCs w:val="20"/>
              </w:rPr>
            </w:pPr>
            <w:r>
              <w:rPr>
                <w:sz w:val="20"/>
                <w:szCs w:val="20"/>
              </w:rPr>
              <w:t>Inventorie</w:t>
            </w:r>
            <w:r>
              <w:rPr>
                <w:sz w:val="20"/>
                <w:szCs w:val="20"/>
              </w:rPr>
              <w:t>s</w:t>
            </w:r>
          </w:p>
        </w:tc>
        <w:tc>
          <w:tcPr>
            <w:tcW w:w="0" w:type="auto"/>
            <w:vAlign w:val="bottom"/>
            <w:hideMark/>
          </w:tcPr>
          <w:p w14:paraId="2F7376C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B9FD7B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E23DFF3" w14:textId="77777777" w:rsidR="00000000" w:rsidRDefault="00832D71">
            <w:pPr>
              <w:pStyle w:val="a3"/>
              <w:spacing w:before="0" w:beforeAutospacing="0" w:after="0" w:afterAutospacing="0"/>
              <w:jc w:val="right"/>
              <w:rPr>
                <w:sz w:val="20"/>
                <w:szCs w:val="20"/>
              </w:rPr>
            </w:pPr>
            <w:r>
              <w:rPr>
                <w:sz w:val="20"/>
                <w:szCs w:val="20"/>
              </w:rPr>
              <w:t>(</w:t>
            </w:r>
            <w:r>
              <w:rPr>
                <w:sz w:val="20"/>
                <w:szCs w:val="20"/>
              </w:rPr>
              <w:t>4,82</w:t>
            </w:r>
            <w:r>
              <w:rPr>
                <w:sz w:val="20"/>
                <w:szCs w:val="20"/>
              </w:rPr>
              <w:t>4</w:t>
            </w:r>
          </w:p>
        </w:tc>
        <w:tc>
          <w:tcPr>
            <w:tcW w:w="0" w:type="auto"/>
            <w:noWrap/>
            <w:vAlign w:val="bottom"/>
            <w:hideMark/>
          </w:tcPr>
          <w:p w14:paraId="01533DF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17D6B5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38C12C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FB8E210" w14:textId="77777777" w:rsidR="00000000" w:rsidRDefault="00832D71">
            <w:pPr>
              <w:pStyle w:val="a3"/>
              <w:spacing w:before="0" w:beforeAutospacing="0" w:after="0" w:afterAutospacing="0"/>
              <w:jc w:val="right"/>
              <w:rPr>
                <w:sz w:val="20"/>
                <w:szCs w:val="20"/>
              </w:rPr>
            </w:pPr>
            <w:r>
              <w:rPr>
                <w:sz w:val="20"/>
                <w:szCs w:val="20"/>
              </w:rPr>
              <w:t>(</w:t>
            </w:r>
            <w:r>
              <w:rPr>
                <w:sz w:val="20"/>
                <w:szCs w:val="20"/>
              </w:rPr>
              <w:t>14,79</w:t>
            </w:r>
            <w:r>
              <w:rPr>
                <w:sz w:val="20"/>
                <w:szCs w:val="20"/>
              </w:rPr>
              <w:t>7</w:t>
            </w:r>
          </w:p>
        </w:tc>
        <w:tc>
          <w:tcPr>
            <w:tcW w:w="0" w:type="auto"/>
            <w:noWrap/>
            <w:vAlign w:val="bottom"/>
            <w:hideMark/>
          </w:tcPr>
          <w:p w14:paraId="52C5593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7FBEE1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6EAC0A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6ED92B8" w14:textId="77777777" w:rsidR="00000000" w:rsidRDefault="00832D71">
            <w:pPr>
              <w:pStyle w:val="a3"/>
              <w:spacing w:before="0" w:beforeAutospacing="0" w:after="0" w:afterAutospacing="0"/>
              <w:jc w:val="right"/>
              <w:rPr>
                <w:sz w:val="20"/>
                <w:szCs w:val="20"/>
              </w:rPr>
            </w:pPr>
            <w:r>
              <w:rPr>
                <w:sz w:val="20"/>
                <w:szCs w:val="20"/>
              </w:rPr>
              <w:t>(</w:t>
            </w:r>
            <w:r>
              <w:rPr>
                <w:sz w:val="20"/>
                <w:szCs w:val="20"/>
              </w:rPr>
              <w:t>1,58</w:t>
            </w:r>
            <w:r>
              <w:rPr>
                <w:sz w:val="20"/>
                <w:szCs w:val="20"/>
              </w:rPr>
              <w:t>3</w:t>
            </w:r>
          </w:p>
        </w:tc>
        <w:tc>
          <w:tcPr>
            <w:tcW w:w="0" w:type="auto"/>
            <w:noWrap/>
            <w:vAlign w:val="bottom"/>
            <w:hideMark/>
          </w:tcPr>
          <w:p w14:paraId="232284B2" w14:textId="77777777" w:rsidR="00000000" w:rsidRDefault="00832D71">
            <w:pPr>
              <w:pStyle w:val="a3"/>
              <w:spacing w:before="0" w:beforeAutospacing="0" w:after="0" w:afterAutospacing="0"/>
              <w:rPr>
                <w:sz w:val="20"/>
                <w:szCs w:val="20"/>
              </w:rPr>
            </w:pPr>
            <w:r>
              <w:rPr>
                <w:sz w:val="20"/>
                <w:szCs w:val="20"/>
              </w:rPr>
              <w:t>)</w:t>
            </w:r>
          </w:p>
        </w:tc>
      </w:tr>
      <w:tr w:rsidR="00000000" w14:paraId="6026409E" w14:textId="77777777">
        <w:trPr>
          <w:trHeight w:val="200"/>
          <w:tblCellSpacing w:w="15" w:type="dxa"/>
        </w:trPr>
        <w:tc>
          <w:tcPr>
            <w:tcW w:w="0" w:type="auto"/>
            <w:hideMark/>
          </w:tcPr>
          <w:p w14:paraId="628348D4" w14:textId="77777777" w:rsidR="00000000" w:rsidRDefault="00832D71">
            <w:pPr>
              <w:pStyle w:val="a3"/>
              <w:spacing w:before="0" w:beforeAutospacing="0" w:after="0" w:afterAutospacing="0"/>
              <w:ind w:left="400"/>
              <w:rPr>
                <w:sz w:val="20"/>
                <w:szCs w:val="20"/>
              </w:rPr>
            </w:pPr>
            <w:r>
              <w:rPr>
                <w:sz w:val="20"/>
                <w:szCs w:val="20"/>
              </w:rPr>
              <w:t>Other current and noncurrent asset</w:t>
            </w:r>
            <w:r>
              <w:rPr>
                <w:sz w:val="20"/>
                <w:szCs w:val="20"/>
              </w:rPr>
              <w:t>s</w:t>
            </w:r>
          </w:p>
        </w:tc>
        <w:tc>
          <w:tcPr>
            <w:tcW w:w="0" w:type="auto"/>
            <w:vAlign w:val="bottom"/>
            <w:hideMark/>
          </w:tcPr>
          <w:p w14:paraId="618DDAE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A14EE9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0113886" w14:textId="77777777" w:rsidR="00000000" w:rsidRDefault="00832D71">
            <w:pPr>
              <w:pStyle w:val="a3"/>
              <w:spacing w:before="0" w:beforeAutospacing="0" w:after="0" w:afterAutospacing="0"/>
              <w:jc w:val="right"/>
              <w:rPr>
                <w:sz w:val="20"/>
                <w:szCs w:val="20"/>
              </w:rPr>
            </w:pPr>
            <w:r>
              <w:rPr>
                <w:sz w:val="20"/>
                <w:szCs w:val="20"/>
              </w:rPr>
              <w:t>(</w:t>
            </w:r>
            <w:r>
              <w:rPr>
                <w:sz w:val="20"/>
                <w:szCs w:val="20"/>
              </w:rPr>
              <w:t>5,37</w:t>
            </w:r>
            <w:r>
              <w:rPr>
                <w:sz w:val="20"/>
                <w:szCs w:val="20"/>
              </w:rPr>
              <w:t>3</w:t>
            </w:r>
          </w:p>
        </w:tc>
        <w:tc>
          <w:tcPr>
            <w:tcW w:w="0" w:type="auto"/>
            <w:noWrap/>
            <w:vAlign w:val="bottom"/>
            <w:hideMark/>
          </w:tcPr>
          <w:p w14:paraId="1FB22C3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1573B6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A8DECA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BD8D08" w14:textId="77777777" w:rsidR="00000000" w:rsidRDefault="00832D71">
            <w:pPr>
              <w:pStyle w:val="a3"/>
              <w:spacing w:before="0" w:beforeAutospacing="0" w:after="0" w:afterAutospacing="0"/>
              <w:jc w:val="right"/>
              <w:rPr>
                <w:sz w:val="20"/>
                <w:szCs w:val="20"/>
              </w:rPr>
            </w:pPr>
            <w:r>
              <w:rPr>
                <w:sz w:val="20"/>
                <w:szCs w:val="20"/>
              </w:rPr>
              <w:t>(</w:t>
            </w:r>
            <w:r>
              <w:rPr>
                <w:sz w:val="20"/>
                <w:szCs w:val="20"/>
              </w:rPr>
              <w:t>39,95</w:t>
            </w:r>
            <w:r>
              <w:rPr>
                <w:sz w:val="20"/>
                <w:szCs w:val="20"/>
              </w:rPr>
              <w:t>2</w:t>
            </w:r>
          </w:p>
        </w:tc>
        <w:tc>
          <w:tcPr>
            <w:tcW w:w="0" w:type="auto"/>
            <w:noWrap/>
            <w:vAlign w:val="bottom"/>
            <w:hideMark/>
          </w:tcPr>
          <w:p w14:paraId="2FD819C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0612DF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B2D850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C54E94F" w14:textId="77777777" w:rsidR="00000000" w:rsidRDefault="00832D71">
            <w:pPr>
              <w:pStyle w:val="a3"/>
              <w:spacing w:before="0" w:beforeAutospacing="0" w:after="0" w:afterAutospacing="0"/>
              <w:jc w:val="right"/>
              <w:rPr>
                <w:sz w:val="20"/>
                <w:szCs w:val="20"/>
              </w:rPr>
            </w:pPr>
            <w:r>
              <w:rPr>
                <w:sz w:val="20"/>
                <w:szCs w:val="20"/>
              </w:rPr>
              <w:t>(</w:t>
            </w:r>
            <w:r>
              <w:rPr>
                <w:sz w:val="20"/>
                <w:szCs w:val="20"/>
              </w:rPr>
              <w:t>9,75</w:t>
            </w:r>
            <w:r>
              <w:rPr>
                <w:sz w:val="20"/>
                <w:szCs w:val="20"/>
              </w:rPr>
              <w:t>3</w:t>
            </w:r>
          </w:p>
        </w:tc>
        <w:tc>
          <w:tcPr>
            <w:tcW w:w="0" w:type="auto"/>
            <w:noWrap/>
            <w:vAlign w:val="bottom"/>
            <w:hideMark/>
          </w:tcPr>
          <w:p w14:paraId="0087431C" w14:textId="77777777" w:rsidR="00000000" w:rsidRDefault="00832D71">
            <w:pPr>
              <w:pStyle w:val="a3"/>
              <w:spacing w:before="0" w:beforeAutospacing="0" w:after="0" w:afterAutospacing="0"/>
              <w:rPr>
                <w:sz w:val="20"/>
                <w:szCs w:val="20"/>
              </w:rPr>
            </w:pPr>
            <w:r>
              <w:rPr>
                <w:sz w:val="20"/>
                <w:szCs w:val="20"/>
              </w:rPr>
              <w:t>)</w:t>
            </w:r>
          </w:p>
        </w:tc>
      </w:tr>
      <w:tr w:rsidR="00000000" w14:paraId="1FD3D17A" w14:textId="77777777">
        <w:trPr>
          <w:trHeight w:val="200"/>
          <w:tblCellSpacing w:w="15" w:type="dxa"/>
        </w:trPr>
        <w:tc>
          <w:tcPr>
            <w:tcW w:w="0" w:type="auto"/>
            <w:hideMark/>
          </w:tcPr>
          <w:p w14:paraId="3689D720" w14:textId="77777777" w:rsidR="00000000" w:rsidRDefault="00832D71">
            <w:pPr>
              <w:pStyle w:val="a3"/>
              <w:spacing w:before="0" w:beforeAutospacing="0" w:after="0" w:afterAutospacing="0"/>
              <w:ind w:left="400"/>
              <w:rPr>
                <w:sz w:val="20"/>
                <w:szCs w:val="20"/>
              </w:rPr>
            </w:pPr>
            <w:r>
              <w:rPr>
                <w:sz w:val="20"/>
                <w:szCs w:val="20"/>
              </w:rPr>
              <w:t>Accounts payabl</w:t>
            </w:r>
            <w:r>
              <w:rPr>
                <w:sz w:val="20"/>
                <w:szCs w:val="20"/>
              </w:rPr>
              <w:t>e</w:t>
            </w:r>
          </w:p>
        </w:tc>
        <w:tc>
          <w:tcPr>
            <w:tcW w:w="0" w:type="auto"/>
            <w:vAlign w:val="bottom"/>
            <w:hideMark/>
          </w:tcPr>
          <w:p w14:paraId="610EB0E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BA481C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1147C0D" w14:textId="77777777" w:rsidR="00000000" w:rsidRDefault="00832D71">
            <w:pPr>
              <w:pStyle w:val="a3"/>
              <w:spacing w:before="0" w:beforeAutospacing="0" w:after="0" w:afterAutospacing="0"/>
              <w:jc w:val="right"/>
              <w:rPr>
                <w:sz w:val="20"/>
                <w:szCs w:val="20"/>
              </w:rPr>
            </w:pPr>
            <w:r>
              <w:rPr>
                <w:sz w:val="20"/>
                <w:szCs w:val="20"/>
              </w:rPr>
              <w:t>(</w:t>
            </w:r>
            <w:r>
              <w:rPr>
                <w:sz w:val="20"/>
                <w:szCs w:val="20"/>
              </w:rPr>
              <w:t>4,33</w:t>
            </w:r>
            <w:r>
              <w:rPr>
                <w:sz w:val="20"/>
                <w:szCs w:val="20"/>
              </w:rPr>
              <w:t>5</w:t>
            </w:r>
          </w:p>
        </w:tc>
        <w:tc>
          <w:tcPr>
            <w:tcW w:w="0" w:type="auto"/>
            <w:noWrap/>
            <w:vAlign w:val="bottom"/>
            <w:hideMark/>
          </w:tcPr>
          <w:p w14:paraId="49E7CBC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C80541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2272AA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39B63BD" w14:textId="77777777" w:rsidR="00000000" w:rsidRDefault="00832D71">
            <w:pPr>
              <w:pStyle w:val="a3"/>
              <w:spacing w:before="0" w:beforeAutospacing="0" w:after="0" w:afterAutospacing="0"/>
              <w:jc w:val="right"/>
              <w:rPr>
                <w:sz w:val="20"/>
                <w:szCs w:val="20"/>
              </w:rPr>
            </w:pPr>
            <w:r>
              <w:rPr>
                <w:sz w:val="20"/>
                <w:szCs w:val="20"/>
              </w:rPr>
              <w:t>6,78</w:t>
            </w:r>
            <w:r>
              <w:rPr>
                <w:sz w:val="20"/>
                <w:szCs w:val="20"/>
              </w:rPr>
              <w:t>3</w:t>
            </w:r>
          </w:p>
        </w:tc>
        <w:tc>
          <w:tcPr>
            <w:tcW w:w="0" w:type="auto"/>
            <w:noWrap/>
            <w:vAlign w:val="bottom"/>
            <w:hideMark/>
          </w:tcPr>
          <w:p w14:paraId="2B4E302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19A815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F5FD3E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A50DF85" w14:textId="77777777" w:rsidR="00000000" w:rsidRDefault="00832D71">
            <w:pPr>
              <w:pStyle w:val="a3"/>
              <w:spacing w:before="0" w:beforeAutospacing="0" w:after="0" w:afterAutospacing="0"/>
              <w:jc w:val="right"/>
              <w:rPr>
                <w:sz w:val="20"/>
                <w:szCs w:val="20"/>
              </w:rPr>
            </w:pPr>
            <w:r>
              <w:rPr>
                <w:sz w:val="20"/>
                <w:szCs w:val="20"/>
              </w:rPr>
              <w:t>1,51</w:t>
            </w:r>
            <w:r>
              <w:rPr>
                <w:sz w:val="20"/>
                <w:szCs w:val="20"/>
              </w:rPr>
              <w:t>1</w:t>
            </w:r>
          </w:p>
        </w:tc>
        <w:tc>
          <w:tcPr>
            <w:tcW w:w="0" w:type="auto"/>
            <w:noWrap/>
            <w:vAlign w:val="bottom"/>
            <w:hideMark/>
          </w:tcPr>
          <w:p w14:paraId="7B9BB74C" w14:textId="77777777" w:rsidR="00000000" w:rsidRDefault="00832D71">
            <w:pPr>
              <w:pStyle w:val="a3"/>
              <w:spacing w:before="0" w:beforeAutospacing="0" w:after="0" w:afterAutospacing="0"/>
              <w:rPr>
                <w:sz w:val="20"/>
                <w:szCs w:val="20"/>
              </w:rPr>
            </w:pPr>
            <w:r>
              <w:rPr>
                <w:sz w:val="20"/>
                <w:szCs w:val="20"/>
              </w:rPr>
              <w:t> </w:t>
            </w:r>
          </w:p>
        </w:tc>
      </w:tr>
      <w:tr w:rsidR="00000000" w14:paraId="5E35D1C2" w14:textId="77777777">
        <w:trPr>
          <w:trHeight w:val="200"/>
          <w:tblCellSpacing w:w="15" w:type="dxa"/>
        </w:trPr>
        <w:tc>
          <w:tcPr>
            <w:tcW w:w="0" w:type="auto"/>
            <w:hideMark/>
          </w:tcPr>
          <w:p w14:paraId="1C17FA55" w14:textId="77777777" w:rsidR="00000000" w:rsidRDefault="00832D71">
            <w:pPr>
              <w:pStyle w:val="a3"/>
              <w:spacing w:before="0" w:beforeAutospacing="0" w:after="0" w:afterAutospacing="0"/>
              <w:ind w:left="400"/>
              <w:rPr>
                <w:sz w:val="20"/>
                <w:szCs w:val="20"/>
              </w:rPr>
            </w:pPr>
            <w:r>
              <w:rPr>
                <w:sz w:val="20"/>
                <w:szCs w:val="20"/>
              </w:rPr>
              <w:t>Accrued employment and benefit cost</w:t>
            </w:r>
            <w:r>
              <w:rPr>
                <w:sz w:val="20"/>
                <w:szCs w:val="20"/>
              </w:rPr>
              <w:t>s</w:t>
            </w:r>
          </w:p>
        </w:tc>
        <w:tc>
          <w:tcPr>
            <w:tcW w:w="0" w:type="auto"/>
            <w:vAlign w:val="bottom"/>
            <w:hideMark/>
          </w:tcPr>
          <w:p w14:paraId="5EEB4D8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409BB7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4697709" w14:textId="77777777" w:rsidR="00000000" w:rsidRDefault="00832D71">
            <w:pPr>
              <w:pStyle w:val="a3"/>
              <w:spacing w:before="0" w:beforeAutospacing="0" w:after="0" w:afterAutospacing="0"/>
              <w:jc w:val="right"/>
              <w:rPr>
                <w:sz w:val="20"/>
                <w:szCs w:val="20"/>
              </w:rPr>
            </w:pPr>
            <w:r>
              <w:rPr>
                <w:sz w:val="20"/>
                <w:szCs w:val="20"/>
              </w:rPr>
              <w:t>2,27</w:t>
            </w:r>
            <w:r>
              <w:rPr>
                <w:sz w:val="20"/>
                <w:szCs w:val="20"/>
              </w:rPr>
              <w:t>7</w:t>
            </w:r>
          </w:p>
        </w:tc>
        <w:tc>
          <w:tcPr>
            <w:tcW w:w="0" w:type="auto"/>
            <w:noWrap/>
            <w:vAlign w:val="bottom"/>
            <w:hideMark/>
          </w:tcPr>
          <w:p w14:paraId="5D084D9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29571F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A42284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7114A26" w14:textId="77777777" w:rsidR="00000000" w:rsidRDefault="00832D71">
            <w:pPr>
              <w:pStyle w:val="a3"/>
              <w:spacing w:before="0" w:beforeAutospacing="0" w:after="0" w:afterAutospacing="0"/>
              <w:jc w:val="right"/>
              <w:rPr>
                <w:sz w:val="20"/>
                <w:szCs w:val="20"/>
              </w:rPr>
            </w:pPr>
            <w:r>
              <w:rPr>
                <w:sz w:val="20"/>
                <w:szCs w:val="20"/>
              </w:rPr>
              <w:t>5,60</w:t>
            </w:r>
            <w:r>
              <w:rPr>
                <w:sz w:val="20"/>
                <w:szCs w:val="20"/>
              </w:rPr>
              <w:t>0</w:t>
            </w:r>
          </w:p>
        </w:tc>
        <w:tc>
          <w:tcPr>
            <w:tcW w:w="0" w:type="auto"/>
            <w:noWrap/>
            <w:vAlign w:val="bottom"/>
            <w:hideMark/>
          </w:tcPr>
          <w:p w14:paraId="2D56596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4B1078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67AC5F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F08B113" w14:textId="77777777" w:rsidR="00000000" w:rsidRDefault="00832D71">
            <w:pPr>
              <w:pStyle w:val="a3"/>
              <w:spacing w:before="0" w:beforeAutospacing="0" w:after="0" w:afterAutospacing="0"/>
              <w:jc w:val="right"/>
              <w:rPr>
                <w:sz w:val="20"/>
                <w:szCs w:val="20"/>
              </w:rPr>
            </w:pPr>
            <w:r>
              <w:rPr>
                <w:sz w:val="20"/>
                <w:szCs w:val="20"/>
              </w:rPr>
              <w:t>52</w:t>
            </w:r>
            <w:r>
              <w:rPr>
                <w:sz w:val="20"/>
                <w:szCs w:val="20"/>
              </w:rPr>
              <w:t>6</w:t>
            </w:r>
          </w:p>
        </w:tc>
        <w:tc>
          <w:tcPr>
            <w:tcW w:w="0" w:type="auto"/>
            <w:noWrap/>
            <w:vAlign w:val="bottom"/>
            <w:hideMark/>
          </w:tcPr>
          <w:p w14:paraId="6B7E0FEC" w14:textId="77777777" w:rsidR="00000000" w:rsidRDefault="00832D71">
            <w:pPr>
              <w:pStyle w:val="a3"/>
              <w:spacing w:before="0" w:beforeAutospacing="0" w:after="0" w:afterAutospacing="0"/>
              <w:rPr>
                <w:sz w:val="20"/>
                <w:szCs w:val="20"/>
              </w:rPr>
            </w:pPr>
            <w:r>
              <w:rPr>
                <w:sz w:val="20"/>
                <w:szCs w:val="20"/>
              </w:rPr>
              <w:t> </w:t>
            </w:r>
          </w:p>
        </w:tc>
      </w:tr>
      <w:tr w:rsidR="00000000" w14:paraId="01282058" w14:textId="77777777">
        <w:trPr>
          <w:trHeight w:val="200"/>
          <w:tblCellSpacing w:w="15" w:type="dxa"/>
        </w:trPr>
        <w:tc>
          <w:tcPr>
            <w:tcW w:w="0" w:type="auto"/>
            <w:hideMark/>
          </w:tcPr>
          <w:p w14:paraId="51BCF796" w14:textId="77777777" w:rsidR="00000000" w:rsidRDefault="00832D71">
            <w:pPr>
              <w:pStyle w:val="a3"/>
              <w:spacing w:before="0" w:beforeAutospacing="0" w:after="0" w:afterAutospacing="0"/>
              <w:ind w:left="400"/>
              <w:rPr>
                <w:sz w:val="20"/>
                <w:szCs w:val="20"/>
              </w:rPr>
            </w:pPr>
            <w:r>
              <w:rPr>
                <w:sz w:val="20"/>
                <w:szCs w:val="20"/>
              </w:rPr>
              <w:t>Accrued insuranc</w:t>
            </w:r>
            <w:r>
              <w:rPr>
                <w:sz w:val="20"/>
                <w:szCs w:val="20"/>
              </w:rPr>
              <w:t>e</w:t>
            </w:r>
          </w:p>
        </w:tc>
        <w:tc>
          <w:tcPr>
            <w:tcW w:w="0" w:type="auto"/>
            <w:vAlign w:val="bottom"/>
            <w:hideMark/>
          </w:tcPr>
          <w:p w14:paraId="597315D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F1A164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6D6541A" w14:textId="77777777" w:rsidR="00000000" w:rsidRDefault="00832D71">
            <w:pPr>
              <w:pStyle w:val="a3"/>
              <w:spacing w:before="0" w:beforeAutospacing="0" w:after="0" w:afterAutospacing="0"/>
              <w:jc w:val="right"/>
              <w:rPr>
                <w:sz w:val="20"/>
                <w:szCs w:val="20"/>
              </w:rPr>
            </w:pPr>
            <w:r>
              <w:rPr>
                <w:sz w:val="20"/>
                <w:szCs w:val="20"/>
              </w:rPr>
              <w:t>(</w:t>
            </w:r>
            <w:r>
              <w:rPr>
                <w:sz w:val="20"/>
                <w:szCs w:val="20"/>
              </w:rPr>
              <w:t>2,05</w:t>
            </w:r>
            <w:r>
              <w:rPr>
                <w:sz w:val="20"/>
                <w:szCs w:val="20"/>
              </w:rPr>
              <w:t>9</w:t>
            </w:r>
          </w:p>
        </w:tc>
        <w:tc>
          <w:tcPr>
            <w:tcW w:w="0" w:type="auto"/>
            <w:noWrap/>
            <w:vAlign w:val="bottom"/>
            <w:hideMark/>
          </w:tcPr>
          <w:p w14:paraId="376531E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038373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7AA4F8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BBAE4FB" w14:textId="77777777" w:rsidR="00000000" w:rsidRDefault="00832D71">
            <w:pPr>
              <w:pStyle w:val="a3"/>
              <w:spacing w:before="0" w:beforeAutospacing="0" w:after="0" w:afterAutospacing="0"/>
              <w:jc w:val="right"/>
              <w:rPr>
                <w:sz w:val="20"/>
                <w:szCs w:val="20"/>
              </w:rPr>
            </w:pPr>
            <w:r>
              <w:rPr>
                <w:sz w:val="20"/>
                <w:szCs w:val="20"/>
              </w:rPr>
              <w:t>(</w:t>
            </w:r>
            <w:r>
              <w:rPr>
                <w:sz w:val="20"/>
                <w:szCs w:val="20"/>
              </w:rPr>
              <w:t>6,81</w:t>
            </w:r>
            <w:r>
              <w:rPr>
                <w:sz w:val="20"/>
                <w:szCs w:val="20"/>
              </w:rPr>
              <w:t>8</w:t>
            </w:r>
          </w:p>
        </w:tc>
        <w:tc>
          <w:tcPr>
            <w:tcW w:w="0" w:type="auto"/>
            <w:noWrap/>
            <w:vAlign w:val="bottom"/>
            <w:hideMark/>
          </w:tcPr>
          <w:p w14:paraId="7BEF6EA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B76395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183A67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296CCFE" w14:textId="77777777" w:rsidR="00000000" w:rsidRDefault="00832D71">
            <w:pPr>
              <w:pStyle w:val="a3"/>
              <w:spacing w:before="0" w:beforeAutospacing="0" w:after="0" w:afterAutospacing="0"/>
              <w:jc w:val="right"/>
              <w:rPr>
                <w:sz w:val="20"/>
                <w:szCs w:val="20"/>
              </w:rPr>
            </w:pPr>
            <w:r>
              <w:rPr>
                <w:sz w:val="20"/>
                <w:szCs w:val="20"/>
              </w:rPr>
              <w:t>5,66</w:t>
            </w:r>
            <w:r>
              <w:rPr>
                <w:sz w:val="20"/>
                <w:szCs w:val="20"/>
              </w:rPr>
              <w:t>3</w:t>
            </w:r>
          </w:p>
        </w:tc>
        <w:tc>
          <w:tcPr>
            <w:tcW w:w="0" w:type="auto"/>
            <w:noWrap/>
            <w:vAlign w:val="bottom"/>
            <w:hideMark/>
          </w:tcPr>
          <w:p w14:paraId="4E43267B" w14:textId="77777777" w:rsidR="00000000" w:rsidRDefault="00832D71">
            <w:pPr>
              <w:pStyle w:val="a3"/>
              <w:spacing w:before="0" w:beforeAutospacing="0" w:after="0" w:afterAutospacing="0"/>
              <w:rPr>
                <w:sz w:val="20"/>
                <w:szCs w:val="20"/>
              </w:rPr>
            </w:pPr>
            <w:r>
              <w:rPr>
                <w:sz w:val="20"/>
                <w:szCs w:val="20"/>
              </w:rPr>
              <w:t> </w:t>
            </w:r>
          </w:p>
        </w:tc>
      </w:tr>
      <w:tr w:rsidR="00000000" w14:paraId="6584748D" w14:textId="77777777">
        <w:trPr>
          <w:trHeight w:val="200"/>
          <w:tblCellSpacing w:w="15" w:type="dxa"/>
        </w:trPr>
        <w:tc>
          <w:tcPr>
            <w:tcW w:w="0" w:type="auto"/>
            <w:hideMark/>
          </w:tcPr>
          <w:p w14:paraId="7B6D7368" w14:textId="77777777" w:rsidR="00000000" w:rsidRDefault="00832D71">
            <w:pPr>
              <w:pStyle w:val="a3"/>
              <w:spacing w:before="0" w:beforeAutospacing="0" w:after="0" w:afterAutospacing="0"/>
              <w:ind w:left="400"/>
              <w:rPr>
                <w:sz w:val="20"/>
                <w:szCs w:val="20"/>
              </w:rPr>
            </w:pPr>
            <w:r>
              <w:rPr>
                <w:sz w:val="20"/>
                <w:szCs w:val="20"/>
              </w:rPr>
              <w:t>Customer deposits and advance</w:t>
            </w:r>
            <w:r>
              <w:rPr>
                <w:sz w:val="20"/>
                <w:szCs w:val="20"/>
              </w:rPr>
              <w:t>s</w:t>
            </w:r>
          </w:p>
        </w:tc>
        <w:tc>
          <w:tcPr>
            <w:tcW w:w="0" w:type="auto"/>
            <w:vAlign w:val="bottom"/>
            <w:hideMark/>
          </w:tcPr>
          <w:p w14:paraId="30F159C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60D725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CE77D85" w14:textId="77777777" w:rsidR="00000000" w:rsidRDefault="00832D71">
            <w:pPr>
              <w:pStyle w:val="a3"/>
              <w:spacing w:before="0" w:beforeAutospacing="0" w:after="0" w:afterAutospacing="0"/>
              <w:jc w:val="right"/>
              <w:rPr>
                <w:sz w:val="20"/>
                <w:szCs w:val="20"/>
              </w:rPr>
            </w:pPr>
            <w:r>
              <w:rPr>
                <w:sz w:val="20"/>
                <w:szCs w:val="20"/>
              </w:rPr>
              <w:t>15,86</w:t>
            </w:r>
            <w:r>
              <w:rPr>
                <w:sz w:val="20"/>
                <w:szCs w:val="20"/>
              </w:rPr>
              <w:t>5</w:t>
            </w:r>
          </w:p>
        </w:tc>
        <w:tc>
          <w:tcPr>
            <w:tcW w:w="0" w:type="auto"/>
            <w:noWrap/>
            <w:vAlign w:val="bottom"/>
            <w:hideMark/>
          </w:tcPr>
          <w:p w14:paraId="17C726F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E2EAEC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FF46C2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EE5D5CF" w14:textId="77777777" w:rsidR="00000000" w:rsidRDefault="00832D71">
            <w:pPr>
              <w:pStyle w:val="a3"/>
              <w:spacing w:before="0" w:beforeAutospacing="0" w:after="0" w:afterAutospacing="0"/>
              <w:jc w:val="right"/>
              <w:rPr>
                <w:sz w:val="20"/>
                <w:szCs w:val="20"/>
              </w:rPr>
            </w:pPr>
            <w:r>
              <w:rPr>
                <w:sz w:val="20"/>
                <w:szCs w:val="20"/>
              </w:rPr>
              <w:t>7,30</w:t>
            </w:r>
            <w:r>
              <w:rPr>
                <w:sz w:val="20"/>
                <w:szCs w:val="20"/>
              </w:rPr>
              <w:t>0</w:t>
            </w:r>
          </w:p>
        </w:tc>
        <w:tc>
          <w:tcPr>
            <w:tcW w:w="0" w:type="auto"/>
            <w:noWrap/>
            <w:vAlign w:val="bottom"/>
            <w:hideMark/>
          </w:tcPr>
          <w:p w14:paraId="22481E2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3BA4BC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CF9402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11EB025" w14:textId="77777777" w:rsidR="00000000" w:rsidRDefault="00832D71">
            <w:pPr>
              <w:pStyle w:val="a3"/>
              <w:spacing w:before="0" w:beforeAutospacing="0" w:after="0" w:afterAutospacing="0"/>
              <w:jc w:val="right"/>
              <w:rPr>
                <w:sz w:val="20"/>
                <w:szCs w:val="20"/>
              </w:rPr>
            </w:pPr>
            <w:r>
              <w:rPr>
                <w:sz w:val="20"/>
                <w:szCs w:val="20"/>
              </w:rPr>
              <w:t>6,57</w:t>
            </w:r>
            <w:r>
              <w:rPr>
                <w:sz w:val="20"/>
                <w:szCs w:val="20"/>
              </w:rPr>
              <w:t>3</w:t>
            </w:r>
          </w:p>
        </w:tc>
        <w:tc>
          <w:tcPr>
            <w:tcW w:w="0" w:type="auto"/>
            <w:noWrap/>
            <w:vAlign w:val="bottom"/>
            <w:hideMark/>
          </w:tcPr>
          <w:p w14:paraId="71585A13" w14:textId="77777777" w:rsidR="00000000" w:rsidRDefault="00832D71">
            <w:pPr>
              <w:pStyle w:val="a3"/>
              <w:spacing w:before="0" w:beforeAutospacing="0" w:after="0" w:afterAutospacing="0"/>
              <w:rPr>
                <w:sz w:val="20"/>
                <w:szCs w:val="20"/>
              </w:rPr>
            </w:pPr>
            <w:r>
              <w:rPr>
                <w:sz w:val="20"/>
                <w:szCs w:val="20"/>
              </w:rPr>
              <w:t> </w:t>
            </w:r>
          </w:p>
        </w:tc>
      </w:tr>
      <w:tr w:rsidR="00000000" w14:paraId="2C0BD84A" w14:textId="77777777">
        <w:trPr>
          <w:trHeight w:val="200"/>
          <w:tblCellSpacing w:w="15" w:type="dxa"/>
        </w:trPr>
        <w:tc>
          <w:tcPr>
            <w:tcW w:w="0" w:type="auto"/>
            <w:hideMark/>
          </w:tcPr>
          <w:p w14:paraId="2578238F" w14:textId="77777777" w:rsidR="00000000" w:rsidRDefault="00832D71">
            <w:pPr>
              <w:pStyle w:val="a3"/>
              <w:spacing w:before="0" w:beforeAutospacing="0" w:after="0" w:afterAutospacing="0"/>
              <w:ind w:left="400"/>
              <w:rPr>
                <w:sz w:val="20"/>
                <w:szCs w:val="20"/>
              </w:rPr>
            </w:pPr>
            <w:r>
              <w:rPr>
                <w:sz w:val="20"/>
                <w:szCs w:val="20"/>
              </w:rPr>
              <w:t>Contributions to defined benefit pension pla</w:t>
            </w:r>
            <w:r>
              <w:rPr>
                <w:sz w:val="20"/>
                <w:szCs w:val="20"/>
              </w:rPr>
              <w:t>n</w:t>
            </w:r>
          </w:p>
        </w:tc>
        <w:tc>
          <w:tcPr>
            <w:tcW w:w="0" w:type="auto"/>
            <w:vAlign w:val="bottom"/>
            <w:hideMark/>
          </w:tcPr>
          <w:p w14:paraId="0CF8F2B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58491E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9DD2315" w14:textId="77777777" w:rsidR="00000000" w:rsidRDefault="00832D71">
            <w:pPr>
              <w:pStyle w:val="a3"/>
              <w:spacing w:before="0" w:beforeAutospacing="0" w:after="0" w:afterAutospacing="0"/>
              <w:jc w:val="right"/>
              <w:rPr>
                <w:sz w:val="20"/>
                <w:szCs w:val="20"/>
              </w:rPr>
            </w:pPr>
            <w:r>
              <w:rPr>
                <w:sz w:val="20"/>
                <w:szCs w:val="20"/>
              </w:rPr>
              <w:t>(</w:t>
            </w:r>
            <w:r>
              <w:rPr>
                <w:sz w:val="20"/>
                <w:szCs w:val="20"/>
              </w:rPr>
              <w:t>3,33</w:t>
            </w:r>
            <w:r>
              <w:rPr>
                <w:sz w:val="20"/>
                <w:szCs w:val="20"/>
              </w:rPr>
              <w:t>0</w:t>
            </w:r>
          </w:p>
        </w:tc>
        <w:tc>
          <w:tcPr>
            <w:tcW w:w="0" w:type="auto"/>
            <w:noWrap/>
            <w:vAlign w:val="bottom"/>
            <w:hideMark/>
          </w:tcPr>
          <w:p w14:paraId="039794E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938253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9F81A1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E0D311B" w14:textId="77777777" w:rsidR="00000000" w:rsidRDefault="00832D71">
            <w:pPr>
              <w:pStyle w:val="a3"/>
              <w:spacing w:before="0" w:beforeAutospacing="0" w:after="0" w:afterAutospacing="0"/>
              <w:jc w:val="right"/>
              <w:rPr>
                <w:sz w:val="20"/>
                <w:szCs w:val="20"/>
              </w:rPr>
            </w:pPr>
            <w:r>
              <w:rPr>
                <w:sz w:val="20"/>
                <w:szCs w:val="20"/>
              </w:rPr>
              <w:t>(</w:t>
            </w:r>
            <w:r>
              <w:rPr>
                <w:sz w:val="20"/>
                <w:szCs w:val="20"/>
              </w:rPr>
              <w:t>6,27</w:t>
            </w:r>
            <w:r>
              <w:rPr>
                <w:sz w:val="20"/>
                <w:szCs w:val="20"/>
              </w:rPr>
              <w:t>0</w:t>
            </w:r>
          </w:p>
        </w:tc>
        <w:tc>
          <w:tcPr>
            <w:tcW w:w="0" w:type="auto"/>
            <w:noWrap/>
            <w:vAlign w:val="bottom"/>
            <w:hideMark/>
          </w:tcPr>
          <w:p w14:paraId="4B21A95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56AEC03"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51ED14C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F428FB4" w14:textId="77777777" w:rsidR="00000000" w:rsidRDefault="00832D71">
            <w:pPr>
              <w:pStyle w:val="a3"/>
              <w:spacing w:before="0" w:beforeAutospacing="0" w:after="0" w:afterAutospacing="0"/>
              <w:jc w:val="right"/>
              <w:rPr>
                <w:sz w:val="20"/>
                <w:szCs w:val="20"/>
              </w:rPr>
            </w:pPr>
            <w:r>
              <w:rPr>
                <w:sz w:val="20"/>
                <w:szCs w:val="20"/>
              </w:rPr>
              <w:t>(</w:t>
            </w:r>
            <w:r>
              <w:rPr>
                <w:sz w:val="20"/>
                <w:szCs w:val="20"/>
              </w:rPr>
              <w:t>3,83</w:t>
            </w:r>
            <w:r>
              <w:rPr>
                <w:sz w:val="20"/>
                <w:szCs w:val="20"/>
              </w:rPr>
              <w:t>5</w:t>
            </w:r>
          </w:p>
        </w:tc>
        <w:tc>
          <w:tcPr>
            <w:tcW w:w="0" w:type="auto"/>
            <w:noWrap/>
            <w:vAlign w:val="bottom"/>
            <w:hideMark/>
          </w:tcPr>
          <w:p w14:paraId="078FA078" w14:textId="77777777" w:rsidR="00000000" w:rsidRDefault="00832D71">
            <w:pPr>
              <w:pStyle w:val="a3"/>
              <w:spacing w:before="0" w:beforeAutospacing="0" w:after="0" w:afterAutospacing="0"/>
              <w:rPr>
                <w:sz w:val="20"/>
                <w:szCs w:val="20"/>
              </w:rPr>
            </w:pPr>
            <w:r>
              <w:rPr>
                <w:sz w:val="20"/>
                <w:szCs w:val="20"/>
              </w:rPr>
              <w:t>)</w:t>
            </w:r>
          </w:p>
        </w:tc>
      </w:tr>
      <w:tr w:rsidR="00000000" w14:paraId="17A0F0FF" w14:textId="77777777">
        <w:trPr>
          <w:trHeight w:val="200"/>
          <w:tblCellSpacing w:w="15" w:type="dxa"/>
        </w:trPr>
        <w:tc>
          <w:tcPr>
            <w:tcW w:w="0" w:type="auto"/>
            <w:hideMark/>
          </w:tcPr>
          <w:p w14:paraId="5D75474D" w14:textId="77777777" w:rsidR="00000000" w:rsidRDefault="00832D71">
            <w:pPr>
              <w:pStyle w:val="a3"/>
              <w:spacing w:before="0" w:beforeAutospacing="0" w:after="0" w:afterAutospacing="0"/>
              <w:ind w:left="400"/>
              <w:rPr>
                <w:sz w:val="20"/>
                <w:szCs w:val="20"/>
              </w:rPr>
            </w:pPr>
            <w:r>
              <w:rPr>
                <w:sz w:val="20"/>
                <w:szCs w:val="20"/>
              </w:rPr>
              <w:t>Other current and noncurrent liabilitie</w:t>
            </w:r>
            <w:r>
              <w:rPr>
                <w:sz w:val="20"/>
                <w:szCs w:val="20"/>
              </w:rPr>
              <w:t>s</w:t>
            </w:r>
          </w:p>
        </w:tc>
        <w:tc>
          <w:tcPr>
            <w:tcW w:w="0" w:type="auto"/>
            <w:vAlign w:val="bottom"/>
            <w:hideMark/>
          </w:tcPr>
          <w:p w14:paraId="773D4C8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5AEDFE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0D014DB" w14:textId="77777777" w:rsidR="00000000" w:rsidRDefault="00832D71">
            <w:pPr>
              <w:pStyle w:val="a3"/>
              <w:spacing w:before="0" w:beforeAutospacing="0" w:after="0" w:afterAutospacing="0"/>
              <w:jc w:val="right"/>
              <w:rPr>
                <w:sz w:val="20"/>
                <w:szCs w:val="20"/>
              </w:rPr>
            </w:pPr>
            <w:r>
              <w:rPr>
                <w:sz w:val="20"/>
                <w:szCs w:val="20"/>
              </w:rPr>
              <w:t>15,80</w:t>
            </w:r>
            <w:r>
              <w:rPr>
                <w:sz w:val="20"/>
                <w:szCs w:val="20"/>
              </w:rPr>
              <w:t>1</w:t>
            </w:r>
          </w:p>
        </w:tc>
        <w:tc>
          <w:tcPr>
            <w:tcW w:w="0" w:type="auto"/>
            <w:noWrap/>
            <w:vAlign w:val="bottom"/>
            <w:hideMark/>
          </w:tcPr>
          <w:p w14:paraId="69BCE60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ED19DE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AA31DA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EB46F3E" w14:textId="77777777" w:rsidR="00000000" w:rsidRDefault="00832D71">
            <w:pPr>
              <w:pStyle w:val="a3"/>
              <w:spacing w:before="0" w:beforeAutospacing="0" w:after="0" w:afterAutospacing="0"/>
              <w:jc w:val="right"/>
              <w:rPr>
                <w:sz w:val="20"/>
                <w:szCs w:val="20"/>
              </w:rPr>
            </w:pPr>
            <w:r>
              <w:rPr>
                <w:sz w:val="20"/>
                <w:szCs w:val="20"/>
              </w:rPr>
              <w:t>33,13</w:t>
            </w:r>
            <w:r>
              <w:rPr>
                <w:sz w:val="20"/>
                <w:szCs w:val="20"/>
              </w:rPr>
              <w:t>4</w:t>
            </w:r>
          </w:p>
        </w:tc>
        <w:tc>
          <w:tcPr>
            <w:tcW w:w="0" w:type="auto"/>
            <w:noWrap/>
            <w:vAlign w:val="bottom"/>
            <w:hideMark/>
          </w:tcPr>
          <w:p w14:paraId="6B1CA1D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479D34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0AB35B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3388F0A" w14:textId="77777777" w:rsidR="00000000" w:rsidRDefault="00832D71">
            <w:pPr>
              <w:pStyle w:val="a3"/>
              <w:spacing w:before="0" w:beforeAutospacing="0" w:after="0" w:afterAutospacing="0"/>
              <w:jc w:val="right"/>
              <w:rPr>
                <w:sz w:val="20"/>
                <w:szCs w:val="20"/>
              </w:rPr>
            </w:pPr>
            <w:r>
              <w:rPr>
                <w:sz w:val="20"/>
                <w:szCs w:val="20"/>
              </w:rPr>
              <w:t>16,91</w:t>
            </w:r>
            <w:r>
              <w:rPr>
                <w:sz w:val="20"/>
                <w:szCs w:val="20"/>
              </w:rPr>
              <w:t>2</w:t>
            </w:r>
          </w:p>
        </w:tc>
        <w:tc>
          <w:tcPr>
            <w:tcW w:w="0" w:type="auto"/>
            <w:noWrap/>
            <w:vAlign w:val="bottom"/>
            <w:hideMark/>
          </w:tcPr>
          <w:p w14:paraId="7BD43923" w14:textId="77777777" w:rsidR="00000000" w:rsidRDefault="00832D71">
            <w:pPr>
              <w:pStyle w:val="a3"/>
              <w:spacing w:before="0" w:beforeAutospacing="0" w:after="0" w:afterAutospacing="0"/>
              <w:rPr>
                <w:sz w:val="20"/>
                <w:szCs w:val="20"/>
              </w:rPr>
            </w:pPr>
            <w:r>
              <w:rPr>
                <w:sz w:val="20"/>
                <w:szCs w:val="20"/>
              </w:rPr>
              <w:t> </w:t>
            </w:r>
          </w:p>
        </w:tc>
      </w:tr>
      <w:tr w:rsidR="00000000" w14:paraId="60C71569" w14:textId="77777777">
        <w:trPr>
          <w:trHeight w:val="200"/>
          <w:tblCellSpacing w:w="15" w:type="dxa"/>
        </w:trPr>
        <w:tc>
          <w:tcPr>
            <w:tcW w:w="0" w:type="auto"/>
            <w:hideMark/>
          </w:tcPr>
          <w:p w14:paraId="144A3517" w14:textId="77777777" w:rsidR="00000000" w:rsidRDefault="00832D71">
            <w:pPr>
              <w:pStyle w:val="a3"/>
              <w:spacing w:before="0" w:beforeAutospacing="0" w:after="0" w:afterAutospacing="0"/>
              <w:ind w:left="600"/>
              <w:rPr>
                <w:sz w:val="20"/>
                <w:szCs w:val="20"/>
              </w:rPr>
            </w:pPr>
            <w:r>
              <w:rPr>
                <w:sz w:val="20"/>
                <w:szCs w:val="20"/>
              </w:rPr>
              <w:t>Net cash provided by operating activitie</w:t>
            </w:r>
            <w:r>
              <w:rPr>
                <w:sz w:val="20"/>
                <w:szCs w:val="20"/>
              </w:rPr>
              <w:t>s</w:t>
            </w:r>
          </w:p>
        </w:tc>
        <w:tc>
          <w:tcPr>
            <w:tcW w:w="0" w:type="auto"/>
            <w:vAlign w:val="bottom"/>
            <w:hideMark/>
          </w:tcPr>
          <w:p w14:paraId="7DE36DA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8F25F4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53E2F3D" w14:textId="77777777" w:rsidR="00000000" w:rsidRDefault="00832D71">
            <w:pPr>
              <w:pStyle w:val="a3"/>
              <w:spacing w:before="0" w:beforeAutospacing="0" w:after="0" w:afterAutospacing="0"/>
              <w:jc w:val="right"/>
              <w:rPr>
                <w:sz w:val="20"/>
                <w:szCs w:val="20"/>
              </w:rPr>
            </w:pPr>
            <w:r>
              <w:rPr>
                <w:sz w:val="20"/>
                <w:szCs w:val="20"/>
              </w:rPr>
              <w:t>220,54</w:t>
            </w:r>
            <w:r>
              <w:rPr>
                <w:sz w:val="20"/>
                <w:szCs w:val="20"/>
              </w:rPr>
              <w:t>7</w:t>
            </w:r>
          </w:p>
        </w:tc>
        <w:tc>
          <w:tcPr>
            <w:tcW w:w="0" w:type="auto"/>
            <w:noWrap/>
            <w:vAlign w:val="bottom"/>
            <w:hideMark/>
          </w:tcPr>
          <w:p w14:paraId="5DA7081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BEDEE0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1D2ACE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A3F489F" w14:textId="77777777" w:rsidR="00000000" w:rsidRDefault="00832D71">
            <w:pPr>
              <w:pStyle w:val="a3"/>
              <w:spacing w:before="0" w:beforeAutospacing="0" w:after="0" w:afterAutospacing="0"/>
              <w:jc w:val="right"/>
              <w:rPr>
                <w:sz w:val="20"/>
                <w:szCs w:val="20"/>
              </w:rPr>
            </w:pPr>
            <w:r>
              <w:rPr>
                <w:sz w:val="20"/>
                <w:szCs w:val="20"/>
              </w:rPr>
              <w:t>226,55</w:t>
            </w:r>
            <w:r>
              <w:rPr>
                <w:sz w:val="20"/>
                <w:szCs w:val="20"/>
              </w:rPr>
              <w:t>2</w:t>
            </w:r>
          </w:p>
        </w:tc>
        <w:tc>
          <w:tcPr>
            <w:tcW w:w="0" w:type="auto"/>
            <w:noWrap/>
            <w:vAlign w:val="bottom"/>
            <w:hideMark/>
          </w:tcPr>
          <w:p w14:paraId="58D1D28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4866BE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3E6FF4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FDBDF4B" w14:textId="77777777" w:rsidR="00000000" w:rsidRDefault="00832D71">
            <w:pPr>
              <w:pStyle w:val="a3"/>
              <w:spacing w:before="0" w:beforeAutospacing="0" w:after="0" w:afterAutospacing="0"/>
              <w:jc w:val="right"/>
              <w:rPr>
                <w:sz w:val="20"/>
                <w:szCs w:val="20"/>
              </w:rPr>
            </w:pPr>
            <w:r>
              <w:rPr>
                <w:sz w:val="20"/>
                <w:szCs w:val="20"/>
              </w:rPr>
              <w:t>209,35</w:t>
            </w:r>
            <w:r>
              <w:rPr>
                <w:sz w:val="20"/>
                <w:szCs w:val="20"/>
              </w:rPr>
              <w:t>4</w:t>
            </w:r>
          </w:p>
        </w:tc>
        <w:tc>
          <w:tcPr>
            <w:tcW w:w="0" w:type="auto"/>
            <w:noWrap/>
            <w:vAlign w:val="bottom"/>
            <w:hideMark/>
          </w:tcPr>
          <w:p w14:paraId="7112294B" w14:textId="77777777" w:rsidR="00000000" w:rsidRDefault="00832D71">
            <w:pPr>
              <w:pStyle w:val="a3"/>
              <w:spacing w:before="0" w:beforeAutospacing="0" w:after="0" w:afterAutospacing="0"/>
              <w:rPr>
                <w:sz w:val="20"/>
                <w:szCs w:val="20"/>
              </w:rPr>
            </w:pPr>
            <w:r>
              <w:rPr>
                <w:sz w:val="20"/>
                <w:szCs w:val="20"/>
              </w:rPr>
              <w:t> </w:t>
            </w:r>
          </w:p>
        </w:tc>
      </w:tr>
      <w:tr w:rsidR="00000000" w14:paraId="203D9AA5" w14:textId="77777777">
        <w:trPr>
          <w:trHeight w:val="200"/>
          <w:tblCellSpacing w:w="15" w:type="dxa"/>
        </w:trPr>
        <w:tc>
          <w:tcPr>
            <w:tcW w:w="0" w:type="auto"/>
            <w:hideMark/>
          </w:tcPr>
          <w:p w14:paraId="508D3E07" w14:textId="77777777" w:rsidR="00000000" w:rsidRDefault="00832D71">
            <w:pPr>
              <w:pStyle w:val="a3"/>
              <w:spacing w:before="0" w:beforeAutospacing="0" w:after="0" w:afterAutospacing="0"/>
              <w:rPr>
                <w:sz w:val="20"/>
                <w:szCs w:val="20"/>
              </w:rPr>
            </w:pPr>
            <w:r>
              <w:rPr>
                <w:sz w:val="20"/>
                <w:szCs w:val="20"/>
              </w:rPr>
              <w:t>Cash flows from investing activities</w:t>
            </w:r>
            <w:r>
              <w:rPr>
                <w:sz w:val="20"/>
                <w:szCs w:val="20"/>
              </w:rPr>
              <w:t>:</w:t>
            </w:r>
          </w:p>
        </w:tc>
        <w:tc>
          <w:tcPr>
            <w:tcW w:w="0" w:type="auto"/>
            <w:vAlign w:val="bottom"/>
            <w:hideMark/>
          </w:tcPr>
          <w:p w14:paraId="55916710"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62BA67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39DA19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14CAB1F"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54D7D8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8D4B55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33EF2D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0F759E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C40E27D" w14:textId="77777777" w:rsidR="00000000" w:rsidRDefault="00832D71">
            <w:pPr>
              <w:pStyle w:val="a3"/>
              <w:spacing w:before="0" w:beforeAutospacing="0" w:after="0" w:afterAutospacing="0"/>
              <w:jc w:val="right"/>
              <w:rPr>
                <w:sz w:val="20"/>
                <w:szCs w:val="20"/>
              </w:rPr>
            </w:pPr>
            <w:r>
              <w:rPr>
                <w:sz w:val="20"/>
                <w:szCs w:val="20"/>
              </w:rPr>
              <w:t> </w:t>
            </w:r>
          </w:p>
        </w:tc>
      </w:tr>
      <w:tr w:rsidR="00000000" w14:paraId="4EBC267B" w14:textId="77777777">
        <w:trPr>
          <w:trHeight w:val="200"/>
          <w:tblCellSpacing w:w="15" w:type="dxa"/>
        </w:trPr>
        <w:tc>
          <w:tcPr>
            <w:tcW w:w="0" w:type="auto"/>
            <w:hideMark/>
          </w:tcPr>
          <w:p w14:paraId="76627F7C" w14:textId="77777777" w:rsidR="00000000" w:rsidRDefault="00832D71">
            <w:pPr>
              <w:pStyle w:val="a3"/>
              <w:spacing w:before="0" w:beforeAutospacing="0" w:after="0" w:afterAutospacing="0"/>
              <w:ind w:left="200"/>
              <w:rPr>
                <w:sz w:val="20"/>
                <w:szCs w:val="20"/>
              </w:rPr>
            </w:pPr>
            <w:r>
              <w:rPr>
                <w:sz w:val="20"/>
                <w:szCs w:val="20"/>
              </w:rPr>
              <w:t>Capital expenditure</w:t>
            </w:r>
            <w:r>
              <w:rPr>
                <w:sz w:val="20"/>
                <w:szCs w:val="20"/>
              </w:rPr>
              <w:t>s</w:t>
            </w:r>
          </w:p>
        </w:tc>
        <w:tc>
          <w:tcPr>
            <w:tcW w:w="0" w:type="auto"/>
            <w:vAlign w:val="bottom"/>
            <w:hideMark/>
          </w:tcPr>
          <w:p w14:paraId="3BC1A63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F11803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D718738" w14:textId="77777777" w:rsidR="00000000" w:rsidRDefault="00832D71">
            <w:pPr>
              <w:pStyle w:val="a3"/>
              <w:spacing w:before="0" w:beforeAutospacing="0" w:after="0" w:afterAutospacing="0"/>
              <w:jc w:val="right"/>
              <w:rPr>
                <w:sz w:val="20"/>
                <w:szCs w:val="20"/>
              </w:rPr>
            </w:pPr>
            <w:r>
              <w:rPr>
                <w:sz w:val="20"/>
                <w:szCs w:val="20"/>
              </w:rPr>
              <w:t>(</w:t>
            </w:r>
            <w:r>
              <w:rPr>
                <w:sz w:val="20"/>
                <w:szCs w:val="20"/>
              </w:rPr>
              <w:t>44,35</w:t>
            </w:r>
            <w:r>
              <w:rPr>
                <w:sz w:val="20"/>
                <w:szCs w:val="20"/>
              </w:rPr>
              <w:t>2</w:t>
            </w:r>
          </w:p>
        </w:tc>
        <w:tc>
          <w:tcPr>
            <w:tcW w:w="0" w:type="auto"/>
            <w:noWrap/>
            <w:vAlign w:val="bottom"/>
            <w:hideMark/>
          </w:tcPr>
          <w:p w14:paraId="775D27C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BCB5B6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37F3A8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2F5A715" w14:textId="77777777" w:rsidR="00000000" w:rsidRDefault="00832D71">
            <w:pPr>
              <w:pStyle w:val="a3"/>
              <w:spacing w:before="0" w:beforeAutospacing="0" w:after="0" w:afterAutospacing="0"/>
              <w:jc w:val="right"/>
              <w:rPr>
                <w:sz w:val="20"/>
                <w:szCs w:val="20"/>
              </w:rPr>
            </w:pPr>
            <w:r>
              <w:rPr>
                <w:sz w:val="20"/>
                <w:szCs w:val="20"/>
              </w:rPr>
              <w:t>(</w:t>
            </w:r>
            <w:r>
              <w:rPr>
                <w:sz w:val="20"/>
                <w:szCs w:val="20"/>
              </w:rPr>
              <w:t>29,85</w:t>
            </w:r>
            <w:r>
              <w:rPr>
                <w:sz w:val="20"/>
                <w:szCs w:val="20"/>
              </w:rPr>
              <w:t>5</w:t>
            </w:r>
          </w:p>
        </w:tc>
        <w:tc>
          <w:tcPr>
            <w:tcW w:w="0" w:type="auto"/>
            <w:noWrap/>
            <w:vAlign w:val="bottom"/>
            <w:hideMark/>
          </w:tcPr>
          <w:p w14:paraId="3517C07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B40A93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AA998F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75D6BA2" w14:textId="77777777" w:rsidR="00000000" w:rsidRDefault="00832D71">
            <w:pPr>
              <w:pStyle w:val="a3"/>
              <w:spacing w:before="0" w:beforeAutospacing="0" w:after="0" w:afterAutospacing="0"/>
              <w:jc w:val="right"/>
              <w:rPr>
                <w:sz w:val="20"/>
                <w:szCs w:val="20"/>
              </w:rPr>
            </w:pPr>
            <w:r>
              <w:rPr>
                <w:sz w:val="20"/>
                <w:szCs w:val="20"/>
              </w:rPr>
              <w:t>(</w:t>
            </w:r>
            <w:r>
              <w:rPr>
                <w:sz w:val="20"/>
                <w:szCs w:val="20"/>
              </w:rPr>
              <w:t>32,49</w:t>
            </w:r>
            <w:r>
              <w:rPr>
                <w:sz w:val="20"/>
                <w:szCs w:val="20"/>
              </w:rPr>
              <w:t>8</w:t>
            </w:r>
          </w:p>
        </w:tc>
        <w:tc>
          <w:tcPr>
            <w:tcW w:w="0" w:type="auto"/>
            <w:noWrap/>
            <w:vAlign w:val="bottom"/>
            <w:hideMark/>
          </w:tcPr>
          <w:p w14:paraId="65F6F905" w14:textId="77777777" w:rsidR="00000000" w:rsidRDefault="00832D71">
            <w:pPr>
              <w:pStyle w:val="a3"/>
              <w:spacing w:before="0" w:beforeAutospacing="0" w:after="0" w:afterAutospacing="0"/>
              <w:rPr>
                <w:sz w:val="20"/>
                <w:szCs w:val="20"/>
              </w:rPr>
            </w:pPr>
            <w:r>
              <w:rPr>
                <w:sz w:val="20"/>
                <w:szCs w:val="20"/>
              </w:rPr>
              <w:t>)</w:t>
            </w:r>
          </w:p>
        </w:tc>
      </w:tr>
      <w:tr w:rsidR="00000000" w14:paraId="6BB306B4" w14:textId="77777777">
        <w:trPr>
          <w:trHeight w:val="200"/>
          <w:tblCellSpacing w:w="15" w:type="dxa"/>
        </w:trPr>
        <w:tc>
          <w:tcPr>
            <w:tcW w:w="0" w:type="auto"/>
            <w:hideMark/>
          </w:tcPr>
          <w:p w14:paraId="231D2B94" w14:textId="77777777" w:rsidR="00000000" w:rsidRDefault="00832D71">
            <w:pPr>
              <w:pStyle w:val="a3"/>
              <w:spacing w:before="0" w:beforeAutospacing="0" w:after="0" w:afterAutospacing="0"/>
              <w:ind w:left="200"/>
              <w:rPr>
                <w:sz w:val="20"/>
                <w:szCs w:val="20"/>
              </w:rPr>
            </w:pPr>
            <w:r>
              <w:rPr>
                <w:sz w:val="20"/>
                <w:szCs w:val="20"/>
              </w:rPr>
              <w:t>Investment in and acquisition of businesse</w:t>
            </w:r>
            <w:r>
              <w:rPr>
                <w:sz w:val="20"/>
                <w:szCs w:val="20"/>
              </w:rPr>
              <w:t>s</w:t>
            </w:r>
          </w:p>
        </w:tc>
        <w:tc>
          <w:tcPr>
            <w:tcW w:w="0" w:type="auto"/>
            <w:vAlign w:val="bottom"/>
            <w:hideMark/>
          </w:tcPr>
          <w:p w14:paraId="311DA00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890655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68D6532" w14:textId="77777777" w:rsidR="00000000" w:rsidRDefault="00832D71">
            <w:pPr>
              <w:pStyle w:val="a3"/>
              <w:spacing w:before="0" w:beforeAutospacing="0" w:after="0" w:afterAutospacing="0"/>
              <w:jc w:val="right"/>
              <w:rPr>
                <w:sz w:val="20"/>
                <w:szCs w:val="20"/>
              </w:rPr>
            </w:pPr>
            <w:r>
              <w:rPr>
                <w:sz w:val="20"/>
                <w:szCs w:val="20"/>
              </w:rPr>
              <w:t>(</w:t>
            </w:r>
            <w:r>
              <w:rPr>
                <w:sz w:val="20"/>
                <w:szCs w:val="20"/>
              </w:rPr>
              <w:t>56,08</w:t>
            </w:r>
            <w:r>
              <w:rPr>
                <w:sz w:val="20"/>
                <w:szCs w:val="20"/>
              </w:rPr>
              <w:t>3</w:t>
            </w:r>
          </w:p>
        </w:tc>
        <w:tc>
          <w:tcPr>
            <w:tcW w:w="0" w:type="auto"/>
            <w:noWrap/>
            <w:vAlign w:val="bottom"/>
            <w:hideMark/>
          </w:tcPr>
          <w:p w14:paraId="697002C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927A7C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15C06B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27B2FCA" w14:textId="77777777" w:rsidR="00000000" w:rsidRDefault="00832D71">
            <w:pPr>
              <w:pStyle w:val="a3"/>
              <w:spacing w:before="0" w:beforeAutospacing="0" w:after="0" w:afterAutospacing="0"/>
              <w:jc w:val="right"/>
              <w:rPr>
                <w:sz w:val="20"/>
                <w:szCs w:val="20"/>
              </w:rPr>
            </w:pPr>
            <w:r>
              <w:rPr>
                <w:sz w:val="20"/>
                <w:szCs w:val="20"/>
              </w:rPr>
              <w:t>(</w:t>
            </w:r>
            <w:r>
              <w:rPr>
                <w:sz w:val="20"/>
                <w:szCs w:val="20"/>
              </w:rPr>
              <w:t>8,71</w:t>
            </w:r>
            <w:r>
              <w:rPr>
                <w:sz w:val="20"/>
                <w:szCs w:val="20"/>
              </w:rPr>
              <w:t>6</w:t>
            </w:r>
          </w:p>
        </w:tc>
        <w:tc>
          <w:tcPr>
            <w:tcW w:w="0" w:type="auto"/>
            <w:noWrap/>
            <w:vAlign w:val="bottom"/>
            <w:hideMark/>
          </w:tcPr>
          <w:p w14:paraId="5AE53BE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73755B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0DF6C8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65328DE" w14:textId="77777777" w:rsidR="00000000" w:rsidRDefault="00832D71">
            <w:pPr>
              <w:pStyle w:val="a3"/>
              <w:spacing w:before="0" w:beforeAutospacing="0" w:after="0" w:afterAutospacing="0"/>
              <w:jc w:val="right"/>
              <w:rPr>
                <w:sz w:val="20"/>
                <w:szCs w:val="20"/>
              </w:rPr>
            </w:pPr>
            <w:r>
              <w:rPr>
                <w:sz w:val="20"/>
                <w:szCs w:val="20"/>
              </w:rPr>
              <w:t>(</w:t>
            </w:r>
            <w:r>
              <w:rPr>
                <w:sz w:val="20"/>
                <w:szCs w:val="20"/>
              </w:rPr>
              <w:t>25,63</w:t>
            </w:r>
            <w:r>
              <w:rPr>
                <w:sz w:val="20"/>
                <w:szCs w:val="20"/>
              </w:rPr>
              <w:t>6</w:t>
            </w:r>
          </w:p>
        </w:tc>
        <w:tc>
          <w:tcPr>
            <w:tcW w:w="0" w:type="auto"/>
            <w:noWrap/>
            <w:vAlign w:val="bottom"/>
            <w:hideMark/>
          </w:tcPr>
          <w:p w14:paraId="1F53C4D6" w14:textId="77777777" w:rsidR="00000000" w:rsidRDefault="00832D71">
            <w:pPr>
              <w:pStyle w:val="a3"/>
              <w:spacing w:before="0" w:beforeAutospacing="0" w:after="0" w:afterAutospacing="0"/>
              <w:rPr>
                <w:sz w:val="20"/>
                <w:szCs w:val="20"/>
              </w:rPr>
            </w:pPr>
            <w:r>
              <w:rPr>
                <w:sz w:val="20"/>
                <w:szCs w:val="20"/>
              </w:rPr>
              <w:t>)</w:t>
            </w:r>
          </w:p>
        </w:tc>
      </w:tr>
      <w:tr w:rsidR="00000000" w14:paraId="38C4C36F" w14:textId="77777777">
        <w:trPr>
          <w:trHeight w:val="200"/>
          <w:tblCellSpacing w:w="15" w:type="dxa"/>
        </w:trPr>
        <w:tc>
          <w:tcPr>
            <w:tcW w:w="0" w:type="auto"/>
            <w:hideMark/>
          </w:tcPr>
          <w:p w14:paraId="4E1513BD" w14:textId="77777777" w:rsidR="00000000" w:rsidRDefault="00832D71">
            <w:pPr>
              <w:pStyle w:val="a3"/>
              <w:spacing w:before="0" w:beforeAutospacing="0" w:after="0" w:afterAutospacing="0"/>
              <w:ind w:left="200"/>
              <w:rPr>
                <w:sz w:val="20"/>
                <w:szCs w:val="20"/>
              </w:rPr>
            </w:pPr>
            <w:r>
              <w:rPr>
                <w:sz w:val="20"/>
                <w:szCs w:val="20"/>
              </w:rPr>
              <w:t>Proceeds from sale of property, plant and equipmen</w:t>
            </w:r>
            <w:r>
              <w:rPr>
                <w:sz w:val="20"/>
                <w:szCs w:val="20"/>
              </w:rPr>
              <w:t>t</w:t>
            </w:r>
          </w:p>
        </w:tc>
        <w:tc>
          <w:tcPr>
            <w:tcW w:w="0" w:type="auto"/>
            <w:vAlign w:val="bottom"/>
            <w:hideMark/>
          </w:tcPr>
          <w:p w14:paraId="19A3065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E35FDF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85B8F9F" w14:textId="77777777" w:rsidR="00000000" w:rsidRDefault="00832D71">
            <w:pPr>
              <w:pStyle w:val="a3"/>
              <w:spacing w:before="0" w:beforeAutospacing="0" w:after="0" w:afterAutospacing="0"/>
              <w:jc w:val="right"/>
              <w:rPr>
                <w:sz w:val="20"/>
                <w:szCs w:val="20"/>
              </w:rPr>
            </w:pPr>
            <w:r>
              <w:rPr>
                <w:sz w:val="20"/>
                <w:szCs w:val="20"/>
              </w:rPr>
              <w:t>5,15</w:t>
            </w:r>
            <w:r>
              <w:rPr>
                <w:sz w:val="20"/>
                <w:szCs w:val="20"/>
              </w:rPr>
              <w:t>0</w:t>
            </w:r>
          </w:p>
        </w:tc>
        <w:tc>
          <w:tcPr>
            <w:tcW w:w="0" w:type="auto"/>
            <w:noWrap/>
            <w:vAlign w:val="bottom"/>
            <w:hideMark/>
          </w:tcPr>
          <w:p w14:paraId="0BA1796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CBBA94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65902F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FD3D490" w14:textId="77777777" w:rsidR="00000000" w:rsidRDefault="00832D71">
            <w:pPr>
              <w:pStyle w:val="a3"/>
              <w:spacing w:before="0" w:beforeAutospacing="0" w:after="0" w:afterAutospacing="0"/>
              <w:jc w:val="right"/>
              <w:rPr>
                <w:sz w:val="20"/>
                <w:szCs w:val="20"/>
              </w:rPr>
            </w:pPr>
            <w:r>
              <w:rPr>
                <w:sz w:val="20"/>
                <w:szCs w:val="20"/>
              </w:rPr>
              <w:t>4,49</w:t>
            </w:r>
            <w:r>
              <w:rPr>
                <w:sz w:val="20"/>
                <w:szCs w:val="20"/>
              </w:rPr>
              <w:t>6</w:t>
            </w:r>
          </w:p>
        </w:tc>
        <w:tc>
          <w:tcPr>
            <w:tcW w:w="0" w:type="auto"/>
            <w:noWrap/>
            <w:vAlign w:val="bottom"/>
            <w:hideMark/>
          </w:tcPr>
          <w:p w14:paraId="6C8E647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DB00B8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5B6469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CBE7920" w14:textId="77777777" w:rsidR="00000000" w:rsidRDefault="00832D71">
            <w:pPr>
              <w:pStyle w:val="a3"/>
              <w:spacing w:before="0" w:beforeAutospacing="0" w:after="0" w:afterAutospacing="0"/>
              <w:jc w:val="right"/>
              <w:rPr>
                <w:sz w:val="20"/>
                <w:szCs w:val="20"/>
              </w:rPr>
            </w:pPr>
            <w:r>
              <w:rPr>
                <w:sz w:val="20"/>
                <w:szCs w:val="20"/>
              </w:rPr>
              <w:t>4,89</w:t>
            </w:r>
            <w:r>
              <w:rPr>
                <w:sz w:val="20"/>
                <w:szCs w:val="20"/>
              </w:rPr>
              <w:t>1</w:t>
            </w:r>
          </w:p>
        </w:tc>
        <w:tc>
          <w:tcPr>
            <w:tcW w:w="0" w:type="auto"/>
            <w:noWrap/>
            <w:vAlign w:val="bottom"/>
            <w:hideMark/>
          </w:tcPr>
          <w:p w14:paraId="4239A6E7" w14:textId="77777777" w:rsidR="00000000" w:rsidRDefault="00832D71">
            <w:pPr>
              <w:pStyle w:val="a3"/>
              <w:spacing w:before="0" w:beforeAutospacing="0" w:after="0" w:afterAutospacing="0"/>
              <w:rPr>
                <w:sz w:val="20"/>
                <w:szCs w:val="20"/>
              </w:rPr>
            </w:pPr>
            <w:r>
              <w:rPr>
                <w:sz w:val="20"/>
                <w:szCs w:val="20"/>
              </w:rPr>
              <w:t> </w:t>
            </w:r>
          </w:p>
        </w:tc>
      </w:tr>
      <w:tr w:rsidR="00000000" w14:paraId="1EA055EB" w14:textId="77777777">
        <w:trPr>
          <w:trHeight w:val="200"/>
          <w:tblCellSpacing w:w="15" w:type="dxa"/>
        </w:trPr>
        <w:tc>
          <w:tcPr>
            <w:tcW w:w="0" w:type="auto"/>
            <w:hideMark/>
          </w:tcPr>
          <w:p w14:paraId="6F8A5928" w14:textId="77777777" w:rsidR="00000000" w:rsidRDefault="00832D71">
            <w:pPr>
              <w:pStyle w:val="a3"/>
              <w:spacing w:before="0" w:beforeAutospacing="0" w:after="0" w:afterAutospacing="0"/>
              <w:ind w:left="200"/>
              <w:rPr>
                <w:sz w:val="20"/>
                <w:szCs w:val="20"/>
              </w:rPr>
            </w:pPr>
            <w:r>
              <w:rPr>
                <w:sz w:val="20"/>
                <w:szCs w:val="20"/>
              </w:rPr>
              <w:t>Proceeds from sale of busines</w:t>
            </w:r>
            <w:r>
              <w:rPr>
                <w:sz w:val="20"/>
                <w:szCs w:val="20"/>
              </w:rPr>
              <w:t>s</w:t>
            </w:r>
          </w:p>
        </w:tc>
        <w:tc>
          <w:tcPr>
            <w:tcW w:w="0" w:type="auto"/>
            <w:vAlign w:val="bottom"/>
            <w:hideMark/>
          </w:tcPr>
          <w:p w14:paraId="298B399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D2CF24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0567B63" w14:textId="77777777" w:rsidR="00000000" w:rsidRDefault="00832D71">
            <w:pPr>
              <w:pStyle w:val="a3"/>
              <w:spacing w:before="0" w:beforeAutospacing="0" w:after="0" w:afterAutospacing="0"/>
              <w:jc w:val="right"/>
              <w:rPr>
                <w:sz w:val="20"/>
                <w:szCs w:val="20"/>
              </w:rPr>
            </w:pPr>
            <w:r>
              <w:rPr>
                <w:sz w:val="20"/>
                <w:szCs w:val="20"/>
              </w:rPr>
              <w:t>85</w:t>
            </w:r>
            <w:r>
              <w:rPr>
                <w:sz w:val="20"/>
                <w:szCs w:val="20"/>
              </w:rPr>
              <w:t>0</w:t>
            </w:r>
          </w:p>
        </w:tc>
        <w:tc>
          <w:tcPr>
            <w:tcW w:w="0" w:type="auto"/>
            <w:noWrap/>
            <w:vAlign w:val="bottom"/>
            <w:hideMark/>
          </w:tcPr>
          <w:p w14:paraId="30C83B4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C9753D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477027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4A58584"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5CFFD1F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D27201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105E12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99B58C2"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77A8B7CE" w14:textId="77777777" w:rsidR="00000000" w:rsidRDefault="00832D71">
            <w:pPr>
              <w:pStyle w:val="a3"/>
              <w:spacing w:before="0" w:beforeAutospacing="0" w:after="0" w:afterAutospacing="0"/>
              <w:rPr>
                <w:sz w:val="20"/>
                <w:szCs w:val="20"/>
              </w:rPr>
            </w:pPr>
            <w:r>
              <w:rPr>
                <w:sz w:val="20"/>
                <w:szCs w:val="20"/>
              </w:rPr>
              <w:t> </w:t>
            </w:r>
          </w:p>
        </w:tc>
      </w:tr>
      <w:tr w:rsidR="00000000" w14:paraId="4DBB86DF" w14:textId="77777777">
        <w:trPr>
          <w:trHeight w:val="200"/>
          <w:tblCellSpacing w:w="15" w:type="dxa"/>
        </w:trPr>
        <w:tc>
          <w:tcPr>
            <w:tcW w:w="0" w:type="auto"/>
            <w:hideMark/>
          </w:tcPr>
          <w:p w14:paraId="080CEA6C" w14:textId="77777777" w:rsidR="00000000" w:rsidRDefault="00832D71">
            <w:pPr>
              <w:pStyle w:val="a3"/>
              <w:spacing w:before="0" w:beforeAutospacing="0" w:after="0" w:afterAutospacing="0"/>
              <w:ind w:left="600"/>
              <w:rPr>
                <w:sz w:val="20"/>
                <w:szCs w:val="20"/>
              </w:rPr>
            </w:pPr>
            <w:r>
              <w:rPr>
                <w:sz w:val="20"/>
                <w:szCs w:val="20"/>
              </w:rPr>
              <w:t>Net cash (used in) investing activitie</w:t>
            </w:r>
            <w:r>
              <w:rPr>
                <w:sz w:val="20"/>
                <w:szCs w:val="20"/>
              </w:rPr>
              <w:t>s</w:t>
            </w:r>
          </w:p>
        </w:tc>
        <w:tc>
          <w:tcPr>
            <w:tcW w:w="0" w:type="auto"/>
            <w:vAlign w:val="bottom"/>
            <w:hideMark/>
          </w:tcPr>
          <w:p w14:paraId="7289E0B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E7F92A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F2991A4" w14:textId="77777777" w:rsidR="00000000" w:rsidRDefault="00832D71">
            <w:pPr>
              <w:pStyle w:val="a3"/>
              <w:spacing w:before="0" w:beforeAutospacing="0" w:after="0" w:afterAutospacing="0"/>
              <w:jc w:val="right"/>
              <w:rPr>
                <w:sz w:val="20"/>
                <w:szCs w:val="20"/>
              </w:rPr>
            </w:pPr>
            <w:r>
              <w:rPr>
                <w:sz w:val="20"/>
                <w:szCs w:val="20"/>
              </w:rPr>
              <w:t>(</w:t>
            </w:r>
            <w:r>
              <w:rPr>
                <w:sz w:val="20"/>
                <w:szCs w:val="20"/>
              </w:rPr>
              <w:t>94,43</w:t>
            </w:r>
            <w:r>
              <w:rPr>
                <w:sz w:val="20"/>
                <w:szCs w:val="20"/>
              </w:rPr>
              <w:t>5</w:t>
            </w:r>
          </w:p>
        </w:tc>
        <w:tc>
          <w:tcPr>
            <w:tcW w:w="0" w:type="auto"/>
            <w:noWrap/>
            <w:vAlign w:val="bottom"/>
            <w:hideMark/>
          </w:tcPr>
          <w:p w14:paraId="28C5284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EA7149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ACECFA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B014D34" w14:textId="77777777" w:rsidR="00000000" w:rsidRDefault="00832D71">
            <w:pPr>
              <w:pStyle w:val="a3"/>
              <w:spacing w:before="0" w:beforeAutospacing="0" w:after="0" w:afterAutospacing="0"/>
              <w:jc w:val="right"/>
              <w:rPr>
                <w:sz w:val="20"/>
                <w:szCs w:val="20"/>
              </w:rPr>
            </w:pPr>
            <w:r>
              <w:rPr>
                <w:sz w:val="20"/>
                <w:szCs w:val="20"/>
              </w:rPr>
              <w:t>(</w:t>
            </w:r>
            <w:r>
              <w:rPr>
                <w:sz w:val="20"/>
                <w:szCs w:val="20"/>
              </w:rPr>
              <w:t>34,07</w:t>
            </w:r>
            <w:r>
              <w:rPr>
                <w:sz w:val="20"/>
                <w:szCs w:val="20"/>
              </w:rPr>
              <w:t>5</w:t>
            </w:r>
          </w:p>
        </w:tc>
        <w:tc>
          <w:tcPr>
            <w:tcW w:w="0" w:type="auto"/>
            <w:noWrap/>
            <w:vAlign w:val="bottom"/>
            <w:hideMark/>
          </w:tcPr>
          <w:p w14:paraId="0BFB905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CDC57C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C1F694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C1653F6" w14:textId="77777777" w:rsidR="00000000" w:rsidRDefault="00832D71">
            <w:pPr>
              <w:pStyle w:val="a3"/>
              <w:spacing w:before="0" w:beforeAutospacing="0" w:after="0" w:afterAutospacing="0"/>
              <w:jc w:val="right"/>
              <w:rPr>
                <w:sz w:val="20"/>
                <w:szCs w:val="20"/>
              </w:rPr>
            </w:pPr>
            <w:r>
              <w:rPr>
                <w:sz w:val="20"/>
                <w:szCs w:val="20"/>
              </w:rPr>
              <w:t>(</w:t>
            </w:r>
            <w:r>
              <w:rPr>
                <w:sz w:val="20"/>
                <w:szCs w:val="20"/>
              </w:rPr>
              <w:t>53,24</w:t>
            </w:r>
            <w:r>
              <w:rPr>
                <w:sz w:val="20"/>
                <w:szCs w:val="20"/>
              </w:rPr>
              <w:t>3</w:t>
            </w:r>
          </w:p>
        </w:tc>
        <w:tc>
          <w:tcPr>
            <w:tcW w:w="0" w:type="auto"/>
            <w:noWrap/>
            <w:vAlign w:val="bottom"/>
            <w:hideMark/>
          </w:tcPr>
          <w:p w14:paraId="1F9FBA51" w14:textId="77777777" w:rsidR="00000000" w:rsidRDefault="00832D71">
            <w:pPr>
              <w:pStyle w:val="a3"/>
              <w:spacing w:before="0" w:beforeAutospacing="0" w:after="0" w:afterAutospacing="0"/>
              <w:rPr>
                <w:sz w:val="20"/>
                <w:szCs w:val="20"/>
              </w:rPr>
            </w:pPr>
            <w:r>
              <w:rPr>
                <w:sz w:val="20"/>
                <w:szCs w:val="20"/>
              </w:rPr>
              <w:t>)</w:t>
            </w:r>
          </w:p>
        </w:tc>
      </w:tr>
      <w:tr w:rsidR="00000000" w14:paraId="02A28064" w14:textId="77777777">
        <w:trPr>
          <w:trHeight w:val="200"/>
          <w:tblCellSpacing w:w="15" w:type="dxa"/>
        </w:trPr>
        <w:tc>
          <w:tcPr>
            <w:tcW w:w="0" w:type="auto"/>
            <w:hideMark/>
          </w:tcPr>
          <w:p w14:paraId="2E3203DC" w14:textId="77777777" w:rsidR="00000000" w:rsidRDefault="00832D71">
            <w:pPr>
              <w:pStyle w:val="a3"/>
              <w:spacing w:before="0" w:beforeAutospacing="0" w:after="0" w:afterAutospacing="0"/>
              <w:rPr>
                <w:sz w:val="20"/>
                <w:szCs w:val="20"/>
              </w:rPr>
            </w:pPr>
            <w:r>
              <w:rPr>
                <w:sz w:val="20"/>
                <w:szCs w:val="20"/>
              </w:rPr>
              <w:t>Cash flows from financing activities</w:t>
            </w:r>
            <w:r>
              <w:rPr>
                <w:sz w:val="20"/>
                <w:szCs w:val="20"/>
              </w:rPr>
              <w:t>:</w:t>
            </w:r>
          </w:p>
        </w:tc>
        <w:tc>
          <w:tcPr>
            <w:tcW w:w="0" w:type="auto"/>
            <w:vAlign w:val="bottom"/>
            <w:hideMark/>
          </w:tcPr>
          <w:p w14:paraId="4FCAE98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66D113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13A67E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8B0417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CCB349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AAD429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3E0B4D5"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E8633A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D77A930" w14:textId="77777777" w:rsidR="00000000" w:rsidRDefault="00832D71">
            <w:pPr>
              <w:pStyle w:val="a3"/>
              <w:spacing w:before="0" w:beforeAutospacing="0" w:after="0" w:afterAutospacing="0"/>
              <w:jc w:val="right"/>
              <w:rPr>
                <w:sz w:val="20"/>
                <w:szCs w:val="20"/>
              </w:rPr>
            </w:pPr>
            <w:r>
              <w:rPr>
                <w:sz w:val="20"/>
                <w:szCs w:val="20"/>
              </w:rPr>
              <w:t> </w:t>
            </w:r>
          </w:p>
        </w:tc>
      </w:tr>
      <w:tr w:rsidR="00000000" w14:paraId="60AD711B" w14:textId="77777777">
        <w:trPr>
          <w:trHeight w:val="200"/>
          <w:tblCellSpacing w:w="15" w:type="dxa"/>
        </w:trPr>
        <w:tc>
          <w:tcPr>
            <w:tcW w:w="0" w:type="auto"/>
            <w:hideMark/>
          </w:tcPr>
          <w:p w14:paraId="2F2429A9" w14:textId="77777777" w:rsidR="00000000" w:rsidRDefault="00832D71">
            <w:pPr>
              <w:pStyle w:val="a3"/>
              <w:spacing w:before="0" w:beforeAutospacing="0" w:after="0" w:afterAutospacing="0"/>
              <w:ind w:left="200"/>
              <w:rPr>
                <w:sz w:val="20"/>
                <w:szCs w:val="20"/>
              </w:rPr>
            </w:pPr>
            <w:r>
              <w:rPr>
                <w:sz w:val="20"/>
                <w:szCs w:val="20"/>
              </w:rPr>
              <w:t>Proceeds from long-term borrowing</w:t>
            </w:r>
            <w:r>
              <w:rPr>
                <w:sz w:val="20"/>
                <w:szCs w:val="20"/>
              </w:rPr>
              <w:t>s</w:t>
            </w:r>
          </w:p>
        </w:tc>
        <w:tc>
          <w:tcPr>
            <w:tcW w:w="0" w:type="auto"/>
            <w:vAlign w:val="bottom"/>
            <w:hideMark/>
          </w:tcPr>
          <w:p w14:paraId="195F0E1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EAD579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B05E24C"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7BC7382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4C11E8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FBC36D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291D418" w14:textId="77777777" w:rsidR="00000000" w:rsidRDefault="00832D71">
            <w:pPr>
              <w:pStyle w:val="a3"/>
              <w:spacing w:before="0" w:beforeAutospacing="0" w:after="0" w:afterAutospacing="0"/>
              <w:jc w:val="right"/>
              <w:rPr>
                <w:sz w:val="20"/>
                <w:szCs w:val="20"/>
              </w:rPr>
            </w:pPr>
            <w:r>
              <w:rPr>
                <w:sz w:val="20"/>
                <w:szCs w:val="20"/>
              </w:rPr>
              <w:t>650,00</w:t>
            </w:r>
            <w:r>
              <w:rPr>
                <w:sz w:val="20"/>
                <w:szCs w:val="20"/>
              </w:rPr>
              <w:t>0</w:t>
            </w:r>
          </w:p>
        </w:tc>
        <w:tc>
          <w:tcPr>
            <w:tcW w:w="0" w:type="auto"/>
            <w:noWrap/>
            <w:vAlign w:val="bottom"/>
            <w:hideMark/>
          </w:tcPr>
          <w:p w14:paraId="7F82505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5511F9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43541E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A2E7CFC"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47D9443" w14:textId="77777777" w:rsidR="00000000" w:rsidRDefault="00832D71">
            <w:pPr>
              <w:pStyle w:val="a3"/>
              <w:spacing w:before="0" w:beforeAutospacing="0" w:after="0" w:afterAutospacing="0"/>
              <w:rPr>
                <w:sz w:val="20"/>
                <w:szCs w:val="20"/>
              </w:rPr>
            </w:pPr>
            <w:r>
              <w:rPr>
                <w:sz w:val="20"/>
                <w:szCs w:val="20"/>
              </w:rPr>
              <w:t> </w:t>
            </w:r>
          </w:p>
        </w:tc>
      </w:tr>
      <w:tr w:rsidR="00000000" w14:paraId="18808A2F" w14:textId="77777777">
        <w:trPr>
          <w:trHeight w:val="200"/>
          <w:tblCellSpacing w:w="15" w:type="dxa"/>
        </w:trPr>
        <w:tc>
          <w:tcPr>
            <w:tcW w:w="0" w:type="auto"/>
            <w:hideMark/>
          </w:tcPr>
          <w:p w14:paraId="78D8FD6F" w14:textId="77777777" w:rsidR="00000000" w:rsidRDefault="00832D71">
            <w:pPr>
              <w:pStyle w:val="a3"/>
              <w:spacing w:before="0" w:beforeAutospacing="0" w:after="0" w:afterAutospacing="0"/>
              <w:ind w:left="200"/>
              <w:rPr>
                <w:sz w:val="20"/>
                <w:szCs w:val="20"/>
              </w:rPr>
            </w:pPr>
            <w:r>
              <w:rPr>
                <w:sz w:val="20"/>
                <w:szCs w:val="20"/>
              </w:rPr>
              <w:t>Repayments of long-term borrowing</w:t>
            </w:r>
            <w:r>
              <w:rPr>
                <w:sz w:val="20"/>
                <w:szCs w:val="20"/>
              </w:rPr>
              <w:t>s</w:t>
            </w:r>
          </w:p>
        </w:tc>
        <w:tc>
          <w:tcPr>
            <w:tcW w:w="0" w:type="auto"/>
            <w:vAlign w:val="bottom"/>
            <w:hideMark/>
          </w:tcPr>
          <w:p w14:paraId="377F895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2C52F9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1C085C8"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61D92B2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358C39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F555F6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93B19C3" w14:textId="77777777" w:rsidR="00000000" w:rsidRDefault="00832D71">
            <w:pPr>
              <w:pStyle w:val="a3"/>
              <w:spacing w:before="0" w:beforeAutospacing="0" w:after="0" w:afterAutospacing="0"/>
              <w:jc w:val="right"/>
              <w:rPr>
                <w:sz w:val="20"/>
                <w:szCs w:val="20"/>
              </w:rPr>
            </w:pPr>
            <w:r>
              <w:rPr>
                <w:sz w:val="20"/>
                <w:szCs w:val="20"/>
              </w:rPr>
              <w:t>(</w:t>
            </w:r>
            <w:r>
              <w:rPr>
                <w:sz w:val="20"/>
                <w:szCs w:val="20"/>
              </w:rPr>
              <w:t>786,33</w:t>
            </w:r>
            <w:r>
              <w:rPr>
                <w:sz w:val="20"/>
                <w:szCs w:val="20"/>
              </w:rPr>
              <w:t>3</w:t>
            </w:r>
          </w:p>
        </w:tc>
        <w:tc>
          <w:tcPr>
            <w:tcW w:w="0" w:type="auto"/>
            <w:noWrap/>
            <w:vAlign w:val="bottom"/>
            <w:hideMark/>
          </w:tcPr>
          <w:p w14:paraId="1B58320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183BE0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61E3F6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1732DFB"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1AB7CEAD" w14:textId="77777777" w:rsidR="00000000" w:rsidRDefault="00832D71">
            <w:pPr>
              <w:pStyle w:val="a3"/>
              <w:spacing w:before="0" w:beforeAutospacing="0" w:after="0" w:afterAutospacing="0"/>
              <w:rPr>
                <w:sz w:val="20"/>
                <w:szCs w:val="20"/>
              </w:rPr>
            </w:pPr>
            <w:r>
              <w:rPr>
                <w:sz w:val="20"/>
                <w:szCs w:val="20"/>
              </w:rPr>
              <w:t> </w:t>
            </w:r>
          </w:p>
        </w:tc>
      </w:tr>
      <w:tr w:rsidR="00000000" w14:paraId="636E705D" w14:textId="77777777">
        <w:trPr>
          <w:trHeight w:val="200"/>
          <w:tblCellSpacing w:w="15" w:type="dxa"/>
        </w:trPr>
        <w:tc>
          <w:tcPr>
            <w:tcW w:w="0" w:type="auto"/>
            <w:hideMark/>
          </w:tcPr>
          <w:p w14:paraId="1641DD8E" w14:textId="77777777" w:rsidR="00000000" w:rsidRDefault="00832D71">
            <w:pPr>
              <w:pStyle w:val="a3"/>
              <w:spacing w:before="0" w:beforeAutospacing="0" w:after="0" w:afterAutospacing="0"/>
              <w:ind w:left="200"/>
              <w:rPr>
                <w:sz w:val="20"/>
                <w:szCs w:val="20"/>
              </w:rPr>
            </w:pPr>
            <w:r>
              <w:rPr>
                <w:sz w:val="20"/>
                <w:szCs w:val="20"/>
              </w:rPr>
              <w:t>Proceeds from borrowings under revolving credit facilit</w:t>
            </w:r>
            <w:r>
              <w:rPr>
                <w:sz w:val="20"/>
                <w:szCs w:val="20"/>
              </w:rPr>
              <w:t>y</w:t>
            </w:r>
          </w:p>
        </w:tc>
        <w:tc>
          <w:tcPr>
            <w:tcW w:w="0" w:type="auto"/>
            <w:vAlign w:val="bottom"/>
            <w:hideMark/>
          </w:tcPr>
          <w:p w14:paraId="77DD581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18868F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92F3E51" w14:textId="77777777" w:rsidR="00000000" w:rsidRDefault="00832D71">
            <w:pPr>
              <w:pStyle w:val="a3"/>
              <w:spacing w:before="0" w:beforeAutospacing="0" w:after="0" w:afterAutospacing="0"/>
              <w:jc w:val="right"/>
              <w:rPr>
                <w:sz w:val="20"/>
                <w:szCs w:val="20"/>
              </w:rPr>
            </w:pPr>
            <w:r>
              <w:rPr>
                <w:sz w:val="20"/>
                <w:szCs w:val="20"/>
              </w:rPr>
              <w:t>386,60</w:t>
            </w:r>
            <w:r>
              <w:rPr>
                <w:sz w:val="20"/>
                <w:szCs w:val="20"/>
              </w:rPr>
              <w:t>0</w:t>
            </w:r>
          </w:p>
        </w:tc>
        <w:tc>
          <w:tcPr>
            <w:tcW w:w="0" w:type="auto"/>
            <w:noWrap/>
            <w:vAlign w:val="bottom"/>
            <w:hideMark/>
          </w:tcPr>
          <w:p w14:paraId="547695E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46264A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DBB9C4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6637B1" w14:textId="77777777" w:rsidR="00000000" w:rsidRDefault="00832D71">
            <w:pPr>
              <w:pStyle w:val="a3"/>
              <w:spacing w:before="0" w:beforeAutospacing="0" w:after="0" w:afterAutospacing="0"/>
              <w:jc w:val="right"/>
              <w:rPr>
                <w:sz w:val="20"/>
                <w:szCs w:val="20"/>
              </w:rPr>
            </w:pPr>
            <w:r>
              <w:rPr>
                <w:sz w:val="20"/>
                <w:szCs w:val="20"/>
              </w:rPr>
              <w:t>447,00</w:t>
            </w:r>
            <w:r>
              <w:rPr>
                <w:sz w:val="20"/>
                <w:szCs w:val="20"/>
              </w:rPr>
              <w:t>1</w:t>
            </w:r>
          </w:p>
        </w:tc>
        <w:tc>
          <w:tcPr>
            <w:tcW w:w="0" w:type="auto"/>
            <w:noWrap/>
            <w:vAlign w:val="bottom"/>
            <w:hideMark/>
          </w:tcPr>
          <w:p w14:paraId="19733F1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549361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4ADFD0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1D0F78A" w14:textId="77777777" w:rsidR="00000000" w:rsidRDefault="00832D71">
            <w:pPr>
              <w:pStyle w:val="a3"/>
              <w:spacing w:before="0" w:beforeAutospacing="0" w:after="0" w:afterAutospacing="0"/>
              <w:jc w:val="right"/>
              <w:rPr>
                <w:sz w:val="20"/>
                <w:szCs w:val="20"/>
              </w:rPr>
            </w:pPr>
            <w:r>
              <w:rPr>
                <w:sz w:val="20"/>
                <w:szCs w:val="20"/>
              </w:rPr>
              <w:t>493,00</w:t>
            </w:r>
            <w:r>
              <w:rPr>
                <w:sz w:val="20"/>
                <w:szCs w:val="20"/>
              </w:rPr>
              <w:t>0</w:t>
            </w:r>
          </w:p>
        </w:tc>
        <w:tc>
          <w:tcPr>
            <w:tcW w:w="0" w:type="auto"/>
            <w:noWrap/>
            <w:vAlign w:val="bottom"/>
            <w:hideMark/>
          </w:tcPr>
          <w:p w14:paraId="78B56EF4" w14:textId="77777777" w:rsidR="00000000" w:rsidRDefault="00832D71">
            <w:pPr>
              <w:pStyle w:val="a3"/>
              <w:spacing w:before="0" w:beforeAutospacing="0" w:after="0" w:afterAutospacing="0"/>
              <w:rPr>
                <w:sz w:val="20"/>
                <w:szCs w:val="20"/>
              </w:rPr>
            </w:pPr>
            <w:r>
              <w:rPr>
                <w:sz w:val="20"/>
                <w:szCs w:val="20"/>
              </w:rPr>
              <w:t> </w:t>
            </w:r>
          </w:p>
        </w:tc>
      </w:tr>
      <w:tr w:rsidR="00000000" w14:paraId="592B6BAE" w14:textId="77777777">
        <w:trPr>
          <w:trHeight w:val="200"/>
          <w:tblCellSpacing w:w="15" w:type="dxa"/>
        </w:trPr>
        <w:tc>
          <w:tcPr>
            <w:tcW w:w="0" w:type="auto"/>
            <w:hideMark/>
          </w:tcPr>
          <w:p w14:paraId="1ED98504" w14:textId="77777777" w:rsidR="00000000" w:rsidRDefault="00832D71">
            <w:pPr>
              <w:pStyle w:val="a3"/>
              <w:spacing w:before="0" w:beforeAutospacing="0" w:after="0" w:afterAutospacing="0"/>
              <w:ind w:left="200"/>
              <w:rPr>
                <w:sz w:val="20"/>
                <w:szCs w:val="20"/>
              </w:rPr>
            </w:pPr>
            <w:r>
              <w:rPr>
                <w:sz w:val="20"/>
                <w:szCs w:val="20"/>
              </w:rPr>
              <w:t>Repayments of borrowings under revolving credit facilit</w:t>
            </w:r>
            <w:r>
              <w:rPr>
                <w:sz w:val="20"/>
                <w:szCs w:val="20"/>
              </w:rPr>
              <w:t>y</w:t>
            </w:r>
          </w:p>
        </w:tc>
        <w:tc>
          <w:tcPr>
            <w:tcW w:w="0" w:type="auto"/>
            <w:vAlign w:val="bottom"/>
            <w:hideMark/>
          </w:tcPr>
          <w:p w14:paraId="19D0AD2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58F0AE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BA13A8D" w14:textId="77777777" w:rsidR="00000000" w:rsidRDefault="00832D71">
            <w:pPr>
              <w:pStyle w:val="a3"/>
              <w:spacing w:before="0" w:beforeAutospacing="0" w:after="0" w:afterAutospacing="0"/>
              <w:jc w:val="right"/>
              <w:rPr>
                <w:sz w:val="20"/>
                <w:szCs w:val="20"/>
              </w:rPr>
            </w:pPr>
            <w:r>
              <w:rPr>
                <w:sz w:val="20"/>
                <w:szCs w:val="20"/>
              </w:rPr>
              <w:t>(</w:t>
            </w:r>
            <w:r>
              <w:rPr>
                <w:sz w:val="20"/>
                <w:szCs w:val="20"/>
              </w:rPr>
              <w:t>429,00</w:t>
            </w:r>
            <w:r>
              <w:rPr>
                <w:sz w:val="20"/>
                <w:szCs w:val="20"/>
              </w:rPr>
              <w:t>0</w:t>
            </w:r>
          </w:p>
        </w:tc>
        <w:tc>
          <w:tcPr>
            <w:tcW w:w="0" w:type="auto"/>
            <w:noWrap/>
            <w:vAlign w:val="bottom"/>
            <w:hideMark/>
          </w:tcPr>
          <w:p w14:paraId="434FDA6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97AC7E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654005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F9E33D7" w14:textId="77777777" w:rsidR="00000000" w:rsidRDefault="00832D71">
            <w:pPr>
              <w:pStyle w:val="a3"/>
              <w:spacing w:before="0" w:beforeAutospacing="0" w:after="0" w:afterAutospacing="0"/>
              <w:jc w:val="right"/>
              <w:rPr>
                <w:sz w:val="20"/>
                <w:szCs w:val="20"/>
              </w:rPr>
            </w:pPr>
            <w:r>
              <w:rPr>
                <w:sz w:val="20"/>
                <w:szCs w:val="20"/>
              </w:rPr>
              <w:t>(</w:t>
            </w:r>
            <w:r>
              <w:rPr>
                <w:sz w:val="20"/>
                <w:szCs w:val="20"/>
              </w:rPr>
              <w:t>409,60</w:t>
            </w:r>
            <w:r>
              <w:rPr>
                <w:sz w:val="20"/>
                <w:szCs w:val="20"/>
              </w:rPr>
              <w:t>1</w:t>
            </w:r>
          </w:p>
        </w:tc>
        <w:tc>
          <w:tcPr>
            <w:tcW w:w="0" w:type="auto"/>
            <w:noWrap/>
            <w:vAlign w:val="bottom"/>
            <w:hideMark/>
          </w:tcPr>
          <w:p w14:paraId="7337B35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AE7202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FC8C65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46DD976" w14:textId="77777777" w:rsidR="00000000" w:rsidRDefault="00832D71">
            <w:pPr>
              <w:pStyle w:val="a3"/>
              <w:spacing w:before="0" w:beforeAutospacing="0" w:after="0" w:afterAutospacing="0"/>
              <w:jc w:val="right"/>
              <w:rPr>
                <w:sz w:val="20"/>
                <w:szCs w:val="20"/>
              </w:rPr>
            </w:pPr>
            <w:r>
              <w:rPr>
                <w:sz w:val="20"/>
                <w:szCs w:val="20"/>
              </w:rPr>
              <w:t>(</w:t>
            </w:r>
            <w:r>
              <w:rPr>
                <w:sz w:val="20"/>
                <w:szCs w:val="20"/>
              </w:rPr>
              <w:t>511,90</w:t>
            </w:r>
            <w:r>
              <w:rPr>
                <w:sz w:val="20"/>
                <w:szCs w:val="20"/>
              </w:rPr>
              <w:t>0</w:t>
            </w:r>
          </w:p>
        </w:tc>
        <w:tc>
          <w:tcPr>
            <w:tcW w:w="0" w:type="auto"/>
            <w:noWrap/>
            <w:vAlign w:val="bottom"/>
            <w:hideMark/>
          </w:tcPr>
          <w:p w14:paraId="653C663F" w14:textId="77777777" w:rsidR="00000000" w:rsidRDefault="00832D71">
            <w:pPr>
              <w:pStyle w:val="a3"/>
              <w:spacing w:before="0" w:beforeAutospacing="0" w:after="0" w:afterAutospacing="0"/>
              <w:rPr>
                <w:sz w:val="20"/>
                <w:szCs w:val="20"/>
              </w:rPr>
            </w:pPr>
            <w:r>
              <w:rPr>
                <w:sz w:val="20"/>
                <w:szCs w:val="20"/>
              </w:rPr>
              <w:t>)</w:t>
            </w:r>
          </w:p>
        </w:tc>
      </w:tr>
      <w:tr w:rsidR="00000000" w14:paraId="135EA969" w14:textId="77777777">
        <w:trPr>
          <w:trHeight w:val="200"/>
          <w:tblCellSpacing w:w="15" w:type="dxa"/>
        </w:trPr>
        <w:tc>
          <w:tcPr>
            <w:tcW w:w="0" w:type="auto"/>
            <w:hideMark/>
          </w:tcPr>
          <w:p w14:paraId="71CEE885" w14:textId="77777777" w:rsidR="00000000" w:rsidRDefault="00832D71">
            <w:pPr>
              <w:pStyle w:val="a3"/>
              <w:spacing w:before="0" w:beforeAutospacing="0" w:after="0" w:afterAutospacing="0"/>
              <w:ind w:left="200"/>
              <w:rPr>
                <w:sz w:val="20"/>
                <w:szCs w:val="20"/>
              </w:rPr>
            </w:pPr>
            <w:r>
              <w:rPr>
                <w:sz w:val="20"/>
                <w:szCs w:val="20"/>
              </w:rPr>
              <w:t>Issuance costs associated with long-term borrowing</w:t>
            </w:r>
            <w:r>
              <w:rPr>
                <w:sz w:val="20"/>
                <w:szCs w:val="20"/>
              </w:rPr>
              <w:t>s</w:t>
            </w:r>
          </w:p>
        </w:tc>
        <w:tc>
          <w:tcPr>
            <w:tcW w:w="0" w:type="auto"/>
            <w:vAlign w:val="bottom"/>
            <w:hideMark/>
          </w:tcPr>
          <w:p w14:paraId="29BB2F4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D108AB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EA52CA5"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31AEA45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3E259E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D9F6EF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8702211" w14:textId="77777777" w:rsidR="00000000" w:rsidRDefault="00832D71">
            <w:pPr>
              <w:pStyle w:val="a3"/>
              <w:spacing w:before="0" w:beforeAutospacing="0" w:after="0" w:afterAutospacing="0"/>
              <w:jc w:val="right"/>
              <w:rPr>
                <w:sz w:val="20"/>
                <w:szCs w:val="20"/>
              </w:rPr>
            </w:pPr>
            <w:r>
              <w:rPr>
                <w:sz w:val="20"/>
                <w:szCs w:val="20"/>
              </w:rPr>
              <w:t>(</w:t>
            </w:r>
            <w:r>
              <w:rPr>
                <w:sz w:val="20"/>
                <w:szCs w:val="20"/>
              </w:rPr>
              <w:t>10,77</w:t>
            </w:r>
            <w:r>
              <w:rPr>
                <w:sz w:val="20"/>
                <w:szCs w:val="20"/>
              </w:rPr>
              <w:t>8</w:t>
            </w:r>
          </w:p>
        </w:tc>
        <w:tc>
          <w:tcPr>
            <w:tcW w:w="0" w:type="auto"/>
            <w:noWrap/>
            <w:vAlign w:val="bottom"/>
            <w:hideMark/>
          </w:tcPr>
          <w:p w14:paraId="20D7AC3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CF74D4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65C10E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5006627" w14:textId="77777777" w:rsidR="00000000" w:rsidRDefault="00832D71">
            <w:pPr>
              <w:pStyle w:val="a3"/>
              <w:spacing w:before="0" w:beforeAutospacing="0" w:after="0" w:afterAutospacing="0"/>
              <w:jc w:val="right"/>
              <w:rPr>
                <w:sz w:val="20"/>
                <w:szCs w:val="20"/>
              </w:rPr>
            </w:pPr>
            <w:r>
              <w:rPr>
                <w:sz w:val="20"/>
                <w:szCs w:val="20"/>
              </w:rPr>
              <w:t>(</w:t>
            </w:r>
            <w:r>
              <w:rPr>
                <w:sz w:val="20"/>
                <w:szCs w:val="20"/>
              </w:rPr>
              <w:t>2,66</w:t>
            </w:r>
            <w:r>
              <w:rPr>
                <w:sz w:val="20"/>
                <w:szCs w:val="20"/>
              </w:rPr>
              <w:t>5</w:t>
            </w:r>
          </w:p>
        </w:tc>
        <w:tc>
          <w:tcPr>
            <w:tcW w:w="0" w:type="auto"/>
            <w:noWrap/>
            <w:vAlign w:val="bottom"/>
            <w:hideMark/>
          </w:tcPr>
          <w:p w14:paraId="4B5B948C" w14:textId="77777777" w:rsidR="00000000" w:rsidRDefault="00832D71">
            <w:pPr>
              <w:pStyle w:val="a3"/>
              <w:spacing w:before="0" w:beforeAutospacing="0" w:after="0" w:afterAutospacing="0"/>
              <w:rPr>
                <w:sz w:val="20"/>
                <w:szCs w:val="20"/>
              </w:rPr>
            </w:pPr>
            <w:r>
              <w:rPr>
                <w:sz w:val="20"/>
                <w:szCs w:val="20"/>
              </w:rPr>
              <w:t>)</w:t>
            </w:r>
          </w:p>
        </w:tc>
      </w:tr>
      <w:tr w:rsidR="00000000" w14:paraId="0D51E219" w14:textId="77777777">
        <w:trPr>
          <w:trHeight w:val="200"/>
          <w:tblCellSpacing w:w="15" w:type="dxa"/>
        </w:trPr>
        <w:tc>
          <w:tcPr>
            <w:tcW w:w="0" w:type="auto"/>
            <w:hideMark/>
          </w:tcPr>
          <w:p w14:paraId="3195DFDC" w14:textId="77777777" w:rsidR="00000000" w:rsidRDefault="00832D71">
            <w:pPr>
              <w:pStyle w:val="a3"/>
              <w:spacing w:before="0" w:beforeAutospacing="0" w:after="0" w:afterAutospacing="0"/>
              <w:ind w:left="200"/>
              <w:rPr>
                <w:sz w:val="20"/>
                <w:szCs w:val="20"/>
              </w:rPr>
            </w:pPr>
            <w:r>
              <w:rPr>
                <w:sz w:val="20"/>
                <w:szCs w:val="20"/>
              </w:rPr>
              <w:t>Partnership distribution</w:t>
            </w:r>
            <w:r>
              <w:rPr>
                <w:sz w:val="20"/>
                <w:szCs w:val="20"/>
              </w:rPr>
              <w:t>s</w:t>
            </w:r>
          </w:p>
        </w:tc>
        <w:tc>
          <w:tcPr>
            <w:tcW w:w="0" w:type="auto"/>
            <w:vAlign w:val="bottom"/>
            <w:hideMark/>
          </w:tcPr>
          <w:p w14:paraId="5DB9D60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D54EC5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DFA991E" w14:textId="77777777" w:rsidR="00000000" w:rsidRDefault="00832D71">
            <w:pPr>
              <w:pStyle w:val="a3"/>
              <w:spacing w:before="0" w:beforeAutospacing="0" w:after="0" w:afterAutospacing="0"/>
              <w:jc w:val="right"/>
              <w:rPr>
                <w:sz w:val="20"/>
                <w:szCs w:val="20"/>
              </w:rPr>
            </w:pPr>
            <w:r>
              <w:rPr>
                <w:sz w:val="20"/>
                <w:szCs w:val="20"/>
              </w:rPr>
              <w:t>(</w:t>
            </w:r>
            <w:r>
              <w:rPr>
                <w:sz w:val="20"/>
                <w:szCs w:val="20"/>
              </w:rPr>
              <w:t>81,72</w:t>
            </w:r>
            <w:r>
              <w:rPr>
                <w:sz w:val="20"/>
                <w:szCs w:val="20"/>
              </w:rPr>
              <w:t>5</w:t>
            </w:r>
          </w:p>
        </w:tc>
        <w:tc>
          <w:tcPr>
            <w:tcW w:w="0" w:type="auto"/>
            <w:noWrap/>
            <w:vAlign w:val="bottom"/>
            <w:hideMark/>
          </w:tcPr>
          <w:p w14:paraId="11D10ED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C33C43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8FC72D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7CD6BCE" w14:textId="77777777" w:rsidR="00000000" w:rsidRDefault="00832D71">
            <w:pPr>
              <w:pStyle w:val="a3"/>
              <w:spacing w:before="0" w:beforeAutospacing="0" w:after="0" w:afterAutospacing="0"/>
              <w:jc w:val="right"/>
              <w:rPr>
                <w:sz w:val="20"/>
                <w:szCs w:val="20"/>
              </w:rPr>
            </w:pPr>
            <w:r>
              <w:rPr>
                <w:sz w:val="20"/>
                <w:szCs w:val="20"/>
              </w:rPr>
              <w:t>(</w:t>
            </w:r>
            <w:r>
              <w:rPr>
                <w:sz w:val="20"/>
                <w:szCs w:val="20"/>
              </w:rPr>
              <w:t>76,48</w:t>
            </w:r>
            <w:r>
              <w:rPr>
                <w:sz w:val="20"/>
                <w:szCs w:val="20"/>
              </w:rPr>
              <w:t>4</w:t>
            </w:r>
          </w:p>
        </w:tc>
        <w:tc>
          <w:tcPr>
            <w:tcW w:w="0" w:type="auto"/>
            <w:noWrap/>
            <w:vAlign w:val="bottom"/>
            <w:hideMark/>
          </w:tcPr>
          <w:p w14:paraId="7EAD9A4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50534F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3CED6F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11930F3" w14:textId="77777777" w:rsidR="00000000" w:rsidRDefault="00832D71">
            <w:pPr>
              <w:pStyle w:val="a3"/>
              <w:spacing w:before="0" w:beforeAutospacing="0" w:after="0" w:afterAutospacing="0"/>
              <w:jc w:val="right"/>
              <w:rPr>
                <w:sz w:val="20"/>
                <w:szCs w:val="20"/>
              </w:rPr>
            </w:pPr>
            <w:r>
              <w:rPr>
                <w:sz w:val="20"/>
                <w:szCs w:val="20"/>
              </w:rPr>
              <w:t>(</w:t>
            </w:r>
            <w:r>
              <w:rPr>
                <w:sz w:val="20"/>
                <w:szCs w:val="20"/>
              </w:rPr>
              <w:t>130,20</w:t>
            </w:r>
            <w:r>
              <w:rPr>
                <w:sz w:val="20"/>
                <w:szCs w:val="20"/>
              </w:rPr>
              <w:t>6</w:t>
            </w:r>
          </w:p>
        </w:tc>
        <w:tc>
          <w:tcPr>
            <w:tcW w:w="0" w:type="auto"/>
            <w:noWrap/>
            <w:vAlign w:val="bottom"/>
            <w:hideMark/>
          </w:tcPr>
          <w:p w14:paraId="3E7799BE" w14:textId="77777777" w:rsidR="00000000" w:rsidRDefault="00832D71">
            <w:pPr>
              <w:pStyle w:val="a3"/>
              <w:spacing w:before="0" w:beforeAutospacing="0" w:after="0" w:afterAutospacing="0"/>
              <w:rPr>
                <w:sz w:val="20"/>
                <w:szCs w:val="20"/>
              </w:rPr>
            </w:pPr>
            <w:r>
              <w:rPr>
                <w:sz w:val="20"/>
                <w:szCs w:val="20"/>
              </w:rPr>
              <w:t>)</w:t>
            </w:r>
          </w:p>
        </w:tc>
      </w:tr>
      <w:tr w:rsidR="00000000" w14:paraId="59AA7C5B" w14:textId="77777777">
        <w:trPr>
          <w:trHeight w:val="200"/>
          <w:tblCellSpacing w:w="15" w:type="dxa"/>
        </w:trPr>
        <w:tc>
          <w:tcPr>
            <w:tcW w:w="0" w:type="auto"/>
            <w:hideMark/>
          </w:tcPr>
          <w:p w14:paraId="195B9062" w14:textId="77777777" w:rsidR="00000000" w:rsidRDefault="00832D71">
            <w:pPr>
              <w:pStyle w:val="a3"/>
              <w:spacing w:before="0" w:beforeAutospacing="0" w:after="0" w:afterAutospacing="0"/>
              <w:ind w:left="200"/>
              <w:rPr>
                <w:sz w:val="20"/>
                <w:szCs w:val="20"/>
              </w:rPr>
            </w:pPr>
            <w:r>
              <w:rPr>
                <w:sz w:val="20"/>
                <w:szCs w:val="20"/>
              </w:rPr>
              <w:t>Other, ne</w:t>
            </w:r>
            <w:r>
              <w:rPr>
                <w:sz w:val="20"/>
                <w:szCs w:val="20"/>
              </w:rPr>
              <w:t>t</w:t>
            </w:r>
          </w:p>
        </w:tc>
        <w:tc>
          <w:tcPr>
            <w:tcW w:w="0" w:type="auto"/>
            <w:vAlign w:val="bottom"/>
            <w:hideMark/>
          </w:tcPr>
          <w:p w14:paraId="68BEB50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733949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0D7ACBD" w14:textId="77777777" w:rsidR="00000000" w:rsidRDefault="00832D71">
            <w:pPr>
              <w:pStyle w:val="a3"/>
              <w:spacing w:before="0" w:beforeAutospacing="0" w:after="0" w:afterAutospacing="0"/>
              <w:jc w:val="right"/>
              <w:rPr>
                <w:sz w:val="20"/>
                <w:szCs w:val="20"/>
              </w:rPr>
            </w:pPr>
            <w:r>
              <w:rPr>
                <w:sz w:val="20"/>
                <w:szCs w:val="20"/>
              </w:rPr>
              <w:t>(</w:t>
            </w:r>
            <w:r>
              <w:rPr>
                <w:sz w:val="20"/>
                <w:szCs w:val="20"/>
              </w:rPr>
              <w:t>3,69</w:t>
            </w:r>
            <w:r>
              <w:rPr>
                <w:sz w:val="20"/>
                <w:szCs w:val="20"/>
              </w:rPr>
              <w:t>5</w:t>
            </w:r>
          </w:p>
        </w:tc>
        <w:tc>
          <w:tcPr>
            <w:tcW w:w="0" w:type="auto"/>
            <w:noWrap/>
            <w:vAlign w:val="bottom"/>
            <w:hideMark/>
          </w:tcPr>
          <w:p w14:paraId="3D0A805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6EA4D7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5ABA3F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4BE996B" w14:textId="77777777" w:rsidR="00000000" w:rsidRDefault="00832D71">
            <w:pPr>
              <w:pStyle w:val="a3"/>
              <w:spacing w:before="0" w:beforeAutospacing="0" w:after="0" w:afterAutospacing="0"/>
              <w:jc w:val="right"/>
              <w:rPr>
                <w:sz w:val="20"/>
                <w:szCs w:val="20"/>
              </w:rPr>
            </w:pPr>
            <w:r>
              <w:rPr>
                <w:sz w:val="20"/>
                <w:szCs w:val="20"/>
              </w:rPr>
              <w:t>(</w:t>
            </w:r>
            <w:r>
              <w:rPr>
                <w:sz w:val="20"/>
                <w:szCs w:val="20"/>
              </w:rPr>
              <w:t>3,61</w:t>
            </w:r>
            <w:r>
              <w:rPr>
                <w:sz w:val="20"/>
                <w:szCs w:val="20"/>
              </w:rPr>
              <w:t>4</w:t>
            </w:r>
          </w:p>
        </w:tc>
        <w:tc>
          <w:tcPr>
            <w:tcW w:w="0" w:type="auto"/>
            <w:noWrap/>
            <w:vAlign w:val="bottom"/>
            <w:hideMark/>
          </w:tcPr>
          <w:p w14:paraId="2F10716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4DBDDA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1D329F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CFD711F" w14:textId="77777777" w:rsidR="00000000" w:rsidRDefault="00832D71">
            <w:pPr>
              <w:pStyle w:val="a3"/>
              <w:spacing w:before="0" w:beforeAutospacing="0" w:after="0" w:afterAutospacing="0"/>
              <w:jc w:val="right"/>
              <w:rPr>
                <w:sz w:val="20"/>
                <w:szCs w:val="20"/>
              </w:rPr>
            </w:pPr>
            <w:r>
              <w:rPr>
                <w:sz w:val="20"/>
                <w:szCs w:val="20"/>
              </w:rPr>
              <w:t>(</w:t>
            </w:r>
            <w:r>
              <w:rPr>
                <w:sz w:val="20"/>
                <w:szCs w:val="20"/>
              </w:rPr>
              <w:t>3,64</w:t>
            </w:r>
            <w:r>
              <w:rPr>
                <w:sz w:val="20"/>
                <w:szCs w:val="20"/>
              </w:rPr>
              <w:t>1</w:t>
            </w:r>
          </w:p>
        </w:tc>
        <w:tc>
          <w:tcPr>
            <w:tcW w:w="0" w:type="auto"/>
            <w:noWrap/>
            <w:vAlign w:val="bottom"/>
            <w:hideMark/>
          </w:tcPr>
          <w:p w14:paraId="61E99949" w14:textId="77777777" w:rsidR="00000000" w:rsidRDefault="00832D71">
            <w:pPr>
              <w:pStyle w:val="a3"/>
              <w:spacing w:before="0" w:beforeAutospacing="0" w:after="0" w:afterAutospacing="0"/>
              <w:rPr>
                <w:sz w:val="20"/>
                <w:szCs w:val="20"/>
              </w:rPr>
            </w:pPr>
            <w:r>
              <w:rPr>
                <w:sz w:val="20"/>
                <w:szCs w:val="20"/>
              </w:rPr>
              <w:t>)</w:t>
            </w:r>
          </w:p>
        </w:tc>
      </w:tr>
      <w:tr w:rsidR="00000000" w14:paraId="045A2CA9" w14:textId="77777777">
        <w:trPr>
          <w:trHeight w:val="200"/>
          <w:tblCellSpacing w:w="15" w:type="dxa"/>
        </w:trPr>
        <w:tc>
          <w:tcPr>
            <w:tcW w:w="0" w:type="auto"/>
            <w:hideMark/>
          </w:tcPr>
          <w:p w14:paraId="7C718C0B" w14:textId="77777777" w:rsidR="00000000" w:rsidRDefault="00832D71">
            <w:pPr>
              <w:pStyle w:val="a3"/>
              <w:spacing w:before="0" w:beforeAutospacing="0" w:after="0" w:afterAutospacing="0"/>
              <w:ind w:left="600"/>
              <w:rPr>
                <w:sz w:val="20"/>
                <w:szCs w:val="20"/>
              </w:rPr>
            </w:pPr>
            <w:r>
              <w:rPr>
                <w:sz w:val="20"/>
                <w:szCs w:val="20"/>
              </w:rPr>
              <w:t>Net cash (used in) financing activitie</w:t>
            </w:r>
            <w:r>
              <w:rPr>
                <w:sz w:val="20"/>
                <w:szCs w:val="20"/>
              </w:rPr>
              <w:t>s</w:t>
            </w:r>
          </w:p>
        </w:tc>
        <w:tc>
          <w:tcPr>
            <w:tcW w:w="0" w:type="auto"/>
            <w:vAlign w:val="bottom"/>
            <w:hideMark/>
          </w:tcPr>
          <w:p w14:paraId="2B166BC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63236D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F6FC09C" w14:textId="77777777" w:rsidR="00000000" w:rsidRDefault="00832D71">
            <w:pPr>
              <w:pStyle w:val="a3"/>
              <w:spacing w:before="0" w:beforeAutospacing="0" w:after="0" w:afterAutospacing="0"/>
              <w:jc w:val="right"/>
              <w:rPr>
                <w:sz w:val="20"/>
                <w:szCs w:val="20"/>
              </w:rPr>
            </w:pPr>
            <w:r>
              <w:rPr>
                <w:sz w:val="20"/>
                <w:szCs w:val="20"/>
              </w:rPr>
              <w:t>(</w:t>
            </w:r>
            <w:r>
              <w:rPr>
                <w:sz w:val="20"/>
                <w:szCs w:val="20"/>
              </w:rPr>
              <w:t>127,82</w:t>
            </w:r>
            <w:r>
              <w:rPr>
                <w:sz w:val="20"/>
                <w:szCs w:val="20"/>
              </w:rPr>
              <w:t>0</w:t>
            </w:r>
          </w:p>
        </w:tc>
        <w:tc>
          <w:tcPr>
            <w:tcW w:w="0" w:type="auto"/>
            <w:noWrap/>
            <w:vAlign w:val="bottom"/>
            <w:hideMark/>
          </w:tcPr>
          <w:p w14:paraId="1D3CF1F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61B940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B09CD3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211C10B" w14:textId="77777777" w:rsidR="00000000" w:rsidRDefault="00832D71">
            <w:pPr>
              <w:pStyle w:val="a3"/>
              <w:spacing w:before="0" w:beforeAutospacing="0" w:after="0" w:afterAutospacing="0"/>
              <w:jc w:val="right"/>
              <w:rPr>
                <w:sz w:val="20"/>
                <w:szCs w:val="20"/>
              </w:rPr>
            </w:pPr>
            <w:r>
              <w:rPr>
                <w:sz w:val="20"/>
                <w:szCs w:val="20"/>
              </w:rPr>
              <w:t>(</w:t>
            </w:r>
            <w:r>
              <w:rPr>
                <w:sz w:val="20"/>
                <w:szCs w:val="20"/>
              </w:rPr>
              <w:t>189,80</w:t>
            </w:r>
            <w:r>
              <w:rPr>
                <w:sz w:val="20"/>
                <w:szCs w:val="20"/>
              </w:rPr>
              <w:t>9</w:t>
            </w:r>
          </w:p>
        </w:tc>
        <w:tc>
          <w:tcPr>
            <w:tcW w:w="0" w:type="auto"/>
            <w:noWrap/>
            <w:vAlign w:val="bottom"/>
            <w:hideMark/>
          </w:tcPr>
          <w:p w14:paraId="6E27A09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14848F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D235D6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0C425EB" w14:textId="77777777" w:rsidR="00000000" w:rsidRDefault="00832D71">
            <w:pPr>
              <w:pStyle w:val="a3"/>
              <w:spacing w:before="0" w:beforeAutospacing="0" w:after="0" w:afterAutospacing="0"/>
              <w:jc w:val="right"/>
              <w:rPr>
                <w:sz w:val="20"/>
                <w:szCs w:val="20"/>
              </w:rPr>
            </w:pPr>
            <w:r>
              <w:rPr>
                <w:sz w:val="20"/>
                <w:szCs w:val="20"/>
              </w:rPr>
              <w:t>(</w:t>
            </w:r>
            <w:r>
              <w:rPr>
                <w:sz w:val="20"/>
                <w:szCs w:val="20"/>
              </w:rPr>
              <w:t>155,41</w:t>
            </w:r>
            <w:r>
              <w:rPr>
                <w:sz w:val="20"/>
                <w:szCs w:val="20"/>
              </w:rPr>
              <w:t>2</w:t>
            </w:r>
          </w:p>
        </w:tc>
        <w:tc>
          <w:tcPr>
            <w:tcW w:w="0" w:type="auto"/>
            <w:noWrap/>
            <w:vAlign w:val="bottom"/>
            <w:hideMark/>
          </w:tcPr>
          <w:p w14:paraId="5FEF8F52" w14:textId="77777777" w:rsidR="00000000" w:rsidRDefault="00832D71">
            <w:pPr>
              <w:pStyle w:val="a3"/>
              <w:spacing w:before="0" w:beforeAutospacing="0" w:after="0" w:afterAutospacing="0"/>
              <w:rPr>
                <w:sz w:val="20"/>
                <w:szCs w:val="20"/>
              </w:rPr>
            </w:pPr>
            <w:r>
              <w:rPr>
                <w:sz w:val="20"/>
                <w:szCs w:val="20"/>
              </w:rPr>
              <w:t>)</w:t>
            </w:r>
          </w:p>
        </w:tc>
      </w:tr>
      <w:tr w:rsidR="00000000" w14:paraId="014EC237" w14:textId="77777777">
        <w:trPr>
          <w:trHeight w:val="200"/>
          <w:tblCellSpacing w:w="15" w:type="dxa"/>
        </w:trPr>
        <w:tc>
          <w:tcPr>
            <w:tcW w:w="0" w:type="auto"/>
            <w:hideMark/>
          </w:tcPr>
          <w:p w14:paraId="12700A24" w14:textId="77777777" w:rsidR="00000000" w:rsidRDefault="00832D71">
            <w:pPr>
              <w:pStyle w:val="a3"/>
              <w:spacing w:before="0" w:beforeAutospacing="0" w:after="0" w:afterAutospacing="0"/>
              <w:rPr>
                <w:sz w:val="20"/>
                <w:szCs w:val="20"/>
              </w:rPr>
            </w:pPr>
            <w:r>
              <w:rPr>
                <w:sz w:val="20"/>
                <w:szCs w:val="20"/>
              </w:rPr>
              <w:t>Net (decrease) increase in cash and cash equivalent</w:t>
            </w:r>
            <w:r>
              <w:rPr>
                <w:sz w:val="20"/>
                <w:szCs w:val="20"/>
              </w:rPr>
              <w:t>s</w:t>
            </w:r>
          </w:p>
        </w:tc>
        <w:tc>
          <w:tcPr>
            <w:tcW w:w="0" w:type="auto"/>
            <w:vAlign w:val="bottom"/>
            <w:hideMark/>
          </w:tcPr>
          <w:p w14:paraId="6F41CA2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9F4905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652E5C6" w14:textId="77777777" w:rsidR="00000000" w:rsidRDefault="00832D71">
            <w:pPr>
              <w:pStyle w:val="a3"/>
              <w:spacing w:before="0" w:beforeAutospacing="0" w:after="0" w:afterAutospacing="0"/>
              <w:jc w:val="right"/>
              <w:rPr>
                <w:sz w:val="20"/>
                <w:szCs w:val="20"/>
              </w:rPr>
            </w:pPr>
            <w:r>
              <w:rPr>
                <w:sz w:val="20"/>
                <w:szCs w:val="20"/>
              </w:rPr>
              <w:t>(</w:t>
            </w:r>
            <w:r>
              <w:rPr>
                <w:sz w:val="20"/>
                <w:szCs w:val="20"/>
              </w:rPr>
              <w:t>1,70</w:t>
            </w:r>
            <w:r>
              <w:rPr>
                <w:sz w:val="20"/>
                <w:szCs w:val="20"/>
              </w:rPr>
              <w:t>8</w:t>
            </w:r>
          </w:p>
        </w:tc>
        <w:tc>
          <w:tcPr>
            <w:tcW w:w="0" w:type="auto"/>
            <w:noWrap/>
            <w:vAlign w:val="bottom"/>
            <w:hideMark/>
          </w:tcPr>
          <w:p w14:paraId="7545BA4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F088F2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668EF7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2B84EDA" w14:textId="77777777" w:rsidR="00000000" w:rsidRDefault="00832D71">
            <w:pPr>
              <w:pStyle w:val="a3"/>
              <w:spacing w:before="0" w:beforeAutospacing="0" w:after="0" w:afterAutospacing="0"/>
              <w:jc w:val="right"/>
              <w:rPr>
                <w:sz w:val="20"/>
                <w:szCs w:val="20"/>
              </w:rPr>
            </w:pPr>
            <w:r>
              <w:rPr>
                <w:sz w:val="20"/>
                <w:szCs w:val="20"/>
              </w:rPr>
              <w:t>2,66</w:t>
            </w:r>
            <w:r>
              <w:rPr>
                <w:sz w:val="20"/>
                <w:szCs w:val="20"/>
              </w:rPr>
              <w:t>8</w:t>
            </w:r>
          </w:p>
        </w:tc>
        <w:tc>
          <w:tcPr>
            <w:tcW w:w="0" w:type="auto"/>
            <w:noWrap/>
            <w:vAlign w:val="bottom"/>
            <w:hideMark/>
          </w:tcPr>
          <w:p w14:paraId="43B5BCC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E176E3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3EB101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BD5F8DB" w14:textId="77777777" w:rsidR="00000000" w:rsidRDefault="00832D71">
            <w:pPr>
              <w:pStyle w:val="a3"/>
              <w:spacing w:before="0" w:beforeAutospacing="0" w:after="0" w:afterAutospacing="0"/>
              <w:jc w:val="right"/>
              <w:rPr>
                <w:sz w:val="20"/>
                <w:szCs w:val="20"/>
              </w:rPr>
            </w:pPr>
            <w:r>
              <w:rPr>
                <w:sz w:val="20"/>
                <w:szCs w:val="20"/>
              </w:rPr>
              <w:t>69</w:t>
            </w:r>
            <w:r>
              <w:rPr>
                <w:sz w:val="20"/>
                <w:szCs w:val="20"/>
              </w:rPr>
              <w:t>9</w:t>
            </w:r>
          </w:p>
        </w:tc>
        <w:tc>
          <w:tcPr>
            <w:tcW w:w="0" w:type="auto"/>
            <w:noWrap/>
            <w:vAlign w:val="bottom"/>
            <w:hideMark/>
          </w:tcPr>
          <w:p w14:paraId="5AB8DEF8" w14:textId="77777777" w:rsidR="00000000" w:rsidRDefault="00832D71">
            <w:pPr>
              <w:pStyle w:val="a3"/>
              <w:spacing w:before="0" w:beforeAutospacing="0" w:after="0" w:afterAutospacing="0"/>
              <w:rPr>
                <w:sz w:val="20"/>
                <w:szCs w:val="20"/>
              </w:rPr>
            </w:pPr>
            <w:r>
              <w:rPr>
                <w:sz w:val="20"/>
                <w:szCs w:val="20"/>
              </w:rPr>
              <w:t> </w:t>
            </w:r>
          </w:p>
        </w:tc>
      </w:tr>
      <w:tr w:rsidR="00000000" w14:paraId="7DE85CD4" w14:textId="77777777">
        <w:trPr>
          <w:trHeight w:val="200"/>
          <w:tblCellSpacing w:w="15" w:type="dxa"/>
        </w:trPr>
        <w:tc>
          <w:tcPr>
            <w:tcW w:w="0" w:type="auto"/>
            <w:hideMark/>
          </w:tcPr>
          <w:p w14:paraId="457D5D98" w14:textId="77777777" w:rsidR="00000000" w:rsidRDefault="00832D71">
            <w:pPr>
              <w:pStyle w:val="a3"/>
              <w:spacing w:before="0" w:beforeAutospacing="0" w:after="0" w:afterAutospacing="0"/>
              <w:rPr>
                <w:sz w:val="20"/>
                <w:szCs w:val="20"/>
              </w:rPr>
            </w:pPr>
            <w:r>
              <w:rPr>
                <w:sz w:val="20"/>
                <w:szCs w:val="20"/>
              </w:rPr>
              <w:t>Cash and cash equivalents at beginning of perio</w:t>
            </w:r>
            <w:r>
              <w:rPr>
                <w:sz w:val="20"/>
                <w:szCs w:val="20"/>
              </w:rPr>
              <w:t>d</w:t>
            </w:r>
          </w:p>
        </w:tc>
        <w:tc>
          <w:tcPr>
            <w:tcW w:w="0" w:type="auto"/>
            <w:vAlign w:val="bottom"/>
            <w:hideMark/>
          </w:tcPr>
          <w:p w14:paraId="757C711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20BD26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A9493A9" w14:textId="77777777" w:rsidR="00000000" w:rsidRDefault="00832D71">
            <w:pPr>
              <w:pStyle w:val="a3"/>
              <w:spacing w:before="0" w:beforeAutospacing="0" w:after="0" w:afterAutospacing="0"/>
              <w:jc w:val="right"/>
              <w:rPr>
                <w:sz w:val="20"/>
                <w:szCs w:val="20"/>
              </w:rPr>
            </w:pPr>
            <w:r>
              <w:rPr>
                <w:sz w:val="20"/>
                <w:szCs w:val="20"/>
              </w:rPr>
              <w:t>5,80</w:t>
            </w:r>
            <w:r>
              <w:rPr>
                <w:sz w:val="20"/>
                <w:szCs w:val="20"/>
              </w:rPr>
              <w:t>8</w:t>
            </w:r>
          </w:p>
        </w:tc>
        <w:tc>
          <w:tcPr>
            <w:tcW w:w="0" w:type="auto"/>
            <w:noWrap/>
            <w:vAlign w:val="bottom"/>
            <w:hideMark/>
          </w:tcPr>
          <w:p w14:paraId="10F1A21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0E45B8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398C1C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64DF649" w14:textId="77777777" w:rsidR="00000000" w:rsidRDefault="00832D71">
            <w:pPr>
              <w:pStyle w:val="a3"/>
              <w:spacing w:before="0" w:beforeAutospacing="0" w:after="0" w:afterAutospacing="0"/>
              <w:jc w:val="right"/>
              <w:rPr>
                <w:sz w:val="20"/>
                <w:szCs w:val="20"/>
              </w:rPr>
            </w:pPr>
            <w:r>
              <w:rPr>
                <w:sz w:val="20"/>
                <w:szCs w:val="20"/>
              </w:rPr>
              <w:t>3,14</w:t>
            </w:r>
            <w:r>
              <w:rPr>
                <w:sz w:val="20"/>
                <w:szCs w:val="20"/>
              </w:rPr>
              <w:t>0</w:t>
            </w:r>
          </w:p>
        </w:tc>
        <w:tc>
          <w:tcPr>
            <w:tcW w:w="0" w:type="auto"/>
            <w:noWrap/>
            <w:vAlign w:val="bottom"/>
            <w:hideMark/>
          </w:tcPr>
          <w:p w14:paraId="37EE1B0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48F7A1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F4C889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620214E" w14:textId="77777777" w:rsidR="00000000" w:rsidRDefault="00832D71">
            <w:pPr>
              <w:pStyle w:val="a3"/>
              <w:spacing w:before="0" w:beforeAutospacing="0" w:after="0" w:afterAutospacing="0"/>
              <w:jc w:val="right"/>
              <w:rPr>
                <w:sz w:val="20"/>
                <w:szCs w:val="20"/>
              </w:rPr>
            </w:pPr>
            <w:r>
              <w:rPr>
                <w:sz w:val="20"/>
                <w:szCs w:val="20"/>
              </w:rPr>
              <w:t>2,44</w:t>
            </w:r>
            <w:r>
              <w:rPr>
                <w:sz w:val="20"/>
                <w:szCs w:val="20"/>
              </w:rPr>
              <w:t>1</w:t>
            </w:r>
          </w:p>
        </w:tc>
        <w:tc>
          <w:tcPr>
            <w:tcW w:w="0" w:type="auto"/>
            <w:noWrap/>
            <w:vAlign w:val="bottom"/>
            <w:hideMark/>
          </w:tcPr>
          <w:p w14:paraId="59AA8620" w14:textId="77777777" w:rsidR="00000000" w:rsidRDefault="00832D71">
            <w:pPr>
              <w:pStyle w:val="a3"/>
              <w:spacing w:before="0" w:beforeAutospacing="0" w:after="0" w:afterAutospacing="0"/>
              <w:rPr>
                <w:sz w:val="20"/>
                <w:szCs w:val="20"/>
              </w:rPr>
            </w:pPr>
            <w:r>
              <w:rPr>
                <w:sz w:val="20"/>
                <w:szCs w:val="20"/>
              </w:rPr>
              <w:t> </w:t>
            </w:r>
          </w:p>
        </w:tc>
      </w:tr>
      <w:tr w:rsidR="00000000" w14:paraId="3F6F4A62" w14:textId="77777777">
        <w:trPr>
          <w:trHeight w:val="200"/>
          <w:tblCellSpacing w:w="15" w:type="dxa"/>
        </w:trPr>
        <w:tc>
          <w:tcPr>
            <w:tcW w:w="0" w:type="auto"/>
            <w:hideMark/>
          </w:tcPr>
          <w:p w14:paraId="563E1DBC" w14:textId="77777777" w:rsidR="00000000" w:rsidRDefault="00832D71">
            <w:pPr>
              <w:pStyle w:val="a3"/>
              <w:spacing w:before="0" w:beforeAutospacing="0" w:after="0" w:afterAutospacing="0"/>
              <w:rPr>
                <w:sz w:val="20"/>
                <w:szCs w:val="20"/>
              </w:rPr>
            </w:pPr>
            <w:r>
              <w:rPr>
                <w:sz w:val="20"/>
                <w:szCs w:val="20"/>
              </w:rPr>
              <w:t>Cash and cash equivalents at end of perio</w:t>
            </w:r>
            <w:r>
              <w:rPr>
                <w:sz w:val="20"/>
                <w:szCs w:val="20"/>
              </w:rPr>
              <w:t>d</w:t>
            </w:r>
          </w:p>
        </w:tc>
        <w:tc>
          <w:tcPr>
            <w:tcW w:w="0" w:type="auto"/>
            <w:vAlign w:val="bottom"/>
            <w:hideMark/>
          </w:tcPr>
          <w:p w14:paraId="2807A4B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846DE2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1C4E6DD" w14:textId="77777777" w:rsidR="00000000" w:rsidRDefault="00832D71">
            <w:pPr>
              <w:pStyle w:val="a3"/>
              <w:spacing w:before="0" w:beforeAutospacing="0" w:after="0" w:afterAutospacing="0"/>
              <w:jc w:val="right"/>
              <w:rPr>
                <w:sz w:val="20"/>
                <w:szCs w:val="20"/>
              </w:rPr>
            </w:pPr>
            <w:r>
              <w:rPr>
                <w:sz w:val="20"/>
                <w:szCs w:val="20"/>
              </w:rPr>
              <w:t>4,10</w:t>
            </w:r>
            <w:r>
              <w:rPr>
                <w:sz w:val="20"/>
                <w:szCs w:val="20"/>
              </w:rPr>
              <w:t>0</w:t>
            </w:r>
          </w:p>
        </w:tc>
        <w:tc>
          <w:tcPr>
            <w:tcW w:w="0" w:type="auto"/>
            <w:noWrap/>
            <w:vAlign w:val="bottom"/>
            <w:hideMark/>
          </w:tcPr>
          <w:p w14:paraId="59D999A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BE9898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94E717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1639F25" w14:textId="77777777" w:rsidR="00000000" w:rsidRDefault="00832D71">
            <w:pPr>
              <w:pStyle w:val="a3"/>
              <w:spacing w:before="0" w:beforeAutospacing="0" w:after="0" w:afterAutospacing="0"/>
              <w:jc w:val="right"/>
              <w:rPr>
                <w:sz w:val="20"/>
                <w:szCs w:val="20"/>
              </w:rPr>
            </w:pPr>
            <w:r>
              <w:rPr>
                <w:sz w:val="20"/>
                <w:szCs w:val="20"/>
              </w:rPr>
              <w:t>5,80</w:t>
            </w:r>
            <w:r>
              <w:rPr>
                <w:sz w:val="20"/>
                <w:szCs w:val="20"/>
              </w:rPr>
              <w:t>8</w:t>
            </w:r>
          </w:p>
        </w:tc>
        <w:tc>
          <w:tcPr>
            <w:tcW w:w="0" w:type="auto"/>
            <w:noWrap/>
            <w:vAlign w:val="bottom"/>
            <w:hideMark/>
          </w:tcPr>
          <w:p w14:paraId="15DD422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43ED73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9D309A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0275AF7" w14:textId="77777777" w:rsidR="00000000" w:rsidRDefault="00832D71">
            <w:pPr>
              <w:pStyle w:val="a3"/>
              <w:spacing w:before="0" w:beforeAutospacing="0" w:after="0" w:afterAutospacing="0"/>
              <w:jc w:val="right"/>
              <w:rPr>
                <w:sz w:val="20"/>
                <w:szCs w:val="20"/>
              </w:rPr>
            </w:pPr>
            <w:r>
              <w:rPr>
                <w:sz w:val="20"/>
                <w:szCs w:val="20"/>
              </w:rPr>
              <w:t>3,14</w:t>
            </w:r>
            <w:r>
              <w:rPr>
                <w:sz w:val="20"/>
                <w:szCs w:val="20"/>
              </w:rPr>
              <w:t>0</w:t>
            </w:r>
          </w:p>
        </w:tc>
        <w:tc>
          <w:tcPr>
            <w:tcW w:w="0" w:type="auto"/>
            <w:noWrap/>
            <w:vAlign w:val="bottom"/>
            <w:hideMark/>
          </w:tcPr>
          <w:p w14:paraId="50D967C8" w14:textId="77777777" w:rsidR="00000000" w:rsidRDefault="00832D71">
            <w:pPr>
              <w:pStyle w:val="a3"/>
              <w:spacing w:before="0" w:beforeAutospacing="0" w:after="0" w:afterAutospacing="0"/>
              <w:rPr>
                <w:sz w:val="20"/>
                <w:szCs w:val="20"/>
              </w:rPr>
            </w:pPr>
            <w:r>
              <w:rPr>
                <w:sz w:val="20"/>
                <w:szCs w:val="20"/>
              </w:rPr>
              <w:t> </w:t>
            </w:r>
          </w:p>
        </w:tc>
      </w:tr>
      <w:tr w:rsidR="00000000" w14:paraId="50E03375" w14:textId="77777777">
        <w:trPr>
          <w:tblCellSpacing w:w="15" w:type="dxa"/>
        </w:trPr>
        <w:tc>
          <w:tcPr>
            <w:tcW w:w="0" w:type="auto"/>
            <w:hideMark/>
          </w:tcPr>
          <w:p w14:paraId="2B856C9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8A2BDC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65789F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7544FD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8881B7C"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893545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718586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C04B22D"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B342FC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C18DCED" w14:textId="77777777" w:rsidR="00000000" w:rsidRDefault="00832D71">
            <w:pPr>
              <w:pStyle w:val="a3"/>
              <w:spacing w:before="0" w:beforeAutospacing="0" w:after="0" w:afterAutospacing="0"/>
              <w:jc w:val="right"/>
              <w:rPr>
                <w:sz w:val="20"/>
                <w:szCs w:val="20"/>
              </w:rPr>
            </w:pPr>
            <w:r>
              <w:rPr>
                <w:sz w:val="20"/>
                <w:szCs w:val="20"/>
              </w:rPr>
              <w:t> </w:t>
            </w:r>
          </w:p>
        </w:tc>
      </w:tr>
      <w:tr w:rsidR="00000000" w14:paraId="0111C804" w14:textId="77777777">
        <w:trPr>
          <w:trHeight w:val="200"/>
          <w:tblCellSpacing w:w="15" w:type="dxa"/>
        </w:trPr>
        <w:tc>
          <w:tcPr>
            <w:tcW w:w="0" w:type="auto"/>
            <w:hideMark/>
          </w:tcPr>
          <w:p w14:paraId="4422F4A8" w14:textId="77777777" w:rsidR="00000000" w:rsidRDefault="00832D71">
            <w:pPr>
              <w:pStyle w:val="a3"/>
              <w:spacing w:before="0" w:beforeAutospacing="0" w:after="0" w:afterAutospacing="0"/>
              <w:rPr>
                <w:sz w:val="20"/>
                <w:szCs w:val="20"/>
              </w:rPr>
            </w:pPr>
            <w:r>
              <w:rPr>
                <w:sz w:val="20"/>
                <w:szCs w:val="20"/>
              </w:rPr>
              <w:t>Supplemental disclosure of cash flow information</w:t>
            </w:r>
            <w:r>
              <w:rPr>
                <w:sz w:val="20"/>
                <w:szCs w:val="20"/>
              </w:rPr>
              <w:t>:</w:t>
            </w:r>
          </w:p>
        </w:tc>
        <w:tc>
          <w:tcPr>
            <w:tcW w:w="0" w:type="auto"/>
            <w:vAlign w:val="bottom"/>
            <w:hideMark/>
          </w:tcPr>
          <w:p w14:paraId="0C10B31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7B4307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6B3D8F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C964056"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B2EF23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30F130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45AC93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9E6279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D8A6357" w14:textId="77777777" w:rsidR="00000000" w:rsidRDefault="00832D71">
            <w:pPr>
              <w:pStyle w:val="a3"/>
              <w:spacing w:before="0" w:beforeAutospacing="0" w:after="0" w:afterAutospacing="0"/>
              <w:jc w:val="right"/>
              <w:rPr>
                <w:sz w:val="20"/>
                <w:szCs w:val="20"/>
              </w:rPr>
            </w:pPr>
            <w:r>
              <w:rPr>
                <w:sz w:val="20"/>
                <w:szCs w:val="20"/>
              </w:rPr>
              <w:t> </w:t>
            </w:r>
          </w:p>
        </w:tc>
      </w:tr>
      <w:tr w:rsidR="00000000" w14:paraId="13BA2743" w14:textId="77777777">
        <w:trPr>
          <w:trHeight w:val="200"/>
          <w:tblCellSpacing w:w="15" w:type="dxa"/>
        </w:trPr>
        <w:tc>
          <w:tcPr>
            <w:tcW w:w="0" w:type="auto"/>
            <w:hideMark/>
          </w:tcPr>
          <w:p w14:paraId="2232F8E7" w14:textId="77777777" w:rsidR="00000000" w:rsidRDefault="00832D71">
            <w:pPr>
              <w:pStyle w:val="a3"/>
              <w:spacing w:before="0" w:beforeAutospacing="0" w:after="0" w:afterAutospacing="0"/>
              <w:rPr>
                <w:sz w:val="20"/>
                <w:szCs w:val="20"/>
              </w:rPr>
            </w:pPr>
            <w:r>
              <w:rPr>
                <w:sz w:val="20"/>
                <w:szCs w:val="20"/>
              </w:rPr>
              <w:t>      Cash paid for interes</w:t>
            </w:r>
            <w:r>
              <w:rPr>
                <w:sz w:val="20"/>
                <w:szCs w:val="20"/>
              </w:rPr>
              <w:t>t</w:t>
            </w:r>
          </w:p>
        </w:tc>
        <w:tc>
          <w:tcPr>
            <w:tcW w:w="0" w:type="auto"/>
            <w:vAlign w:val="bottom"/>
            <w:hideMark/>
          </w:tcPr>
          <w:p w14:paraId="1883794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6D0897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935CB26" w14:textId="77777777" w:rsidR="00000000" w:rsidRDefault="00832D71">
            <w:pPr>
              <w:pStyle w:val="a3"/>
              <w:spacing w:before="0" w:beforeAutospacing="0" w:after="0" w:afterAutospacing="0"/>
              <w:jc w:val="right"/>
              <w:rPr>
                <w:sz w:val="20"/>
                <w:szCs w:val="20"/>
              </w:rPr>
            </w:pPr>
            <w:r>
              <w:rPr>
                <w:sz w:val="20"/>
                <w:szCs w:val="20"/>
              </w:rPr>
              <w:t>59,19</w:t>
            </w:r>
            <w:r>
              <w:rPr>
                <w:sz w:val="20"/>
                <w:szCs w:val="20"/>
              </w:rPr>
              <w:t>8</w:t>
            </w:r>
          </w:p>
        </w:tc>
        <w:tc>
          <w:tcPr>
            <w:tcW w:w="0" w:type="auto"/>
            <w:noWrap/>
            <w:vAlign w:val="bottom"/>
            <w:hideMark/>
          </w:tcPr>
          <w:p w14:paraId="6FBF1BC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996E8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6313EE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A47F1CC" w14:textId="77777777" w:rsidR="00000000" w:rsidRDefault="00832D71">
            <w:pPr>
              <w:pStyle w:val="a3"/>
              <w:spacing w:before="0" w:beforeAutospacing="0" w:after="0" w:afterAutospacing="0"/>
              <w:jc w:val="right"/>
              <w:rPr>
                <w:sz w:val="20"/>
                <w:szCs w:val="20"/>
              </w:rPr>
            </w:pPr>
            <w:r>
              <w:rPr>
                <w:sz w:val="20"/>
                <w:szCs w:val="20"/>
              </w:rPr>
              <w:t>64,89</w:t>
            </w:r>
            <w:r>
              <w:rPr>
                <w:sz w:val="20"/>
                <w:szCs w:val="20"/>
              </w:rPr>
              <w:t>0</w:t>
            </w:r>
          </w:p>
        </w:tc>
        <w:tc>
          <w:tcPr>
            <w:tcW w:w="0" w:type="auto"/>
            <w:noWrap/>
            <w:vAlign w:val="bottom"/>
            <w:hideMark/>
          </w:tcPr>
          <w:p w14:paraId="651407E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C813A1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49E24C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1F698E7" w14:textId="77777777" w:rsidR="00000000" w:rsidRDefault="00832D71">
            <w:pPr>
              <w:pStyle w:val="a3"/>
              <w:spacing w:before="0" w:beforeAutospacing="0" w:after="0" w:afterAutospacing="0"/>
              <w:jc w:val="right"/>
              <w:rPr>
                <w:sz w:val="20"/>
                <w:szCs w:val="20"/>
              </w:rPr>
            </w:pPr>
            <w:r>
              <w:rPr>
                <w:sz w:val="20"/>
                <w:szCs w:val="20"/>
              </w:rPr>
              <w:t>72,02</w:t>
            </w:r>
            <w:r>
              <w:rPr>
                <w:sz w:val="20"/>
                <w:szCs w:val="20"/>
              </w:rPr>
              <w:t>4</w:t>
            </w:r>
          </w:p>
        </w:tc>
        <w:tc>
          <w:tcPr>
            <w:tcW w:w="0" w:type="auto"/>
            <w:noWrap/>
            <w:vAlign w:val="bottom"/>
            <w:hideMark/>
          </w:tcPr>
          <w:p w14:paraId="3C5493E2" w14:textId="77777777" w:rsidR="00000000" w:rsidRDefault="00832D71">
            <w:pPr>
              <w:pStyle w:val="a3"/>
              <w:spacing w:before="0" w:beforeAutospacing="0" w:after="0" w:afterAutospacing="0"/>
              <w:rPr>
                <w:sz w:val="20"/>
                <w:szCs w:val="20"/>
              </w:rPr>
            </w:pPr>
            <w:r>
              <w:rPr>
                <w:sz w:val="20"/>
                <w:szCs w:val="20"/>
              </w:rPr>
              <w:t> </w:t>
            </w:r>
          </w:p>
        </w:tc>
      </w:tr>
    </w:tbl>
    <w:p w14:paraId="6780E6DE" w14:textId="77777777" w:rsidR="00000000" w:rsidRDefault="00832D71">
      <w:pPr>
        <w:pStyle w:val="a3"/>
        <w:spacing w:before="0" w:beforeAutospacing="0" w:after="0" w:afterAutospacing="0"/>
        <w:rPr>
          <w:sz w:val="20"/>
          <w:szCs w:val="20"/>
        </w:rPr>
      </w:pPr>
      <w:r>
        <w:rPr>
          <w:sz w:val="20"/>
          <w:szCs w:val="20"/>
        </w:rPr>
        <w:t> </w:t>
      </w:r>
    </w:p>
    <w:p w14:paraId="5725AEF6" w14:textId="77777777" w:rsidR="00000000" w:rsidRDefault="00832D71">
      <w:pPr>
        <w:pStyle w:val="a3"/>
        <w:spacing w:before="0" w:beforeAutospacing="0" w:after="0" w:afterAutospacing="0"/>
        <w:rPr>
          <w:sz w:val="20"/>
          <w:szCs w:val="20"/>
        </w:rPr>
      </w:pPr>
      <w:r>
        <w:rPr>
          <w:sz w:val="20"/>
          <w:szCs w:val="20"/>
        </w:rPr>
        <w:t> </w:t>
      </w:r>
    </w:p>
    <w:p w14:paraId="5BB5E4D0" w14:textId="77777777" w:rsidR="00000000" w:rsidRDefault="00832D71">
      <w:pPr>
        <w:pStyle w:val="a3"/>
        <w:spacing w:before="0" w:beforeAutospacing="0" w:after="0" w:afterAutospacing="0"/>
        <w:rPr>
          <w:sz w:val="20"/>
          <w:szCs w:val="20"/>
        </w:rPr>
      </w:pPr>
      <w:r>
        <w:rPr>
          <w:sz w:val="20"/>
          <w:szCs w:val="20"/>
        </w:rPr>
        <w:t> </w:t>
      </w:r>
    </w:p>
    <w:p w14:paraId="6C17EA68" w14:textId="77777777" w:rsidR="00000000" w:rsidRDefault="00832D71">
      <w:pPr>
        <w:pStyle w:val="a3"/>
        <w:spacing w:before="0" w:beforeAutospacing="0" w:after="0" w:afterAutospacing="0"/>
        <w:rPr>
          <w:sz w:val="20"/>
          <w:szCs w:val="20"/>
        </w:rPr>
      </w:pPr>
      <w:r>
        <w:rPr>
          <w:sz w:val="20"/>
          <w:szCs w:val="20"/>
        </w:rPr>
        <w:t> </w:t>
      </w:r>
    </w:p>
    <w:p w14:paraId="6C8898BB" w14:textId="77777777" w:rsidR="00000000" w:rsidRDefault="00832D71">
      <w:pPr>
        <w:pStyle w:val="a3"/>
        <w:spacing w:before="0" w:beforeAutospacing="0" w:after="0" w:afterAutospacing="0"/>
        <w:rPr>
          <w:sz w:val="20"/>
          <w:szCs w:val="20"/>
        </w:rPr>
      </w:pPr>
      <w:r>
        <w:rPr>
          <w:sz w:val="20"/>
          <w:szCs w:val="20"/>
        </w:rPr>
        <w:t> </w:t>
      </w:r>
    </w:p>
    <w:p w14:paraId="4F582F00" w14:textId="77777777" w:rsidR="00000000" w:rsidRDefault="00832D71">
      <w:pPr>
        <w:pStyle w:val="a3"/>
        <w:spacing w:before="0" w:beforeAutospacing="0" w:after="0" w:afterAutospacing="0"/>
        <w:rPr>
          <w:sz w:val="20"/>
          <w:szCs w:val="20"/>
        </w:rPr>
      </w:pPr>
      <w:r>
        <w:rPr>
          <w:sz w:val="20"/>
          <w:szCs w:val="20"/>
        </w:rPr>
        <w:t> </w:t>
      </w:r>
    </w:p>
    <w:p w14:paraId="050FF097" w14:textId="77777777" w:rsidR="00000000" w:rsidRDefault="00832D71">
      <w:pPr>
        <w:pStyle w:val="a3"/>
        <w:spacing w:before="0" w:beforeAutospacing="0" w:after="0" w:afterAutospacing="0"/>
        <w:rPr>
          <w:sz w:val="20"/>
          <w:szCs w:val="20"/>
        </w:rPr>
      </w:pPr>
      <w:r>
        <w:rPr>
          <w:sz w:val="20"/>
          <w:szCs w:val="20"/>
        </w:rPr>
        <w:t> </w:t>
      </w:r>
    </w:p>
    <w:p w14:paraId="4F8D7F4F" w14:textId="77777777" w:rsidR="00000000" w:rsidRDefault="00832D71">
      <w:pPr>
        <w:pStyle w:val="a3"/>
        <w:spacing w:before="0" w:beforeAutospacing="0" w:after="0" w:afterAutospacing="0"/>
        <w:rPr>
          <w:sz w:val="20"/>
          <w:szCs w:val="20"/>
        </w:rPr>
      </w:pPr>
      <w:r>
        <w:rPr>
          <w:sz w:val="20"/>
          <w:szCs w:val="20"/>
        </w:rPr>
        <w:t> </w:t>
      </w:r>
    </w:p>
    <w:p w14:paraId="0259EB38" w14:textId="77777777" w:rsidR="00000000" w:rsidRDefault="00832D71">
      <w:pPr>
        <w:pStyle w:val="a3"/>
        <w:spacing w:before="0" w:beforeAutospacing="0" w:after="0" w:afterAutospacing="0"/>
        <w:rPr>
          <w:sz w:val="20"/>
          <w:szCs w:val="20"/>
        </w:rPr>
      </w:pPr>
      <w:r>
        <w:rPr>
          <w:sz w:val="20"/>
          <w:szCs w:val="20"/>
        </w:rPr>
        <w:t> </w:t>
      </w:r>
    </w:p>
    <w:p w14:paraId="4EA17DF0" w14:textId="77777777" w:rsidR="00000000" w:rsidRDefault="00832D71">
      <w:pPr>
        <w:pStyle w:val="a3"/>
        <w:spacing w:before="0" w:beforeAutospacing="0" w:after="0" w:afterAutospacing="0"/>
        <w:rPr>
          <w:sz w:val="20"/>
          <w:szCs w:val="20"/>
        </w:rPr>
      </w:pPr>
      <w:r>
        <w:rPr>
          <w:sz w:val="20"/>
          <w:szCs w:val="20"/>
        </w:rPr>
        <w:t>The accompanying notes are an integral part of these consolidated financial statements</w:t>
      </w:r>
      <w:r>
        <w:rPr>
          <w:sz w:val="20"/>
          <w:szCs w:val="20"/>
        </w:rPr>
        <w:t>.</w:t>
      </w:r>
    </w:p>
    <w:p w14:paraId="24693BAE" w14:textId="77777777" w:rsidR="00000000" w:rsidRDefault="00832D71">
      <w:pPr>
        <w:pStyle w:val="a3"/>
        <w:spacing w:before="200" w:beforeAutospacing="0" w:after="0" w:afterAutospacing="0"/>
        <w:jc w:val="center"/>
        <w:rPr>
          <w:sz w:val="20"/>
          <w:szCs w:val="20"/>
        </w:rPr>
      </w:pPr>
      <w:r>
        <w:rPr>
          <w:sz w:val="20"/>
          <w:szCs w:val="20"/>
        </w:rPr>
        <w:t>F</w:t>
      </w:r>
      <w:r>
        <w:rPr>
          <w:sz w:val="20"/>
          <w:szCs w:val="20"/>
        </w:rPr>
        <w:t>-</w:t>
      </w:r>
      <w:r>
        <w:rPr>
          <w:sz w:val="20"/>
          <w:szCs w:val="20"/>
        </w:rPr>
        <w:t>7</w:t>
      </w:r>
    </w:p>
    <w:p w14:paraId="7423445F" w14:textId="77777777" w:rsidR="00000000" w:rsidRDefault="00832D71">
      <w:pPr>
        <w:rPr>
          <w:rFonts w:eastAsia="Times New Roman"/>
        </w:rPr>
      </w:pPr>
      <w:r>
        <w:rPr>
          <w:rFonts w:eastAsia="Times New Roman"/>
        </w:rPr>
        <w:pict w14:anchorId="38B296CB">
          <v:rect id="_x0000_i1126" style="width:0;height:1.5pt" o:hralign="center" o:hrstd="t" o:hr="t" fillcolor="#a0a0a0" stroked="f"/>
        </w:pict>
      </w:r>
    </w:p>
    <w:p w14:paraId="0802D944" w14:textId="77777777" w:rsidR="00000000" w:rsidRDefault="00832D71">
      <w:pPr>
        <w:pStyle w:val="a3"/>
        <w:spacing w:before="0" w:beforeAutospacing="0" w:after="0" w:afterAutospacing="0"/>
        <w:rPr>
          <w:sz w:val="20"/>
          <w:szCs w:val="20"/>
        </w:rPr>
      </w:pPr>
      <w:r>
        <w:rPr>
          <w:sz w:val="20"/>
          <w:szCs w:val="20"/>
        </w:rPr>
        <w:t> </w:t>
      </w:r>
    </w:p>
    <w:p w14:paraId="7055B6C7" w14:textId="77777777" w:rsidR="00000000" w:rsidRDefault="00832D71">
      <w:pPr>
        <w:pStyle w:val="a3"/>
        <w:spacing w:before="0" w:beforeAutospacing="0" w:after="0" w:afterAutospacing="0"/>
        <w:jc w:val="center"/>
        <w:rPr>
          <w:sz w:val="20"/>
          <w:szCs w:val="20"/>
        </w:rPr>
      </w:pPr>
      <w:r>
        <w:rPr>
          <w:b/>
          <w:bCs/>
          <w:sz w:val="20"/>
          <w:szCs w:val="20"/>
        </w:rPr>
        <w:t>SUBURBAN PROPANE PARTNERS, L.P. AND SUBSIDIARIE</w:t>
      </w:r>
      <w:r>
        <w:rPr>
          <w:b/>
          <w:bCs/>
          <w:sz w:val="20"/>
          <w:szCs w:val="20"/>
        </w:rPr>
        <w:t>S</w:t>
      </w:r>
    </w:p>
    <w:p w14:paraId="2351EF86" w14:textId="77777777" w:rsidR="00000000" w:rsidRDefault="00832D71">
      <w:pPr>
        <w:pStyle w:val="a3"/>
        <w:spacing w:before="240" w:beforeAutospacing="0" w:after="0" w:afterAutospacing="0"/>
        <w:jc w:val="center"/>
        <w:rPr>
          <w:sz w:val="20"/>
          <w:szCs w:val="20"/>
        </w:rPr>
      </w:pPr>
      <w:r>
        <w:rPr>
          <w:b/>
          <w:bCs/>
          <w:sz w:val="20"/>
          <w:szCs w:val="20"/>
        </w:rPr>
        <w:t>CONSOLIDATED STATEMENT</w:t>
      </w:r>
      <w:r>
        <w:rPr>
          <w:b/>
          <w:bCs/>
          <w:sz w:val="20"/>
          <w:szCs w:val="20"/>
        </w:rPr>
        <w:t>S</w:t>
      </w:r>
      <w:r>
        <w:rPr>
          <w:b/>
          <w:bCs/>
          <w:sz w:val="20"/>
          <w:szCs w:val="20"/>
        </w:rPr>
        <w:t xml:space="preserve"> OF PARTNERS’ CAPITA</w:t>
      </w:r>
      <w:r>
        <w:rPr>
          <w:b/>
          <w:bCs/>
          <w:sz w:val="20"/>
          <w:szCs w:val="20"/>
        </w:rPr>
        <w:t>L</w:t>
      </w:r>
    </w:p>
    <w:p w14:paraId="195EABA4" w14:textId="77777777" w:rsidR="00000000" w:rsidRDefault="00832D71">
      <w:pPr>
        <w:pStyle w:val="a3"/>
        <w:spacing w:before="0" w:beforeAutospacing="0" w:after="0" w:afterAutospacing="0"/>
        <w:jc w:val="center"/>
        <w:rPr>
          <w:sz w:val="20"/>
          <w:szCs w:val="20"/>
        </w:rPr>
      </w:pPr>
      <w:r>
        <w:rPr>
          <w:sz w:val="20"/>
          <w:szCs w:val="20"/>
        </w:rPr>
        <w:t>(in thousands</w:t>
      </w:r>
      <w:r>
        <w:rPr>
          <w:sz w:val="20"/>
          <w:szCs w:val="20"/>
        </w:rPr>
        <w:t>)</w:t>
      </w:r>
    </w:p>
    <w:p w14:paraId="5FEB82C0" w14:textId="77777777" w:rsidR="00000000" w:rsidRDefault="00832D7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5"/>
        <w:gridCol w:w="110"/>
        <w:gridCol w:w="110"/>
        <w:gridCol w:w="631"/>
        <w:gridCol w:w="110"/>
        <w:gridCol w:w="110"/>
        <w:gridCol w:w="160"/>
        <w:gridCol w:w="777"/>
        <w:gridCol w:w="127"/>
        <w:gridCol w:w="110"/>
        <w:gridCol w:w="162"/>
        <w:gridCol w:w="1028"/>
        <w:gridCol w:w="127"/>
        <w:gridCol w:w="110"/>
        <w:gridCol w:w="160"/>
        <w:gridCol w:w="777"/>
        <w:gridCol w:w="142"/>
      </w:tblGrid>
      <w:tr w:rsidR="00000000" w14:paraId="5D5AD0B1" w14:textId="77777777">
        <w:trPr>
          <w:tblCellSpacing w:w="15" w:type="dxa"/>
        </w:trPr>
        <w:tc>
          <w:tcPr>
            <w:tcW w:w="2469" w:type="pct"/>
            <w:vAlign w:val="center"/>
            <w:hideMark/>
          </w:tcPr>
          <w:p w14:paraId="6903E739" w14:textId="77777777" w:rsidR="00000000" w:rsidRDefault="00832D71">
            <w:pPr>
              <w:rPr>
                <w:sz w:val="20"/>
                <w:szCs w:val="20"/>
              </w:rPr>
            </w:pPr>
          </w:p>
        </w:tc>
        <w:tc>
          <w:tcPr>
            <w:tcW w:w="13" w:type="pct"/>
            <w:vAlign w:val="center"/>
            <w:hideMark/>
          </w:tcPr>
          <w:p w14:paraId="55CA6FFD" w14:textId="77777777" w:rsidR="00000000" w:rsidRDefault="00832D71">
            <w:pPr>
              <w:rPr>
                <w:rFonts w:eastAsia="Times New Roman"/>
                <w:sz w:val="20"/>
                <w:szCs w:val="20"/>
              </w:rPr>
            </w:pPr>
          </w:p>
        </w:tc>
        <w:tc>
          <w:tcPr>
            <w:tcW w:w="50" w:type="pct"/>
            <w:vAlign w:val="center"/>
            <w:hideMark/>
          </w:tcPr>
          <w:p w14:paraId="52372788" w14:textId="77777777" w:rsidR="00000000" w:rsidRDefault="00832D71">
            <w:pPr>
              <w:rPr>
                <w:rFonts w:eastAsia="Times New Roman"/>
                <w:sz w:val="20"/>
                <w:szCs w:val="20"/>
              </w:rPr>
            </w:pPr>
          </w:p>
        </w:tc>
        <w:tc>
          <w:tcPr>
            <w:tcW w:w="598" w:type="pct"/>
            <w:vAlign w:val="center"/>
            <w:hideMark/>
          </w:tcPr>
          <w:p w14:paraId="28F47874" w14:textId="77777777" w:rsidR="00000000" w:rsidRDefault="00832D71">
            <w:pPr>
              <w:rPr>
                <w:rFonts w:eastAsia="Times New Roman"/>
                <w:sz w:val="20"/>
                <w:szCs w:val="20"/>
              </w:rPr>
            </w:pPr>
          </w:p>
        </w:tc>
        <w:tc>
          <w:tcPr>
            <w:tcW w:w="50" w:type="pct"/>
            <w:vAlign w:val="center"/>
            <w:hideMark/>
          </w:tcPr>
          <w:p w14:paraId="45BDD122" w14:textId="77777777" w:rsidR="00000000" w:rsidRDefault="00832D71">
            <w:pPr>
              <w:rPr>
                <w:rFonts w:eastAsia="Times New Roman"/>
                <w:sz w:val="20"/>
                <w:szCs w:val="20"/>
              </w:rPr>
            </w:pPr>
          </w:p>
        </w:tc>
        <w:tc>
          <w:tcPr>
            <w:tcW w:w="25" w:type="pct"/>
            <w:vAlign w:val="center"/>
            <w:hideMark/>
          </w:tcPr>
          <w:p w14:paraId="1E0CDAC6" w14:textId="77777777" w:rsidR="00000000" w:rsidRDefault="00832D71">
            <w:pPr>
              <w:rPr>
                <w:rFonts w:eastAsia="Times New Roman"/>
                <w:sz w:val="20"/>
                <w:szCs w:val="20"/>
              </w:rPr>
            </w:pPr>
          </w:p>
        </w:tc>
        <w:tc>
          <w:tcPr>
            <w:tcW w:w="50" w:type="pct"/>
            <w:vAlign w:val="center"/>
            <w:hideMark/>
          </w:tcPr>
          <w:p w14:paraId="6E31941A" w14:textId="77777777" w:rsidR="00000000" w:rsidRDefault="00832D71">
            <w:pPr>
              <w:rPr>
                <w:rFonts w:eastAsia="Times New Roman"/>
                <w:sz w:val="20"/>
                <w:szCs w:val="20"/>
              </w:rPr>
            </w:pPr>
          </w:p>
        </w:tc>
        <w:tc>
          <w:tcPr>
            <w:tcW w:w="368" w:type="pct"/>
            <w:vAlign w:val="center"/>
            <w:hideMark/>
          </w:tcPr>
          <w:p w14:paraId="7F0B8FCB" w14:textId="77777777" w:rsidR="00000000" w:rsidRDefault="00832D71">
            <w:pPr>
              <w:rPr>
                <w:rFonts w:eastAsia="Times New Roman"/>
                <w:sz w:val="20"/>
                <w:szCs w:val="20"/>
              </w:rPr>
            </w:pPr>
          </w:p>
        </w:tc>
        <w:tc>
          <w:tcPr>
            <w:tcW w:w="50" w:type="pct"/>
            <w:vAlign w:val="center"/>
            <w:hideMark/>
          </w:tcPr>
          <w:p w14:paraId="799863BE" w14:textId="77777777" w:rsidR="00000000" w:rsidRDefault="00832D71">
            <w:pPr>
              <w:rPr>
                <w:rFonts w:eastAsia="Times New Roman"/>
                <w:sz w:val="20"/>
                <w:szCs w:val="20"/>
              </w:rPr>
            </w:pPr>
          </w:p>
        </w:tc>
        <w:tc>
          <w:tcPr>
            <w:tcW w:w="9" w:type="pct"/>
            <w:vAlign w:val="center"/>
            <w:hideMark/>
          </w:tcPr>
          <w:p w14:paraId="663759BF" w14:textId="77777777" w:rsidR="00000000" w:rsidRDefault="00832D71">
            <w:pPr>
              <w:rPr>
                <w:rFonts w:eastAsia="Times New Roman"/>
                <w:sz w:val="20"/>
                <w:szCs w:val="20"/>
              </w:rPr>
            </w:pPr>
          </w:p>
        </w:tc>
        <w:tc>
          <w:tcPr>
            <w:tcW w:w="50" w:type="pct"/>
            <w:vAlign w:val="center"/>
            <w:hideMark/>
          </w:tcPr>
          <w:p w14:paraId="747AD99D" w14:textId="77777777" w:rsidR="00000000" w:rsidRDefault="00832D71">
            <w:pPr>
              <w:rPr>
                <w:rFonts w:eastAsia="Times New Roman"/>
                <w:sz w:val="20"/>
                <w:szCs w:val="20"/>
              </w:rPr>
            </w:pPr>
          </w:p>
        </w:tc>
        <w:tc>
          <w:tcPr>
            <w:tcW w:w="733" w:type="pct"/>
            <w:vAlign w:val="center"/>
            <w:hideMark/>
          </w:tcPr>
          <w:p w14:paraId="27FB4516" w14:textId="77777777" w:rsidR="00000000" w:rsidRDefault="00832D71">
            <w:pPr>
              <w:rPr>
                <w:rFonts w:eastAsia="Times New Roman"/>
                <w:sz w:val="20"/>
                <w:szCs w:val="20"/>
              </w:rPr>
            </w:pPr>
          </w:p>
        </w:tc>
        <w:tc>
          <w:tcPr>
            <w:tcW w:w="50" w:type="pct"/>
            <w:vAlign w:val="center"/>
            <w:hideMark/>
          </w:tcPr>
          <w:p w14:paraId="6D9629F1" w14:textId="77777777" w:rsidR="00000000" w:rsidRDefault="00832D71">
            <w:pPr>
              <w:rPr>
                <w:rFonts w:eastAsia="Times New Roman"/>
                <w:sz w:val="20"/>
                <w:szCs w:val="20"/>
              </w:rPr>
            </w:pPr>
          </w:p>
        </w:tc>
        <w:tc>
          <w:tcPr>
            <w:tcW w:w="10" w:type="pct"/>
            <w:vAlign w:val="center"/>
            <w:hideMark/>
          </w:tcPr>
          <w:p w14:paraId="34D3F14C" w14:textId="77777777" w:rsidR="00000000" w:rsidRDefault="00832D71">
            <w:pPr>
              <w:rPr>
                <w:rFonts w:eastAsia="Times New Roman"/>
                <w:sz w:val="20"/>
                <w:szCs w:val="20"/>
              </w:rPr>
            </w:pPr>
          </w:p>
        </w:tc>
        <w:tc>
          <w:tcPr>
            <w:tcW w:w="50" w:type="pct"/>
            <w:vAlign w:val="center"/>
            <w:hideMark/>
          </w:tcPr>
          <w:p w14:paraId="41DCB611" w14:textId="77777777" w:rsidR="00000000" w:rsidRDefault="00832D71">
            <w:pPr>
              <w:rPr>
                <w:rFonts w:eastAsia="Times New Roman"/>
                <w:sz w:val="20"/>
                <w:szCs w:val="20"/>
              </w:rPr>
            </w:pPr>
          </w:p>
        </w:tc>
        <w:tc>
          <w:tcPr>
            <w:tcW w:w="371" w:type="pct"/>
            <w:vAlign w:val="center"/>
            <w:hideMark/>
          </w:tcPr>
          <w:p w14:paraId="4B4192A0" w14:textId="77777777" w:rsidR="00000000" w:rsidRDefault="00832D71">
            <w:pPr>
              <w:rPr>
                <w:rFonts w:eastAsia="Times New Roman"/>
                <w:sz w:val="20"/>
                <w:szCs w:val="20"/>
              </w:rPr>
            </w:pPr>
          </w:p>
        </w:tc>
        <w:tc>
          <w:tcPr>
            <w:tcW w:w="50" w:type="pct"/>
            <w:vAlign w:val="center"/>
            <w:hideMark/>
          </w:tcPr>
          <w:p w14:paraId="2DA2E5E8" w14:textId="77777777" w:rsidR="00000000" w:rsidRDefault="00832D71">
            <w:pPr>
              <w:rPr>
                <w:rFonts w:eastAsia="Times New Roman"/>
                <w:sz w:val="20"/>
                <w:szCs w:val="20"/>
              </w:rPr>
            </w:pPr>
          </w:p>
        </w:tc>
      </w:tr>
      <w:tr w:rsidR="00000000" w14:paraId="1863C06E" w14:textId="77777777">
        <w:trPr>
          <w:trHeight w:val="160"/>
          <w:tblCellSpacing w:w="15" w:type="dxa"/>
        </w:trPr>
        <w:tc>
          <w:tcPr>
            <w:tcW w:w="0" w:type="auto"/>
            <w:vAlign w:val="bottom"/>
            <w:hideMark/>
          </w:tcPr>
          <w:p w14:paraId="00050739"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BF2BEE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A931378"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75E989E"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311BDD1"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AABBB4A"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93CE0D9"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F8AABF0"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5F2FE7E" w14:textId="77777777" w:rsidR="00000000" w:rsidRDefault="00832D71">
            <w:pPr>
              <w:pStyle w:val="a3"/>
              <w:spacing w:before="0" w:beforeAutospacing="0" w:after="0" w:afterAutospacing="0"/>
              <w:jc w:val="center"/>
              <w:rPr>
                <w:sz w:val="16"/>
                <w:szCs w:val="16"/>
              </w:rPr>
            </w:pPr>
            <w:r>
              <w:rPr>
                <w:b/>
                <w:bCs/>
                <w:sz w:val="16"/>
                <w:szCs w:val="16"/>
              </w:rPr>
              <w:t>Accumulate</w:t>
            </w:r>
            <w:r>
              <w:rPr>
                <w:b/>
                <w:bCs/>
                <w:sz w:val="16"/>
                <w:szCs w:val="16"/>
              </w:rPr>
              <w:t>d</w:t>
            </w:r>
          </w:p>
        </w:tc>
        <w:tc>
          <w:tcPr>
            <w:tcW w:w="0" w:type="auto"/>
            <w:vAlign w:val="bottom"/>
            <w:hideMark/>
          </w:tcPr>
          <w:p w14:paraId="2619D542"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8170245"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5BEDADF"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5DF73A0"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EFBAD3E" w14:textId="77777777">
        <w:trPr>
          <w:trHeight w:val="160"/>
          <w:tblCellSpacing w:w="15" w:type="dxa"/>
        </w:trPr>
        <w:tc>
          <w:tcPr>
            <w:tcW w:w="0" w:type="auto"/>
            <w:vAlign w:val="bottom"/>
            <w:hideMark/>
          </w:tcPr>
          <w:p w14:paraId="45DA06D0"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844450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E1849B3"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4D0280E"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09D5444"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EB66A80"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7209A60"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8CF21AC"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D4BCAA8" w14:textId="77777777" w:rsidR="00000000" w:rsidRDefault="00832D71">
            <w:pPr>
              <w:pStyle w:val="a3"/>
              <w:spacing w:before="0" w:beforeAutospacing="0" w:after="0" w:afterAutospacing="0"/>
              <w:jc w:val="center"/>
              <w:rPr>
                <w:sz w:val="16"/>
                <w:szCs w:val="16"/>
              </w:rPr>
            </w:pPr>
            <w:r>
              <w:rPr>
                <w:b/>
                <w:bCs/>
                <w:sz w:val="16"/>
                <w:szCs w:val="16"/>
              </w:rPr>
              <w:t>Othe</w:t>
            </w:r>
            <w:r>
              <w:rPr>
                <w:b/>
                <w:bCs/>
                <w:sz w:val="16"/>
                <w:szCs w:val="16"/>
              </w:rPr>
              <w:t>r</w:t>
            </w:r>
          </w:p>
        </w:tc>
        <w:tc>
          <w:tcPr>
            <w:tcW w:w="0" w:type="auto"/>
            <w:vAlign w:val="bottom"/>
            <w:hideMark/>
          </w:tcPr>
          <w:p w14:paraId="1FAA5C9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5AE99E4"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652B0E4" w14:textId="77777777" w:rsidR="00000000" w:rsidRDefault="00832D71">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14:paraId="5D591EB3"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6FA2B70A" w14:textId="77777777">
        <w:trPr>
          <w:trHeight w:val="160"/>
          <w:tblCellSpacing w:w="15" w:type="dxa"/>
        </w:trPr>
        <w:tc>
          <w:tcPr>
            <w:tcW w:w="0" w:type="auto"/>
            <w:vAlign w:val="bottom"/>
            <w:hideMark/>
          </w:tcPr>
          <w:p w14:paraId="5831F2C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F3C5CB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9BCD150" w14:textId="77777777" w:rsidR="00000000" w:rsidRDefault="00832D71">
            <w:pPr>
              <w:pStyle w:val="a3"/>
              <w:spacing w:before="0" w:beforeAutospacing="0" w:after="0" w:afterAutospacing="0"/>
              <w:jc w:val="center"/>
              <w:rPr>
                <w:sz w:val="16"/>
                <w:szCs w:val="16"/>
              </w:rPr>
            </w:pPr>
            <w:r>
              <w:rPr>
                <w:b/>
                <w:bCs/>
                <w:sz w:val="16"/>
                <w:szCs w:val="16"/>
              </w:rPr>
              <w:t>Number o</w:t>
            </w:r>
            <w:r>
              <w:rPr>
                <w:b/>
                <w:bCs/>
                <w:sz w:val="16"/>
                <w:szCs w:val="16"/>
              </w:rPr>
              <w:t>f</w:t>
            </w:r>
          </w:p>
        </w:tc>
        <w:tc>
          <w:tcPr>
            <w:tcW w:w="0" w:type="auto"/>
            <w:vAlign w:val="bottom"/>
            <w:hideMark/>
          </w:tcPr>
          <w:p w14:paraId="7BB6A9D3"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99DF399"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B96F672" w14:textId="77777777" w:rsidR="00000000" w:rsidRDefault="00832D71">
            <w:pPr>
              <w:pStyle w:val="a3"/>
              <w:spacing w:before="0" w:beforeAutospacing="0" w:after="0" w:afterAutospacing="0"/>
              <w:jc w:val="center"/>
              <w:rPr>
                <w:sz w:val="16"/>
                <w:szCs w:val="16"/>
              </w:rPr>
            </w:pPr>
            <w:r>
              <w:rPr>
                <w:b/>
                <w:bCs/>
                <w:sz w:val="16"/>
                <w:szCs w:val="16"/>
              </w:rPr>
              <w:t>Commo</w:t>
            </w:r>
            <w:r>
              <w:rPr>
                <w:b/>
                <w:bCs/>
                <w:sz w:val="16"/>
                <w:szCs w:val="16"/>
              </w:rPr>
              <w:t>n</w:t>
            </w:r>
          </w:p>
        </w:tc>
        <w:tc>
          <w:tcPr>
            <w:tcW w:w="0" w:type="auto"/>
            <w:vAlign w:val="bottom"/>
            <w:hideMark/>
          </w:tcPr>
          <w:p w14:paraId="5979404A"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BA43EA9"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704A2D4" w14:textId="77777777" w:rsidR="00000000" w:rsidRDefault="00832D71">
            <w:pPr>
              <w:pStyle w:val="a3"/>
              <w:spacing w:before="0" w:beforeAutospacing="0" w:after="0" w:afterAutospacing="0"/>
              <w:jc w:val="center"/>
              <w:rPr>
                <w:sz w:val="16"/>
                <w:szCs w:val="16"/>
              </w:rPr>
            </w:pPr>
            <w:r>
              <w:rPr>
                <w:b/>
                <w:bCs/>
                <w:sz w:val="16"/>
                <w:szCs w:val="16"/>
              </w:rPr>
              <w:t>Comprehensiv</w:t>
            </w:r>
            <w:r>
              <w:rPr>
                <w:b/>
                <w:bCs/>
                <w:sz w:val="16"/>
                <w:szCs w:val="16"/>
              </w:rPr>
              <w:t>e</w:t>
            </w:r>
          </w:p>
        </w:tc>
        <w:tc>
          <w:tcPr>
            <w:tcW w:w="0" w:type="auto"/>
            <w:vAlign w:val="bottom"/>
            <w:hideMark/>
          </w:tcPr>
          <w:p w14:paraId="57E752CA"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05FFCED"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D76FF5D" w14:textId="77777777" w:rsidR="00000000" w:rsidRDefault="00832D71">
            <w:pPr>
              <w:pStyle w:val="a3"/>
              <w:spacing w:before="0" w:beforeAutospacing="0" w:after="0" w:afterAutospacing="0"/>
              <w:jc w:val="center"/>
              <w:rPr>
                <w:sz w:val="16"/>
                <w:szCs w:val="16"/>
              </w:rPr>
            </w:pPr>
            <w:r>
              <w:rPr>
                <w:b/>
                <w:bCs/>
                <w:sz w:val="16"/>
                <w:szCs w:val="16"/>
              </w:rPr>
              <w:t>Partners</w:t>
            </w:r>
            <w:r>
              <w:rPr>
                <w:b/>
                <w:bCs/>
                <w:sz w:val="16"/>
                <w:szCs w:val="16"/>
              </w:rPr>
              <w:t>'</w:t>
            </w:r>
          </w:p>
        </w:tc>
        <w:tc>
          <w:tcPr>
            <w:tcW w:w="0" w:type="auto"/>
            <w:vAlign w:val="bottom"/>
            <w:hideMark/>
          </w:tcPr>
          <w:p w14:paraId="392F88DF"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8C95363" w14:textId="77777777">
        <w:trPr>
          <w:trHeight w:val="160"/>
          <w:tblCellSpacing w:w="15" w:type="dxa"/>
        </w:trPr>
        <w:tc>
          <w:tcPr>
            <w:tcW w:w="0" w:type="auto"/>
            <w:vAlign w:val="bottom"/>
            <w:hideMark/>
          </w:tcPr>
          <w:p w14:paraId="5054E74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439775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BA3472E" w14:textId="77777777" w:rsidR="00000000" w:rsidRDefault="00832D71">
            <w:pPr>
              <w:pStyle w:val="a3"/>
              <w:spacing w:before="0" w:beforeAutospacing="0" w:after="0" w:afterAutospacing="0"/>
              <w:jc w:val="center"/>
              <w:rPr>
                <w:sz w:val="16"/>
                <w:szCs w:val="16"/>
              </w:rPr>
            </w:pPr>
            <w:r>
              <w:rPr>
                <w:b/>
                <w:bCs/>
                <w:sz w:val="16"/>
                <w:szCs w:val="16"/>
              </w:rPr>
              <w:t>Commo</w:t>
            </w:r>
            <w:r>
              <w:rPr>
                <w:b/>
                <w:bCs/>
                <w:sz w:val="16"/>
                <w:szCs w:val="16"/>
              </w:rPr>
              <w:t>n</w:t>
            </w:r>
            <w:r>
              <w:rPr>
                <w:rFonts w:ascii="Calibri" w:hAnsi="Calibri" w:cs="Calibri"/>
                <w:b/>
                <w:bCs/>
                <w:sz w:val="16"/>
                <w:szCs w:val="16"/>
              </w:rPr>
              <w:t xml:space="preserve"> </w:t>
            </w:r>
            <w:r>
              <w:rPr>
                <w:b/>
                <w:bCs/>
                <w:sz w:val="16"/>
                <w:szCs w:val="16"/>
              </w:rPr>
              <w:t>Unit</w:t>
            </w:r>
            <w:r>
              <w:rPr>
                <w:b/>
                <w:bCs/>
                <w:sz w:val="16"/>
                <w:szCs w:val="16"/>
              </w:rPr>
              <w:t>s</w:t>
            </w:r>
          </w:p>
        </w:tc>
        <w:tc>
          <w:tcPr>
            <w:tcW w:w="0" w:type="auto"/>
            <w:vAlign w:val="bottom"/>
            <w:hideMark/>
          </w:tcPr>
          <w:p w14:paraId="11EE60A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0FE3E83"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4B0CD48" w14:textId="77777777" w:rsidR="00000000" w:rsidRDefault="00832D71">
            <w:pPr>
              <w:pStyle w:val="a3"/>
              <w:spacing w:before="0" w:beforeAutospacing="0" w:after="0" w:afterAutospacing="0"/>
              <w:jc w:val="center"/>
              <w:rPr>
                <w:sz w:val="16"/>
                <w:szCs w:val="16"/>
              </w:rPr>
            </w:pPr>
            <w:r>
              <w:rPr>
                <w:b/>
                <w:bCs/>
                <w:sz w:val="16"/>
                <w:szCs w:val="16"/>
              </w:rPr>
              <w:t>Unitholder</w:t>
            </w:r>
            <w:r>
              <w:rPr>
                <w:b/>
                <w:bCs/>
                <w:sz w:val="16"/>
                <w:szCs w:val="16"/>
              </w:rPr>
              <w:t>s</w:t>
            </w:r>
          </w:p>
        </w:tc>
        <w:tc>
          <w:tcPr>
            <w:tcW w:w="0" w:type="auto"/>
            <w:vAlign w:val="bottom"/>
            <w:hideMark/>
          </w:tcPr>
          <w:p w14:paraId="7DC004A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A7F09D7"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6A961E3" w14:textId="77777777" w:rsidR="00000000" w:rsidRDefault="00832D71">
            <w:pPr>
              <w:pStyle w:val="a3"/>
              <w:spacing w:before="0" w:beforeAutospacing="0" w:after="0" w:afterAutospacing="0"/>
              <w:jc w:val="center"/>
              <w:rPr>
                <w:sz w:val="16"/>
                <w:szCs w:val="16"/>
              </w:rPr>
            </w:pPr>
            <w:r>
              <w:rPr>
                <w:b/>
                <w:bCs/>
                <w:sz w:val="16"/>
                <w:szCs w:val="16"/>
              </w:rPr>
              <w:t>(Loss</w:t>
            </w:r>
            <w:r>
              <w:rPr>
                <w:b/>
                <w:bCs/>
                <w:sz w:val="16"/>
                <w:szCs w:val="16"/>
              </w:rPr>
              <w:t>)</w:t>
            </w:r>
          </w:p>
        </w:tc>
        <w:tc>
          <w:tcPr>
            <w:tcW w:w="0" w:type="auto"/>
            <w:vAlign w:val="bottom"/>
            <w:hideMark/>
          </w:tcPr>
          <w:p w14:paraId="2B1D00B5"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2B0DEEC"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664BBEF" w14:textId="77777777" w:rsidR="00000000" w:rsidRDefault="00832D71">
            <w:pPr>
              <w:pStyle w:val="a3"/>
              <w:spacing w:before="0" w:beforeAutospacing="0" w:after="0" w:afterAutospacing="0"/>
              <w:jc w:val="center"/>
              <w:rPr>
                <w:sz w:val="16"/>
                <w:szCs w:val="16"/>
              </w:rPr>
            </w:pPr>
            <w:r>
              <w:rPr>
                <w:b/>
                <w:bCs/>
                <w:sz w:val="16"/>
                <w:szCs w:val="16"/>
              </w:rPr>
              <w:t>Capita</w:t>
            </w:r>
            <w:r>
              <w:rPr>
                <w:b/>
                <w:bCs/>
                <w:sz w:val="16"/>
                <w:szCs w:val="16"/>
              </w:rPr>
              <w:t>l</w:t>
            </w:r>
          </w:p>
        </w:tc>
        <w:tc>
          <w:tcPr>
            <w:tcW w:w="0" w:type="auto"/>
            <w:vAlign w:val="bottom"/>
            <w:hideMark/>
          </w:tcPr>
          <w:p w14:paraId="018A7C25"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DD994D1" w14:textId="77777777">
        <w:trPr>
          <w:trHeight w:val="200"/>
          <w:tblCellSpacing w:w="15" w:type="dxa"/>
        </w:trPr>
        <w:tc>
          <w:tcPr>
            <w:tcW w:w="0" w:type="auto"/>
            <w:hideMark/>
          </w:tcPr>
          <w:p w14:paraId="1E90BC6F" w14:textId="77777777" w:rsidR="00000000" w:rsidRDefault="00832D71">
            <w:pPr>
              <w:pStyle w:val="a3"/>
              <w:spacing w:before="0" w:beforeAutospacing="0" w:after="0" w:afterAutospacing="0"/>
              <w:rPr>
                <w:sz w:val="20"/>
                <w:szCs w:val="20"/>
              </w:rPr>
            </w:pPr>
            <w:r>
              <w:rPr>
                <w:sz w:val="20"/>
                <w:szCs w:val="20"/>
              </w:rPr>
              <w:t>Balance at September 28, 201</w:t>
            </w:r>
            <w:r>
              <w:rPr>
                <w:sz w:val="20"/>
                <w:szCs w:val="20"/>
              </w:rPr>
              <w:t>9</w:t>
            </w:r>
          </w:p>
        </w:tc>
        <w:tc>
          <w:tcPr>
            <w:tcW w:w="0" w:type="auto"/>
            <w:vAlign w:val="bottom"/>
            <w:hideMark/>
          </w:tcPr>
          <w:p w14:paraId="3199A77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EBB7D5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9C35F86" w14:textId="77777777" w:rsidR="00000000" w:rsidRDefault="00832D71">
            <w:pPr>
              <w:pStyle w:val="a3"/>
              <w:spacing w:before="0" w:beforeAutospacing="0" w:after="0" w:afterAutospacing="0"/>
              <w:jc w:val="right"/>
              <w:rPr>
                <w:sz w:val="20"/>
                <w:szCs w:val="20"/>
              </w:rPr>
            </w:pPr>
            <w:r>
              <w:rPr>
                <w:sz w:val="20"/>
                <w:szCs w:val="20"/>
              </w:rPr>
              <w:t>61,73</w:t>
            </w:r>
            <w:r>
              <w:rPr>
                <w:sz w:val="20"/>
                <w:szCs w:val="20"/>
              </w:rPr>
              <w:t>5</w:t>
            </w:r>
          </w:p>
        </w:tc>
        <w:tc>
          <w:tcPr>
            <w:tcW w:w="0" w:type="auto"/>
            <w:noWrap/>
            <w:vAlign w:val="bottom"/>
            <w:hideMark/>
          </w:tcPr>
          <w:p w14:paraId="47345C1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EBDB1F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E61929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040C135" w14:textId="77777777" w:rsidR="00000000" w:rsidRDefault="00832D71">
            <w:pPr>
              <w:pStyle w:val="a3"/>
              <w:spacing w:before="0" w:beforeAutospacing="0" w:after="0" w:afterAutospacing="0"/>
              <w:jc w:val="right"/>
              <w:rPr>
                <w:sz w:val="20"/>
                <w:szCs w:val="20"/>
              </w:rPr>
            </w:pPr>
            <w:r>
              <w:rPr>
                <w:sz w:val="20"/>
                <w:szCs w:val="20"/>
              </w:rPr>
              <w:t>450,01</w:t>
            </w:r>
            <w:r>
              <w:rPr>
                <w:sz w:val="20"/>
                <w:szCs w:val="20"/>
              </w:rPr>
              <w:t>6</w:t>
            </w:r>
          </w:p>
        </w:tc>
        <w:tc>
          <w:tcPr>
            <w:tcW w:w="0" w:type="auto"/>
            <w:noWrap/>
            <w:vAlign w:val="bottom"/>
            <w:hideMark/>
          </w:tcPr>
          <w:p w14:paraId="5F40E3B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76DF9E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118820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4425850" w14:textId="77777777" w:rsidR="00000000" w:rsidRDefault="00832D71">
            <w:pPr>
              <w:pStyle w:val="a3"/>
              <w:spacing w:before="0" w:beforeAutospacing="0" w:after="0" w:afterAutospacing="0"/>
              <w:jc w:val="right"/>
              <w:rPr>
                <w:sz w:val="20"/>
                <w:szCs w:val="20"/>
              </w:rPr>
            </w:pPr>
            <w:r>
              <w:rPr>
                <w:sz w:val="20"/>
                <w:szCs w:val="20"/>
              </w:rPr>
              <w:t>(</w:t>
            </w:r>
            <w:r>
              <w:rPr>
                <w:sz w:val="20"/>
                <w:szCs w:val="20"/>
              </w:rPr>
              <w:t>26,18</w:t>
            </w:r>
            <w:r>
              <w:rPr>
                <w:sz w:val="20"/>
                <w:szCs w:val="20"/>
              </w:rPr>
              <w:t>6</w:t>
            </w:r>
          </w:p>
        </w:tc>
        <w:tc>
          <w:tcPr>
            <w:tcW w:w="0" w:type="auto"/>
            <w:noWrap/>
            <w:vAlign w:val="bottom"/>
            <w:hideMark/>
          </w:tcPr>
          <w:p w14:paraId="5042A6E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8094AA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781A9A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45571D6" w14:textId="77777777" w:rsidR="00000000" w:rsidRDefault="00832D71">
            <w:pPr>
              <w:pStyle w:val="a3"/>
              <w:spacing w:before="0" w:beforeAutospacing="0" w:after="0" w:afterAutospacing="0"/>
              <w:jc w:val="right"/>
              <w:rPr>
                <w:sz w:val="20"/>
                <w:szCs w:val="20"/>
              </w:rPr>
            </w:pPr>
            <w:r>
              <w:rPr>
                <w:sz w:val="20"/>
                <w:szCs w:val="20"/>
              </w:rPr>
              <w:t>423,83</w:t>
            </w:r>
            <w:r>
              <w:rPr>
                <w:sz w:val="20"/>
                <w:szCs w:val="20"/>
              </w:rPr>
              <w:t>0</w:t>
            </w:r>
          </w:p>
        </w:tc>
        <w:tc>
          <w:tcPr>
            <w:tcW w:w="0" w:type="auto"/>
            <w:noWrap/>
            <w:vAlign w:val="bottom"/>
            <w:hideMark/>
          </w:tcPr>
          <w:p w14:paraId="2CFCEB3F" w14:textId="77777777" w:rsidR="00000000" w:rsidRDefault="00832D71">
            <w:pPr>
              <w:pStyle w:val="a3"/>
              <w:spacing w:before="0" w:beforeAutospacing="0" w:after="0" w:afterAutospacing="0"/>
              <w:rPr>
                <w:sz w:val="20"/>
                <w:szCs w:val="20"/>
              </w:rPr>
            </w:pPr>
            <w:r>
              <w:rPr>
                <w:sz w:val="20"/>
                <w:szCs w:val="20"/>
              </w:rPr>
              <w:t> </w:t>
            </w:r>
          </w:p>
        </w:tc>
      </w:tr>
      <w:tr w:rsidR="00000000" w14:paraId="1BFE3968" w14:textId="77777777">
        <w:trPr>
          <w:trHeight w:val="200"/>
          <w:tblCellSpacing w:w="15" w:type="dxa"/>
        </w:trPr>
        <w:tc>
          <w:tcPr>
            <w:tcW w:w="0" w:type="auto"/>
            <w:vAlign w:val="bottom"/>
            <w:hideMark/>
          </w:tcPr>
          <w:p w14:paraId="1F2F1A54" w14:textId="77777777" w:rsidR="00000000" w:rsidRDefault="00832D71">
            <w:pPr>
              <w:pStyle w:val="a3"/>
              <w:spacing w:before="0" w:beforeAutospacing="0" w:after="0" w:afterAutospacing="0"/>
              <w:rPr>
                <w:sz w:val="20"/>
                <w:szCs w:val="20"/>
              </w:rPr>
            </w:pPr>
            <w:r>
              <w:rPr>
                <w:sz w:val="20"/>
                <w:szCs w:val="20"/>
              </w:rPr>
              <w:t>Cumulative adjustment for lease accounting standar</w:t>
            </w:r>
            <w:r>
              <w:rPr>
                <w:sz w:val="20"/>
                <w:szCs w:val="20"/>
              </w:rPr>
              <w:t>d</w:t>
            </w:r>
          </w:p>
        </w:tc>
        <w:tc>
          <w:tcPr>
            <w:tcW w:w="0" w:type="auto"/>
            <w:vAlign w:val="bottom"/>
            <w:hideMark/>
          </w:tcPr>
          <w:p w14:paraId="6D11BA7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C2C538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B8D67A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ACDD33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52DFB7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014ED82"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8</w:t>
            </w:r>
          </w:p>
        </w:tc>
        <w:tc>
          <w:tcPr>
            <w:tcW w:w="0" w:type="auto"/>
            <w:noWrap/>
            <w:vAlign w:val="bottom"/>
            <w:hideMark/>
          </w:tcPr>
          <w:p w14:paraId="3DE84FA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444485C"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A98A34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CBBA01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4F8B9D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4FF3FB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F3BD64C"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8</w:t>
            </w:r>
          </w:p>
        </w:tc>
        <w:tc>
          <w:tcPr>
            <w:tcW w:w="0" w:type="auto"/>
            <w:noWrap/>
            <w:vAlign w:val="bottom"/>
            <w:hideMark/>
          </w:tcPr>
          <w:p w14:paraId="45990FC1" w14:textId="77777777" w:rsidR="00000000" w:rsidRDefault="00832D71">
            <w:pPr>
              <w:pStyle w:val="a3"/>
              <w:spacing w:before="0" w:beforeAutospacing="0" w:after="0" w:afterAutospacing="0"/>
              <w:rPr>
                <w:sz w:val="20"/>
                <w:szCs w:val="20"/>
              </w:rPr>
            </w:pPr>
            <w:r>
              <w:rPr>
                <w:sz w:val="20"/>
                <w:szCs w:val="20"/>
              </w:rPr>
              <w:t> </w:t>
            </w:r>
          </w:p>
        </w:tc>
      </w:tr>
      <w:tr w:rsidR="00000000" w14:paraId="465469AB" w14:textId="77777777">
        <w:trPr>
          <w:trHeight w:val="200"/>
          <w:tblCellSpacing w:w="15" w:type="dxa"/>
        </w:trPr>
        <w:tc>
          <w:tcPr>
            <w:tcW w:w="0" w:type="auto"/>
            <w:hideMark/>
          </w:tcPr>
          <w:p w14:paraId="02ECF98A" w14:textId="77777777" w:rsidR="00000000" w:rsidRDefault="00832D71">
            <w:pPr>
              <w:pStyle w:val="a3"/>
              <w:spacing w:before="0" w:beforeAutospacing="0" w:after="0" w:afterAutospacing="0"/>
              <w:rPr>
                <w:sz w:val="20"/>
                <w:szCs w:val="20"/>
              </w:rPr>
            </w:pPr>
            <w:r>
              <w:rPr>
                <w:sz w:val="20"/>
                <w:szCs w:val="20"/>
              </w:rPr>
              <w:t>Net incom</w:t>
            </w:r>
            <w:r>
              <w:rPr>
                <w:sz w:val="20"/>
                <w:szCs w:val="20"/>
              </w:rPr>
              <w:t>e</w:t>
            </w:r>
          </w:p>
        </w:tc>
        <w:tc>
          <w:tcPr>
            <w:tcW w:w="0" w:type="auto"/>
            <w:vAlign w:val="bottom"/>
            <w:hideMark/>
          </w:tcPr>
          <w:p w14:paraId="582DE3CB"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388D99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4101D1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939E8A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D9E557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E406135" w14:textId="77777777" w:rsidR="00000000" w:rsidRDefault="00832D71">
            <w:pPr>
              <w:pStyle w:val="a3"/>
              <w:spacing w:before="0" w:beforeAutospacing="0" w:after="0" w:afterAutospacing="0"/>
              <w:jc w:val="right"/>
              <w:rPr>
                <w:sz w:val="20"/>
                <w:szCs w:val="20"/>
              </w:rPr>
            </w:pPr>
            <w:r>
              <w:rPr>
                <w:sz w:val="20"/>
                <w:szCs w:val="20"/>
              </w:rPr>
              <w:t>60,75</w:t>
            </w:r>
            <w:r>
              <w:rPr>
                <w:sz w:val="20"/>
                <w:szCs w:val="20"/>
              </w:rPr>
              <w:t>8</w:t>
            </w:r>
          </w:p>
        </w:tc>
        <w:tc>
          <w:tcPr>
            <w:tcW w:w="0" w:type="auto"/>
            <w:noWrap/>
            <w:vAlign w:val="bottom"/>
            <w:hideMark/>
          </w:tcPr>
          <w:p w14:paraId="66DE1EF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2560AF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9EEC85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889B21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580E99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D8D9D7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CDEE21B" w14:textId="77777777" w:rsidR="00000000" w:rsidRDefault="00832D71">
            <w:pPr>
              <w:pStyle w:val="a3"/>
              <w:spacing w:before="0" w:beforeAutospacing="0" w:after="0" w:afterAutospacing="0"/>
              <w:jc w:val="right"/>
              <w:rPr>
                <w:sz w:val="20"/>
                <w:szCs w:val="20"/>
              </w:rPr>
            </w:pPr>
            <w:r>
              <w:rPr>
                <w:sz w:val="20"/>
                <w:szCs w:val="20"/>
              </w:rPr>
              <w:t>60,75</w:t>
            </w:r>
            <w:r>
              <w:rPr>
                <w:sz w:val="20"/>
                <w:szCs w:val="20"/>
              </w:rPr>
              <w:t>8</w:t>
            </w:r>
          </w:p>
        </w:tc>
        <w:tc>
          <w:tcPr>
            <w:tcW w:w="0" w:type="auto"/>
            <w:noWrap/>
            <w:vAlign w:val="bottom"/>
            <w:hideMark/>
          </w:tcPr>
          <w:p w14:paraId="2D94F3A9" w14:textId="77777777" w:rsidR="00000000" w:rsidRDefault="00832D71">
            <w:pPr>
              <w:pStyle w:val="a3"/>
              <w:spacing w:before="0" w:beforeAutospacing="0" w:after="0" w:afterAutospacing="0"/>
              <w:rPr>
                <w:sz w:val="20"/>
                <w:szCs w:val="20"/>
              </w:rPr>
            </w:pPr>
            <w:r>
              <w:rPr>
                <w:sz w:val="20"/>
                <w:szCs w:val="20"/>
              </w:rPr>
              <w:t> </w:t>
            </w:r>
          </w:p>
        </w:tc>
      </w:tr>
      <w:tr w:rsidR="00000000" w14:paraId="176886DF" w14:textId="77777777">
        <w:trPr>
          <w:trHeight w:val="200"/>
          <w:tblCellSpacing w:w="15" w:type="dxa"/>
        </w:trPr>
        <w:tc>
          <w:tcPr>
            <w:tcW w:w="0" w:type="auto"/>
            <w:hideMark/>
          </w:tcPr>
          <w:p w14:paraId="2F66A5B4" w14:textId="77777777" w:rsidR="00000000" w:rsidRDefault="00832D71">
            <w:pPr>
              <w:pStyle w:val="a3"/>
              <w:spacing w:before="0" w:beforeAutospacing="0" w:after="0" w:afterAutospacing="0"/>
              <w:rPr>
                <w:sz w:val="20"/>
                <w:szCs w:val="20"/>
              </w:rPr>
            </w:pPr>
            <w:r>
              <w:rPr>
                <w:sz w:val="20"/>
                <w:szCs w:val="20"/>
              </w:rPr>
              <w:t>Amortization of net actuarial (losses) and prior service credits into</w:t>
            </w:r>
            <w:r>
              <w:rPr>
                <w:sz w:val="20"/>
                <w:szCs w:val="20"/>
              </w:rPr>
              <w:br/>
              <w:t>   earnings and net change in funded status of benefit plan</w:t>
            </w:r>
            <w:r>
              <w:rPr>
                <w:sz w:val="20"/>
                <w:szCs w:val="20"/>
              </w:rPr>
              <w:t>s</w:t>
            </w:r>
          </w:p>
        </w:tc>
        <w:tc>
          <w:tcPr>
            <w:tcW w:w="0" w:type="auto"/>
            <w:vAlign w:val="bottom"/>
            <w:hideMark/>
          </w:tcPr>
          <w:p w14:paraId="0FEFC96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D0E342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4F4B8A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B5CC6E4"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1470C1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DA6CFF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3848D1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F24C5A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0C06B65" w14:textId="77777777" w:rsidR="00000000" w:rsidRDefault="00832D71">
            <w:pPr>
              <w:pStyle w:val="a3"/>
              <w:spacing w:before="0" w:beforeAutospacing="0" w:after="0" w:afterAutospacing="0"/>
              <w:jc w:val="right"/>
              <w:rPr>
                <w:sz w:val="20"/>
                <w:szCs w:val="20"/>
              </w:rPr>
            </w:pPr>
            <w:r>
              <w:rPr>
                <w:sz w:val="20"/>
                <w:szCs w:val="20"/>
              </w:rPr>
              <w:t>(</w:t>
            </w:r>
            <w:r>
              <w:rPr>
                <w:sz w:val="20"/>
                <w:szCs w:val="20"/>
              </w:rPr>
              <w:t>64</w:t>
            </w:r>
            <w:r>
              <w:rPr>
                <w:sz w:val="20"/>
                <w:szCs w:val="20"/>
              </w:rPr>
              <w:t>1</w:t>
            </w:r>
          </w:p>
        </w:tc>
        <w:tc>
          <w:tcPr>
            <w:tcW w:w="0" w:type="auto"/>
            <w:noWrap/>
            <w:vAlign w:val="bottom"/>
            <w:hideMark/>
          </w:tcPr>
          <w:p w14:paraId="30E4CAB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442DF0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473AB2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47997D7" w14:textId="77777777" w:rsidR="00000000" w:rsidRDefault="00832D71">
            <w:pPr>
              <w:pStyle w:val="a3"/>
              <w:spacing w:before="0" w:beforeAutospacing="0" w:after="0" w:afterAutospacing="0"/>
              <w:jc w:val="right"/>
              <w:rPr>
                <w:sz w:val="20"/>
                <w:szCs w:val="20"/>
              </w:rPr>
            </w:pPr>
            <w:r>
              <w:rPr>
                <w:sz w:val="20"/>
                <w:szCs w:val="20"/>
              </w:rPr>
              <w:t>(</w:t>
            </w:r>
            <w:r>
              <w:rPr>
                <w:sz w:val="20"/>
                <w:szCs w:val="20"/>
              </w:rPr>
              <w:t>64</w:t>
            </w:r>
            <w:r>
              <w:rPr>
                <w:sz w:val="20"/>
                <w:szCs w:val="20"/>
              </w:rPr>
              <w:t>1</w:t>
            </w:r>
          </w:p>
        </w:tc>
        <w:tc>
          <w:tcPr>
            <w:tcW w:w="0" w:type="auto"/>
            <w:noWrap/>
            <w:vAlign w:val="bottom"/>
            <w:hideMark/>
          </w:tcPr>
          <w:p w14:paraId="47C2CE13" w14:textId="77777777" w:rsidR="00000000" w:rsidRDefault="00832D71">
            <w:pPr>
              <w:pStyle w:val="a3"/>
              <w:spacing w:before="0" w:beforeAutospacing="0" w:after="0" w:afterAutospacing="0"/>
              <w:rPr>
                <w:sz w:val="20"/>
                <w:szCs w:val="20"/>
              </w:rPr>
            </w:pPr>
            <w:r>
              <w:rPr>
                <w:sz w:val="20"/>
                <w:szCs w:val="20"/>
              </w:rPr>
              <w:t>)</w:t>
            </w:r>
          </w:p>
        </w:tc>
      </w:tr>
      <w:tr w:rsidR="00000000" w14:paraId="4AAFD66F" w14:textId="77777777">
        <w:trPr>
          <w:trHeight w:val="200"/>
          <w:tblCellSpacing w:w="15" w:type="dxa"/>
        </w:trPr>
        <w:tc>
          <w:tcPr>
            <w:tcW w:w="0" w:type="auto"/>
            <w:hideMark/>
          </w:tcPr>
          <w:p w14:paraId="200AD5EE" w14:textId="77777777" w:rsidR="00000000" w:rsidRDefault="00832D71">
            <w:pPr>
              <w:pStyle w:val="a3"/>
              <w:spacing w:before="0" w:beforeAutospacing="0" w:after="0" w:afterAutospacing="0"/>
              <w:rPr>
                <w:sz w:val="20"/>
                <w:szCs w:val="20"/>
              </w:rPr>
            </w:pPr>
            <w:r>
              <w:rPr>
                <w:sz w:val="20"/>
                <w:szCs w:val="20"/>
              </w:rPr>
              <w:t>Partnership distribution</w:t>
            </w:r>
            <w:r>
              <w:rPr>
                <w:sz w:val="20"/>
                <w:szCs w:val="20"/>
              </w:rPr>
              <w:t>s</w:t>
            </w:r>
          </w:p>
        </w:tc>
        <w:tc>
          <w:tcPr>
            <w:tcW w:w="0" w:type="auto"/>
            <w:vAlign w:val="bottom"/>
            <w:hideMark/>
          </w:tcPr>
          <w:p w14:paraId="5ABDD8C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032823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CBB5B9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AB58C3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1D1FF0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03103CA" w14:textId="77777777" w:rsidR="00000000" w:rsidRDefault="00832D71">
            <w:pPr>
              <w:pStyle w:val="a3"/>
              <w:spacing w:before="0" w:beforeAutospacing="0" w:after="0" w:afterAutospacing="0"/>
              <w:jc w:val="right"/>
              <w:rPr>
                <w:sz w:val="20"/>
                <w:szCs w:val="20"/>
              </w:rPr>
            </w:pPr>
            <w:r>
              <w:rPr>
                <w:sz w:val="20"/>
                <w:szCs w:val="20"/>
              </w:rPr>
              <w:t>(</w:t>
            </w:r>
            <w:r>
              <w:rPr>
                <w:sz w:val="20"/>
                <w:szCs w:val="20"/>
              </w:rPr>
              <w:t>130,20</w:t>
            </w:r>
            <w:r>
              <w:rPr>
                <w:sz w:val="20"/>
                <w:szCs w:val="20"/>
              </w:rPr>
              <w:t>6</w:t>
            </w:r>
          </w:p>
        </w:tc>
        <w:tc>
          <w:tcPr>
            <w:tcW w:w="0" w:type="auto"/>
            <w:noWrap/>
            <w:vAlign w:val="bottom"/>
            <w:hideMark/>
          </w:tcPr>
          <w:p w14:paraId="736B0CD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CD941C4"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5BCEF5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C37CA0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34E696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22F503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C26259A" w14:textId="77777777" w:rsidR="00000000" w:rsidRDefault="00832D71">
            <w:pPr>
              <w:pStyle w:val="a3"/>
              <w:spacing w:before="0" w:beforeAutospacing="0" w:after="0" w:afterAutospacing="0"/>
              <w:jc w:val="right"/>
              <w:rPr>
                <w:sz w:val="20"/>
                <w:szCs w:val="20"/>
              </w:rPr>
            </w:pPr>
            <w:r>
              <w:rPr>
                <w:sz w:val="20"/>
                <w:szCs w:val="20"/>
              </w:rPr>
              <w:t>(</w:t>
            </w:r>
            <w:r>
              <w:rPr>
                <w:sz w:val="20"/>
                <w:szCs w:val="20"/>
              </w:rPr>
              <w:t>130,20</w:t>
            </w:r>
            <w:r>
              <w:rPr>
                <w:sz w:val="20"/>
                <w:szCs w:val="20"/>
              </w:rPr>
              <w:t>6</w:t>
            </w:r>
          </w:p>
        </w:tc>
        <w:tc>
          <w:tcPr>
            <w:tcW w:w="0" w:type="auto"/>
            <w:noWrap/>
            <w:vAlign w:val="bottom"/>
            <w:hideMark/>
          </w:tcPr>
          <w:p w14:paraId="1E7D5EF0" w14:textId="77777777" w:rsidR="00000000" w:rsidRDefault="00832D71">
            <w:pPr>
              <w:pStyle w:val="a3"/>
              <w:spacing w:before="0" w:beforeAutospacing="0" w:after="0" w:afterAutospacing="0"/>
              <w:rPr>
                <w:sz w:val="20"/>
                <w:szCs w:val="20"/>
              </w:rPr>
            </w:pPr>
            <w:r>
              <w:rPr>
                <w:sz w:val="20"/>
                <w:szCs w:val="20"/>
              </w:rPr>
              <w:t>)</w:t>
            </w:r>
          </w:p>
        </w:tc>
      </w:tr>
      <w:tr w:rsidR="00000000" w14:paraId="22BC6B62" w14:textId="77777777">
        <w:trPr>
          <w:trHeight w:val="200"/>
          <w:tblCellSpacing w:w="15" w:type="dxa"/>
        </w:trPr>
        <w:tc>
          <w:tcPr>
            <w:tcW w:w="0" w:type="auto"/>
            <w:hideMark/>
          </w:tcPr>
          <w:p w14:paraId="56C23178" w14:textId="77777777" w:rsidR="00000000" w:rsidRDefault="00832D71">
            <w:pPr>
              <w:pStyle w:val="a3"/>
              <w:spacing w:before="0" w:beforeAutospacing="0" w:after="0" w:afterAutospacing="0"/>
              <w:rPr>
                <w:sz w:val="20"/>
                <w:szCs w:val="20"/>
              </w:rPr>
            </w:pPr>
            <w:r>
              <w:rPr>
                <w:sz w:val="20"/>
                <w:szCs w:val="20"/>
              </w:rPr>
              <w:t>Common Units issued under Restricted Unit Plan</w:t>
            </w:r>
            <w:r>
              <w:rPr>
                <w:sz w:val="20"/>
                <w:szCs w:val="20"/>
              </w:rPr>
              <w:t>s</w:t>
            </w:r>
          </w:p>
        </w:tc>
        <w:tc>
          <w:tcPr>
            <w:tcW w:w="0" w:type="auto"/>
            <w:vAlign w:val="bottom"/>
            <w:hideMark/>
          </w:tcPr>
          <w:p w14:paraId="72F0BDE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8B33E8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F72D6FA" w14:textId="77777777" w:rsidR="00000000" w:rsidRDefault="00832D71">
            <w:pPr>
              <w:pStyle w:val="a3"/>
              <w:spacing w:before="0" w:beforeAutospacing="0" w:after="0" w:afterAutospacing="0"/>
              <w:jc w:val="right"/>
              <w:rPr>
                <w:sz w:val="20"/>
                <w:szCs w:val="20"/>
              </w:rPr>
            </w:pPr>
            <w:r>
              <w:rPr>
                <w:sz w:val="20"/>
                <w:szCs w:val="20"/>
              </w:rPr>
              <w:t>41</w:t>
            </w:r>
            <w:r>
              <w:rPr>
                <w:sz w:val="20"/>
                <w:szCs w:val="20"/>
              </w:rPr>
              <w:t>1</w:t>
            </w:r>
          </w:p>
        </w:tc>
        <w:tc>
          <w:tcPr>
            <w:tcW w:w="0" w:type="auto"/>
            <w:noWrap/>
            <w:vAlign w:val="bottom"/>
            <w:hideMark/>
          </w:tcPr>
          <w:p w14:paraId="63ADFA0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45EBEA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1C414A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A586524" w14:textId="77777777" w:rsidR="00000000" w:rsidRDefault="00832D71">
            <w:pPr>
              <w:pStyle w:val="a3"/>
              <w:spacing w:before="0" w:beforeAutospacing="0" w:after="0" w:afterAutospacing="0"/>
              <w:jc w:val="right"/>
              <w:rPr>
                <w:sz w:val="20"/>
                <w:szCs w:val="20"/>
              </w:rPr>
            </w:pPr>
            <w:r>
              <w:rPr>
                <w:sz w:val="20"/>
                <w:szCs w:val="20"/>
              </w:rPr>
              <w:t>(</w:t>
            </w:r>
            <w:r>
              <w:rPr>
                <w:sz w:val="20"/>
                <w:szCs w:val="20"/>
              </w:rPr>
              <w:t>1,76</w:t>
            </w:r>
            <w:r>
              <w:rPr>
                <w:sz w:val="20"/>
                <w:szCs w:val="20"/>
              </w:rPr>
              <w:t>1</w:t>
            </w:r>
          </w:p>
        </w:tc>
        <w:tc>
          <w:tcPr>
            <w:tcW w:w="0" w:type="auto"/>
            <w:noWrap/>
            <w:vAlign w:val="bottom"/>
            <w:hideMark/>
          </w:tcPr>
          <w:p w14:paraId="6C2CEB3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247C43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63E5C5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169A64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D1D243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2027EA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4C1FF4C" w14:textId="77777777" w:rsidR="00000000" w:rsidRDefault="00832D71">
            <w:pPr>
              <w:pStyle w:val="a3"/>
              <w:spacing w:before="0" w:beforeAutospacing="0" w:after="0" w:afterAutospacing="0"/>
              <w:jc w:val="right"/>
              <w:rPr>
                <w:sz w:val="20"/>
                <w:szCs w:val="20"/>
              </w:rPr>
            </w:pPr>
            <w:r>
              <w:rPr>
                <w:sz w:val="20"/>
                <w:szCs w:val="20"/>
              </w:rPr>
              <w:t>(</w:t>
            </w:r>
            <w:r>
              <w:rPr>
                <w:sz w:val="20"/>
                <w:szCs w:val="20"/>
              </w:rPr>
              <w:t>1,76</w:t>
            </w:r>
            <w:r>
              <w:rPr>
                <w:sz w:val="20"/>
                <w:szCs w:val="20"/>
              </w:rPr>
              <w:t>1</w:t>
            </w:r>
          </w:p>
        </w:tc>
        <w:tc>
          <w:tcPr>
            <w:tcW w:w="0" w:type="auto"/>
            <w:noWrap/>
            <w:vAlign w:val="bottom"/>
            <w:hideMark/>
          </w:tcPr>
          <w:p w14:paraId="016BE1A7" w14:textId="77777777" w:rsidR="00000000" w:rsidRDefault="00832D71">
            <w:pPr>
              <w:pStyle w:val="a3"/>
              <w:spacing w:before="0" w:beforeAutospacing="0" w:after="0" w:afterAutospacing="0"/>
              <w:rPr>
                <w:sz w:val="20"/>
                <w:szCs w:val="20"/>
              </w:rPr>
            </w:pPr>
            <w:r>
              <w:rPr>
                <w:sz w:val="20"/>
                <w:szCs w:val="20"/>
              </w:rPr>
              <w:t>)</w:t>
            </w:r>
          </w:p>
        </w:tc>
      </w:tr>
      <w:tr w:rsidR="00000000" w14:paraId="6495966A" w14:textId="77777777">
        <w:trPr>
          <w:trHeight w:val="200"/>
          <w:tblCellSpacing w:w="15" w:type="dxa"/>
        </w:trPr>
        <w:tc>
          <w:tcPr>
            <w:tcW w:w="0" w:type="auto"/>
            <w:hideMark/>
          </w:tcPr>
          <w:p w14:paraId="31704C6B" w14:textId="77777777" w:rsidR="00000000" w:rsidRDefault="00832D71">
            <w:pPr>
              <w:pStyle w:val="a3"/>
              <w:spacing w:before="0" w:beforeAutospacing="0" w:after="0" w:afterAutospacing="0"/>
              <w:rPr>
                <w:sz w:val="20"/>
                <w:szCs w:val="20"/>
              </w:rPr>
            </w:pPr>
            <w:r>
              <w:rPr>
                <w:sz w:val="20"/>
                <w:szCs w:val="20"/>
              </w:rPr>
              <w:t>Recognition in earnings of net actuarial loss for pension settlemen</w:t>
            </w:r>
            <w:r>
              <w:rPr>
                <w:sz w:val="20"/>
                <w:szCs w:val="20"/>
              </w:rPr>
              <w:t>t</w:t>
            </w:r>
          </w:p>
        </w:tc>
        <w:tc>
          <w:tcPr>
            <w:tcW w:w="0" w:type="auto"/>
            <w:vAlign w:val="bottom"/>
            <w:hideMark/>
          </w:tcPr>
          <w:p w14:paraId="3C30849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C5B83A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DD5E03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107ED0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81C3AB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E0497C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13E9FD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A86644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0C0DC19" w14:textId="77777777" w:rsidR="00000000" w:rsidRDefault="00832D71">
            <w:pPr>
              <w:pStyle w:val="a3"/>
              <w:spacing w:before="0" w:beforeAutospacing="0" w:after="0" w:afterAutospacing="0"/>
              <w:jc w:val="right"/>
              <w:rPr>
                <w:sz w:val="20"/>
                <w:szCs w:val="20"/>
              </w:rPr>
            </w:pPr>
            <w:r>
              <w:rPr>
                <w:sz w:val="20"/>
                <w:szCs w:val="20"/>
              </w:rPr>
              <w:t>1,05</w:t>
            </w:r>
            <w:r>
              <w:rPr>
                <w:sz w:val="20"/>
                <w:szCs w:val="20"/>
              </w:rPr>
              <w:t>1</w:t>
            </w:r>
          </w:p>
        </w:tc>
        <w:tc>
          <w:tcPr>
            <w:tcW w:w="0" w:type="auto"/>
            <w:noWrap/>
            <w:vAlign w:val="bottom"/>
            <w:hideMark/>
          </w:tcPr>
          <w:p w14:paraId="01C84D5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C4B435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E6446C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7FCE2F1" w14:textId="77777777" w:rsidR="00000000" w:rsidRDefault="00832D71">
            <w:pPr>
              <w:pStyle w:val="a3"/>
              <w:spacing w:before="0" w:beforeAutospacing="0" w:after="0" w:afterAutospacing="0"/>
              <w:jc w:val="right"/>
              <w:rPr>
                <w:sz w:val="20"/>
                <w:szCs w:val="20"/>
              </w:rPr>
            </w:pPr>
            <w:r>
              <w:rPr>
                <w:sz w:val="20"/>
                <w:szCs w:val="20"/>
              </w:rPr>
              <w:t>1,05</w:t>
            </w:r>
            <w:r>
              <w:rPr>
                <w:sz w:val="20"/>
                <w:szCs w:val="20"/>
              </w:rPr>
              <w:t>1</w:t>
            </w:r>
          </w:p>
        </w:tc>
        <w:tc>
          <w:tcPr>
            <w:tcW w:w="0" w:type="auto"/>
            <w:noWrap/>
            <w:vAlign w:val="bottom"/>
            <w:hideMark/>
          </w:tcPr>
          <w:p w14:paraId="5B9B0181" w14:textId="77777777" w:rsidR="00000000" w:rsidRDefault="00832D71">
            <w:pPr>
              <w:pStyle w:val="a3"/>
              <w:spacing w:before="0" w:beforeAutospacing="0" w:after="0" w:afterAutospacing="0"/>
              <w:rPr>
                <w:sz w:val="20"/>
                <w:szCs w:val="20"/>
              </w:rPr>
            </w:pPr>
            <w:r>
              <w:rPr>
                <w:sz w:val="20"/>
                <w:szCs w:val="20"/>
              </w:rPr>
              <w:t> </w:t>
            </w:r>
          </w:p>
        </w:tc>
      </w:tr>
      <w:tr w:rsidR="00000000" w14:paraId="2C4B9E5F" w14:textId="77777777">
        <w:trPr>
          <w:trHeight w:val="200"/>
          <w:tblCellSpacing w:w="15" w:type="dxa"/>
        </w:trPr>
        <w:tc>
          <w:tcPr>
            <w:tcW w:w="0" w:type="auto"/>
            <w:hideMark/>
          </w:tcPr>
          <w:p w14:paraId="59B85791" w14:textId="77777777" w:rsidR="00000000" w:rsidRDefault="00832D71">
            <w:pPr>
              <w:pStyle w:val="a3"/>
              <w:spacing w:before="0" w:beforeAutospacing="0" w:after="0" w:afterAutospacing="0"/>
              <w:rPr>
                <w:sz w:val="20"/>
                <w:szCs w:val="20"/>
              </w:rPr>
            </w:pPr>
            <w:r>
              <w:rPr>
                <w:sz w:val="20"/>
                <w:szCs w:val="20"/>
              </w:rPr>
              <w:t>Compensation costs recognized under Restricted Unit Plan</w:t>
            </w:r>
            <w:r>
              <w:rPr>
                <w:sz w:val="20"/>
                <w:szCs w:val="20"/>
              </w:rPr>
              <w:t>s</w:t>
            </w:r>
          </w:p>
        </w:tc>
        <w:tc>
          <w:tcPr>
            <w:tcW w:w="0" w:type="auto"/>
            <w:vAlign w:val="bottom"/>
            <w:hideMark/>
          </w:tcPr>
          <w:p w14:paraId="1004479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F3A631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DF9166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7DDDA4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50B42E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C12C72D" w14:textId="77777777" w:rsidR="00000000" w:rsidRDefault="00832D71">
            <w:pPr>
              <w:pStyle w:val="a3"/>
              <w:spacing w:before="0" w:beforeAutospacing="0" w:after="0" w:afterAutospacing="0"/>
              <w:jc w:val="right"/>
              <w:rPr>
                <w:sz w:val="20"/>
                <w:szCs w:val="20"/>
              </w:rPr>
            </w:pPr>
            <w:r>
              <w:rPr>
                <w:sz w:val="20"/>
                <w:szCs w:val="20"/>
              </w:rPr>
              <w:t>9,24</w:t>
            </w:r>
            <w:r>
              <w:rPr>
                <w:sz w:val="20"/>
                <w:szCs w:val="20"/>
              </w:rPr>
              <w:t>2</w:t>
            </w:r>
          </w:p>
        </w:tc>
        <w:tc>
          <w:tcPr>
            <w:tcW w:w="0" w:type="auto"/>
            <w:noWrap/>
            <w:vAlign w:val="bottom"/>
            <w:hideMark/>
          </w:tcPr>
          <w:p w14:paraId="576FDDB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999A38C"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6242B8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4A74CB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137AEF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03F744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D5C6CA8" w14:textId="77777777" w:rsidR="00000000" w:rsidRDefault="00832D71">
            <w:pPr>
              <w:pStyle w:val="a3"/>
              <w:spacing w:before="0" w:beforeAutospacing="0" w:after="0" w:afterAutospacing="0"/>
              <w:jc w:val="right"/>
              <w:rPr>
                <w:sz w:val="20"/>
                <w:szCs w:val="20"/>
              </w:rPr>
            </w:pPr>
            <w:r>
              <w:rPr>
                <w:sz w:val="20"/>
                <w:szCs w:val="20"/>
              </w:rPr>
              <w:t>9,24</w:t>
            </w:r>
            <w:r>
              <w:rPr>
                <w:sz w:val="20"/>
                <w:szCs w:val="20"/>
              </w:rPr>
              <w:t>2</w:t>
            </w:r>
          </w:p>
        </w:tc>
        <w:tc>
          <w:tcPr>
            <w:tcW w:w="0" w:type="auto"/>
            <w:noWrap/>
            <w:vAlign w:val="bottom"/>
            <w:hideMark/>
          </w:tcPr>
          <w:p w14:paraId="6DC150F4" w14:textId="77777777" w:rsidR="00000000" w:rsidRDefault="00832D71">
            <w:pPr>
              <w:pStyle w:val="a3"/>
              <w:spacing w:before="0" w:beforeAutospacing="0" w:after="0" w:afterAutospacing="0"/>
              <w:rPr>
                <w:sz w:val="20"/>
                <w:szCs w:val="20"/>
              </w:rPr>
            </w:pPr>
            <w:r>
              <w:rPr>
                <w:sz w:val="20"/>
                <w:szCs w:val="20"/>
              </w:rPr>
              <w:t> </w:t>
            </w:r>
          </w:p>
        </w:tc>
      </w:tr>
      <w:tr w:rsidR="00000000" w14:paraId="52482866" w14:textId="77777777">
        <w:trPr>
          <w:trHeight w:val="200"/>
          <w:tblCellSpacing w:w="15" w:type="dxa"/>
        </w:trPr>
        <w:tc>
          <w:tcPr>
            <w:tcW w:w="0" w:type="auto"/>
            <w:hideMark/>
          </w:tcPr>
          <w:p w14:paraId="6C07748E" w14:textId="77777777" w:rsidR="00000000" w:rsidRDefault="00832D71">
            <w:pPr>
              <w:pStyle w:val="a3"/>
              <w:spacing w:before="0" w:beforeAutospacing="0" w:after="0" w:afterAutospacing="0"/>
              <w:rPr>
                <w:sz w:val="20"/>
                <w:szCs w:val="20"/>
              </w:rPr>
            </w:pPr>
            <w:r>
              <w:rPr>
                <w:sz w:val="20"/>
                <w:szCs w:val="20"/>
              </w:rPr>
              <w:t>Balance at September 26, 202</w:t>
            </w:r>
            <w:r>
              <w:rPr>
                <w:sz w:val="20"/>
                <w:szCs w:val="20"/>
              </w:rPr>
              <w:t>0</w:t>
            </w:r>
          </w:p>
        </w:tc>
        <w:tc>
          <w:tcPr>
            <w:tcW w:w="0" w:type="auto"/>
            <w:vAlign w:val="bottom"/>
            <w:hideMark/>
          </w:tcPr>
          <w:p w14:paraId="750F67D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B0E9D0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AAC2417" w14:textId="77777777" w:rsidR="00000000" w:rsidRDefault="00832D71">
            <w:pPr>
              <w:pStyle w:val="a3"/>
              <w:spacing w:before="0" w:beforeAutospacing="0" w:after="0" w:afterAutospacing="0"/>
              <w:jc w:val="right"/>
              <w:rPr>
                <w:sz w:val="20"/>
                <w:szCs w:val="20"/>
              </w:rPr>
            </w:pPr>
            <w:r>
              <w:rPr>
                <w:sz w:val="20"/>
                <w:szCs w:val="20"/>
              </w:rPr>
              <w:t>62,14</w:t>
            </w:r>
            <w:r>
              <w:rPr>
                <w:sz w:val="20"/>
                <w:szCs w:val="20"/>
              </w:rPr>
              <w:t>6</w:t>
            </w:r>
          </w:p>
        </w:tc>
        <w:tc>
          <w:tcPr>
            <w:tcW w:w="0" w:type="auto"/>
            <w:noWrap/>
            <w:vAlign w:val="bottom"/>
            <w:hideMark/>
          </w:tcPr>
          <w:p w14:paraId="28F13F8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A1EE83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EBFA5C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948942C" w14:textId="77777777" w:rsidR="00000000" w:rsidRDefault="00832D71">
            <w:pPr>
              <w:pStyle w:val="a3"/>
              <w:spacing w:before="0" w:beforeAutospacing="0" w:after="0" w:afterAutospacing="0"/>
              <w:jc w:val="right"/>
              <w:rPr>
                <w:sz w:val="20"/>
                <w:szCs w:val="20"/>
              </w:rPr>
            </w:pPr>
            <w:r>
              <w:rPr>
                <w:sz w:val="20"/>
                <w:szCs w:val="20"/>
              </w:rPr>
              <w:t>388,15</w:t>
            </w:r>
            <w:r>
              <w:rPr>
                <w:sz w:val="20"/>
                <w:szCs w:val="20"/>
              </w:rPr>
              <w:t>7</w:t>
            </w:r>
          </w:p>
        </w:tc>
        <w:tc>
          <w:tcPr>
            <w:tcW w:w="0" w:type="auto"/>
            <w:noWrap/>
            <w:vAlign w:val="bottom"/>
            <w:hideMark/>
          </w:tcPr>
          <w:p w14:paraId="306928A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D48C81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C30C9C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6B9FD08" w14:textId="77777777" w:rsidR="00000000" w:rsidRDefault="00832D71">
            <w:pPr>
              <w:pStyle w:val="a3"/>
              <w:spacing w:before="0" w:beforeAutospacing="0" w:after="0" w:afterAutospacing="0"/>
              <w:jc w:val="right"/>
              <w:rPr>
                <w:sz w:val="20"/>
                <w:szCs w:val="20"/>
              </w:rPr>
            </w:pPr>
            <w:r>
              <w:rPr>
                <w:sz w:val="20"/>
                <w:szCs w:val="20"/>
              </w:rPr>
              <w:t>(</w:t>
            </w:r>
            <w:r>
              <w:rPr>
                <w:sz w:val="20"/>
                <w:szCs w:val="20"/>
              </w:rPr>
              <w:t>25,77</w:t>
            </w:r>
            <w:r>
              <w:rPr>
                <w:sz w:val="20"/>
                <w:szCs w:val="20"/>
              </w:rPr>
              <w:t>6</w:t>
            </w:r>
          </w:p>
        </w:tc>
        <w:tc>
          <w:tcPr>
            <w:tcW w:w="0" w:type="auto"/>
            <w:noWrap/>
            <w:vAlign w:val="bottom"/>
            <w:hideMark/>
          </w:tcPr>
          <w:p w14:paraId="582D140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465BDE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E327E8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22D3C23" w14:textId="77777777" w:rsidR="00000000" w:rsidRDefault="00832D71">
            <w:pPr>
              <w:pStyle w:val="a3"/>
              <w:spacing w:before="0" w:beforeAutospacing="0" w:after="0" w:afterAutospacing="0"/>
              <w:jc w:val="right"/>
              <w:rPr>
                <w:sz w:val="20"/>
                <w:szCs w:val="20"/>
              </w:rPr>
            </w:pPr>
            <w:r>
              <w:rPr>
                <w:sz w:val="20"/>
                <w:szCs w:val="20"/>
              </w:rPr>
              <w:t>362,38</w:t>
            </w:r>
            <w:r>
              <w:rPr>
                <w:sz w:val="20"/>
                <w:szCs w:val="20"/>
              </w:rPr>
              <w:t>1</w:t>
            </w:r>
          </w:p>
        </w:tc>
        <w:tc>
          <w:tcPr>
            <w:tcW w:w="0" w:type="auto"/>
            <w:noWrap/>
            <w:vAlign w:val="bottom"/>
            <w:hideMark/>
          </w:tcPr>
          <w:p w14:paraId="2C68F9E9" w14:textId="77777777" w:rsidR="00000000" w:rsidRDefault="00832D71">
            <w:pPr>
              <w:pStyle w:val="a3"/>
              <w:spacing w:before="0" w:beforeAutospacing="0" w:after="0" w:afterAutospacing="0"/>
              <w:rPr>
                <w:sz w:val="20"/>
                <w:szCs w:val="20"/>
              </w:rPr>
            </w:pPr>
            <w:r>
              <w:rPr>
                <w:sz w:val="20"/>
                <w:szCs w:val="20"/>
              </w:rPr>
              <w:t> </w:t>
            </w:r>
          </w:p>
        </w:tc>
      </w:tr>
      <w:tr w:rsidR="00000000" w14:paraId="003DA046" w14:textId="77777777">
        <w:trPr>
          <w:tblCellSpacing w:w="15" w:type="dxa"/>
        </w:trPr>
        <w:tc>
          <w:tcPr>
            <w:tcW w:w="0" w:type="auto"/>
            <w:hideMark/>
          </w:tcPr>
          <w:p w14:paraId="3542B93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BC7EC2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FBBCCC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2AC50C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7A4A62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286422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3A43D1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EC959E0"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D89C62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982E59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DAE802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A77887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6BB7329" w14:textId="77777777" w:rsidR="00000000" w:rsidRDefault="00832D71">
            <w:pPr>
              <w:pStyle w:val="a3"/>
              <w:spacing w:before="0" w:beforeAutospacing="0" w:after="0" w:afterAutospacing="0"/>
              <w:jc w:val="right"/>
              <w:rPr>
                <w:sz w:val="20"/>
                <w:szCs w:val="20"/>
              </w:rPr>
            </w:pPr>
            <w:r>
              <w:rPr>
                <w:sz w:val="20"/>
                <w:szCs w:val="20"/>
              </w:rPr>
              <w:t> </w:t>
            </w:r>
          </w:p>
        </w:tc>
      </w:tr>
      <w:tr w:rsidR="00000000" w14:paraId="7C95C5CD" w14:textId="77777777">
        <w:trPr>
          <w:trHeight w:val="200"/>
          <w:tblCellSpacing w:w="15" w:type="dxa"/>
        </w:trPr>
        <w:tc>
          <w:tcPr>
            <w:tcW w:w="0" w:type="auto"/>
            <w:vAlign w:val="bottom"/>
            <w:hideMark/>
          </w:tcPr>
          <w:p w14:paraId="573A4FA1" w14:textId="77777777" w:rsidR="00000000" w:rsidRDefault="00832D71">
            <w:pPr>
              <w:pStyle w:val="a3"/>
              <w:spacing w:before="0" w:beforeAutospacing="0" w:after="0" w:afterAutospacing="0"/>
              <w:rPr>
                <w:sz w:val="20"/>
                <w:szCs w:val="20"/>
              </w:rPr>
            </w:pPr>
            <w:r>
              <w:rPr>
                <w:sz w:val="20"/>
                <w:szCs w:val="20"/>
              </w:rPr>
              <w:t>Net incom</w:t>
            </w:r>
            <w:r>
              <w:rPr>
                <w:sz w:val="20"/>
                <w:szCs w:val="20"/>
              </w:rPr>
              <w:t>e</w:t>
            </w:r>
          </w:p>
        </w:tc>
        <w:tc>
          <w:tcPr>
            <w:tcW w:w="0" w:type="auto"/>
            <w:vAlign w:val="bottom"/>
            <w:hideMark/>
          </w:tcPr>
          <w:p w14:paraId="730DC826"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2C4614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2D4A3D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29ED1E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1E7D14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5537CE3" w14:textId="77777777" w:rsidR="00000000" w:rsidRDefault="00832D71">
            <w:pPr>
              <w:pStyle w:val="a3"/>
              <w:spacing w:before="0" w:beforeAutospacing="0" w:after="0" w:afterAutospacing="0"/>
              <w:jc w:val="right"/>
              <w:rPr>
                <w:sz w:val="20"/>
                <w:szCs w:val="20"/>
              </w:rPr>
            </w:pPr>
            <w:r>
              <w:rPr>
                <w:sz w:val="20"/>
                <w:szCs w:val="20"/>
              </w:rPr>
              <w:t>122,79</w:t>
            </w:r>
            <w:r>
              <w:rPr>
                <w:sz w:val="20"/>
                <w:szCs w:val="20"/>
              </w:rPr>
              <w:t>3</w:t>
            </w:r>
          </w:p>
        </w:tc>
        <w:tc>
          <w:tcPr>
            <w:tcW w:w="0" w:type="auto"/>
            <w:noWrap/>
            <w:vAlign w:val="bottom"/>
            <w:hideMark/>
          </w:tcPr>
          <w:p w14:paraId="5EEAD4E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1F57FFF"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23C45A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D4A21B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FFC4CE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D1F61E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7FBE469" w14:textId="77777777" w:rsidR="00000000" w:rsidRDefault="00832D71">
            <w:pPr>
              <w:pStyle w:val="a3"/>
              <w:spacing w:before="0" w:beforeAutospacing="0" w:after="0" w:afterAutospacing="0"/>
              <w:jc w:val="right"/>
              <w:rPr>
                <w:sz w:val="20"/>
                <w:szCs w:val="20"/>
              </w:rPr>
            </w:pPr>
            <w:r>
              <w:rPr>
                <w:sz w:val="20"/>
                <w:szCs w:val="20"/>
              </w:rPr>
              <w:t>122,79</w:t>
            </w:r>
            <w:r>
              <w:rPr>
                <w:sz w:val="20"/>
                <w:szCs w:val="20"/>
              </w:rPr>
              <w:t>3</w:t>
            </w:r>
          </w:p>
        </w:tc>
        <w:tc>
          <w:tcPr>
            <w:tcW w:w="0" w:type="auto"/>
            <w:noWrap/>
            <w:vAlign w:val="bottom"/>
            <w:hideMark/>
          </w:tcPr>
          <w:p w14:paraId="157675E6" w14:textId="77777777" w:rsidR="00000000" w:rsidRDefault="00832D71">
            <w:pPr>
              <w:pStyle w:val="a3"/>
              <w:spacing w:before="0" w:beforeAutospacing="0" w:after="0" w:afterAutospacing="0"/>
              <w:rPr>
                <w:sz w:val="20"/>
                <w:szCs w:val="20"/>
              </w:rPr>
            </w:pPr>
            <w:r>
              <w:rPr>
                <w:sz w:val="20"/>
                <w:szCs w:val="20"/>
              </w:rPr>
              <w:t> </w:t>
            </w:r>
          </w:p>
        </w:tc>
      </w:tr>
      <w:tr w:rsidR="00000000" w14:paraId="4075A47B" w14:textId="77777777">
        <w:trPr>
          <w:trHeight w:val="200"/>
          <w:tblCellSpacing w:w="15" w:type="dxa"/>
        </w:trPr>
        <w:tc>
          <w:tcPr>
            <w:tcW w:w="0" w:type="auto"/>
            <w:hideMark/>
          </w:tcPr>
          <w:p w14:paraId="18D25418" w14:textId="77777777" w:rsidR="00000000" w:rsidRDefault="00832D71">
            <w:pPr>
              <w:pStyle w:val="a3"/>
              <w:spacing w:before="0" w:beforeAutospacing="0" w:after="0" w:afterAutospacing="0"/>
              <w:rPr>
                <w:sz w:val="20"/>
                <w:szCs w:val="20"/>
              </w:rPr>
            </w:pPr>
            <w:r>
              <w:rPr>
                <w:sz w:val="20"/>
                <w:szCs w:val="20"/>
              </w:rPr>
              <w:t>Amortization of net actuarial gains and prior service credits into</w:t>
            </w:r>
            <w:r>
              <w:rPr>
                <w:sz w:val="20"/>
                <w:szCs w:val="20"/>
              </w:rPr>
              <w:br/>
              <w:t>   earnings and net change in funded status of benefit plan</w:t>
            </w:r>
            <w:r>
              <w:rPr>
                <w:sz w:val="20"/>
                <w:szCs w:val="20"/>
              </w:rPr>
              <w:t>s</w:t>
            </w:r>
          </w:p>
        </w:tc>
        <w:tc>
          <w:tcPr>
            <w:tcW w:w="0" w:type="auto"/>
            <w:vAlign w:val="bottom"/>
            <w:hideMark/>
          </w:tcPr>
          <w:p w14:paraId="57F0D1B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CA95D4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86B33F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3B4A0A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38338E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C2AA56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B19003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92A320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2CEB7B2" w14:textId="77777777" w:rsidR="00000000" w:rsidRDefault="00832D71">
            <w:pPr>
              <w:pStyle w:val="a3"/>
              <w:spacing w:before="0" w:beforeAutospacing="0" w:after="0" w:afterAutospacing="0"/>
              <w:jc w:val="right"/>
              <w:rPr>
                <w:sz w:val="20"/>
                <w:szCs w:val="20"/>
              </w:rPr>
            </w:pPr>
            <w:r>
              <w:rPr>
                <w:sz w:val="20"/>
                <w:szCs w:val="20"/>
              </w:rPr>
              <w:t>7,23</w:t>
            </w:r>
            <w:r>
              <w:rPr>
                <w:sz w:val="20"/>
                <w:szCs w:val="20"/>
              </w:rPr>
              <w:t>4</w:t>
            </w:r>
          </w:p>
        </w:tc>
        <w:tc>
          <w:tcPr>
            <w:tcW w:w="0" w:type="auto"/>
            <w:noWrap/>
            <w:vAlign w:val="bottom"/>
            <w:hideMark/>
          </w:tcPr>
          <w:p w14:paraId="0F6A107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30769A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E6DB24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15DB3BF" w14:textId="77777777" w:rsidR="00000000" w:rsidRDefault="00832D71">
            <w:pPr>
              <w:pStyle w:val="a3"/>
              <w:spacing w:before="0" w:beforeAutospacing="0" w:after="0" w:afterAutospacing="0"/>
              <w:jc w:val="right"/>
              <w:rPr>
                <w:sz w:val="20"/>
                <w:szCs w:val="20"/>
              </w:rPr>
            </w:pPr>
            <w:r>
              <w:rPr>
                <w:sz w:val="20"/>
                <w:szCs w:val="20"/>
              </w:rPr>
              <w:t>7,23</w:t>
            </w:r>
            <w:r>
              <w:rPr>
                <w:sz w:val="20"/>
                <w:szCs w:val="20"/>
              </w:rPr>
              <w:t>4</w:t>
            </w:r>
          </w:p>
        </w:tc>
        <w:tc>
          <w:tcPr>
            <w:tcW w:w="0" w:type="auto"/>
            <w:noWrap/>
            <w:vAlign w:val="bottom"/>
            <w:hideMark/>
          </w:tcPr>
          <w:p w14:paraId="12C591C3" w14:textId="77777777" w:rsidR="00000000" w:rsidRDefault="00832D71">
            <w:pPr>
              <w:pStyle w:val="a3"/>
              <w:spacing w:before="0" w:beforeAutospacing="0" w:after="0" w:afterAutospacing="0"/>
              <w:rPr>
                <w:sz w:val="20"/>
                <w:szCs w:val="20"/>
              </w:rPr>
            </w:pPr>
            <w:r>
              <w:rPr>
                <w:sz w:val="20"/>
                <w:szCs w:val="20"/>
              </w:rPr>
              <w:t> </w:t>
            </w:r>
          </w:p>
        </w:tc>
      </w:tr>
      <w:tr w:rsidR="00000000" w14:paraId="5616B734" w14:textId="77777777">
        <w:trPr>
          <w:trHeight w:val="200"/>
          <w:tblCellSpacing w:w="15" w:type="dxa"/>
        </w:trPr>
        <w:tc>
          <w:tcPr>
            <w:tcW w:w="0" w:type="auto"/>
            <w:hideMark/>
          </w:tcPr>
          <w:p w14:paraId="7C33D6D3" w14:textId="77777777" w:rsidR="00000000" w:rsidRDefault="00832D71">
            <w:pPr>
              <w:pStyle w:val="a3"/>
              <w:spacing w:before="0" w:beforeAutospacing="0" w:after="0" w:afterAutospacing="0"/>
              <w:rPr>
                <w:sz w:val="20"/>
                <w:szCs w:val="20"/>
              </w:rPr>
            </w:pPr>
            <w:r>
              <w:rPr>
                <w:sz w:val="20"/>
                <w:szCs w:val="20"/>
              </w:rPr>
              <w:t>Partnership distribution</w:t>
            </w:r>
            <w:r>
              <w:rPr>
                <w:sz w:val="20"/>
                <w:szCs w:val="20"/>
              </w:rPr>
              <w:t>s</w:t>
            </w:r>
          </w:p>
        </w:tc>
        <w:tc>
          <w:tcPr>
            <w:tcW w:w="0" w:type="auto"/>
            <w:vAlign w:val="bottom"/>
            <w:hideMark/>
          </w:tcPr>
          <w:p w14:paraId="6BC55C2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D6E308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7492A9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CF505B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EE8B27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0136488" w14:textId="77777777" w:rsidR="00000000" w:rsidRDefault="00832D71">
            <w:pPr>
              <w:pStyle w:val="a3"/>
              <w:spacing w:before="0" w:beforeAutospacing="0" w:after="0" w:afterAutospacing="0"/>
              <w:jc w:val="right"/>
              <w:rPr>
                <w:sz w:val="20"/>
                <w:szCs w:val="20"/>
              </w:rPr>
            </w:pPr>
            <w:r>
              <w:rPr>
                <w:sz w:val="20"/>
                <w:szCs w:val="20"/>
              </w:rPr>
              <w:t>(</w:t>
            </w:r>
            <w:r>
              <w:rPr>
                <w:sz w:val="20"/>
                <w:szCs w:val="20"/>
              </w:rPr>
              <w:t>76,48</w:t>
            </w:r>
            <w:r>
              <w:rPr>
                <w:sz w:val="20"/>
                <w:szCs w:val="20"/>
              </w:rPr>
              <w:t>4</w:t>
            </w:r>
          </w:p>
        </w:tc>
        <w:tc>
          <w:tcPr>
            <w:tcW w:w="0" w:type="auto"/>
            <w:noWrap/>
            <w:vAlign w:val="bottom"/>
            <w:hideMark/>
          </w:tcPr>
          <w:p w14:paraId="1304A56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44B0F4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E95F7F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A56FBD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6089F5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3D632A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B61631E" w14:textId="77777777" w:rsidR="00000000" w:rsidRDefault="00832D71">
            <w:pPr>
              <w:pStyle w:val="a3"/>
              <w:spacing w:before="0" w:beforeAutospacing="0" w:after="0" w:afterAutospacing="0"/>
              <w:jc w:val="right"/>
              <w:rPr>
                <w:sz w:val="20"/>
                <w:szCs w:val="20"/>
              </w:rPr>
            </w:pPr>
            <w:r>
              <w:rPr>
                <w:sz w:val="20"/>
                <w:szCs w:val="20"/>
              </w:rPr>
              <w:t>(</w:t>
            </w:r>
            <w:r>
              <w:rPr>
                <w:sz w:val="20"/>
                <w:szCs w:val="20"/>
              </w:rPr>
              <w:t>76,48</w:t>
            </w:r>
            <w:r>
              <w:rPr>
                <w:sz w:val="20"/>
                <w:szCs w:val="20"/>
              </w:rPr>
              <w:t>4</w:t>
            </w:r>
          </w:p>
        </w:tc>
        <w:tc>
          <w:tcPr>
            <w:tcW w:w="0" w:type="auto"/>
            <w:noWrap/>
            <w:vAlign w:val="bottom"/>
            <w:hideMark/>
          </w:tcPr>
          <w:p w14:paraId="52244FD0" w14:textId="77777777" w:rsidR="00000000" w:rsidRDefault="00832D71">
            <w:pPr>
              <w:pStyle w:val="a3"/>
              <w:spacing w:before="0" w:beforeAutospacing="0" w:after="0" w:afterAutospacing="0"/>
              <w:rPr>
                <w:sz w:val="20"/>
                <w:szCs w:val="20"/>
              </w:rPr>
            </w:pPr>
            <w:r>
              <w:rPr>
                <w:sz w:val="20"/>
                <w:szCs w:val="20"/>
              </w:rPr>
              <w:t>)</w:t>
            </w:r>
          </w:p>
        </w:tc>
      </w:tr>
      <w:tr w:rsidR="00000000" w14:paraId="33293140" w14:textId="77777777">
        <w:trPr>
          <w:trHeight w:val="200"/>
          <w:tblCellSpacing w:w="15" w:type="dxa"/>
        </w:trPr>
        <w:tc>
          <w:tcPr>
            <w:tcW w:w="0" w:type="auto"/>
            <w:hideMark/>
          </w:tcPr>
          <w:p w14:paraId="407F1B29" w14:textId="77777777" w:rsidR="00000000" w:rsidRDefault="00832D71">
            <w:pPr>
              <w:pStyle w:val="a3"/>
              <w:spacing w:before="0" w:beforeAutospacing="0" w:after="0" w:afterAutospacing="0"/>
              <w:rPr>
                <w:sz w:val="20"/>
                <w:szCs w:val="20"/>
              </w:rPr>
            </w:pPr>
            <w:r>
              <w:rPr>
                <w:sz w:val="20"/>
                <w:szCs w:val="20"/>
              </w:rPr>
              <w:t>Common Units issued under Restricted Unit Plan</w:t>
            </w:r>
            <w:r>
              <w:rPr>
                <w:sz w:val="20"/>
                <w:szCs w:val="20"/>
              </w:rPr>
              <w:t>s</w:t>
            </w:r>
          </w:p>
        </w:tc>
        <w:tc>
          <w:tcPr>
            <w:tcW w:w="0" w:type="auto"/>
            <w:vAlign w:val="bottom"/>
            <w:hideMark/>
          </w:tcPr>
          <w:p w14:paraId="6741C27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0CF4A5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B64D5E3" w14:textId="77777777" w:rsidR="00000000" w:rsidRDefault="00832D71">
            <w:pPr>
              <w:pStyle w:val="a3"/>
              <w:spacing w:before="0" w:beforeAutospacing="0" w:after="0" w:afterAutospacing="0"/>
              <w:jc w:val="right"/>
              <w:rPr>
                <w:sz w:val="20"/>
                <w:szCs w:val="20"/>
              </w:rPr>
            </w:pPr>
            <w:r>
              <w:rPr>
                <w:sz w:val="20"/>
                <w:szCs w:val="20"/>
              </w:rPr>
              <w:t>39</w:t>
            </w:r>
            <w:r>
              <w:rPr>
                <w:sz w:val="20"/>
                <w:szCs w:val="20"/>
              </w:rPr>
              <w:t>2</w:t>
            </w:r>
          </w:p>
        </w:tc>
        <w:tc>
          <w:tcPr>
            <w:tcW w:w="0" w:type="auto"/>
            <w:noWrap/>
            <w:vAlign w:val="bottom"/>
            <w:hideMark/>
          </w:tcPr>
          <w:p w14:paraId="366E21D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A15B7D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E3A481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CEC4870" w14:textId="77777777" w:rsidR="00000000" w:rsidRDefault="00832D71">
            <w:pPr>
              <w:pStyle w:val="a3"/>
              <w:spacing w:before="0" w:beforeAutospacing="0" w:after="0" w:afterAutospacing="0"/>
              <w:jc w:val="right"/>
              <w:rPr>
                <w:sz w:val="20"/>
                <w:szCs w:val="20"/>
              </w:rPr>
            </w:pPr>
            <w:r>
              <w:rPr>
                <w:sz w:val="20"/>
                <w:szCs w:val="20"/>
              </w:rPr>
              <w:t>(</w:t>
            </w:r>
            <w:r>
              <w:rPr>
                <w:sz w:val="20"/>
                <w:szCs w:val="20"/>
              </w:rPr>
              <w:t>1,53</w:t>
            </w:r>
            <w:r>
              <w:rPr>
                <w:sz w:val="20"/>
                <w:szCs w:val="20"/>
              </w:rPr>
              <w:t>4</w:t>
            </w:r>
          </w:p>
        </w:tc>
        <w:tc>
          <w:tcPr>
            <w:tcW w:w="0" w:type="auto"/>
            <w:noWrap/>
            <w:vAlign w:val="bottom"/>
            <w:hideMark/>
          </w:tcPr>
          <w:p w14:paraId="1FA3BF7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7F401DA"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6F8040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3C04A3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2EC754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45CE9D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B836891" w14:textId="77777777" w:rsidR="00000000" w:rsidRDefault="00832D71">
            <w:pPr>
              <w:pStyle w:val="a3"/>
              <w:spacing w:before="0" w:beforeAutospacing="0" w:after="0" w:afterAutospacing="0"/>
              <w:jc w:val="right"/>
              <w:rPr>
                <w:sz w:val="20"/>
                <w:szCs w:val="20"/>
              </w:rPr>
            </w:pPr>
            <w:r>
              <w:rPr>
                <w:sz w:val="20"/>
                <w:szCs w:val="20"/>
              </w:rPr>
              <w:t>(</w:t>
            </w:r>
            <w:r>
              <w:rPr>
                <w:sz w:val="20"/>
                <w:szCs w:val="20"/>
              </w:rPr>
              <w:t>1,53</w:t>
            </w:r>
            <w:r>
              <w:rPr>
                <w:sz w:val="20"/>
                <w:szCs w:val="20"/>
              </w:rPr>
              <w:t>4</w:t>
            </w:r>
          </w:p>
        </w:tc>
        <w:tc>
          <w:tcPr>
            <w:tcW w:w="0" w:type="auto"/>
            <w:noWrap/>
            <w:vAlign w:val="bottom"/>
            <w:hideMark/>
          </w:tcPr>
          <w:p w14:paraId="7B4F7ADC" w14:textId="77777777" w:rsidR="00000000" w:rsidRDefault="00832D71">
            <w:pPr>
              <w:pStyle w:val="a3"/>
              <w:spacing w:before="0" w:beforeAutospacing="0" w:after="0" w:afterAutospacing="0"/>
              <w:rPr>
                <w:sz w:val="20"/>
                <w:szCs w:val="20"/>
              </w:rPr>
            </w:pPr>
            <w:r>
              <w:rPr>
                <w:sz w:val="20"/>
                <w:szCs w:val="20"/>
              </w:rPr>
              <w:t>)</w:t>
            </w:r>
          </w:p>
        </w:tc>
      </w:tr>
      <w:tr w:rsidR="00000000" w14:paraId="5ABE138E" w14:textId="77777777">
        <w:trPr>
          <w:trHeight w:val="200"/>
          <w:tblCellSpacing w:w="15" w:type="dxa"/>
        </w:trPr>
        <w:tc>
          <w:tcPr>
            <w:tcW w:w="0" w:type="auto"/>
            <w:hideMark/>
          </w:tcPr>
          <w:p w14:paraId="4E532A4F" w14:textId="77777777" w:rsidR="00000000" w:rsidRDefault="00832D71">
            <w:pPr>
              <w:pStyle w:val="a3"/>
              <w:spacing w:before="0" w:beforeAutospacing="0" w:after="0" w:afterAutospacing="0"/>
              <w:rPr>
                <w:sz w:val="20"/>
                <w:szCs w:val="20"/>
              </w:rPr>
            </w:pPr>
            <w:r>
              <w:rPr>
                <w:sz w:val="20"/>
                <w:szCs w:val="20"/>
              </w:rPr>
              <w:t>Recognition in earnings of net actuarial loss for pension settlemen</w:t>
            </w:r>
            <w:r>
              <w:rPr>
                <w:sz w:val="20"/>
                <w:szCs w:val="20"/>
              </w:rPr>
              <w:t>t</w:t>
            </w:r>
          </w:p>
        </w:tc>
        <w:tc>
          <w:tcPr>
            <w:tcW w:w="0" w:type="auto"/>
            <w:vAlign w:val="bottom"/>
            <w:hideMark/>
          </w:tcPr>
          <w:p w14:paraId="678AEC2B"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79314C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091B48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0C72710"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33254F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CF39FB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9430A9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BFA3E4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A337066" w14:textId="77777777" w:rsidR="00000000" w:rsidRDefault="00832D71">
            <w:pPr>
              <w:pStyle w:val="a3"/>
              <w:spacing w:before="0" w:beforeAutospacing="0" w:after="0" w:afterAutospacing="0"/>
              <w:jc w:val="right"/>
              <w:rPr>
                <w:sz w:val="20"/>
                <w:szCs w:val="20"/>
              </w:rPr>
            </w:pPr>
            <w:r>
              <w:rPr>
                <w:sz w:val="20"/>
                <w:szCs w:val="20"/>
              </w:rPr>
              <w:t>95</w:t>
            </w:r>
            <w:r>
              <w:rPr>
                <w:sz w:val="20"/>
                <w:szCs w:val="20"/>
              </w:rPr>
              <w:t>8</w:t>
            </w:r>
          </w:p>
        </w:tc>
        <w:tc>
          <w:tcPr>
            <w:tcW w:w="0" w:type="auto"/>
            <w:noWrap/>
            <w:vAlign w:val="bottom"/>
            <w:hideMark/>
          </w:tcPr>
          <w:p w14:paraId="626BCDA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CBD35E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1CA3F5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6EC53E2" w14:textId="77777777" w:rsidR="00000000" w:rsidRDefault="00832D71">
            <w:pPr>
              <w:pStyle w:val="a3"/>
              <w:spacing w:before="0" w:beforeAutospacing="0" w:after="0" w:afterAutospacing="0"/>
              <w:jc w:val="right"/>
              <w:rPr>
                <w:sz w:val="20"/>
                <w:szCs w:val="20"/>
              </w:rPr>
            </w:pPr>
            <w:r>
              <w:rPr>
                <w:sz w:val="20"/>
                <w:szCs w:val="20"/>
              </w:rPr>
              <w:t>95</w:t>
            </w:r>
            <w:r>
              <w:rPr>
                <w:sz w:val="20"/>
                <w:szCs w:val="20"/>
              </w:rPr>
              <w:t>8</w:t>
            </w:r>
          </w:p>
        </w:tc>
        <w:tc>
          <w:tcPr>
            <w:tcW w:w="0" w:type="auto"/>
            <w:noWrap/>
            <w:vAlign w:val="bottom"/>
            <w:hideMark/>
          </w:tcPr>
          <w:p w14:paraId="535ABAD3" w14:textId="77777777" w:rsidR="00000000" w:rsidRDefault="00832D71">
            <w:pPr>
              <w:pStyle w:val="a3"/>
              <w:spacing w:before="0" w:beforeAutospacing="0" w:after="0" w:afterAutospacing="0"/>
              <w:rPr>
                <w:sz w:val="20"/>
                <w:szCs w:val="20"/>
              </w:rPr>
            </w:pPr>
            <w:r>
              <w:rPr>
                <w:sz w:val="20"/>
                <w:szCs w:val="20"/>
              </w:rPr>
              <w:t> </w:t>
            </w:r>
          </w:p>
        </w:tc>
      </w:tr>
      <w:tr w:rsidR="00000000" w14:paraId="79D18064" w14:textId="77777777">
        <w:trPr>
          <w:trHeight w:val="200"/>
          <w:tblCellSpacing w:w="15" w:type="dxa"/>
        </w:trPr>
        <w:tc>
          <w:tcPr>
            <w:tcW w:w="0" w:type="auto"/>
            <w:hideMark/>
          </w:tcPr>
          <w:p w14:paraId="490125CC" w14:textId="77777777" w:rsidR="00000000" w:rsidRDefault="00832D71">
            <w:pPr>
              <w:pStyle w:val="a3"/>
              <w:spacing w:before="0" w:beforeAutospacing="0" w:after="0" w:afterAutospacing="0"/>
              <w:rPr>
                <w:sz w:val="20"/>
                <w:szCs w:val="20"/>
              </w:rPr>
            </w:pPr>
            <w:r>
              <w:rPr>
                <w:sz w:val="20"/>
                <w:szCs w:val="20"/>
              </w:rPr>
              <w:t>Compensation costs recognized under Restricted Unit Plan</w:t>
            </w:r>
            <w:r>
              <w:rPr>
                <w:sz w:val="20"/>
                <w:szCs w:val="20"/>
              </w:rPr>
              <w:t>s</w:t>
            </w:r>
          </w:p>
        </w:tc>
        <w:tc>
          <w:tcPr>
            <w:tcW w:w="0" w:type="auto"/>
            <w:vAlign w:val="bottom"/>
            <w:hideMark/>
          </w:tcPr>
          <w:p w14:paraId="4C13DC9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101C89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C795D3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6F9D35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92D413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82CA770" w14:textId="77777777" w:rsidR="00000000" w:rsidRDefault="00832D71">
            <w:pPr>
              <w:pStyle w:val="a3"/>
              <w:spacing w:before="0" w:beforeAutospacing="0" w:after="0" w:afterAutospacing="0"/>
              <w:jc w:val="right"/>
              <w:rPr>
                <w:sz w:val="20"/>
                <w:szCs w:val="20"/>
              </w:rPr>
            </w:pPr>
            <w:r>
              <w:rPr>
                <w:sz w:val="20"/>
                <w:szCs w:val="20"/>
              </w:rPr>
              <w:t>10,07</w:t>
            </w:r>
            <w:r>
              <w:rPr>
                <w:sz w:val="20"/>
                <w:szCs w:val="20"/>
              </w:rPr>
              <w:t>3</w:t>
            </w:r>
          </w:p>
        </w:tc>
        <w:tc>
          <w:tcPr>
            <w:tcW w:w="0" w:type="auto"/>
            <w:noWrap/>
            <w:vAlign w:val="bottom"/>
            <w:hideMark/>
          </w:tcPr>
          <w:p w14:paraId="44204B4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5F4C99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AE6AE2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EB3D12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36BADD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4F907C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0ACC5CD" w14:textId="77777777" w:rsidR="00000000" w:rsidRDefault="00832D71">
            <w:pPr>
              <w:pStyle w:val="a3"/>
              <w:spacing w:before="0" w:beforeAutospacing="0" w:after="0" w:afterAutospacing="0"/>
              <w:jc w:val="right"/>
              <w:rPr>
                <w:sz w:val="20"/>
                <w:szCs w:val="20"/>
              </w:rPr>
            </w:pPr>
            <w:r>
              <w:rPr>
                <w:sz w:val="20"/>
                <w:szCs w:val="20"/>
              </w:rPr>
              <w:t>10,07</w:t>
            </w:r>
            <w:r>
              <w:rPr>
                <w:sz w:val="20"/>
                <w:szCs w:val="20"/>
              </w:rPr>
              <w:t>3</w:t>
            </w:r>
          </w:p>
        </w:tc>
        <w:tc>
          <w:tcPr>
            <w:tcW w:w="0" w:type="auto"/>
            <w:noWrap/>
            <w:vAlign w:val="bottom"/>
            <w:hideMark/>
          </w:tcPr>
          <w:p w14:paraId="7F2CEEC9" w14:textId="77777777" w:rsidR="00000000" w:rsidRDefault="00832D71">
            <w:pPr>
              <w:pStyle w:val="a3"/>
              <w:spacing w:before="0" w:beforeAutospacing="0" w:after="0" w:afterAutospacing="0"/>
              <w:rPr>
                <w:sz w:val="20"/>
                <w:szCs w:val="20"/>
              </w:rPr>
            </w:pPr>
            <w:r>
              <w:rPr>
                <w:sz w:val="20"/>
                <w:szCs w:val="20"/>
              </w:rPr>
              <w:t> </w:t>
            </w:r>
          </w:p>
        </w:tc>
      </w:tr>
      <w:tr w:rsidR="00000000" w14:paraId="41996687" w14:textId="77777777">
        <w:trPr>
          <w:trHeight w:val="200"/>
          <w:tblCellSpacing w:w="15" w:type="dxa"/>
        </w:trPr>
        <w:tc>
          <w:tcPr>
            <w:tcW w:w="0" w:type="auto"/>
            <w:hideMark/>
          </w:tcPr>
          <w:p w14:paraId="75376CF1" w14:textId="77777777" w:rsidR="00000000" w:rsidRDefault="00832D71">
            <w:pPr>
              <w:pStyle w:val="a3"/>
              <w:spacing w:before="0" w:beforeAutospacing="0" w:after="0" w:afterAutospacing="0"/>
              <w:rPr>
                <w:sz w:val="20"/>
                <w:szCs w:val="20"/>
              </w:rPr>
            </w:pPr>
            <w:r>
              <w:rPr>
                <w:sz w:val="20"/>
                <w:szCs w:val="20"/>
              </w:rPr>
              <w:t>Balance at September 25, 202</w:t>
            </w:r>
            <w:r>
              <w:rPr>
                <w:sz w:val="20"/>
                <w:szCs w:val="20"/>
              </w:rPr>
              <w:t>1</w:t>
            </w:r>
          </w:p>
        </w:tc>
        <w:tc>
          <w:tcPr>
            <w:tcW w:w="0" w:type="auto"/>
            <w:vAlign w:val="bottom"/>
            <w:hideMark/>
          </w:tcPr>
          <w:p w14:paraId="6A5B5A0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D9A925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DED09D8" w14:textId="77777777" w:rsidR="00000000" w:rsidRDefault="00832D71">
            <w:pPr>
              <w:pStyle w:val="a3"/>
              <w:spacing w:before="0" w:beforeAutospacing="0" w:after="0" w:afterAutospacing="0"/>
              <w:jc w:val="right"/>
              <w:rPr>
                <w:sz w:val="20"/>
                <w:szCs w:val="20"/>
              </w:rPr>
            </w:pPr>
            <w:r>
              <w:rPr>
                <w:sz w:val="20"/>
                <w:szCs w:val="20"/>
              </w:rPr>
              <w:t>62,53</w:t>
            </w:r>
            <w:r>
              <w:rPr>
                <w:sz w:val="20"/>
                <w:szCs w:val="20"/>
              </w:rPr>
              <w:t>8</w:t>
            </w:r>
          </w:p>
        </w:tc>
        <w:tc>
          <w:tcPr>
            <w:tcW w:w="0" w:type="auto"/>
            <w:noWrap/>
            <w:vAlign w:val="bottom"/>
            <w:hideMark/>
          </w:tcPr>
          <w:p w14:paraId="499F6F1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474E9F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43FABA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9A9DF9E" w14:textId="77777777" w:rsidR="00000000" w:rsidRDefault="00832D71">
            <w:pPr>
              <w:pStyle w:val="a3"/>
              <w:spacing w:before="0" w:beforeAutospacing="0" w:after="0" w:afterAutospacing="0"/>
              <w:jc w:val="right"/>
              <w:rPr>
                <w:sz w:val="20"/>
                <w:szCs w:val="20"/>
              </w:rPr>
            </w:pPr>
            <w:r>
              <w:rPr>
                <w:sz w:val="20"/>
                <w:szCs w:val="20"/>
              </w:rPr>
              <w:t>443,00</w:t>
            </w:r>
            <w:r>
              <w:rPr>
                <w:sz w:val="20"/>
                <w:szCs w:val="20"/>
              </w:rPr>
              <w:t>5</w:t>
            </w:r>
          </w:p>
        </w:tc>
        <w:tc>
          <w:tcPr>
            <w:tcW w:w="0" w:type="auto"/>
            <w:noWrap/>
            <w:vAlign w:val="bottom"/>
            <w:hideMark/>
          </w:tcPr>
          <w:p w14:paraId="34F48D1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4D552E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6DAD79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48E7E7F" w14:textId="77777777" w:rsidR="00000000" w:rsidRDefault="00832D71">
            <w:pPr>
              <w:pStyle w:val="a3"/>
              <w:spacing w:before="0" w:beforeAutospacing="0" w:after="0" w:afterAutospacing="0"/>
              <w:jc w:val="right"/>
              <w:rPr>
                <w:sz w:val="20"/>
                <w:szCs w:val="20"/>
              </w:rPr>
            </w:pPr>
            <w:r>
              <w:rPr>
                <w:sz w:val="20"/>
                <w:szCs w:val="20"/>
              </w:rPr>
              <w:t>(</w:t>
            </w:r>
            <w:r>
              <w:rPr>
                <w:sz w:val="20"/>
                <w:szCs w:val="20"/>
              </w:rPr>
              <w:t>17,58</w:t>
            </w:r>
            <w:r>
              <w:rPr>
                <w:sz w:val="20"/>
                <w:szCs w:val="20"/>
              </w:rPr>
              <w:t>4</w:t>
            </w:r>
          </w:p>
        </w:tc>
        <w:tc>
          <w:tcPr>
            <w:tcW w:w="0" w:type="auto"/>
            <w:noWrap/>
            <w:vAlign w:val="bottom"/>
            <w:hideMark/>
          </w:tcPr>
          <w:p w14:paraId="5997AD8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AE8A9E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ACB9E1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07C027D" w14:textId="77777777" w:rsidR="00000000" w:rsidRDefault="00832D71">
            <w:pPr>
              <w:pStyle w:val="a3"/>
              <w:spacing w:before="0" w:beforeAutospacing="0" w:after="0" w:afterAutospacing="0"/>
              <w:jc w:val="right"/>
              <w:rPr>
                <w:sz w:val="20"/>
                <w:szCs w:val="20"/>
              </w:rPr>
            </w:pPr>
            <w:r>
              <w:rPr>
                <w:sz w:val="20"/>
                <w:szCs w:val="20"/>
              </w:rPr>
              <w:t>425,42</w:t>
            </w:r>
            <w:r>
              <w:rPr>
                <w:sz w:val="20"/>
                <w:szCs w:val="20"/>
              </w:rPr>
              <w:t>1</w:t>
            </w:r>
          </w:p>
        </w:tc>
        <w:tc>
          <w:tcPr>
            <w:tcW w:w="0" w:type="auto"/>
            <w:noWrap/>
            <w:vAlign w:val="bottom"/>
            <w:hideMark/>
          </w:tcPr>
          <w:p w14:paraId="2078491B" w14:textId="77777777" w:rsidR="00000000" w:rsidRDefault="00832D71">
            <w:pPr>
              <w:pStyle w:val="a3"/>
              <w:spacing w:before="0" w:beforeAutospacing="0" w:after="0" w:afterAutospacing="0"/>
              <w:rPr>
                <w:sz w:val="20"/>
                <w:szCs w:val="20"/>
              </w:rPr>
            </w:pPr>
            <w:r>
              <w:rPr>
                <w:sz w:val="20"/>
                <w:szCs w:val="20"/>
              </w:rPr>
              <w:t> </w:t>
            </w:r>
          </w:p>
        </w:tc>
      </w:tr>
      <w:tr w:rsidR="00000000" w14:paraId="0D0C72C2" w14:textId="77777777">
        <w:trPr>
          <w:tblCellSpacing w:w="15" w:type="dxa"/>
        </w:trPr>
        <w:tc>
          <w:tcPr>
            <w:tcW w:w="0" w:type="auto"/>
            <w:hideMark/>
          </w:tcPr>
          <w:p w14:paraId="34FF1B1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9BF173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2EAC5B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3AEE4E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79138D4"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93E09F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C11004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3438805"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0C5E97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399E57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205471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F85526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8B684AA" w14:textId="77777777" w:rsidR="00000000" w:rsidRDefault="00832D71">
            <w:pPr>
              <w:pStyle w:val="a3"/>
              <w:spacing w:before="0" w:beforeAutospacing="0" w:after="0" w:afterAutospacing="0"/>
              <w:jc w:val="right"/>
              <w:rPr>
                <w:sz w:val="20"/>
                <w:szCs w:val="20"/>
              </w:rPr>
            </w:pPr>
            <w:r>
              <w:rPr>
                <w:sz w:val="20"/>
                <w:szCs w:val="20"/>
              </w:rPr>
              <w:t> </w:t>
            </w:r>
          </w:p>
        </w:tc>
      </w:tr>
      <w:tr w:rsidR="00000000" w14:paraId="5269A9C6" w14:textId="77777777">
        <w:trPr>
          <w:trHeight w:val="200"/>
          <w:tblCellSpacing w:w="15" w:type="dxa"/>
        </w:trPr>
        <w:tc>
          <w:tcPr>
            <w:tcW w:w="0" w:type="auto"/>
            <w:vAlign w:val="bottom"/>
            <w:hideMark/>
          </w:tcPr>
          <w:p w14:paraId="319B3FD7" w14:textId="77777777" w:rsidR="00000000" w:rsidRDefault="00832D71">
            <w:pPr>
              <w:pStyle w:val="a3"/>
              <w:spacing w:before="0" w:beforeAutospacing="0" w:after="0" w:afterAutospacing="0"/>
              <w:rPr>
                <w:sz w:val="20"/>
                <w:szCs w:val="20"/>
              </w:rPr>
            </w:pPr>
            <w:r>
              <w:rPr>
                <w:sz w:val="20"/>
                <w:szCs w:val="20"/>
              </w:rPr>
              <w:t>Net incom</w:t>
            </w:r>
            <w:r>
              <w:rPr>
                <w:sz w:val="20"/>
                <w:szCs w:val="20"/>
              </w:rPr>
              <w:t>e</w:t>
            </w:r>
          </w:p>
        </w:tc>
        <w:tc>
          <w:tcPr>
            <w:tcW w:w="0" w:type="auto"/>
            <w:vAlign w:val="bottom"/>
            <w:hideMark/>
          </w:tcPr>
          <w:p w14:paraId="2BECD9E6"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870084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CFA365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603FB2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1C5F21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1E417D1" w14:textId="77777777" w:rsidR="00000000" w:rsidRDefault="00832D71">
            <w:pPr>
              <w:pStyle w:val="a3"/>
              <w:spacing w:before="0" w:beforeAutospacing="0" w:after="0" w:afterAutospacing="0"/>
              <w:jc w:val="right"/>
              <w:rPr>
                <w:sz w:val="20"/>
                <w:szCs w:val="20"/>
              </w:rPr>
            </w:pPr>
            <w:r>
              <w:rPr>
                <w:sz w:val="20"/>
                <w:szCs w:val="20"/>
              </w:rPr>
              <w:t>139,70</w:t>
            </w:r>
            <w:r>
              <w:rPr>
                <w:sz w:val="20"/>
                <w:szCs w:val="20"/>
              </w:rPr>
              <w:t>8</w:t>
            </w:r>
          </w:p>
        </w:tc>
        <w:tc>
          <w:tcPr>
            <w:tcW w:w="0" w:type="auto"/>
            <w:noWrap/>
            <w:vAlign w:val="bottom"/>
            <w:hideMark/>
          </w:tcPr>
          <w:p w14:paraId="06729C2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5DC1A04"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7DEF39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F34475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3A2B49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3F7F89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B07FDE4" w14:textId="77777777" w:rsidR="00000000" w:rsidRDefault="00832D71">
            <w:pPr>
              <w:pStyle w:val="a3"/>
              <w:spacing w:before="0" w:beforeAutospacing="0" w:after="0" w:afterAutospacing="0"/>
              <w:jc w:val="right"/>
              <w:rPr>
                <w:sz w:val="20"/>
                <w:szCs w:val="20"/>
              </w:rPr>
            </w:pPr>
            <w:r>
              <w:rPr>
                <w:sz w:val="20"/>
                <w:szCs w:val="20"/>
              </w:rPr>
              <w:t>139,70</w:t>
            </w:r>
            <w:r>
              <w:rPr>
                <w:sz w:val="20"/>
                <w:szCs w:val="20"/>
              </w:rPr>
              <w:t>8</w:t>
            </w:r>
          </w:p>
        </w:tc>
        <w:tc>
          <w:tcPr>
            <w:tcW w:w="0" w:type="auto"/>
            <w:noWrap/>
            <w:vAlign w:val="bottom"/>
            <w:hideMark/>
          </w:tcPr>
          <w:p w14:paraId="1CA3C92E" w14:textId="77777777" w:rsidR="00000000" w:rsidRDefault="00832D71">
            <w:pPr>
              <w:pStyle w:val="a3"/>
              <w:spacing w:before="0" w:beforeAutospacing="0" w:after="0" w:afterAutospacing="0"/>
              <w:rPr>
                <w:sz w:val="20"/>
                <w:szCs w:val="20"/>
              </w:rPr>
            </w:pPr>
            <w:r>
              <w:rPr>
                <w:sz w:val="20"/>
                <w:szCs w:val="20"/>
              </w:rPr>
              <w:t> </w:t>
            </w:r>
          </w:p>
        </w:tc>
      </w:tr>
      <w:tr w:rsidR="00000000" w14:paraId="5EE2414D" w14:textId="77777777">
        <w:trPr>
          <w:trHeight w:val="200"/>
          <w:tblCellSpacing w:w="15" w:type="dxa"/>
        </w:trPr>
        <w:tc>
          <w:tcPr>
            <w:tcW w:w="0" w:type="auto"/>
            <w:hideMark/>
          </w:tcPr>
          <w:p w14:paraId="3AA2F662" w14:textId="77777777" w:rsidR="00000000" w:rsidRDefault="00832D71">
            <w:pPr>
              <w:pStyle w:val="a3"/>
              <w:spacing w:before="0" w:beforeAutospacing="0" w:after="0" w:afterAutospacing="0"/>
              <w:rPr>
                <w:sz w:val="20"/>
                <w:szCs w:val="20"/>
              </w:rPr>
            </w:pPr>
            <w:r>
              <w:rPr>
                <w:sz w:val="20"/>
                <w:szCs w:val="20"/>
              </w:rPr>
              <w:t>Amortization of net actuarial gains and prior service credits into</w:t>
            </w:r>
            <w:r>
              <w:rPr>
                <w:sz w:val="20"/>
                <w:szCs w:val="20"/>
              </w:rPr>
              <w:br/>
              <w:t>   earnings and net change in funded status of benefit plan</w:t>
            </w:r>
            <w:r>
              <w:rPr>
                <w:sz w:val="20"/>
                <w:szCs w:val="20"/>
              </w:rPr>
              <w:t>s</w:t>
            </w:r>
          </w:p>
        </w:tc>
        <w:tc>
          <w:tcPr>
            <w:tcW w:w="0" w:type="auto"/>
            <w:vAlign w:val="bottom"/>
            <w:hideMark/>
          </w:tcPr>
          <w:p w14:paraId="18D2E53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DAF6F9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E5948E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24DA2CD"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76B5BD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CAEA73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350A7B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83FEC8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762D6D6" w14:textId="77777777" w:rsidR="00000000" w:rsidRDefault="00832D71">
            <w:pPr>
              <w:pStyle w:val="a3"/>
              <w:spacing w:before="0" w:beforeAutospacing="0" w:after="0" w:afterAutospacing="0"/>
              <w:jc w:val="right"/>
              <w:rPr>
                <w:sz w:val="20"/>
                <w:szCs w:val="20"/>
              </w:rPr>
            </w:pPr>
            <w:r>
              <w:rPr>
                <w:sz w:val="20"/>
                <w:szCs w:val="20"/>
              </w:rPr>
              <w:t>4,14</w:t>
            </w:r>
            <w:r>
              <w:rPr>
                <w:sz w:val="20"/>
                <w:szCs w:val="20"/>
              </w:rPr>
              <w:t>8</w:t>
            </w:r>
          </w:p>
        </w:tc>
        <w:tc>
          <w:tcPr>
            <w:tcW w:w="0" w:type="auto"/>
            <w:noWrap/>
            <w:vAlign w:val="bottom"/>
            <w:hideMark/>
          </w:tcPr>
          <w:p w14:paraId="45D87BA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D0C7A1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2B424E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3F7E737" w14:textId="77777777" w:rsidR="00000000" w:rsidRDefault="00832D71">
            <w:pPr>
              <w:pStyle w:val="a3"/>
              <w:spacing w:before="0" w:beforeAutospacing="0" w:after="0" w:afterAutospacing="0"/>
              <w:jc w:val="right"/>
              <w:rPr>
                <w:sz w:val="20"/>
                <w:szCs w:val="20"/>
              </w:rPr>
            </w:pPr>
            <w:r>
              <w:rPr>
                <w:sz w:val="20"/>
                <w:szCs w:val="20"/>
              </w:rPr>
              <w:t>4,14</w:t>
            </w:r>
            <w:r>
              <w:rPr>
                <w:sz w:val="20"/>
                <w:szCs w:val="20"/>
              </w:rPr>
              <w:t>8</w:t>
            </w:r>
          </w:p>
        </w:tc>
        <w:tc>
          <w:tcPr>
            <w:tcW w:w="0" w:type="auto"/>
            <w:noWrap/>
            <w:vAlign w:val="bottom"/>
            <w:hideMark/>
          </w:tcPr>
          <w:p w14:paraId="686DFF26" w14:textId="77777777" w:rsidR="00000000" w:rsidRDefault="00832D71">
            <w:pPr>
              <w:pStyle w:val="a3"/>
              <w:spacing w:before="0" w:beforeAutospacing="0" w:after="0" w:afterAutospacing="0"/>
              <w:rPr>
                <w:sz w:val="20"/>
                <w:szCs w:val="20"/>
              </w:rPr>
            </w:pPr>
            <w:r>
              <w:rPr>
                <w:sz w:val="20"/>
                <w:szCs w:val="20"/>
              </w:rPr>
              <w:t> </w:t>
            </w:r>
          </w:p>
        </w:tc>
      </w:tr>
      <w:tr w:rsidR="00000000" w14:paraId="1CB15327" w14:textId="77777777">
        <w:trPr>
          <w:trHeight w:val="200"/>
          <w:tblCellSpacing w:w="15" w:type="dxa"/>
        </w:trPr>
        <w:tc>
          <w:tcPr>
            <w:tcW w:w="0" w:type="auto"/>
            <w:hideMark/>
          </w:tcPr>
          <w:p w14:paraId="28F0016A" w14:textId="77777777" w:rsidR="00000000" w:rsidRDefault="00832D71">
            <w:pPr>
              <w:pStyle w:val="a3"/>
              <w:spacing w:before="0" w:beforeAutospacing="0" w:after="0" w:afterAutospacing="0"/>
              <w:rPr>
                <w:sz w:val="20"/>
                <w:szCs w:val="20"/>
              </w:rPr>
            </w:pPr>
            <w:r>
              <w:rPr>
                <w:sz w:val="20"/>
                <w:szCs w:val="20"/>
              </w:rPr>
              <w:t>Partnership distribution</w:t>
            </w:r>
            <w:r>
              <w:rPr>
                <w:sz w:val="20"/>
                <w:szCs w:val="20"/>
              </w:rPr>
              <w:t>s</w:t>
            </w:r>
          </w:p>
        </w:tc>
        <w:tc>
          <w:tcPr>
            <w:tcW w:w="0" w:type="auto"/>
            <w:vAlign w:val="bottom"/>
            <w:hideMark/>
          </w:tcPr>
          <w:p w14:paraId="1A72FC34"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8420F5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952414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39F637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4B78CD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0A21DCC" w14:textId="77777777" w:rsidR="00000000" w:rsidRDefault="00832D71">
            <w:pPr>
              <w:pStyle w:val="a3"/>
              <w:spacing w:before="0" w:beforeAutospacing="0" w:after="0" w:afterAutospacing="0"/>
              <w:jc w:val="right"/>
              <w:rPr>
                <w:sz w:val="20"/>
                <w:szCs w:val="20"/>
              </w:rPr>
            </w:pPr>
            <w:r>
              <w:rPr>
                <w:sz w:val="20"/>
                <w:szCs w:val="20"/>
              </w:rPr>
              <w:t>(</w:t>
            </w:r>
            <w:r>
              <w:rPr>
                <w:sz w:val="20"/>
                <w:szCs w:val="20"/>
              </w:rPr>
              <w:t>81,72</w:t>
            </w:r>
            <w:r>
              <w:rPr>
                <w:sz w:val="20"/>
                <w:szCs w:val="20"/>
              </w:rPr>
              <w:t>5</w:t>
            </w:r>
          </w:p>
        </w:tc>
        <w:tc>
          <w:tcPr>
            <w:tcW w:w="0" w:type="auto"/>
            <w:noWrap/>
            <w:vAlign w:val="bottom"/>
            <w:hideMark/>
          </w:tcPr>
          <w:p w14:paraId="565DD5D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8E1F59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F989E0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CF3D83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1B9EBF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49DB7C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1A0E3E0" w14:textId="77777777" w:rsidR="00000000" w:rsidRDefault="00832D71">
            <w:pPr>
              <w:pStyle w:val="a3"/>
              <w:spacing w:before="0" w:beforeAutospacing="0" w:after="0" w:afterAutospacing="0"/>
              <w:jc w:val="right"/>
              <w:rPr>
                <w:sz w:val="20"/>
                <w:szCs w:val="20"/>
              </w:rPr>
            </w:pPr>
            <w:r>
              <w:rPr>
                <w:sz w:val="20"/>
                <w:szCs w:val="20"/>
              </w:rPr>
              <w:t>(</w:t>
            </w:r>
            <w:r>
              <w:rPr>
                <w:sz w:val="20"/>
                <w:szCs w:val="20"/>
              </w:rPr>
              <w:t>81,72</w:t>
            </w:r>
            <w:r>
              <w:rPr>
                <w:sz w:val="20"/>
                <w:szCs w:val="20"/>
              </w:rPr>
              <w:t>5</w:t>
            </w:r>
          </w:p>
        </w:tc>
        <w:tc>
          <w:tcPr>
            <w:tcW w:w="0" w:type="auto"/>
            <w:noWrap/>
            <w:vAlign w:val="bottom"/>
            <w:hideMark/>
          </w:tcPr>
          <w:p w14:paraId="2452EF41" w14:textId="77777777" w:rsidR="00000000" w:rsidRDefault="00832D71">
            <w:pPr>
              <w:pStyle w:val="a3"/>
              <w:spacing w:before="0" w:beforeAutospacing="0" w:after="0" w:afterAutospacing="0"/>
              <w:rPr>
                <w:sz w:val="20"/>
                <w:szCs w:val="20"/>
              </w:rPr>
            </w:pPr>
            <w:r>
              <w:rPr>
                <w:sz w:val="20"/>
                <w:szCs w:val="20"/>
              </w:rPr>
              <w:t>)</w:t>
            </w:r>
          </w:p>
        </w:tc>
      </w:tr>
      <w:tr w:rsidR="00000000" w14:paraId="7F108BE7" w14:textId="77777777">
        <w:trPr>
          <w:trHeight w:val="200"/>
          <w:tblCellSpacing w:w="15" w:type="dxa"/>
        </w:trPr>
        <w:tc>
          <w:tcPr>
            <w:tcW w:w="0" w:type="auto"/>
            <w:hideMark/>
          </w:tcPr>
          <w:p w14:paraId="59CFBE08" w14:textId="77777777" w:rsidR="00000000" w:rsidRDefault="00832D71">
            <w:pPr>
              <w:pStyle w:val="a3"/>
              <w:spacing w:before="0" w:beforeAutospacing="0" w:after="0" w:afterAutospacing="0"/>
              <w:rPr>
                <w:sz w:val="20"/>
                <w:szCs w:val="20"/>
              </w:rPr>
            </w:pPr>
            <w:r>
              <w:rPr>
                <w:sz w:val="20"/>
                <w:szCs w:val="20"/>
              </w:rPr>
              <w:t>Common Units issued under Restricted Unit Plan</w:t>
            </w:r>
            <w:r>
              <w:rPr>
                <w:sz w:val="20"/>
                <w:szCs w:val="20"/>
              </w:rPr>
              <w:t>s</w:t>
            </w:r>
          </w:p>
        </w:tc>
        <w:tc>
          <w:tcPr>
            <w:tcW w:w="0" w:type="auto"/>
            <w:vAlign w:val="bottom"/>
            <w:hideMark/>
          </w:tcPr>
          <w:p w14:paraId="11BA21F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CB580C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A1B3FA5" w14:textId="77777777" w:rsidR="00000000" w:rsidRDefault="00832D71">
            <w:pPr>
              <w:pStyle w:val="a3"/>
              <w:spacing w:before="0" w:beforeAutospacing="0" w:after="0" w:afterAutospacing="0"/>
              <w:jc w:val="right"/>
              <w:rPr>
                <w:sz w:val="20"/>
                <w:szCs w:val="20"/>
              </w:rPr>
            </w:pPr>
            <w:r>
              <w:rPr>
                <w:sz w:val="20"/>
                <w:szCs w:val="20"/>
              </w:rPr>
              <w:t>44</w:t>
            </w:r>
            <w:r>
              <w:rPr>
                <w:sz w:val="20"/>
                <w:szCs w:val="20"/>
              </w:rPr>
              <w:t>9</w:t>
            </w:r>
          </w:p>
        </w:tc>
        <w:tc>
          <w:tcPr>
            <w:tcW w:w="0" w:type="auto"/>
            <w:noWrap/>
            <w:vAlign w:val="bottom"/>
            <w:hideMark/>
          </w:tcPr>
          <w:p w14:paraId="12656A7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7B33D8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24CA1D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0E96C41" w14:textId="77777777" w:rsidR="00000000" w:rsidRDefault="00832D71">
            <w:pPr>
              <w:pStyle w:val="a3"/>
              <w:spacing w:before="0" w:beforeAutospacing="0" w:after="0" w:afterAutospacing="0"/>
              <w:jc w:val="right"/>
              <w:rPr>
                <w:sz w:val="20"/>
                <w:szCs w:val="20"/>
              </w:rPr>
            </w:pPr>
            <w:r>
              <w:rPr>
                <w:sz w:val="20"/>
                <w:szCs w:val="20"/>
              </w:rPr>
              <w:t>(</w:t>
            </w:r>
            <w:r>
              <w:rPr>
                <w:sz w:val="20"/>
                <w:szCs w:val="20"/>
              </w:rPr>
              <w:t>2,11</w:t>
            </w:r>
            <w:r>
              <w:rPr>
                <w:sz w:val="20"/>
                <w:szCs w:val="20"/>
              </w:rPr>
              <w:t>5</w:t>
            </w:r>
          </w:p>
        </w:tc>
        <w:tc>
          <w:tcPr>
            <w:tcW w:w="0" w:type="auto"/>
            <w:noWrap/>
            <w:vAlign w:val="bottom"/>
            <w:hideMark/>
          </w:tcPr>
          <w:p w14:paraId="35EAC77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AF2EF8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4DB087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1DFDC6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418015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7F9165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9DBECDB" w14:textId="77777777" w:rsidR="00000000" w:rsidRDefault="00832D71">
            <w:pPr>
              <w:pStyle w:val="a3"/>
              <w:spacing w:before="0" w:beforeAutospacing="0" w:after="0" w:afterAutospacing="0"/>
              <w:jc w:val="right"/>
              <w:rPr>
                <w:sz w:val="20"/>
                <w:szCs w:val="20"/>
              </w:rPr>
            </w:pPr>
            <w:r>
              <w:rPr>
                <w:sz w:val="20"/>
                <w:szCs w:val="20"/>
              </w:rPr>
              <w:t>(</w:t>
            </w:r>
            <w:r>
              <w:rPr>
                <w:sz w:val="20"/>
                <w:szCs w:val="20"/>
              </w:rPr>
              <w:t>2,11</w:t>
            </w:r>
            <w:r>
              <w:rPr>
                <w:sz w:val="20"/>
                <w:szCs w:val="20"/>
              </w:rPr>
              <w:t>5</w:t>
            </w:r>
          </w:p>
        </w:tc>
        <w:tc>
          <w:tcPr>
            <w:tcW w:w="0" w:type="auto"/>
            <w:noWrap/>
            <w:vAlign w:val="bottom"/>
            <w:hideMark/>
          </w:tcPr>
          <w:p w14:paraId="251A5A8D" w14:textId="77777777" w:rsidR="00000000" w:rsidRDefault="00832D71">
            <w:pPr>
              <w:pStyle w:val="a3"/>
              <w:spacing w:before="0" w:beforeAutospacing="0" w:after="0" w:afterAutospacing="0"/>
              <w:rPr>
                <w:sz w:val="20"/>
                <w:szCs w:val="20"/>
              </w:rPr>
            </w:pPr>
            <w:r>
              <w:rPr>
                <w:sz w:val="20"/>
                <w:szCs w:val="20"/>
              </w:rPr>
              <w:t>)</w:t>
            </w:r>
          </w:p>
        </w:tc>
      </w:tr>
      <w:tr w:rsidR="00000000" w14:paraId="74B7C20B" w14:textId="77777777">
        <w:trPr>
          <w:trHeight w:val="200"/>
          <w:tblCellSpacing w:w="15" w:type="dxa"/>
        </w:trPr>
        <w:tc>
          <w:tcPr>
            <w:tcW w:w="0" w:type="auto"/>
            <w:hideMark/>
          </w:tcPr>
          <w:p w14:paraId="38D419B6" w14:textId="77777777" w:rsidR="00000000" w:rsidRDefault="00832D71">
            <w:pPr>
              <w:pStyle w:val="a3"/>
              <w:spacing w:before="0" w:beforeAutospacing="0" w:after="0" w:afterAutospacing="0"/>
              <w:rPr>
                <w:sz w:val="20"/>
                <w:szCs w:val="20"/>
              </w:rPr>
            </w:pPr>
            <w:r>
              <w:rPr>
                <w:sz w:val="20"/>
                <w:szCs w:val="20"/>
              </w:rPr>
              <w:t>Recognition in earnings of net actuarial loss for pension settlemen</w:t>
            </w:r>
            <w:r>
              <w:rPr>
                <w:sz w:val="20"/>
                <w:szCs w:val="20"/>
              </w:rPr>
              <w:t>t</w:t>
            </w:r>
          </w:p>
        </w:tc>
        <w:tc>
          <w:tcPr>
            <w:tcW w:w="0" w:type="auto"/>
            <w:vAlign w:val="bottom"/>
            <w:hideMark/>
          </w:tcPr>
          <w:p w14:paraId="3BEB35DB"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97DEB2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EB1F8E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CA76ED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E53362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9510AB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514460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5CF3B9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A2D9014" w14:textId="77777777" w:rsidR="00000000" w:rsidRDefault="00832D71">
            <w:pPr>
              <w:pStyle w:val="a3"/>
              <w:spacing w:before="0" w:beforeAutospacing="0" w:after="0" w:afterAutospacing="0"/>
              <w:jc w:val="right"/>
              <w:rPr>
                <w:sz w:val="20"/>
                <w:szCs w:val="20"/>
              </w:rPr>
            </w:pPr>
            <w:r>
              <w:rPr>
                <w:sz w:val="20"/>
                <w:szCs w:val="20"/>
              </w:rPr>
              <w:t>84</w:t>
            </w:r>
            <w:r>
              <w:rPr>
                <w:sz w:val="20"/>
                <w:szCs w:val="20"/>
              </w:rPr>
              <w:t>0</w:t>
            </w:r>
          </w:p>
        </w:tc>
        <w:tc>
          <w:tcPr>
            <w:tcW w:w="0" w:type="auto"/>
            <w:noWrap/>
            <w:vAlign w:val="bottom"/>
            <w:hideMark/>
          </w:tcPr>
          <w:p w14:paraId="50FD3E0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E40BE6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4D5299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0A889B2" w14:textId="77777777" w:rsidR="00000000" w:rsidRDefault="00832D71">
            <w:pPr>
              <w:pStyle w:val="a3"/>
              <w:spacing w:before="0" w:beforeAutospacing="0" w:after="0" w:afterAutospacing="0"/>
              <w:jc w:val="right"/>
              <w:rPr>
                <w:sz w:val="20"/>
                <w:szCs w:val="20"/>
              </w:rPr>
            </w:pPr>
            <w:r>
              <w:rPr>
                <w:sz w:val="20"/>
                <w:szCs w:val="20"/>
              </w:rPr>
              <w:t>84</w:t>
            </w:r>
            <w:r>
              <w:rPr>
                <w:sz w:val="20"/>
                <w:szCs w:val="20"/>
              </w:rPr>
              <w:t>0</w:t>
            </w:r>
          </w:p>
        </w:tc>
        <w:tc>
          <w:tcPr>
            <w:tcW w:w="0" w:type="auto"/>
            <w:noWrap/>
            <w:vAlign w:val="bottom"/>
            <w:hideMark/>
          </w:tcPr>
          <w:p w14:paraId="0CB772B2" w14:textId="77777777" w:rsidR="00000000" w:rsidRDefault="00832D71">
            <w:pPr>
              <w:pStyle w:val="a3"/>
              <w:spacing w:before="0" w:beforeAutospacing="0" w:after="0" w:afterAutospacing="0"/>
              <w:rPr>
                <w:sz w:val="20"/>
                <w:szCs w:val="20"/>
              </w:rPr>
            </w:pPr>
            <w:r>
              <w:rPr>
                <w:sz w:val="20"/>
                <w:szCs w:val="20"/>
              </w:rPr>
              <w:t> </w:t>
            </w:r>
          </w:p>
        </w:tc>
      </w:tr>
      <w:tr w:rsidR="00000000" w14:paraId="08C21988" w14:textId="77777777">
        <w:trPr>
          <w:trHeight w:val="200"/>
          <w:tblCellSpacing w:w="15" w:type="dxa"/>
        </w:trPr>
        <w:tc>
          <w:tcPr>
            <w:tcW w:w="0" w:type="auto"/>
            <w:hideMark/>
          </w:tcPr>
          <w:p w14:paraId="489C26B8" w14:textId="77777777" w:rsidR="00000000" w:rsidRDefault="00832D71">
            <w:pPr>
              <w:pStyle w:val="a3"/>
              <w:spacing w:before="0" w:beforeAutospacing="0" w:after="0" w:afterAutospacing="0"/>
              <w:rPr>
                <w:sz w:val="20"/>
                <w:szCs w:val="20"/>
              </w:rPr>
            </w:pPr>
            <w:r>
              <w:rPr>
                <w:sz w:val="20"/>
                <w:szCs w:val="20"/>
              </w:rPr>
              <w:t>Compensation costs recognized under Restricted Unit Plan</w:t>
            </w:r>
            <w:r>
              <w:rPr>
                <w:sz w:val="20"/>
                <w:szCs w:val="20"/>
              </w:rPr>
              <w:t>s</w:t>
            </w:r>
          </w:p>
        </w:tc>
        <w:tc>
          <w:tcPr>
            <w:tcW w:w="0" w:type="auto"/>
            <w:vAlign w:val="bottom"/>
            <w:hideMark/>
          </w:tcPr>
          <w:p w14:paraId="29862B1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B30382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3E6CA0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7E0EED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B37A3D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094707A" w14:textId="77777777" w:rsidR="00000000" w:rsidRDefault="00832D71">
            <w:pPr>
              <w:pStyle w:val="a3"/>
              <w:spacing w:before="0" w:beforeAutospacing="0" w:after="0" w:afterAutospacing="0"/>
              <w:jc w:val="right"/>
              <w:rPr>
                <w:sz w:val="20"/>
                <w:szCs w:val="20"/>
              </w:rPr>
            </w:pPr>
            <w:r>
              <w:rPr>
                <w:sz w:val="20"/>
                <w:szCs w:val="20"/>
              </w:rPr>
              <w:t>11,25</w:t>
            </w:r>
            <w:r>
              <w:rPr>
                <w:sz w:val="20"/>
                <w:szCs w:val="20"/>
              </w:rPr>
              <w:t>3</w:t>
            </w:r>
          </w:p>
        </w:tc>
        <w:tc>
          <w:tcPr>
            <w:tcW w:w="0" w:type="auto"/>
            <w:noWrap/>
            <w:vAlign w:val="bottom"/>
            <w:hideMark/>
          </w:tcPr>
          <w:p w14:paraId="39ABD33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FD27EC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9559E8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4AFC13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595285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63949A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ECB6069" w14:textId="77777777" w:rsidR="00000000" w:rsidRDefault="00832D71">
            <w:pPr>
              <w:pStyle w:val="a3"/>
              <w:spacing w:before="0" w:beforeAutospacing="0" w:after="0" w:afterAutospacing="0"/>
              <w:jc w:val="right"/>
              <w:rPr>
                <w:sz w:val="20"/>
                <w:szCs w:val="20"/>
              </w:rPr>
            </w:pPr>
            <w:r>
              <w:rPr>
                <w:sz w:val="20"/>
                <w:szCs w:val="20"/>
              </w:rPr>
              <w:t>11,25</w:t>
            </w:r>
            <w:r>
              <w:rPr>
                <w:sz w:val="20"/>
                <w:szCs w:val="20"/>
              </w:rPr>
              <w:t>3</w:t>
            </w:r>
          </w:p>
        </w:tc>
        <w:tc>
          <w:tcPr>
            <w:tcW w:w="0" w:type="auto"/>
            <w:noWrap/>
            <w:vAlign w:val="bottom"/>
            <w:hideMark/>
          </w:tcPr>
          <w:p w14:paraId="5B3E86B1" w14:textId="77777777" w:rsidR="00000000" w:rsidRDefault="00832D71">
            <w:pPr>
              <w:pStyle w:val="a3"/>
              <w:spacing w:before="0" w:beforeAutospacing="0" w:after="0" w:afterAutospacing="0"/>
              <w:rPr>
                <w:sz w:val="20"/>
                <w:szCs w:val="20"/>
              </w:rPr>
            </w:pPr>
            <w:r>
              <w:rPr>
                <w:sz w:val="20"/>
                <w:szCs w:val="20"/>
              </w:rPr>
              <w:t> </w:t>
            </w:r>
          </w:p>
        </w:tc>
      </w:tr>
      <w:tr w:rsidR="00000000" w14:paraId="74844A3C" w14:textId="77777777">
        <w:trPr>
          <w:trHeight w:val="200"/>
          <w:tblCellSpacing w:w="15" w:type="dxa"/>
        </w:trPr>
        <w:tc>
          <w:tcPr>
            <w:tcW w:w="0" w:type="auto"/>
            <w:hideMark/>
          </w:tcPr>
          <w:p w14:paraId="195A3918" w14:textId="77777777" w:rsidR="00000000" w:rsidRDefault="00832D71">
            <w:pPr>
              <w:pStyle w:val="a3"/>
              <w:spacing w:before="0" w:beforeAutospacing="0" w:after="0" w:afterAutospacing="0"/>
              <w:rPr>
                <w:sz w:val="20"/>
                <w:szCs w:val="20"/>
              </w:rPr>
            </w:pPr>
            <w:r>
              <w:rPr>
                <w:sz w:val="20"/>
                <w:szCs w:val="20"/>
              </w:rPr>
              <w:t>Balance at September 24, 202</w:t>
            </w:r>
            <w:r>
              <w:rPr>
                <w:sz w:val="20"/>
                <w:szCs w:val="20"/>
              </w:rPr>
              <w:t>2</w:t>
            </w:r>
          </w:p>
        </w:tc>
        <w:tc>
          <w:tcPr>
            <w:tcW w:w="0" w:type="auto"/>
            <w:vAlign w:val="bottom"/>
            <w:hideMark/>
          </w:tcPr>
          <w:p w14:paraId="354D1A8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9FF411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072362E" w14:textId="77777777" w:rsidR="00000000" w:rsidRDefault="00832D71">
            <w:pPr>
              <w:pStyle w:val="a3"/>
              <w:spacing w:before="0" w:beforeAutospacing="0" w:after="0" w:afterAutospacing="0"/>
              <w:jc w:val="right"/>
              <w:rPr>
                <w:sz w:val="20"/>
                <w:szCs w:val="20"/>
              </w:rPr>
            </w:pPr>
            <w:r>
              <w:rPr>
                <w:sz w:val="20"/>
                <w:szCs w:val="20"/>
              </w:rPr>
              <w:t>62,98</w:t>
            </w:r>
            <w:r>
              <w:rPr>
                <w:sz w:val="20"/>
                <w:szCs w:val="20"/>
              </w:rPr>
              <w:t>7</w:t>
            </w:r>
          </w:p>
        </w:tc>
        <w:tc>
          <w:tcPr>
            <w:tcW w:w="0" w:type="auto"/>
            <w:noWrap/>
            <w:vAlign w:val="bottom"/>
            <w:hideMark/>
          </w:tcPr>
          <w:p w14:paraId="3895361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F49C13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B872A2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B68468C" w14:textId="77777777" w:rsidR="00000000" w:rsidRDefault="00832D71">
            <w:pPr>
              <w:pStyle w:val="a3"/>
              <w:spacing w:before="0" w:beforeAutospacing="0" w:after="0" w:afterAutospacing="0"/>
              <w:jc w:val="right"/>
              <w:rPr>
                <w:sz w:val="20"/>
                <w:szCs w:val="20"/>
              </w:rPr>
            </w:pPr>
            <w:r>
              <w:rPr>
                <w:sz w:val="20"/>
                <w:szCs w:val="20"/>
              </w:rPr>
              <w:t>510,12</w:t>
            </w:r>
            <w:r>
              <w:rPr>
                <w:sz w:val="20"/>
                <w:szCs w:val="20"/>
              </w:rPr>
              <w:t>6</w:t>
            </w:r>
          </w:p>
        </w:tc>
        <w:tc>
          <w:tcPr>
            <w:tcW w:w="0" w:type="auto"/>
            <w:noWrap/>
            <w:vAlign w:val="bottom"/>
            <w:hideMark/>
          </w:tcPr>
          <w:p w14:paraId="1A674DC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8200BA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06B2A1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A3B28FF" w14:textId="77777777" w:rsidR="00000000" w:rsidRDefault="00832D71">
            <w:pPr>
              <w:pStyle w:val="a3"/>
              <w:spacing w:before="0" w:beforeAutospacing="0" w:after="0" w:afterAutospacing="0"/>
              <w:jc w:val="right"/>
              <w:rPr>
                <w:sz w:val="20"/>
                <w:szCs w:val="20"/>
              </w:rPr>
            </w:pPr>
            <w:r>
              <w:rPr>
                <w:sz w:val="20"/>
                <w:szCs w:val="20"/>
              </w:rPr>
              <w:t>(</w:t>
            </w:r>
            <w:r>
              <w:rPr>
                <w:sz w:val="20"/>
                <w:szCs w:val="20"/>
              </w:rPr>
              <w:t>12,59</w:t>
            </w:r>
            <w:r>
              <w:rPr>
                <w:sz w:val="20"/>
                <w:szCs w:val="20"/>
              </w:rPr>
              <w:t>6</w:t>
            </w:r>
          </w:p>
        </w:tc>
        <w:tc>
          <w:tcPr>
            <w:tcW w:w="0" w:type="auto"/>
            <w:noWrap/>
            <w:vAlign w:val="bottom"/>
            <w:hideMark/>
          </w:tcPr>
          <w:p w14:paraId="0AA09AA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E59AE3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17E557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6A29BDD" w14:textId="77777777" w:rsidR="00000000" w:rsidRDefault="00832D71">
            <w:pPr>
              <w:pStyle w:val="a3"/>
              <w:spacing w:before="0" w:beforeAutospacing="0" w:after="0" w:afterAutospacing="0"/>
              <w:jc w:val="right"/>
              <w:rPr>
                <w:sz w:val="20"/>
                <w:szCs w:val="20"/>
              </w:rPr>
            </w:pPr>
            <w:r>
              <w:rPr>
                <w:sz w:val="20"/>
                <w:szCs w:val="20"/>
              </w:rPr>
              <w:t>497,53</w:t>
            </w:r>
            <w:r>
              <w:rPr>
                <w:sz w:val="20"/>
                <w:szCs w:val="20"/>
              </w:rPr>
              <w:t>0</w:t>
            </w:r>
          </w:p>
        </w:tc>
        <w:tc>
          <w:tcPr>
            <w:tcW w:w="0" w:type="auto"/>
            <w:noWrap/>
            <w:vAlign w:val="bottom"/>
            <w:hideMark/>
          </w:tcPr>
          <w:p w14:paraId="67424600" w14:textId="77777777" w:rsidR="00000000" w:rsidRDefault="00832D71">
            <w:pPr>
              <w:pStyle w:val="a3"/>
              <w:spacing w:before="0" w:beforeAutospacing="0" w:after="0" w:afterAutospacing="0"/>
              <w:rPr>
                <w:sz w:val="20"/>
                <w:szCs w:val="20"/>
              </w:rPr>
            </w:pPr>
            <w:r>
              <w:rPr>
                <w:sz w:val="20"/>
                <w:szCs w:val="20"/>
              </w:rPr>
              <w:t> </w:t>
            </w:r>
          </w:p>
        </w:tc>
      </w:tr>
    </w:tbl>
    <w:p w14:paraId="1220D0A4" w14:textId="77777777" w:rsidR="00000000" w:rsidRDefault="00832D71">
      <w:pPr>
        <w:pStyle w:val="a3"/>
        <w:spacing w:before="0" w:beforeAutospacing="0" w:after="0" w:afterAutospacing="0"/>
        <w:rPr>
          <w:sz w:val="20"/>
          <w:szCs w:val="20"/>
        </w:rPr>
      </w:pPr>
      <w:r>
        <w:rPr>
          <w:sz w:val="20"/>
          <w:szCs w:val="20"/>
        </w:rPr>
        <w:t> </w:t>
      </w:r>
    </w:p>
    <w:p w14:paraId="0FF0EC56" w14:textId="77777777" w:rsidR="00000000" w:rsidRDefault="00832D71">
      <w:pPr>
        <w:pStyle w:val="a3"/>
        <w:spacing w:before="0" w:beforeAutospacing="0" w:after="0" w:afterAutospacing="0"/>
        <w:rPr>
          <w:sz w:val="20"/>
          <w:szCs w:val="20"/>
        </w:rPr>
      </w:pPr>
      <w:r>
        <w:rPr>
          <w:sz w:val="20"/>
          <w:szCs w:val="20"/>
        </w:rPr>
        <w:t> </w:t>
      </w:r>
    </w:p>
    <w:p w14:paraId="28A76108" w14:textId="77777777" w:rsidR="00000000" w:rsidRDefault="00832D71">
      <w:pPr>
        <w:pStyle w:val="a3"/>
        <w:spacing w:before="0" w:beforeAutospacing="0" w:after="0" w:afterAutospacing="0"/>
        <w:rPr>
          <w:sz w:val="20"/>
          <w:szCs w:val="20"/>
        </w:rPr>
      </w:pPr>
      <w:r>
        <w:rPr>
          <w:sz w:val="20"/>
          <w:szCs w:val="20"/>
        </w:rPr>
        <w:t> </w:t>
      </w:r>
    </w:p>
    <w:p w14:paraId="384235D1" w14:textId="77777777" w:rsidR="00000000" w:rsidRDefault="00832D71">
      <w:pPr>
        <w:pStyle w:val="a3"/>
        <w:spacing w:before="0" w:beforeAutospacing="0" w:after="0" w:afterAutospacing="0"/>
        <w:rPr>
          <w:sz w:val="20"/>
          <w:szCs w:val="20"/>
        </w:rPr>
      </w:pPr>
      <w:r>
        <w:rPr>
          <w:sz w:val="20"/>
          <w:szCs w:val="20"/>
        </w:rPr>
        <w:t> </w:t>
      </w:r>
    </w:p>
    <w:p w14:paraId="5F175875" w14:textId="77777777" w:rsidR="00000000" w:rsidRDefault="00832D71">
      <w:pPr>
        <w:pStyle w:val="a3"/>
        <w:spacing w:before="0" w:beforeAutospacing="0" w:after="0" w:afterAutospacing="0"/>
        <w:rPr>
          <w:sz w:val="20"/>
          <w:szCs w:val="20"/>
        </w:rPr>
      </w:pPr>
      <w:r>
        <w:rPr>
          <w:sz w:val="20"/>
          <w:szCs w:val="20"/>
        </w:rPr>
        <w:t> </w:t>
      </w:r>
    </w:p>
    <w:p w14:paraId="1DA96FED" w14:textId="77777777" w:rsidR="00000000" w:rsidRDefault="00832D71">
      <w:pPr>
        <w:pStyle w:val="a3"/>
        <w:spacing w:before="0" w:beforeAutospacing="0" w:after="0" w:afterAutospacing="0"/>
        <w:rPr>
          <w:sz w:val="20"/>
          <w:szCs w:val="20"/>
        </w:rPr>
      </w:pPr>
      <w:r>
        <w:rPr>
          <w:sz w:val="20"/>
          <w:szCs w:val="20"/>
        </w:rPr>
        <w:t> </w:t>
      </w:r>
    </w:p>
    <w:p w14:paraId="08378E66" w14:textId="77777777" w:rsidR="00000000" w:rsidRDefault="00832D71">
      <w:pPr>
        <w:pStyle w:val="a3"/>
        <w:spacing w:before="0" w:beforeAutospacing="0" w:after="0" w:afterAutospacing="0"/>
        <w:rPr>
          <w:sz w:val="20"/>
          <w:szCs w:val="20"/>
        </w:rPr>
      </w:pPr>
      <w:r>
        <w:rPr>
          <w:sz w:val="20"/>
          <w:szCs w:val="20"/>
        </w:rPr>
        <w:t> </w:t>
      </w:r>
    </w:p>
    <w:p w14:paraId="565E947A" w14:textId="77777777" w:rsidR="00000000" w:rsidRDefault="00832D71">
      <w:pPr>
        <w:pStyle w:val="a3"/>
        <w:spacing w:before="0" w:beforeAutospacing="0" w:after="0" w:afterAutospacing="0"/>
        <w:rPr>
          <w:sz w:val="20"/>
          <w:szCs w:val="20"/>
        </w:rPr>
      </w:pPr>
      <w:r>
        <w:rPr>
          <w:sz w:val="20"/>
          <w:szCs w:val="20"/>
        </w:rPr>
        <w:t> </w:t>
      </w:r>
    </w:p>
    <w:p w14:paraId="0572F9B8" w14:textId="77777777" w:rsidR="00000000" w:rsidRDefault="00832D71">
      <w:pPr>
        <w:pStyle w:val="a3"/>
        <w:spacing w:before="0" w:beforeAutospacing="0" w:after="0" w:afterAutospacing="0"/>
        <w:rPr>
          <w:sz w:val="20"/>
          <w:szCs w:val="20"/>
        </w:rPr>
      </w:pPr>
      <w:r>
        <w:rPr>
          <w:sz w:val="20"/>
          <w:szCs w:val="20"/>
        </w:rPr>
        <w:t> </w:t>
      </w:r>
    </w:p>
    <w:p w14:paraId="26E2C2D0" w14:textId="77777777" w:rsidR="00000000" w:rsidRDefault="00832D71">
      <w:pPr>
        <w:pStyle w:val="a3"/>
        <w:spacing w:before="0" w:beforeAutospacing="0" w:after="0" w:afterAutospacing="0"/>
        <w:rPr>
          <w:sz w:val="20"/>
          <w:szCs w:val="20"/>
        </w:rPr>
      </w:pPr>
      <w:r>
        <w:rPr>
          <w:sz w:val="20"/>
          <w:szCs w:val="20"/>
        </w:rPr>
        <w:t> </w:t>
      </w:r>
    </w:p>
    <w:p w14:paraId="64587D87" w14:textId="77777777" w:rsidR="00000000" w:rsidRDefault="00832D71">
      <w:pPr>
        <w:pStyle w:val="a3"/>
        <w:spacing w:before="0" w:beforeAutospacing="0" w:after="0" w:afterAutospacing="0"/>
        <w:rPr>
          <w:sz w:val="20"/>
          <w:szCs w:val="20"/>
        </w:rPr>
      </w:pPr>
      <w:r>
        <w:rPr>
          <w:sz w:val="20"/>
          <w:szCs w:val="20"/>
        </w:rPr>
        <w:t> </w:t>
      </w:r>
    </w:p>
    <w:p w14:paraId="31D48753" w14:textId="77777777" w:rsidR="00000000" w:rsidRDefault="00832D71">
      <w:pPr>
        <w:pStyle w:val="a3"/>
        <w:spacing w:before="0" w:beforeAutospacing="0" w:after="0" w:afterAutospacing="0"/>
        <w:rPr>
          <w:sz w:val="20"/>
          <w:szCs w:val="20"/>
        </w:rPr>
      </w:pPr>
      <w:r>
        <w:rPr>
          <w:sz w:val="20"/>
          <w:szCs w:val="20"/>
        </w:rPr>
        <w:t> </w:t>
      </w:r>
    </w:p>
    <w:p w14:paraId="4158487B" w14:textId="77777777" w:rsidR="00000000" w:rsidRDefault="00832D71">
      <w:pPr>
        <w:pStyle w:val="a3"/>
        <w:spacing w:before="0" w:beforeAutospacing="0" w:after="0" w:afterAutospacing="0"/>
        <w:rPr>
          <w:sz w:val="20"/>
          <w:szCs w:val="20"/>
        </w:rPr>
      </w:pPr>
      <w:r>
        <w:rPr>
          <w:sz w:val="20"/>
          <w:szCs w:val="20"/>
        </w:rPr>
        <w:br/>
      </w:r>
      <w:r>
        <w:rPr>
          <w:sz w:val="20"/>
          <w:szCs w:val="20"/>
        </w:rPr>
        <w:t> </w:t>
      </w:r>
    </w:p>
    <w:p w14:paraId="72E15B8A" w14:textId="77777777" w:rsidR="00000000" w:rsidRDefault="00832D71">
      <w:pPr>
        <w:pStyle w:val="a3"/>
        <w:spacing w:before="0" w:beforeAutospacing="0" w:after="0" w:afterAutospacing="0"/>
        <w:rPr>
          <w:sz w:val="20"/>
          <w:szCs w:val="20"/>
        </w:rPr>
      </w:pPr>
      <w:r>
        <w:rPr>
          <w:sz w:val="20"/>
          <w:szCs w:val="20"/>
        </w:rPr>
        <w:t> </w:t>
      </w:r>
    </w:p>
    <w:p w14:paraId="4A81BA90" w14:textId="77777777" w:rsidR="00000000" w:rsidRDefault="00832D71">
      <w:pPr>
        <w:pStyle w:val="a3"/>
        <w:spacing w:before="0" w:beforeAutospacing="0" w:after="0" w:afterAutospacing="0"/>
        <w:rPr>
          <w:sz w:val="20"/>
          <w:szCs w:val="20"/>
        </w:rPr>
      </w:pPr>
      <w:r>
        <w:rPr>
          <w:sz w:val="20"/>
          <w:szCs w:val="20"/>
        </w:rPr>
        <w:t> </w:t>
      </w:r>
    </w:p>
    <w:p w14:paraId="6DDF02D9" w14:textId="77777777" w:rsidR="00000000" w:rsidRDefault="00832D71">
      <w:pPr>
        <w:pStyle w:val="a3"/>
        <w:spacing w:before="0" w:beforeAutospacing="0" w:after="0" w:afterAutospacing="0"/>
        <w:rPr>
          <w:sz w:val="20"/>
          <w:szCs w:val="20"/>
        </w:rPr>
      </w:pPr>
      <w:r>
        <w:rPr>
          <w:sz w:val="20"/>
          <w:szCs w:val="20"/>
        </w:rPr>
        <w:t> </w:t>
      </w:r>
    </w:p>
    <w:p w14:paraId="1F7D2530" w14:textId="77777777" w:rsidR="00000000" w:rsidRDefault="00832D71">
      <w:pPr>
        <w:pStyle w:val="a3"/>
        <w:spacing w:before="0" w:beforeAutospacing="0" w:after="0" w:afterAutospacing="0"/>
        <w:rPr>
          <w:sz w:val="20"/>
          <w:szCs w:val="20"/>
        </w:rPr>
      </w:pPr>
      <w:r>
        <w:rPr>
          <w:sz w:val="20"/>
          <w:szCs w:val="20"/>
        </w:rPr>
        <w:t> </w:t>
      </w:r>
    </w:p>
    <w:p w14:paraId="1F085AB6" w14:textId="77777777" w:rsidR="00000000" w:rsidRDefault="00832D71">
      <w:pPr>
        <w:pStyle w:val="a3"/>
        <w:spacing w:before="0" w:beforeAutospacing="0" w:after="0" w:afterAutospacing="0"/>
        <w:rPr>
          <w:sz w:val="20"/>
          <w:szCs w:val="20"/>
        </w:rPr>
      </w:pPr>
      <w:r>
        <w:rPr>
          <w:sz w:val="20"/>
          <w:szCs w:val="20"/>
        </w:rPr>
        <w:t> </w:t>
      </w:r>
    </w:p>
    <w:p w14:paraId="1E8CBB68" w14:textId="77777777" w:rsidR="00000000" w:rsidRDefault="00832D71">
      <w:pPr>
        <w:pStyle w:val="a3"/>
        <w:spacing w:before="0" w:beforeAutospacing="0" w:after="0" w:afterAutospacing="0"/>
        <w:jc w:val="both"/>
        <w:rPr>
          <w:sz w:val="20"/>
          <w:szCs w:val="20"/>
        </w:rPr>
      </w:pPr>
      <w:r>
        <w:rPr>
          <w:sz w:val="20"/>
          <w:szCs w:val="20"/>
        </w:rPr>
        <w:t>The accompanying notes are an integral part of these consolidated financial statements</w:t>
      </w:r>
      <w:r>
        <w:rPr>
          <w:sz w:val="20"/>
          <w:szCs w:val="20"/>
        </w:rPr>
        <w:t>.</w:t>
      </w:r>
    </w:p>
    <w:p w14:paraId="17FE3C9B" w14:textId="77777777" w:rsidR="00000000" w:rsidRDefault="00832D71">
      <w:pPr>
        <w:pStyle w:val="a3"/>
        <w:spacing w:before="200" w:beforeAutospacing="0" w:after="0" w:afterAutospacing="0"/>
        <w:jc w:val="center"/>
        <w:rPr>
          <w:sz w:val="20"/>
          <w:szCs w:val="20"/>
        </w:rPr>
      </w:pPr>
      <w:r>
        <w:rPr>
          <w:sz w:val="20"/>
          <w:szCs w:val="20"/>
        </w:rPr>
        <w:t>F</w:t>
      </w:r>
      <w:r>
        <w:rPr>
          <w:sz w:val="20"/>
          <w:szCs w:val="20"/>
        </w:rPr>
        <w:t>-</w:t>
      </w:r>
      <w:r>
        <w:rPr>
          <w:sz w:val="20"/>
          <w:szCs w:val="20"/>
        </w:rPr>
        <w:t>8</w:t>
      </w:r>
    </w:p>
    <w:p w14:paraId="0F67C627" w14:textId="77777777" w:rsidR="00000000" w:rsidRDefault="00832D71">
      <w:pPr>
        <w:rPr>
          <w:rFonts w:eastAsia="Times New Roman"/>
        </w:rPr>
      </w:pPr>
      <w:r>
        <w:rPr>
          <w:rFonts w:eastAsia="Times New Roman"/>
        </w:rPr>
        <w:pict w14:anchorId="364FC097">
          <v:rect id="_x0000_i1127" style="width:0;height:1.5pt" o:hralign="center" o:hrstd="t" o:hr="t" fillcolor="#a0a0a0" stroked="f"/>
        </w:pict>
      </w:r>
    </w:p>
    <w:p w14:paraId="1B29705B" w14:textId="77777777" w:rsidR="00000000" w:rsidRDefault="00832D71">
      <w:pPr>
        <w:pStyle w:val="a3"/>
        <w:spacing w:before="0" w:beforeAutospacing="0" w:after="0" w:afterAutospacing="0"/>
        <w:rPr>
          <w:sz w:val="20"/>
          <w:szCs w:val="20"/>
        </w:rPr>
      </w:pPr>
      <w:r>
        <w:rPr>
          <w:sz w:val="20"/>
          <w:szCs w:val="20"/>
        </w:rPr>
        <w:t> </w:t>
      </w:r>
    </w:p>
    <w:p w14:paraId="1FC810A7" w14:textId="77777777" w:rsidR="00000000" w:rsidRDefault="00832D71">
      <w:pPr>
        <w:pStyle w:val="a3"/>
        <w:spacing w:before="0" w:beforeAutospacing="0" w:after="0" w:afterAutospacing="0"/>
        <w:jc w:val="center"/>
        <w:rPr>
          <w:sz w:val="20"/>
          <w:szCs w:val="20"/>
        </w:rPr>
      </w:pPr>
      <w:r>
        <w:rPr>
          <w:b/>
          <w:bCs/>
          <w:sz w:val="20"/>
          <w:szCs w:val="20"/>
        </w:rPr>
        <w:t>SUBURBAN PROPANE PARTNERS, L.P. AND SUBSIDIARIE</w:t>
      </w:r>
      <w:r>
        <w:rPr>
          <w:b/>
          <w:bCs/>
          <w:sz w:val="20"/>
          <w:szCs w:val="20"/>
        </w:rPr>
        <w:t>S</w:t>
      </w:r>
    </w:p>
    <w:p w14:paraId="593395FB" w14:textId="77777777" w:rsidR="00000000" w:rsidRDefault="00832D71">
      <w:pPr>
        <w:pStyle w:val="a3"/>
        <w:spacing w:before="240" w:beforeAutospacing="0" w:after="0" w:afterAutospacing="0"/>
        <w:jc w:val="center"/>
        <w:rPr>
          <w:sz w:val="20"/>
          <w:szCs w:val="20"/>
        </w:rPr>
      </w:pPr>
      <w:r>
        <w:rPr>
          <w:b/>
          <w:bCs/>
          <w:sz w:val="20"/>
          <w:szCs w:val="20"/>
        </w:rPr>
        <w:t>NOTES TO CONSOLIDATED</w:t>
      </w:r>
      <w:r>
        <w:rPr>
          <w:b/>
          <w:bCs/>
          <w:sz w:val="20"/>
          <w:szCs w:val="20"/>
        </w:rPr>
        <w:t xml:space="preserve"> </w:t>
      </w:r>
      <w:r>
        <w:rPr>
          <w:b/>
          <w:bCs/>
          <w:sz w:val="20"/>
          <w:szCs w:val="20"/>
        </w:rPr>
        <w:t>FINANCIAL STATEMENT</w:t>
      </w:r>
      <w:r>
        <w:rPr>
          <w:b/>
          <w:bCs/>
          <w:sz w:val="20"/>
          <w:szCs w:val="20"/>
        </w:rPr>
        <w:t>S</w:t>
      </w:r>
    </w:p>
    <w:p w14:paraId="2B0DAAAE" w14:textId="77777777" w:rsidR="00000000" w:rsidRDefault="00832D71">
      <w:pPr>
        <w:pStyle w:val="a3"/>
        <w:spacing w:before="0" w:beforeAutospacing="0" w:after="0" w:afterAutospacing="0"/>
        <w:jc w:val="center"/>
        <w:rPr>
          <w:sz w:val="20"/>
          <w:szCs w:val="20"/>
        </w:rPr>
      </w:pPr>
      <w:r>
        <w:rPr>
          <w:sz w:val="20"/>
          <w:szCs w:val="20"/>
        </w:rPr>
        <w:t>(dollars in thousands, except unit</w:t>
      </w:r>
      <w:r>
        <w:rPr>
          <w:sz w:val="20"/>
          <w:szCs w:val="20"/>
        </w:rPr>
        <w:t xml:space="preserve"> and per unit amounts</w:t>
      </w:r>
      <w:r>
        <w:rPr>
          <w:sz w:val="20"/>
          <w:szCs w:val="20"/>
        </w:rPr>
        <w:t>)</w:t>
      </w:r>
    </w:p>
    <w:p w14:paraId="4659AFA6" w14:textId="77777777" w:rsidR="00000000" w:rsidRDefault="00832D71">
      <w:pPr>
        <w:pStyle w:val="a3"/>
        <w:spacing w:before="0" w:beforeAutospacing="0" w:after="0" w:afterAutospacing="0"/>
        <w:rPr>
          <w:sz w:val="20"/>
          <w:szCs w:val="20"/>
        </w:rPr>
      </w:pPr>
      <w:r>
        <w:rPr>
          <w:sz w:val="20"/>
          <w:szCs w:val="20"/>
        </w:rPr>
        <w:t> </w:t>
      </w:r>
    </w:p>
    <w:p w14:paraId="79B4565B" w14:textId="77777777" w:rsidR="00000000" w:rsidRDefault="00832D71">
      <w:pPr>
        <w:pStyle w:val="a3"/>
        <w:spacing w:before="0" w:beforeAutospacing="0" w:after="0" w:afterAutospacing="0"/>
        <w:ind w:hanging="581"/>
        <w:jc w:val="both"/>
        <w:divId w:val="504785563"/>
        <w:rPr>
          <w:sz w:val="20"/>
          <w:szCs w:val="20"/>
        </w:rPr>
      </w:pPr>
      <w:r>
        <w:rPr>
          <w:b/>
          <w:bCs/>
          <w:sz w:val="20"/>
          <w:szCs w:val="20"/>
        </w:rPr>
        <w:t>1. Partnership Organization and Formatio</w:t>
      </w:r>
      <w:r>
        <w:rPr>
          <w:b/>
          <w:bCs/>
          <w:sz w:val="20"/>
          <w:szCs w:val="20"/>
        </w:rPr>
        <w:t>n</w:t>
      </w:r>
    </w:p>
    <w:p w14:paraId="1661E636" w14:textId="77777777" w:rsidR="00000000" w:rsidRDefault="00832D71">
      <w:pPr>
        <w:pStyle w:val="a3"/>
        <w:spacing w:before="120" w:beforeAutospacing="0" w:after="0" w:afterAutospacing="0"/>
        <w:jc w:val="both"/>
        <w:divId w:val="504785563"/>
        <w:rPr>
          <w:sz w:val="20"/>
          <w:szCs w:val="20"/>
        </w:rPr>
      </w:pPr>
      <w:r>
        <w:rPr>
          <w:sz w:val="20"/>
          <w:szCs w:val="20"/>
        </w:rPr>
        <w:t xml:space="preserve">Suburban Propane Partners, L.P. (the “Partnership”) is a publicly traded Delaware limited partnership principally engaged, through its operating partnership and subsidiaries, in the retail </w:t>
      </w:r>
      <w:r>
        <w:rPr>
          <w:sz w:val="20"/>
          <w:szCs w:val="20"/>
        </w:rPr>
        <w:t>marketing and distribution of propane, renewable propane, fuel oil and refined fuels, as well as the marketing of natural gas and electricity in deregulated markets and investor in low-carbon fuel alternatives. In addition, to complement its core marketing</w:t>
      </w:r>
      <w:r>
        <w:rPr>
          <w:sz w:val="20"/>
          <w:szCs w:val="20"/>
        </w:rPr>
        <w:t xml:space="preserve"> and distribution businesses, the Partnership services a wide variety of home comfort equipment, particularly for heating and ventilation. The publicly traded limited partner interests in the Partnership are evidenced by common units traded on the New York</w:t>
      </w:r>
      <w:r>
        <w:rPr>
          <w:sz w:val="20"/>
          <w:szCs w:val="20"/>
        </w:rPr>
        <w:t xml:space="preserve"> Stock Exchange (“Common Units”), with</w:t>
      </w:r>
      <w:r>
        <w:rPr>
          <w:sz w:val="20"/>
          <w:szCs w:val="20"/>
        </w:rPr>
        <w:t xml:space="preserve"> </w:t>
      </w:r>
      <w:r>
        <w:rPr>
          <w:sz w:val="20"/>
          <w:szCs w:val="20"/>
        </w:rPr>
        <w:t>62,987,19</w:t>
      </w:r>
      <w:r>
        <w:rPr>
          <w:sz w:val="20"/>
          <w:szCs w:val="20"/>
        </w:rPr>
        <w:t>5</w:t>
      </w:r>
      <w:r>
        <w:rPr>
          <w:sz w:val="20"/>
          <w:szCs w:val="20"/>
        </w:rPr>
        <w:t xml:space="preserve"> Common Units outstanding at September 24, 2022. The holders of Common Units are entitled to participate in distributions and exercise the rights and privileges available to limited partners under the Third </w:t>
      </w:r>
      <w:r>
        <w:rPr>
          <w:sz w:val="20"/>
          <w:szCs w:val="20"/>
        </w:rPr>
        <w:t>Amended and Restated Agreement of Limited Partnership (the “Partnership Agreement”), as amended. Rights and privileges under the Partnership Agreement include, among other things, the election of all members of the Board of Supervisors and voting on the re</w:t>
      </w:r>
      <w:r>
        <w:rPr>
          <w:sz w:val="20"/>
          <w:szCs w:val="20"/>
        </w:rPr>
        <w:t>moval of the general partner</w:t>
      </w:r>
      <w:r>
        <w:rPr>
          <w:sz w:val="20"/>
          <w:szCs w:val="20"/>
        </w:rPr>
        <w:t>.</w:t>
      </w:r>
    </w:p>
    <w:p w14:paraId="44C9508D" w14:textId="77777777" w:rsidR="00000000" w:rsidRDefault="00832D71">
      <w:pPr>
        <w:pStyle w:val="a3"/>
        <w:spacing w:before="240" w:beforeAutospacing="0" w:after="0" w:afterAutospacing="0"/>
        <w:jc w:val="both"/>
        <w:divId w:val="504785563"/>
        <w:rPr>
          <w:sz w:val="20"/>
          <w:szCs w:val="20"/>
        </w:rPr>
      </w:pPr>
      <w:r>
        <w:rPr>
          <w:sz w:val="20"/>
          <w:szCs w:val="20"/>
        </w:rPr>
        <w:t>Suburban Propane, L.P. (the “Operating Partnership”), a Delaware limited partnership, is the Partnership’s operating subsidiary formed to operate the propane business and assets. In addition, Suburban Sales &amp; Service, Inc. (th</w:t>
      </w:r>
      <w:r>
        <w:rPr>
          <w:sz w:val="20"/>
          <w:szCs w:val="20"/>
        </w:rPr>
        <w:t>e “Service Company”), a subsidiary of the Operating Partnership, was formed to operate the service work and appliance and parts businesses of the Partnership. The Operating Partnership, together with its direct and indirect subsidiaries, accounts for subst</w:t>
      </w:r>
      <w:r>
        <w:rPr>
          <w:sz w:val="20"/>
          <w:szCs w:val="20"/>
        </w:rPr>
        <w:t>antially all of the Partnership’s assets, revenues and earnings. The Partnership, the Operating Partnership and the Service Company commenced operations in March 1996 in connection with the Partnership’s initial public offering</w:t>
      </w:r>
      <w:r>
        <w:rPr>
          <w:sz w:val="20"/>
          <w:szCs w:val="20"/>
        </w:rPr>
        <w:t>.</w:t>
      </w:r>
    </w:p>
    <w:p w14:paraId="7A240E21" w14:textId="77777777" w:rsidR="00000000" w:rsidRDefault="00832D71">
      <w:pPr>
        <w:pStyle w:val="a3"/>
        <w:spacing w:before="240" w:beforeAutospacing="0" w:after="0" w:afterAutospacing="0"/>
        <w:jc w:val="both"/>
        <w:divId w:val="504785563"/>
        <w:rPr>
          <w:sz w:val="20"/>
          <w:szCs w:val="20"/>
        </w:rPr>
      </w:pPr>
      <w:r>
        <w:rPr>
          <w:sz w:val="20"/>
          <w:szCs w:val="20"/>
        </w:rPr>
        <w:t xml:space="preserve">Suburban Renewable Energy, </w:t>
      </w:r>
      <w:r>
        <w:rPr>
          <w:sz w:val="20"/>
          <w:szCs w:val="20"/>
        </w:rPr>
        <w:t>LLC (“Suburban Renewables”) is a wholly owned subsidiary of the Operating Partnership that was formed in January 2022. Suburban Renewables serves as the platform for the Partnership’s investments in innovative, renewable energy technologies and businesses</w:t>
      </w:r>
      <w:r>
        <w:rPr>
          <w:sz w:val="20"/>
          <w:szCs w:val="20"/>
        </w:rPr>
        <w:t>.</w:t>
      </w:r>
    </w:p>
    <w:p w14:paraId="543F112E" w14:textId="77777777" w:rsidR="00000000" w:rsidRDefault="00832D71">
      <w:pPr>
        <w:pStyle w:val="a3"/>
        <w:spacing w:before="240" w:beforeAutospacing="0" w:after="0" w:afterAutospacing="0"/>
        <w:jc w:val="both"/>
        <w:divId w:val="504785563"/>
        <w:rPr>
          <w:sz w:val="20"/>
          <w:szCs w:val="20"/>
        </w:rPr>
      </w:pPr>
      <w:r>
        <w:rPr>
          <w:sz w:val="20"/>
          <w:szCs w:val="20"/>
        </w:rPr>
        <w:t>The general partner of both the Partnership and the Operating Partnership is Suburban Energy Services Group LLC (the “General Partner”), a Delaware limited liability company, the sole member of which is the Partnership’s Chief Executive Officer. Other tha</w:t>
      </w:r>
      <w:r>
        <w:rPr>
          <w:sz w:val="20"/>
          <w:szCs w:val="20"/>
        </w:rPr>
        <w:t>n as a holder of</w:t>
      </w:r>
      <w:r>
        <w:rPr>
          <w:sz w:val="20"/>
          <w:szCs w:val="20"/>
        </w:rPr>
        <w:t xml:space="preserve"> </w:t>
      </w:r>
      <w:r>
        <w:rPr>
          <w:sz w:val="20"/>
          <w:szCs w:val="20"/>
        </w:rPr>
        <w:t>78</w:t>
      </w:r>
      <w:r>
        <w:rPr>
          <w:sz w:val="20"/>
          <w:szCs w:val="20"/>
        </w:rPr>
        <w:t>4</w:t>
      </w:r>
      <w:r>
        <w:rPr>
          <w:sz w:val="20"/>
          <w:szCs w:val="20"/>
        </w:rPr>
        <w:t xml:space="preserve"> Common Units that will remain in the General Partner, the General Partner does not have any economic interest in the Partnership or the Operating Partnership</w:t>
      </w:r>
      <w:r>
        <w:rPr>
          <w:sz w:val="20"/>
          <w:szCs w:val="20"/>
        </w:rPr>
        <w:t>.</w:t>
      </w:r>
    </w:p>
    <w:p w14:paraId="12830208" w14:textId="77777777" w:rsidR="00000000" w:rsidRDefault="00832D71">
      <w:pPr>
        <w:pStyle w:val="a3"/>
        <w:spacing w:before="240" w:beforeAutospacing="0" w:after="0" w:afterAutospacing="0"/>
        <w:jc w:val="both"/>
        <w:divId w:val="504785563"/>
        <w:rPr>
          <w:sz w:val="20"/>
          <w:szCs w:val="20"/>
        </w:rPr>
      </w:pPr>
      <w:r>
        <w:rPr>
          <w:sz w:val="20"/>
          <w:szCs w:val="20"/>
        </w:rPr>
        <w:t>The Partnership’s fuel oil and refined fuels, natural gas and electricity, s</w:t>
      </w:r>
      <w:r>
        <w:rPr>
          <w:sz w:val="20"/>
          <w:szCs w:val="20"/>
        </w:rPr>
        <w:t>ervices, and renewable energy businesses are structured as either limited liability companies that are treated as corporations or corporate entities (collectively referred to as the “Corporate Entities”) and, as such, are subject to corporate level U.S. in</w:t>
      </w:r>
      <w:r>
        <w:rPr>
          <w:sz w:val="20"/>
          <w:szCs w:val="20"/>
        </w:rPr>
        <w:t>come tax</w:t>
      </w:r>
      <w:r>
        <w:rPr>
          <w:sz w:val="20"/>
          <w:szCs w:val="20"/>
        </w:rPr>
        <w:t>.</w:t>
      </w:r>
    </w:p>
    <w:p w14:paraId="46F1AB19" w14:textId="77777777" w:rsidR="00000000" w:rsidRDefault="00832D71">
      <w:pPr>
        <w:pStyle w:val="a3"/>
        <w:spacing w:before="240" w:beforeAutospacing="0" w:after="0" w:afterAutospacing="0"/>
        <w:jc w:val="both"/>
        <w:divId w:val="504785563"/>
        <w:rPr>
          <w:sz w:val="20"/>
          <w:szCs w:val="20"/>
        </w:rPr>
      </w:pPr>
      <w:r>
        <w:rPr>
          <w:sz w:val="20"/>
          <w:szCs w:val="20"/>
        </w:rPr>
        <w:t>Suburban Energy Finance Corp., a direct</w:t>
      </w:r>
      <w:r>
        <w:rPr>
          <w:sz w:val="20"/>
          <w:szCs w:val="20"/>
        </w:rPr>
        <w:t xml:space="preserve"> </w:t>
      </w:r>
      <w:r>
        <w:rPr>
          <w:sz w:val="20"/>
          <w:szCs w:val="20"/>
        </w:rPr>
        <w:t>10</w:t>
      </w:r>
      <w:r>
        <w:rPr>
          <w:sz w:val="20"/>
          <w:szCs w:val="20"/>
        </w:rPr>
        <w:t>0</w:t>
      </w:r>
      <w:r>
        <w:rPr>
          <w:sz w:val="20"/>
          <w:szCs w:val="20"/>
        </w:rPr>
        <w:t>%-owned subsidiary of the Partnership, was formed on November 26, 2003 to serve as co-issuer, jointly and severally with the Partnership, of the Partnership’s senior notes</w:t>
      </w:r>
      <w:r>
        <w:rPr>
          <w:sz w:val="20"/>
          <w:szCs w:val="20"/>
        </w:rPr>
        <w:t>.</w:t>
      </w:r>
    </w:p>
    <w:p w14:paraId="403DAEC8" w14:textId="77777777" w:rsidR="00000000" w:rsidRDefault="00832D71">
      <w:pPr>
        <w:pStyle w:val="a3"/>
        <w:spacing w:before="240" w:beforeAutospacing="0" w:after="0" w:afterAutospacing="0"/>
        <w:jc w:val="both"/>
        <w:divId w:val="504785563"/>
        <w:rPr>
          <w:sz w:val="20"/>
          <w:szCs w:val="20"/>
        </w:rPr>
      </w:pPr>
      <w:r>
        <w:rPr>
          <w:sz w:val="20"/>
          <w:szCs w:val="20"/>
        </w:rPr>
        <w:t>The Partnership serves approxi</w:t>
      </w:r>
      <w:r>
        <w:rPr>
          <w:sz w:val="20"/>
          <w:szCs w:val="20"/>
        </w:rPr>
        <w:t>mately</w:t>
      </w:r>
      <w:r>
        <w:rPr>
          <w:sz w:val="20"/>
          <w:szCs w:val="20"/>
        </w:rPr>
        <w:t xml:space="preserve"> </w:t>
      </w:r>
      <w:r>
        <w:rPr>
          <w:sz w:val="20"/>
          <w:szCs w:val="20"/>
        </w:rPr>
        <w:t>1.</w:t>
      </w:r>
      <w:r>
        <w:rPr>
          <w:sz w:val="20"/>
          <w:szCs w:val="20"/>
        </w:rPr>
        <w:t>0</w:t>
      </w:r>
      <w:r>
        <w:rPr>
          <w:sz w:val="20"/>
          <w:szCs w:val="20"/>
        </w:rPr>
        <w:t xml:space="preserve"> million residential, commercial, industrial and agricultural customers through approximately</w:t>
      </w:r>
      <w:r>
        <w:rPr>
          <w:sz w:val="20"/>
          <w:szCs w:val="20"/>
        </w:rPr>
        <w:t xml:space="preserve"> </w:t>
      </w:r>
      <w:r>
        <w:rPr>
          <w:sz w:val="20"/>
          <w:szCs w:val="20"/>
        </w:rPr>
        <w:t>70</w:t>
      </w:r>
      <w:r>
        <w:rPr>
          <w:sz w:val="20"/>
          <w:szCs w:val="20"/>
        </w:rPr>
        <w:t>0</w:t>
      </w:r>
      <w:r>
        <w:rPr>
          <w:sz w:val="20"/>
          <w:szCs w:val="20"/>
        </w:rPr>
        <w:t xml:space="preserve"> locations in</w:t>
      </w:r>
      <w:r>
        <w:rPr>
          <w:sz w:val="20"/>
          <w:szCs w:val="20"/>
        </w:rPr>
        <w:t xml:space="preserve"> </w:t>
      </w:r>
      <w:r>
        <w:rPr>
          <w:sz w:val="20"/>
          <w:szCs w:val="20"/>
        </w:rPr>
        <w:t>4</w:t>
      </w:r>
      <w:r>
        <w:rPr>
          <w:sz w:val="20"/>
          <w:szCs w:val="20"/>
        </w:rPr>
        <w:t>2</w:t>
      </w:r>
      <w:r>
        <w:rPr>
          <w:sz w:val="20"/>
          <w:szCs w:val="20"/>
        </w:rPr>
        <w:t xml:space="preserve"> states. The Partnership’s operations are principally concentrated in the east and west coast regions of the United States, as well a</w:t>
      </w:r>
      <w:r>
        <w:rPr>
          <w:sz w:val="20"/>
          <w:szCs w:val="20"/>
        </w:rPr>
        <w:t>s portions of the Midwest region of the United States and Alaska. No single customer accounted for 10% or more of the Partnership’s revenues during fiscal 2022, 202</w:t>
      </w:r>
      <w:r>
        <w:rPr>
          <w:sz w:val="20"/>
          <w:szCs w:val="20"/>
        </w:rPr>
        <w:t>1</w:t>
      </w:r>
      <w:r>
        <w:rPr>
          <w:sz w:val="20"/>
          <w:szCs w:val="20"/>
        </w:rPr>
        <w:t xml:space="preserve"> or 2020</w:t>
      </w:r>
      <w:r>
        <w:rPr>
          <w:sz w:val="20"/>
          <w:szCs w:val="20"/>
        </w:rPr>
        <w:t>.</w:t>
      </w:r>
    </w:p>
    <w:p w14:paraId="1966FA30" w14:textId="77777777" w:rsidR="00000000" w:rsidRDefault="00832D71">
      <w:pPr>
        <w:pStyle w:val="a3"/>
        <w:spacing w:before="0" w:beforeAutospacing="0" w:after="0" w:afterAutospacing="0"/>
        <w:rPr>
          <w:sz w:val="20"/>
          <w:szCs w:val="20"/>
        </w:rPr>
      </w:pPr>
      <w:r>
        <w:rPr>
          <w:sz w:val="20"/>
          <w:szCs w:val="20"/>
        </w:rPr>
        <w:t> </w:t>
      </w:r>
    </w:p>
    <w:p w14:paraId="1E98BA83" w14:textId="77777777" w:rsidR="00000000" w:rsidRDefault="00832D71">
      <w:pPr>
        <w:pStyle w:val="a3"/>
        <w:spacing w:before="180" w:beforeAutospacing="0" w:after="0" w:afterAutospacing="0"/>
        <w:ind w:hanging="581"/>
        <w:jc w:val="both"/>
        <w:divId w:val="1462528966"/>
        <w:rPr>
          <w:sz w:val="20"/>
          <w:szCs w:val="20"/>
        </w:rPr>
      </w:pPr>
      <w:r>
        <w:rPr>
          <w:b/>
          <w:bCs/>
          <w:sz w:val="20"/>
          <w:szCs w:val="20"/>
        </w:rPr>
        <w:t>2. Summary of Significant Accounting Policie</w:t>
      </w:r>
      <w:r>
        <w:rPr>
          <w:b/>
          <w:bCs/>
          <w:sz w:val="20"/>
          <w:szCs w:val="20"/>
        </w:rPr>
        <w:t>s</w:t>
      </w:r>
    </w:p>
    <w:p w14:paraId="6437FA78" w14:textId="77777777" w:rsidR="00000000" w:rsidRDefault="00832D71">
      <w:pPr>
        <w:pStyle w:val="a3"/>
        <w:spacing w:before="120" w:beforeAutospacing="0" w:after="0" w:afterAutospacing="0"/>
        <w:jc w:val="both"/>
        <w:divId w:val="1749116048"/>
        <w:rPr>
          <w:sz w:val="20"/>
          <w:szCs w:val="20"/>
        </w:rPr>
      </w:pPr>
      <w:r>
        <w:rPr>
          <w:b/>
          <w:bCs/>
          <w:sz w:val="20"/>
          <w:szCs w:val="20"/>
        </w:rPr>
        <w:t>Principles of Consolidation</w:t>
      </w:r>
      <w:r>
        <w:rPr>
          <w:b/>
          <w:bCs/>
          <w:sz w:val="20"/>
          <w:szCs w:val="20"/>
        </w:rPr>
        <w:t>.</w:t>
      </w:r>
      <w:r>
        <w:rPr>
          <w:sz w:val="20"/>
          <w:szCs w:val="20"/>
        </w:rPr>
        <w:t xml:space="preserve"> The consolidated financial statements include the accounts of the Partnership, the Operating Partnership and all of its direct and indirect subsidiaries. All significant intercompany transactions and account balances have been </w:t>
      </w:r>
      <w:r>
        <w:rPr>
          <w:sz w:val="20"/>
          <w:szCs w:val="20"/>
        </w:rPr>
        <w:t>eliminated. The Partnership consolidates the results of operations, financial condition and cash flows of the Operating Partnership as a result of the Partnership’s</w:t>
      </w:r>
      <w:r>
        <w:rPr>
          <w:sz w:val="20"/>
          <w:szCs w:val="20"/>
        </w:rPr>
        <w:t xml:space="preserve"> </w:t>
      </w:r>
      <w:r>
        <w:rPr>
          <w:sz w:val="20"/>
          <w:szCs w:val="20"/>
        </w:rPr>
        <w:t>10</w:t>
      </w:r>
      <w:r>
        <w:rPr>
          <w:sz w:val="20"/>
          <w:szCs w:val="20"/>
        </w:rPr>
        <w:t>0</w:t>
      </w:r>
      <w:r>
        <w:rPr>
          <w:sz w:val="20"/>
          <w:szCs w:val="20"/>
        </w:rPr>
        <w:t>% limited partner interest in the Operating Partnership</w:t>
      </w:r>
      <w:r>
        <w:rPr>
          <w:sz w:val="20"/>
          <w:szCs w:val="20"/>
        </w:rPr>
        <w:t>.</w:t>
      </w:r>
    </w:p>
    <w:p w14:paraId="5290C75A" w14:textId="77777777" w:rsidR="00000000" w:rsidRDefault="00832D71">
      <w:pPr>
        <w:pStyle w:val="a3"/>
        <w:spacing w:before="240" w:beforeAutospacing="0" w:after="0" w:afterAutospacing="0"/>
        <w:jc w:val="both"/>
        <w:divId w:val="380324892"/>
        <w:rPr>
          <w:sz w:val="20"/>
          <w:szCs w:val="20"/>
        </w:rPr>
      </w:pPr>
      <w:r>
        <w:rPr>
          <w:b/>
          <w:bCs/>
          <w:sz w:val="20"/>
          <w:szCs w:val="20"/>
        </w:rPr>
        <w:t>Fiscal Period</w:t>
      </w:r>
      <w:r>
        <w:rPr>
          <w:b/>
          <w:bCs/>
          <w:sz w:val="20"/>
          <w:szCs w:val="20"/>
        </w:rPr>
        <w:t>.</w:t>
      </w:r>
      <w:r>
        <w:rPr>
          <w:sz w:val="20"/>
          <w:szCs w:val="20"/>
        </w:rPr>
        <w:t xml:space="preserve"> The Partnership </w:t>
      </w:r>
      <w:r>
        <w:rPr>
          <w:sz w:val="20"/>
          <w:szCs w:val="20"/>
        </w:rPr>
        <w:t>uses a</w:t>
      </w:r>
      <w:r>
        <w:rPr>
          <w:sz w:val="20"/>
          <w:szCs w:val="20"/>
        </w:rPr>
        <w:t xml:space="preserve"> </w:t>
      </w:r>
      <w:r>
        <w:rPr>
          <w:sz w:val="20"/>
          <w:szCs w:val="20"/>
        </w:rPr>
        <w:t>5</w:t>
      </w:r>
      <w:r>
        <w:rPr>
          <w:sz w:val="20"/>
          <w:szCs w:val="20"/>
        </w:rPr>
        <w:t>2</w:t>
      </w:r>
      <w:r>
        <w:rPr>
          <w:sz w:val="20"/>
          <w:szCs w:val="20"/>
        </w:rPr>
        <w:t>/</w:t>
      </w:r>
      <w:r>
        <w:rPr>
          <w:sz w:val="20"/>
          <w:szCs w:val="20"/>
        </w:rPr>
        <w:t>5</w:t>
      </w:r>
      <w:r>
        <w:rPr>
          <w:sz w:val="20"/>
          <w:szCs w:val="20"/>
        </w:rPr>
        <w:t>3</w:t>
      </w:r>
      <w:r>
        <w:rPr>
          <w:sz w:val="20"/>
          <w:szCs w:val="20"/>
        </w:rPr>
        <w:t xml:space="preserve"> week fiscal year which ends on the last Saturday in September. The Partnership’s fiscal quarters are generally</w:t>
      </w:r>
      <w:r>
        <w:rPr>
          <w:sz w:val="20"/>
          <w:szCs w:val="20"/>
        </w:rPr>
        <w:t xml:space="preserve"> </w:t>
      </w:r>
      <w:r>
        <w:rPr>
          <w:sz w:val="20"/>
          <w:szCs w:val="20"/>
        </w:rPr>
        <w:t>1</w:t>
      </w:r>
      <w:r>
        <w:rPr>
          <w:sz w:val="20"/>
          <w:szCs w:val="20"/>
        </w:rPr>
        <w:t>3</w:t>
      </w:r>
      <w:r>
        <w:rPr>
          <w:sz w:val="20"/>
          <w:szCs w:val="20"/>
        </w:rPr>
        <w:t xml:space="preserve"> weeks in duration. When the Partnership’s fiscal year is 53 weeks long, as will be the case for fiscal 2023, the corresponding fo</w:t>
      </w:r>
      <w:r>
        <w:rPr>
          <w:sz w:val="20"/>
          <w:szCs w:val="20"/>
        </w:rPr>
        <w:t>urth quarter is</w:t>
      </w:r>
      <w:r>
        <w:rPr>
          <w:sz w:val="20"/>
          <w:szCs w:val="20"/>
        </w:rPr>
        <w:t xml:space="preserve"> </w:t>
      </w:r>
      <w:r>
        <w:rPr>
          <w:sz w:val="20"/>
          <w:szCs w:val="20"/>
        </w:rPr>
        <w:t>1</w:t>
      </w:r>
      <w:r>
        <w:rPr>
          <w:sz w:val="20"/>
          <w:szCs w:val="20"/>
        </w:rPr>
        <w:t>4</w:t>
      </w:r>
      <w:r>
        <w:rPr>
          <w:sz w:val="20"/>
          <w:szCs w:val="20"/>
        </w:rPr>
        <w:t xml:space="preserve"> weeks in duration. Fiscal 2022, 2021 and 2020 included 52 weeks of operations</w:t>
      </w:r>
      <w:r>
        <w:rPr>
          <w:sz w:val="20"/>
          <w:szCs w:val="20"/>
        </w:rPr>
        <w:t>.</w:t>
      </w:r>
    </w:p>
    <w:p w14:paraId="173CA7E8" w14:textId="77777777" w:rsidR="00000000" w:rsidRDefault="00832D71">
      <w:pPr>
        <w:pStyle w:val="a3"/>
        <w:spacing w:before="200" w:beforeAutospacing="0" w:after="0" w:afterAutospacing="0"/>
        <w:jc w:val="center"/>
        <w:divId w:val="1462528966"/>
        <w:rPr>
          <w:sz w:val="20"/>
          <w:szCs w:val="20"/>
        </w:rPr>
      </w:pPr>
      <w:r>
        <w:rPr>
          <w:sz w:val="20"/>
          <w:szCs w:val="20"/>
        </w:rPr>
        <w:t>F</w:t>
      </w:r>
      <w:r>
        <w:rPr>
          <w:sz w:val="20"/>
          <w:szCs w:val="20"/>
        </w:rPr>
        <w:t>-</w:t>
      </w:r>
      <w:r>
        <w:rPr>
          <w:sz w:val="20"/>
          <w:szCs w:val="20"/>
        </w:rPr>
        <w:t>9</w:t>
      </w:r>
    </w:p>
    <w:p w14:paraId="0D022B74" w14:textId="77777777" w:rsidR="00000000" w:rsidRDefault="00832D71">
      <w:pPr>
        <w:divId w:val="1462528966"/>
        <w:rPr>
          <w:rFonts w:eastAsia="Times New Roman"/>
        </w:rPr>
      </w:pPr>
      <w:r>
        <w:rPr>
          <w:rFonts w:eastAsia="Times New Roman"/>
        </w:rPr>
        <w:pict w14:anchorId="2C9C2857">
          <v:rect id="_x0000_i1128" style="width:0;height:1.5pt" o:hralign="center" o:hrstd="t" o:hr="t" fillcolor="#a0a0a0" stroked="f"/>
        </w:pict>
      </w:r>
    </w:p>
    <w:p w14:paraId="2749AF26" w14:textId="77777777" w:rsidR="00000000" w:rsidRDefault="00832D71">
      <w:pPr>
        <w:pStyle w:val="a3"/>
        <w:spacing w:before="0" w:beforeAutospacing="0" w:after="0" w:afterAutospacing="0"/>
        <w:divId w:val="1462528966"/>
        <w:rPr>
          <w:sz w:val="20"/>
          <w:szCs w:val="20"/>
        </w:rPr>
      </w:pPr>
      <w:r>
        <w:rPr>
          <w:sz w:val="20"/>
          <w:szCs w:val="20"/>
        </w:rPr>
        <w:t> </w:t>
      </w:r>
    </w:p>
    <w:p w14:paraId="50D10C83" w14:textId="77777777" w:rsidR="00000000" w:rsidRDefault="00832D71">
      <w:pPr>
        <w:pStyle w:val="a3"/>
        <w:spacing w:before="240" w:beforeAutospacing="0" w:after="0" w:afterAutospacing="0"/>
        <w:jc w:val="both"/>
        <w:divId w:val="2097944373"/>
        <w:rPr>
          <w:sz w:val="20"/>
          <w:szCs w:val="20"/>
        </w:rPr>
      </w:pPr>
      <w:r>
        <w:rPr>
          <w:b/>
          <w:bCs/>
          <w:sz w:val="20"/>
          <w:szCs w:val="20"/>
        </w:rPr>
        <w:t>Revenue Recognition</w:t>
      </w:r>
      <w:r>
        <w:rPr>
          <w:b/>
          <w:bCs/>
          <w:sz w:val="20"/>
          <w:szCs w:val="20"/>
        </w:rPr>
        <w:t>.</w:t>
      </w:r>
      <w:r>
        <w:rPr>
          <w:sz w:val="20"/>
          <w:szCs w:val="20"/>
        </w:rPr>
        <w:t xml:space="preserve"> The Partnership recognizes revenue pursuant to the requirements of Financial Accounting Standar</w:t>
      </w:r>
      <w:r>
        <w:rPr>
          <w:sz w:val="20"/>
          <w:szCs w:val="20"/>
        </w:rPr>
        <w:t>ds Board (“FASB”) Topic 606 – Revenue from Contracts with Customers (“Topic 606”) and all related amendments. Topic 606 provides a five-step model to be applied to all contracts with customers. The five steps are to identify the contract(s) with the custom</w:t>
      </w:r>
      <w:r>
        <w:rPr>
          <w:sz w:val="20"/>
          <w:szCs w:val="20"/>
        </w:rPr>
        <w:t>er, identify the performance obligations in the contract, determine the transaction price, allocate the transaction price to the performance obligations in the contract and recognize revenue when each performance obligation is satisfied</w:t>
      </w:r>
      <w:r>
        <w:rPr>
          <w:sz w:val="20"/>
          <w:szCs w:val="20"/>
        </w:rPr>
        <w:t>.</w:t>
      </w:r>
    </w:p>
    <w:p w14:paraId="7ED9D0E8" w14:textId="77777777" w:rsidR="00000000" w:rsidRDefault="00832D71">
      <w:pPr>
        <w:pStyle w:val="a3"/>
        <w:spacing w:before="240" w:beforeAutospacing="0" w:after="0" w:afterAutospacing="0"/>
        <w:jc w:val="both"/>
        <w:divId w:val="2097944373"/>
        <w:rPr>
          <w:sz w:val="20"/>
          <w:szCs w:val="20"/>
        </w:rPr>
      </w:pPr>
      <w:r>
        <w:rPr>
          <w:sz w:val="20"/>
          <w:szCs w:val="20"/>
        </w:rPr>
        <w:t>Revenue is recogni</w:t>
      </w:r>
      <w:r>
        <w:rPr>
          <w:sz w:val="20"/>
          <w:szCs w:val="20"/>
        </w:rPr>
        <w:t>zed by the Partnership when goods or services promised in a contract with a customer have been transferred, and no further performance obligation on that transfer is required, in an amount that reflects the consideration expected to be received. Performanc</w:t>
      </w:r>
      <w:r>
        <w:rPr>
          <w:sz w:val="20"/>
          <w:szCs w:val="20"/>
        </w:rPr>
        <w:t>e obligations are determined and evaluated based on the specific terms of the arrangements and the distinct products and services offered. Due to the nature of the retail business of the Partnership, there are no remaining or unsatisfied performance obliga</w:t>
      </w:r>
      <w:r>
        <w:rPr>
          <w:sz w:val="20"/>
          <w:szCs w:val="20"/>
        </w:rPr>
        <w:t>tions as of the end of the reporting period, except for tank rental agreements, maintenance service contracts, fixed price contracts and budgetary programs, as described below. The performance obligation associated with sales of propane, fuel oil and refin</w:t>
      </w:r>
      <w:r>
        <w:rPr>
          <w:sz w:val="20"/>
          <w:szCs w:val="20"/>
        </w:rPr>
        <w:t>ed fuels is met at the time product is delivered to the customer. Revenue from the sale of appliances and equipment is recognized at the time of sale or when installation is complete, as defined by the performance obligations included within the related cu</w:t>
      </w:r>
      <w:r>
        <w:rPr>
          <w:sz w:val="20"/>
          <w:szCs w:val="20"/>
        </w:rPr>
        <w:t>stomer contract. Revenue from repairs, maintenance and other service activities is recognized upon completion of the service. Revenue from the sale of natural gas and electricity is recognized based on customer usage as determined by meter readings for amo</w:t>
      </w:r>
      <w:r>
        <w:rPr>
          <w:sz w:val="20"/>
          <w:szCs w:val="20"/>
        </w:rPr>
        <w:t>unts delivered, an immaterial amount of which may be unbilled at the end of each accounting period</w:t>
      </w:r>
      <w:r>
        <w:rPr>
          <w:sz w:val="20"/>
          <w:szCs w:val="20"/>
        </w:rPr>
        <w:t>.</w:t>
      </w:r>
    </w:p>
    <w:p w14:paraId="053053E3" w14:textId="77777777" w:rsidR="00000000" w:rsidRDefault="00832D71">
      <w:pPr>
        <w:pStyle w:val="a3"/>
        <w:spacing w:before="240" w:beforeAutospacing="0" w:after="0" w:afterAutospacing="0"/>
        <w:jc w:val="both"/>
        <w:divId w:val="2097944373"/>
        <w:rPr>
          <w:sz w:val="20"/>
          <w:szCs w:val="20"/>
        </w:rPr>
      </w:pPr>
      <w:r>
        <w:rPr>
          <w:sz w:val="20"/>
          <w:szCs w:val="20"/>
        </w:rPr>
        <w:t>The Partnership defers the recognition of revenue for annually billed tank rent, maintenance service contracts, fixed price contracts and budgetary programs</w:t>
      </w:r>
      <w:r>
        <w:rPr>
          <w:sz w:val="20"/>
          <w:szCs w:val="20"/>
        </w:rPr>
        <w:t xml:space="preserve"> where customer consideration is received at the start of the contract period, establishing contract liabilities which are disclosed as customer deposits and advances on the consolidated balance sheets. Deliveries to customers enrolled in budgetary program</w:t>
      </w:r>
      <w:r>
        <w:rPr>
          <w:sz w:val="20"/>
          <w:szCs w:val="20"/>
        </w:rPr>
        <w:t>s that exceed billings to those customers establish contract assets which are included in accounts receivable on the consolidated balance sheets. The Partnership ratably recognizes revenue over the applicable term for tank rent and maintenance service agre</w:t>
      </w:r>
      <w:r>
        <w:rPr>
          <w:sz w:val="20"/>
          <w:szCs w:val="20"/>
        </w:rPr>
        <w:t>ements, which is generally one year, and at the time of delivery for fixed price contracts and budgetary programs</w:t>
      </w:r>
      <w:r>
        <w:rPr>
          <w:sz w:val="20"/>
          <w:szCs w:val="20"/>
        </w:rPr>
        <w:t>.</w:t>
      </w:r>
      <w:r>
        <w:rPr>
          <w:sz w:val="20"/>
          <w:szCs w:val="20"/>
        </w:rPr>
        <w:t xml:space="preserve"> </w:t>
      </w:r>
    </w:p>
    <w:p w14:paraId="2A0EEBD4" w14:textId="77777777" w:rsidR="00000000" w:rsidRDefault="00832D71">
      <w:pPr>
        <w:pStyle w:val="a3"/>
        <w:spacing w:before="240" w:beforeAutospacing="0" w:after="0" w:afterAutospacing="0"/>
        <w:jc w:val="both"/>
        <w:divId w:val="2097944373"/>
        <w:rPr>
          <w:sz w:val="20"/>
          <w:szCs w:val="20"/>
        </w:rPr>
      </w:pPr>
      <w:r>
        <w:rPr>
          <w:sz w:val="20"/>
          <w:szCs w:val="20"/>
        </w:rPr>
        <w:t>The Partnership incurs incremental direct costs, such as commissions to its salesforce, to obtain certain contracts. These costs are expense</w:t>
      </w:r>
      <w:r>
        <w:rPr>
          <w:sz w:val="20"/>
          <w:szCs w:val="20"/>
        </w:rPr>
        <w:t xml:space="preserve">d as incurred, consistent with the practical expedients issued by the FASB, since the expected amortization period is one year or less. The Partnership generally determines selling prices based on, among other things, the current weighted average cost and </w:t>
      </w:r>
      <w:r>
        <w:rPr>
          <w:sz w:val="20"/>
          <w:szCs w:val="20"/>
        </w:rPr>
        <w:t>the current replacement cost of the product at the time of delivery, plus an applicable margin. Except for tank rental agreements, maintenance service contracts, fixed price contracts and budgetary programs, customer payments for the satisfaction of a perf</w:t>
      </w:r>
      <w:r>
        <w:rPr>
          <w:sz w:val="20"/>
          <w:szCs w:val="20"/>
        </w:rPr>
        <w:t>ormance obligation are due upon receipt</w:t>
      </w:r>
      <w:r>
        <w:rPr>
          <w:sz w:val="20"/>
          <w:szCs w:val="20"/>
        </w:rPr>
        <w:t>.</w:t>
      </w:r>
    </w:p>
    <w:p w14:paraId="1979FEFB" w14:textId="77777777" w:rsidR="00000000" w:rsidRDefault="00832D71">
      <w:pPr>
        <w:pStyle w:val="a3"/>
        <w:spacing w:before="240" w:beforeAutospacing="0" w:after="0" w:afterAutospacing="0"/>
        <w:jc w:val="both"/>
        <w:divId w:val="2095473134"/>
        <w:rPr>
          <w:sz w:val="20"/>
          <w:szCs w:val="20"/>
        </w:rPr>
      </w:pPr>
      <w:r>
        <w:rPr>
          <w:b/>
          <w:bCs/>
          <w:sz w:val="20"/>
          <w:szCs w:val="20"/>
        </w:rPr>
        <w:t>Fair Value Measurements</w:t>
      </w:r>
      <w:r>
        <w:rPr>
          <w:b/>
          <w:bCs/>
          <w:sz w:val="20"/>
          <w:szCs w:val="20"/>
        </w:rPr>
        <w:t>.</w:t>
      </w:r>
      <w:r>
        <w:rPr>
          <w:sz w:val="20"/>
          <w:szCs w:val="20"/>
        </w:rPr>
        <w:t xml:space="preserve"> The Partnership measures certain of its assets and liabilities at fair value, which is defined as the price that would be received to sell an asset or paid to transfer a liability in an orde</w:t>
      </w:r>
      <w:r>
        <w:rPr>
          <w:sz w:val="20"/>
          <w:szCs w:val="20"/>
        </w:rPr>
        <w:t>rly transaction between market participants – in either the principal market or the most advantageous market. The principal market is the market with the greatest level of activity and volume for the asset or liability</w:t>
      </w:r>
      <w:r>
        <w:rPr>
          <w:sz w:val="20"/>
          <w:szCs w:val="20"/>
        </w:rPr>
        <w:t>.</w:t>
      </w:r>
    </w:p>
    <w:p w14:paraId="7837AA4A" w14:textId="77777777" w:rsidR="00000000" w:rsidRDefault="00832D71">
      <w:pPr>
        <w:pStyle w:val="a3"/>
        <w:spacing w:before="240" w:beforeAutospacing="0" w:after="0" w:afterAutospacing="0"/>
        <w:jc w:val="both"/>
        <w:divId w:val="2095473134"/>
        <w:rPr>
          <w:sz w:val="20"/>
          <w:szCs w:val="20"/>
        </w:rPr>
      </w:pPr>
      <w:r>
        <w:rPr>
          <w:sz w:val="20"/>
          <w:szCs w:val="20"/>
        </w:rPr>
        <w:t>The common framework for measuring f</w:t>
      </w:r>
      <w:r>
        <w:rPr>
          <w:sz w:val="20"/>
          <w:szCs w:val="20"/>
        </w:rPr>
        <w:t>air value utilizes a three-level hierarchy to prioritize the inputs used in the valuation techniques to derive fair values. The basis for fair value measurements for each level within the hierarchy is described below with Level 1 having the highest priorit</w:t>
      </w:r>
      <w:r>
        <w:rPr>
          <w:sz w:val="20"/>
          <w:szCs w:val="20"/>
        </w:rPr>
        <w:t>y and Level 3 having the lowest</w:t>
      </w:r>
      <w:r>
        <w:rPr>
          <w:sz w:val="20"/>
          <w:szCs w:val="20"/>
        </w:rPr>
        <w:t>.</w:t>
      </w:r>
    </w:p>
    <w:p w14:paraId="0A8CC130" w14:textId="77777777" w:rsidR="00000000" w:rsidRDefault="00832D71">
      <w:pPr>
        <w:jc w:val="both"/>
        <w:divId w:val="1711300446"/>
        <w:rPr>
          <w:rFonts w:eastAsia="Times New Roman"/>
          <w:sz w:val="20"/>
          <w:szCs w:val="20"/>
        </w:rPr>
      </w:pPr>
      <w:r>
        <w:rPr>
          <w:rFonts w:eastAsia="Times New Roman"/>
          <w:sz w:val="20"/>
          <w:szCs w:val="20"/>
        </w:rPr>
        <w:t>•</w:t>
      </w:r>
    </w:p>
    <w:p w14:paraId="54DBFBEB" w14:textId="77777777" w:rsidR="00000000" w:rsidRDefault="00832D71">
      <w:pPr>
        <w:jc w:val="both"/>
        <w:divId w:val="1331834269"/>
        <w:rPr>
          <w:rFonts w:eastAsia="Times New Roman"/>
          <w:sz w:val="20"/>
          <w:szCs w:val="20"/>
        </w:rPr>
      </w:pPr>
      <w:r>
        <w:rPr>
          <w:rFonts w:eastAsia="Times New Roman"/>
          <w:sz w:val="20"/>
          <w:szCs w:val="20"/>
        </w:rPr>
        <w:t>Level 1: Quoted prices in active markets for identical assets or liabilities</w:t>
      </w:r>
      <w:r>
        <w:rPr>
          <w:rFonts w:eastAsia="Times New Roman"/>
          <w:sz w:val="20"/>
          <w:szCs w:val="20"/>
        </w:rPr>
        <w:t>.</w:t>
      </w:r>
    </w:p>
    <w:p w14:paraId="165C4A07" w14:textId="77777777" w:rsidR="00000000" w:rsidRDefault="00832D71">
      <w:pPr>
        <w:jc w:val="both"/>
        <w:divId w:val="771050603"/>
        <w:rPr>
          <w:rFonts w:eastAsia="Times New Roman"/>
          <w:sz w:val="20"/>
          <w:szCs w:val="20"/>
        </w:rPr>
      </w:pPr>
      <w:r>
        <w:rPr>
          <w:rFonts w:eastAsia="Times New Roman"/>
          <w:sz w:val="20"/>
          <w:szCs w:val="20"/>
        </w:rPr>
        <w:t>•</w:t>
      </w:r>
    </w:p>
    <w:p w14:paraId="6D90B858" w14:textId="77777777" w:rsidR="00000000" w:rsidRDefault="00832D71">
      <w:pPr>
        <w:jc w:val="both"/>
        <w:divId w:val="773944513"/>
        <w:rPr>
          <w:rFonts w:eastAsia="Times New Roman"/>
          <w:sz w:val="20"/>
          <w:szCs w:val="20"/>
        </w:rPr>
      </w:pPr>
      <w:r>
        <w:rPr>
          <w:rFonts w:eastAsia="Times New Roman"/>
          <w:sz w:val="20"/>
          <w:szCs w:val="20"/>
        </w:rPr>
        <w:t>Level 2: Quoted prices in active markets for similar assets or liabilities; quoted prices for identical or similar instruments in markets tha</w:t>
      </w:r>
      <w:r>
        <w:rPr>
          <w:rFonts w:eastAsia="Times New Roman"/>
          <w:sz w:val="20"/>
          <w:szCs w:val="20"/>
        </w:rPr>
        <w:t>t are not active; and model-derived valuations in which all significant inputs are observable in active markets</w:t>
      </w:r>
      <w:r>
        <w:rPr>
          <w:rFonts w:eastAsia="Times New Roman"/>
          <w:sz w:val="20"/>
          <w:szCs w:val="20"/>
        </w:rPr>
        <w:t>.</w:t>
      </w:r>
    </w:p>
    <w:p w14:paraId="63FD04F3" w14:textId="77777777" w:rsidR="00000000" w:rsidRDefault="00832D71">
      <w:pPr>
        <w:jc w:val="both"/>
        <w:divId w:val="1240361965"/>
        <w:rPr>
          <w:rFonts w:eastAsia="Times New Roman"/>
          <w:sz w:val="20"/>
          <w:szCs w:val="20"/>
        </w:rPr>
      </w:pPr>
      <w:r>
        <w:rPr>
          <w:rFonts w:eastAsia="Times New Roman"/>
          <w:sz w:val="20"/>
          <w:szCs w:val="20"/>
        </w:rPr>
        <w:t>•</w:t>
      </w:r>
    </w:p>
    <w:p w14:paraId="7CB3B737" w14:textId="77777777" w:rsidR="00000000" w:rsidRDefault="00832D71">
      <w:pPr>
        <w:jc w:val="both"/>
        <w:divId w:val="1249656488"/>
        <w:rPr>
          <w:rFonts w:eastAsia="Times New Roman"/>
          <w:sz w:val="20"/>
          <w:szCs w:val="20"/>
        </w:rPr>
      </w:pPr>
      <w:r>
        <w:rPr>
          <w:rFonts w:eastAsia="Times New Roman"/>
          <w:sz w:val="20"/>
          <w:szCs w:val="20"/>
        </w:rPr>
        <w:t>Level 3: Valuations derived from valuation techniques in which one or more significant inputs are unobservable</w:t>
      </w:r>
      <w:r>
        <w:rPr>
          <w:rFonts w:eastAsia="Times New Roman"/>
          <w:sz w:val="20"/>
          <w:szCs w:val="20"/>
        </w:rPr>
        <w:t>.</w:t>
      </w:r>
    </w:p>
    <w:p w14:paraId="1588AA20" w14:textId="77777777" w:rsidR="00000000" w:rsidRDefault="00832D71">
      <w:pPr>
        <w:pStyle w:val="a3"/>
        <w:spacing w:before="240" w:beforeAutospacing="0" w:after="0" w:afterAutospacing="0"/>
        <w:jc w:val="both"/>
        <w:divId w:val="2046325366"/>
        <w:rPr>
          <w:sz w:val="20"/>
          <w:szCs w:val="20"/>
        </w:rPr>
      </w:pPr>
      <w:r>
        <w:rPr>
          <w:b/>
          <w:bCs/>
          <w:sz w:val="20"/>
          <w:szCs w:val="20"/>
        </w:rPr>
        <w:t>Business Combinations</w:t>
      </w:r>
      <w:r>
        <w:rPr>
          <w:b/>
          <w:bCs/>
          <w:sz w:val="20"/>
          <w:szCs w:val="20"/>
        </w:rPr>
        <w:t>.</w:t>
      </w:r>
      <w:r>
        <w:rPr>
          <w:sz w:val="20"/>
          <w:szCs w:val="20"/>
        </w:rPr>
        <w:t xml:space="preserve"> The Pa</w:t>
      </w:r>
      <w:r>
        <w:rPr>
          <w:sz w:val="20"/>
          <w:szCs w:val="20"/>
        </w:rPr>
        <w:t>rtnership accounts for business combinations using the acquisition method and accordingly, the assets and liabilities of the acquired entities are recorded at their estimated fair values at the acquisition date. Goodwill represents the excess of the purcha</w:t>
      </w:r>
      <w:r>
        <w:rPr>
          <w:sz w:val="20"/>
          <w:szCs w:val="20"/>
        </w:rPr>
        <w:t>se price over the fair value of the net assets acquired, including the amount assigned to identifiable intangible assets. The primary drivers that generate goodwill are the value of synergies between the acquired entities and the Partnership, and the acqui</w:t>
      </w:r>
      <w:r>
        <w:rPr>
          <w:sz w:val="20"/>
          <w:szCs w:val="20"/>
        </w:rPr>
        <w:t>red assembled workforce, neither of which qualifies as an identifiable intangible asset. Identifiable intangible assets with finite lives are amortized over their useful lives. The results of operations of acquired businesses are included in the consolidat</w:t>
      </w:r>
      <w:r>
        <w:rPr>
          <w:sz w:val="20"/>
          <w:szCs w:val="20"/>
        </w:rPr>
        <w:t>ed financial statements from the acquisition date. The Partnership expenses all acquisition-related costs as incurred</w:t>
      </w:r>
      <w:r>
        <w:rPr>
          <w:sz w:val="20"/>
          <w:szCs w:val="20"/>
        </w:rPr>
        <w:t>.</w:t>
      </w:r>
      <w:r>
        <w:rPr>
          <w:sz w:val="20"/>
          <w:szCs w:val="20"/>
        </w:rPr>
        <w:t xml:space="preserve"> </w:t>
      </w:r>
    </w:p>
    <w:p w14:paraId="36F34BE4" w14:textId="77777777" w:rsidR="00000000" w:rsidRDefault="00832D71">
      <w:pPr>
        <w:pStyle w:val="a3"/>
        <w:spacing w:before="240" w:beforeAutospacing="0" w:after="0" w:afterAutospacing="0"/>
        <w:jc w:val="both"/>
        <w:divId w:val="1083920034"/>
        <w:rPr>
          <w:sz w:val="20"/>
          <w:szCs w:val="20"/>
        </w:rPr>
      </w:pPr>
      <w:r>
        <w:rPr>
          <w:b/>
          <w:bCs/>
          <w:sz w:val="20"/>
          <w:szCs w:val="20"/>
        </w:rPr>
        <w:t>Use of Estimates</w:t>
      </w:r>
      <w:r>
        <w:rPr>
          <w:b/>
          <w:bCs/>
          <w:sz w:val="20"/>
          <w:szCs w:val="20"/>
        </w:rPr>
        <w:t>.</w:t>
      </w:r>
      <w:r>
        <w:rPr>
          <w:sz w:val="20"/>
          <w:szCs w:val="20"/>
        </w:rPr>
        <w:t xml:space="preserve"> </w:t>
      </w:r>
      <w:r>
        <w:rPr>
          <w:sz w:val="20"/>
          <w:szCs w:val="20"/>
        </w:rPr>
        <w:t>The preparation of financial statements in conformity with accounting principles generally accepted in the United Stat</w:t>
      </w:r>
      <w:r>
        <w:rPr>
          <w:sz w:val="20"/>
          <w:szCs w:val="20"/>
        </w:rPr>
        <w:t xml:space="preserve">es of America (“US GAAP”) requires management to make estimates and assumptions that affect the reported amounts of assets and liabilities and disclosure of contingent assets and liabilities at the date of the financial statements and the reported amounts </w:t>
      </w:r>
      <w:r>
        <w:rPr>
          <w:sz w:val="20"/>
          <w:szCs w:val="20"/>
        </w:rPr>
        <w:t>of revenues and expenses during the reporting period. Estimates have been made by management in the areas of self-insurance and litigation reserves, pension and other postretirement benefit liabilities and costs, valuation of derivative instruments, deprec</w:t>
      </w:r>
      <w:r>
        <w:rPr>
          <w:sz w:val="20"/>
          <w:szCs w:val="20"/>
        </w:rPr>
        <w:t>iation an</w:t>
      </w:r>
      <w:r>
        <w:rPr>
          <w:sz w:val="20"/>
          <w:szCs w:val="20"/>
        </w:rPr>
        <w:t>d</w:t>
      </w:r>
      <w:r>
        <w:rPr>
          <w:sz w:val="20"/>
          <w:szCs w:val="20"/>
        </w:rPr>
        <w:t xml:space="preserve"> </w:t>
      </w:r>
    </w:p>
    <w:p w14:paraId="2EB3417F" w14:textId="77777777" w:rsidR="00000000" w:rsidRDefault="00832D71">
      <w:pPr>
        <w:pStyle w:val="a3"/>
        <w:spacing w:before="200" w:beforeAutospacing="0" w:after="0" w:afterAutospacing="0"/>
        <w:jc w:val="center"/>
        <w:divId w:val="1083920034"/>
        <w:rPr>
          <w:sz w:val="20"/>
          <w:szCs w:val="20"/>
        </w:rPr>
      </w:pPr>
      <w:r>
        <w:rPr>
          <w:sz w:val="20"/>
          <w:szCs w:val="20"/>
        </w:rPr>
        <w:t>F</w:t>
      </w:r>
      <w:r>
        <w:rPr>
          <w:sz w:val="20"/>
          <w:szCs w:val="20"/>
        </w:rPr>
        <w:t>-</w:t>
      </w:r>
      <w:r>
        <w:rPr>
          <w:sz w:val="20"/>
          <w:szCs w:val="20"/>
        </w:rPr>
        <w:t>1</w:t>
      </w:r>
      <w:r>
        <w:rPr>
          <w:sz w:val="20"/>
          <w:szCs w:val="20"/>
        </w:rPr>
        <w:t>0</w:t>
      </w:r>
    </w:p>
    <w:p w14:paraId="2DE46C8B" w14:textId="77777777" w:rsidR="00000000" w:rsidRDefault="00832D71">
      <w:pPr>
        <w:divId w:val="1083920034"/>
        <w:rPr>
          <w:rFonts w:eastAsia="Times New Roman"/>
          <w:sz w:val="20"/>
          <w:szCs w:val="20"/>
        </w:rPr>
      </w:pPr>
      <w:r>
        <w:rPr>
          <w:rFonts w:eastAsia="Times New Roman"/>
          <w:sz w:val="20"/>
          <w:szCs w:val="20"/>
        </w:rPr>
        <w:pict w14:anchorId="7DC45004">
          <v:rect id="_x0000_i1129" style="width:0;height:1.5pt" o:hralign="center" o:hrstd="t" o:hr="t" fillcolor="#a0a0a0" stroked="f"/>
        </w:pict>
      </w:r>
    </w:p>
    <w:p w14:paraId="2F24EE4F" w14:textId="77777777" w:rsidR="00000000" w:rsidRDefault="00832D71">
      <w:pPr>
        <w:pStyle w:val="a3"/>
        <w:spacing w:before="0" w:beforeAutospacing="0" w:after="0" w:afterAutospacing="0"/>
        <w:divId w:val="1083920034"/>
        <w:rPr>
          <w:sz w:val="20"/>
          <w:szCs w:val="20"/>
        </w:rPr>
      </w:pPr>
      <w:r>
        <w:rPr>
          <w:sz w:val="20"/>
          <w:szCs w:val="20"/>
        </w:rPr>
        <w:t> </w:t>
      </w:r>
    </w:p>
    <w:p w14:paraId="36D71010" w14:textId="77777777" w:rsidR="00000000" w:rsidRDefault="00832D71">
      <w:pPr>
        <w:pStyle w:val="a3"/>
        <w:spacing w:before="240" w:beforeAutospacing="0" w:after="0" w:afterAutospacing="0"/>
        <w:jc w:val="both"/>
        <w:divId w:val="1083920034"/>
        <w:rPr>
          <w:sz w:val="20"/>
          <w:szCs w:val="20"/>
        </w:rPr>
      </w:pPr>
      <w:r>
        <w:rPr>
          <w:sz w:val="20"/>
          <w:szCs w:val="20"/>
        </w:rPr>
        <w:t>amortization</w:t>
      </w:r>
      <w:r>
        <w:rPr>
          <w:sz w:val="20"/>
          <w:szCs w:val="20"/>
        </w:rPr>
        <w:t xml:space="preserve"> </w:t>
      </w:r>
      <w:r>
        <w:rPr>
          <w:sz w:val="20"/>
          <w:szCs w:val="20"/>
        </w:rPr>
        <w:t>of long-lived assets, asset impairment assessments, tax valuation allowances, allowances for doubtful accounts, and purchase price allocation for acquired businesses. The Partnership uses Society of Actuaries life expectancy information when developing the</w:t>
      </w:r>
      <w:r>
        <w:rPr>
          <w:sz w:val="20"/>
          <w:szCs w:val="20"/>
        </w:rPr>
        <w:t xml:space="preserve"> annual mortality assumptions for the pension and postretirement benefit plans, which are used to measure net periodic benefit costs and the obligation under these plans. Actual results could differ from those estimates, making it reasonably possible that </w:t>
      </w:r>
      <w:r>
        <w:rPr>
          <w:sz w:val="20"/>
          <w:szCs w:val="20"/>
        </w:rPr>
        <w:t>a material change in these estimates could occur in the near term</w:t>
      </w:r>
      <w:r>
        <w:rPr>
          <w:sz w:val="20"/>
          <w:szCs w:val="20"/>
        </w:rPr>
        <w:t>.</w:t>
      </w:r>
    </w:p>
    <w:p w14:paraId="738FF499" w14:textId="77777777" w:rsidR="00000000" w:rsidRDefault="00832D71">
      <w:pPr>
        <w:pStyle w:val="a3"/>
        <w:spacing w:before="240" w:beforeAutospacing="0" w:after="0" w:afterAutospacing="0"/>
        <w:jc w:val="both"/>
        <w:divId w:val="940181580"/>
        <w:rPr>
          <w:sz w:val="20"/>
          <w:szCs w:val="20"/>
        </w:rPr>
      </w:pPr>
      <w:r>
        <w:rPr>
          <w:b/>
          <w:bCs/>
          <w:sz w:val="20"/>
          <w:szCs w:val="20"/>
        </w:rPr>
        <w:t>Cash and Cash Equivalents</w:t>
      </w:r>
      <w:r>
        <w:rPr>
          <w:b/>
          <w:bCs/>
          <w:sz w:val="20"/>
          <w:szCs w:val="20"/>
        </w:rPr>
        <w:t>.</w:t>
      </w:r>
      <w:r>
        <w:rPr>
          <w:sz w:val="20"/>
          <w:szCs w:val="20"/>
        </w:rPr>
        <w:t xml:space="preserve"> The Partnership considers all highly liquid instruments purchased with an original maturity of three months or less to be cash equivalents. The carrying amount ap</w:t>
      </w:r>
      <w:r>
        <w:rPr>
          <w:sz w:val="20"/>
          <w:szCs w:val="20"/>
        </w:rPr>
        <w:t>proximates fair value because of the short maturity of these instruments</w:t>
      </w:r>
      <w:r>
        <w:rPr>
          <w:sz w:val="20"/>
          <w:szCs w:val="20"/>
        </w:rPr>
        <w:t>.</w:t>
      </w:r>
    </w:p>
    <w:p w14:paraId="74A79A06" w14:textId="77777777" w:rsidR="00000000" w:rsidRDefault="00832D71">
      <w:pPr>
        <w:pStyle w:val="a3"/>
        <w:spacing w:before="240" w:beforeAutospacing="0" w:after="0" w:afterAutospacing="0"/>
        <w:jc w:val="both"/>
        <w:divId w:val="1307662747"/>
        <w:rPr>
          <w:sz w:val="20"/>
          <w:szCs w:val="20"/>
        </w:rPr>
      </w:pPr>
      <w:r>
        <w:rPr>
          <w:b/>
          <w:bCs/>
          <w:sz w:val="20"/>
          <w:szCs w:val="20"/>
        </w:rPr>
        <w:t>Inventories</w:t>
      </w:r>
      <w:r>
        <w:rPr>
          <w:b/>
          <w:bCs/>
          <w:sz w:val="20"/>
          <w:szCs w:val="20"/>
        </w:rPr>
        <w:t>.</w:t>
      </w:r>
      <w:r>
        <w:rPr>
          <w:sz w:val="20"/>
          <w:szCs w:val="20"/>
        </w:rPr>
        <w:t xml:space="preserve"> Inventories are stated at the lower of cost or market. Cost is determined using a weighted average method for propane, fuel oil and refined fuels and natural gas, and a </w:t>
      </w:r>
      <w:r>
        <w:rPr>
          <w:sz w:val="20"/>
          <w:szCs w:val="20"/>
        </w:rPr>
        <w:t>standard cost basis for appliances, which approximates average cost</w:t>
      </w:r>
      <w:r>
        <w:rPr>
          <w:sz w:val="20"/>
          <w:szCs w:val="20"/>
        </w:rPr>
        <w:t>.</w:t>
      </w:r>
    </w:p>
    <w:p w14:paraId="5CCCCF8A" w14:textId="77777777" w:rsidR="00000000" w:rsidRDefault="00832D71">
      <w:pPr>
        <w:pStyle w:val="a3"/>
        <w:spacing w:before="240" w:beforeAutospacing="0" w:after="0" w:afterAutospacing="0"/>
        <w:jc w:val="both"/>
        <w:divId w:val="573204762"/>
        <w:rPr>
          <w:sz w:val="20"/>
          <w:szCs w:val="20"/>
        </w:rPr>
      </w:pPr>
      <w:r>
        <w:rPr>
          <w:b/>
          <w:bCs/>
          <w:sz w:val="20"/>
          <w:szCs w:val="20"/>
        </w:rPr>
        <w:t>Derivative Instruments and Hedging Activitie</w:t>
      </w:r>
      <w:r>
        <w:rPr>
          <w:b/>
          <w:bCs/>
          <w:sz w:val="20"/>
          <w:szCs w:val="20"/>
        </w:rPr>
        <w:t>s</w:t>
      </w:r>
    </w:p>
    <w:p w14:paraId="3842C89C" w14:textId="77777777" w:rsidR="00000000" w:rsidRDefault="00832D71">
      <w:pPr>
        <w:pStyle w:val="a3"/>
        <w:spacing w:before="120" w:beforeAutospacing="0" w:after="0" w:afterAutospacing="0"/>
        <w:jc w:val="both"/>
        <w:divId w:val="573204762"/>
        <w:rPr>
          <w:sz w:val="20"/>
          <w:szCs w:val="20"/>
        </w:rPr>
      </w:pPr>
      <w:r>
        <w:rPr>
          <w:i/>
          <w:iCs/>
          <w:sz w:val="20"/>
          <w:szCs w:val="20"/>
        </w:rPr>
        <w:t>Commodity Price Risk</w:t>
      </w:r>
      <w:r>
        <w:rPr>
          <w:i/>
          <w:iCs/>
          <w:sz w:val="20"/>
          <w:szCs w:val="20"/>
        </w:rPr>
        <w:t>.</w:t>
      </w:r>
      <w:r>
        <w:rPr>
          <w:sz w:val="20"/>
          <w:szCs w:val="20"/>
        </w:rPr>
        <w:t xml:space="preserve"> Given the retail nature of its operations, the Partnership maintains a certain level of priced physical inventory to he</w:t>
      </w:r>
      <w:r>
        <w:rPr>
          <w:sz w:val="20"/>
          <w:szCs w:val="20"/>
        </w:rPr>
        <w:t>lp ensure its field operations have adequate supply commensurate with the time of year. The Partnership’s strategy is to keep its physical inventory priced relatively close to market for its field operations. The Partnership enters into a combination of ex</w:t>
      </w:r>
      <w:r>
        <w:rPr>
          <w:sz w:val="20"/>
          <w:szCs w:val="20"/>
        </w:rPr>
        <w:t>change-traded futures and option contracts and, in certain instances, over-the-counter options and swap contracts (collectively, “derivative instruments”) to hedge price risk associated with propane and fuel oil physical inventories, as well as future purc</w:t>
      </w:r>
      <w:r>
        <w:rPr>
          <w:sz w:val="20"/>
          <w:szCs w:val="20"/>
        </w:rPr>
        <w:t>hases of propane or fuel oil used in its operations and to help ensure adequate supply during periods of high demand. In addition, the Partnership sells propane and fuel oil to customers at fixed prices, and enters into derivative instruments to hedge a po</w:t>
      </w:r>
      <w:r>
        <w:rPr>
          <w:sz w:val="20"/>
          <w:szCs w:val="20"/>
        </w:rPr>
        <w:t>rtion of its exposure to fluctuations in commodity prices as a result of selling the fixed price contracts. Under this risk management strategy, realized gains or losses on derivative instruments will typically offset losses or gains on the physical invent</w:t>
      </w:r>
      <w:r>
        <w:rPr>
          <w:sz w:val="20"/>
          <w:szCs w:val="20"/>
        </w:rPr>
        <w:t>ory once the product is sold or delivered as it pertains to fixed price contracts. All of the Partnership’s derivative instruments are reported on the consolidated balance sheet at their fair values. In addition, in the course of normal operations, the Par</w:t>
      </w:r>
      <w:r>
        <w:rPr>
          <w:sz w:val="20"/>
          <w:szCs w:val="20"/>
        </w:rPr>
        <w:t>tnership routinely enters into contracts such as forward priced physical contracts for the purchase or sale of propane and fuel oil that qualify for and are designated as normal purchase or normal sale contracts. Such contracts are exempted from the fair v</w:t>
      </w:r>
      <w:r>
        <w:rPr>
          <w:sz w:val="20"/>
          <w:szCs w:val="20"/>
        </w:rPr>
        <w:t>alue accounting requirements and are accounted for at the time product is purchased or sold under the related contract. The Partnership does not use derivative instruments for speculative trading purposes. Market risks associated with derivative instrument</w:t>
      </w:r>
      <w:r>
        <w:rPr>
          <w:sz w:val="20"/>
          <w:szCs w:val="20"/>
        </w:rPr>
        <w:t>s are monitored daily for compliance with the Partnership’s Hedging and Risk Management Policy which includes volume limits for open positions. Priced on-hand inventory is also reviewed and managed daily as to exposures to changing market prices</w:t>
      </w:r>
      <w:r>
        <w:rPr>
          <w:sz w:val="20"/>
          <w:szCs w:val="20"/>
        </w:rPr>
        <w:t>.</w:t>
      </w:r>
    </w:p>
    <w:p w14:paraId="7516DC97" w14:textId="77777777" w:rsidR="00000000" w:rsidRDefault="00832D71">
      <w:pPr>
        <w:pStyle w:val="a3"/>
        <w:spacing w:before="240" w:beforeAutospacing="0" w:after="0" w:afterAutospacing="0"/>
        <w:jc w:val="both"/>
        <w:divId w:val="573204762"/>
        <w:rPr>
          <w:sz w:val="20"/>
          <w:szCs w:val="20"/>
        </w:rPr>
      </w:pPr>
      <w:r>
        <w:rPr>
          <w:sz w:val="20"/>
          <w:szCs w:val="20"/>
        </w:rPr>
        <w:t>On the da</w:t>
      </w:r>
      <w:r>
        <w:rPr>
          <w:sz w:val="20"/>
          <w:szCs w:val="20"/>
        </w:rPr>
        <w:t xml:space="preserve">te that derivative instruments are entered into, other than those designated as normal purchases or normal sales, the Partnership makes a determination as to whether the derivative instrument qualifies for designation as a hedge. Changes in the fair value </w:t>
      </w:r>
      <w:r>
        <w:rPr>
          <w:sz w:val="20"/>
          <w:szCs w:val="20"/>
        </w:rPr>
        <w:t>of derivative instruments are recorded each period in current period earnings or other comprehensive income (“OCI”), depending on whether the derivative instrument is designated as a hedge and, if so, the type of hedge. For derivative instruments designate</w:t>
      </w:r>
      <w:r>
        <w:rPr>
          <w:sz w:val="20"/>
          <w:szCs w:val="20"/>
        </w:rPr>
        <w:t>d as cash flow hedges, the Partnership formally assesses, both at the hedge contract’s inception and on an ongoing basis, whether the hedge contract is highly effective in offsetting changes in cash flows of hedged items. Changes in the fair value of deriv</w:t>
      </w:r>
      <w:r>
        <w:rPr>
          <w:sz w:val="20"/>
          <w:szCs w:val="20"/>
        </w:rPr>
        <w:t>ative instruments designated as cash flow hedges are reported in OCI to the extent effective and reclassified into earnings during the same period in which the hedged item affects earnings. The mark-to-market gains or losses on ineffective portions of cash</w:t>
      </w:r>
      <w:r>
        <w:rPr>
          <w:sz w:val="20"/>
          <w:szCs w:val="20"/>
        </w:rPr>
        <w:t xml:space="preserve"> flow hedges are recognized in earnings immediately. Changes in the fair value of derivative instruments that are not designated as cash flow hedges, and that do not meet the normal purchase and normal sale exemption, are recorded within earnings as they o</w:t>
      </w:r>
      <w:r>
        <w:rPr>
          <w:sz w:val="20"/>
          <w:szCs w:val="20"/>
        </w:rPr>
        <w:t>ccur. Cash flows associated with derivative instruments are reported as operating activities within the consolidated statement of cash flows</w:t>
      </w:r>
      <w:r>
        <w:rPr>
          <w:sz w:val="20"/>
          <w:szCs w:val="20"/>
        </w:rPr>
        <w:t>.</w:t>
      </w:r>
    </w:p>
    <w:p w14:paraId="0919777B" w14:textId="77777777" w:rsidR="00000000" w:rsidRDefault="00832D71">
      <w:pPr>
        <w:pStyle w:val="a3"/>
        <w:spacing w:before="240" w:beforeAutospacing="0" w:after="0" w:afterAutospacing="0"/>
        <w:jc w:val="both"/>
        <w:divId w:val="573204762"/>
        <w:rPr>
          <w:sz w:val="20"/>
          <w:szCs w:val="20"/>
        </w:rPr>
      </w:pPr>
      <w:r>
        <w:rPr>
          <w:i/>
          <w:iCs/>
          <w:sz w:val="20"/>
          <w:szCs w:val="20"/>
        </w:rPr>
        <w:t>Interest Rate Risk</w:t>
      </w:r>
      <w:r>
        <w:rPr>
          <w:i/>
          <w:iCs/>
          <w:sz w:val="20"/>
          <w:szCs w:val="20"/>
        </w:rPr>
        <w:t>.</w:t>
      </w:r>
      <w:r>
        <w:rPr>
          <w:sz w:val="20"/>
          <w:szCs w:val="20"/>
        </w:rPr>
        <w:t xml:space="preserve"> A portion of the Partnership’s borrowings bear interest at prevailing interest rates based upo</w:t>
      </w:r>
      <w:r>
        <w:rPr>
          <w:sz w:val="20"/>
          <w:szCs w:val="20"/>
        </w:rPr>
        <w:t>n, at the Operating Partnership’s option, LIBOR plus an applicable margin or the base rate, defined as the higher of the</w:t>
      </w:r>
      <w:r>
        <w:rPr>
          <w:sz w:val="20"/>
          <w:szCs w:val="20"/>
        </w:rPr>
        <w:t xml:space="preserve"> </w:t>
      </w:r>
      <w:r>
        <w:rPr>
          <w:sz w:val="20"/>
          <w:szCs w:val="20"/>
        </w:rPr>
        <w:t>Federal Funds Rat</w:t>
      </w:r>
      <w:r>
        <w:rPr>
          <w:sz w:val="20"/>
          <w:szCs w:val="20"/>
        </w:rPr>
        <w:t>e</w:t>
      </w:r>
      <w:r>
        <w:rPr>
          <w:sz w:val="20"/>
          <w:szCs w:val="20"/>
        </w:rPr>
        <w:t xml:space="preserve"> plus</w:t>
      </w:r>
      <w:r>
        <w:rPr>
          <w:sz w:val="20"/>
          <w:szCs w:val="20"/>
        </w:rPr>
        <w:t xml:space="preserve"> </w:t>
      </w:r>
      <w:r>
        <w:rPr>
          <w:sz w:val="20"/>
          <w:szCs w:val="20"/>
        </w:rPr>
        <w:t>½</w:t>
      </w:r>
      <w:r>
        <w:rPr>
          <w:sz w:val="20"/>
          <w:szCs w:val="20"/>
        </w:rPr>
        <w:t xml:space="preserve"> of 1% or the agent bank’s prime rate, or</w:t>
      </w:r>
      <w:r>
        <w:rPr>
          <w:sz w:val="20"/>
          <w:szCs w:val="20"/>
        </w:rPr>
        <w:t xml:space="preserve"> </w:t>
      </w:r>
      <w:r>
        <w:rPr>
          <w:sz w:val="20"/>
          <w:szCs w:val="20"/>
        </w:rPr>
        <w:t>LIBO</w:t>
      </w:r>
      <w:r>
        <w:rPr>
          <w:sz w:val="20"/>
          <w:szCs w:val="20"/>
        </w:rPr>
        <w:t>R</w:t>
      </w:r>
      <w:r>
        <w:rPr>
          <w:sz w:val="20"/>
          <w:szCs w:val="20"/>
        </w:rPr>
        <w:t xml:space="preserve"> plus</w:t>
      </w:r>
      <w:r>
        <w:rPr>
          <w:sz w:val="20"/>
          <w:szCs w:val="20"/>
        </w:rPr>
        <w:t xml:space="preserve"> </w:t>
      </w:r>
      <w:r>
        <w:rPr>
          <w:sz w:val="20"/>
          <w:szCs w:val="20"/>
        </w:rPr>
        <w:t>1</w:t>
      </w:r>
      <w:r>
        <w:rPr>
          <w:sz w:val="20"/>
          <w:szCs w:val="20"/>
        </w:rPr>
        <w:t xml:space="preserve">%, plus the applicable margin. The applicable margin is </w:t>
      </w:r>
      <w:r>
        <w:rPr>
          <w:sz w:val="20"/>
          <w:szCs w:val="20"/>
        </w:rPr>
        <w:t>dependent on the level of the Partnership’s total leverage (the ratio of total debt to income before deducting interest expense, income taxes, depreciation and amortization (“EBITDA”)). Therefore, the Partnership is subject to interest rate risk on the var</w:t>
      </w:r>
      <w:r>
        <w:rPr>
          <w:sz w:val="20"/>
          <w:szCs w:val="20"/>
        </w:rPr>
        <w:t>iable component of the interest rate. From time to time, the Partnership manages part of its variable interest rate risk by entering into interest rate swap agreements. The Partnership did not enter into any interest rate swap agreements during fiscal 2022</w:t>
      </w:r>
      <w:r>
        <w:rPr>
          <w:sz w:val="20"/>
          <w:szCs w:val="20"/>
        </w:rPr>
        <w:t>, 2021 or 2020</w:t>
      </w:r>
      <w:r>
        <w:rPr>
          <w:sz w:val="20"/>
          <w:szCs w:val="20"/>
        </w:rPr>
        <w:t>.</w:t>
      </w:r>
    </w:p>
    <w:p w14:paraId="31096F71" w14:textId="77777777" w:rsidR="00000000" w:rsidRDefault="00832D71">
      <w:pPr>
        <w:pStyle w:val="a3"/>
        <w:spacing w:before="240" w:beforeAutospacing="0" w:after="0" w:afterAutospacing="0"/>
        <w:jc w:val="both"/>
        <w:divId w:val="573204762"/>
        <w:rPr>
          <w:sz w:val="20"/>
          <w:szCs w:val="20"/>
        </w:rPr>
      </w:pPr>
      <w:r>
        <w:rPr>
          <w:i/>
          <w:iCs/>
          <w:sz w:val="20"/>
          <w:szCs w:val="20"/>
        </w:rPr>
        <w:t>Valuation of Derivative Instruments</w:t>
      </w:r>
      <w:r>
        <w:rPr>
          <w:i/>
          <w:iCs/>
          <w:sz w:val="20"/>
          <w:szCs w:val="20"/>
        </w:rPr>
        <w:t>.</w:t>
      </w:r>
      <w:r>
        <w:rPr>
          <w:sz w:val="20"/>
          <w:szCs w:val="20"/>
        </w:rPr>
        <w:t xml:space="preserve"> The Partnership measures the fair value of its exchange-traded options and futures contracts using quoted market prices found on the New York Mercantile Exchange (the “NYMEX”) (Level 1 inputs); the fair </w:t>
      </w:r>
      <w:r>
        <w:rPr>
          <w:sz w:val="20"/>
          <w:szCs w:val="20"/>
        </w:rPr>
        <w:t>value of its swap contracts using quoted forward prices, and the fair value of its interest rate swaps using model-derived valuations driven by observable projected movements of the 3-month LIBOR (Level 2 inputs); and the fair value of its over-the-counter</w:t>
      </w:r>
      <w:r>
        <w:rPr>
          <w:sz w:val="20"/>
          <w:szCs w:val="20"/>
        </w:rPr>
        <w:t xml:space="preserve"> options contracts using Level 3 inputs. The Partnership’s over-the-counter options contracts are valued based on an internal option model. The inputs utilized in the model are based on publicly available information as well as broker quotes. The significa</w:t>
      </w:r>
      <w:r>
        <w:rPr>
          <w:sz w:val="20"/>
          <w:szCs w:val="20"/>
        </w:rPr>
        <w:t>nt unobservable inputs used in the fair value measurements of the Partnership’s over-the-counter options contracts are interest rate and market volatility</w:t>
      </w:r>
      <w:r>
        <w:rPr>
          <w:sz w:val="20"/>
          <w:szCs w:val="20"/>
        </w:rPr>
        <w:t>.</w:t>
      </w:r>
    </w:p>
    <w:p w14:paraId="52052003" w14:textId="77777777" w:rsidR="00000000" w:rsidRDefault="00832D71">
      <w:pPr>
        <w:pStyle w:val="a3"/>
        <w:spacing w:before="200" w:beforeAutospacing="0" w:after="0" w:afterAutospacing="0"/>
        <w:jc w:val="center"/>
        <w:divId w:val="1462528966"/>
        <w:rPr>
          <w:sz w:val="20"/>
          <w:szCs w:val="20"/>
        </w:rPr>
      </w:pPr>
      <w:r>
        <w:rPr>
          <w:sz w:val="20"/>
          <w:szCs w:val="20"/>
        </w:rPr>
        <w:t>F</w:t>
      </w:r>
      <w:r>
        <w:rPr>
          <w:sz w:val="20"/>
          <w:szCs w:val="20"/>
        </w:rPr>
        <w:t>-</w:t>
      </w:r>
      <w:r>
        <w:rPr>
          <w:sz w:val="20"/>
          <w:szCs w:val="20"/>
        </w:rPr>
        <w:t>1</w:t>
      </w:r>
      <w:r>
        <w:rPr>
          <w:sz w:val="20"/>
          <w:szCs w:val="20"/>
        </w:rPr>
        <w:t>1</w:t>
      </w:r>
    </w:p>
    <w:p w14:paraId="29A9E464" w14:textId="77777777" w:rsidR="00000000" w:rsidRDefault="00832D71">
      <w:pPr>
        <w:divId w:val="1462528966"/>
        <w:rPr>
          <w:rFonts w:eastAsia="Times New Roman"/>
        </w:rPr>
      </w:pPr>
      <w:r>
        <w:rPr>
          <w:rFonts w:eastAsia="Times New Roman"/>
        </w:rPr>
        <w:pict w14:anchorId="6F3EB56B">
          <v:rect id="_x0000_i1130" style="width:0;height:1.5pt" o:hralign="center" o:hrstd="t" o:hr="t" fillcolor="#a0a0a0" stroked="f"/>
        </w:pict>
      </w:r>
    </w:p>
    <w:p w14:paraId="75AB86DF" w14:textId="77777777" w:rsidR="00000000" w:rsidRDefault="00832D71">
      <w:pPr>
        <w:pStyle w:val="a3"/>
        <w:spacing w:before="0" w:beforeAutospacing="0" w:after="0" w:afterAutospacing="0"/>
        <w:divId w:val="1462528966"/>
        <w:rPr>
          <w:sz w:val="20"/>
          <w:szCs w:val="20"/>
        </w:rPr>
      </w:pPr>
      <w:r>
        <w:rPr>
          <w:sz w:val="20"/>
          <w:szCs w:val="20"/>
        </w:rPr>
        <w:t> </w:t>
      </w:r>
    </w:p>
    <w:p w14:paraId="50622234" w14:textId="77777777" w:rsidR="00000000" w:rsidRDefault="00832D71">
      <w:pPr>
        <w:pStyle w:val="a3"/>
        <w:spacing w:before="240" w:beforeAutospacing="0" w:after="0" w:afterAutospacing="0"/>
        <w:jc w:val="both"/>
        <w:divId w:val="53354175"/>
        <w:rPr>
          <w:sz w:val="20"/>
          <w:szCs w:val="20"/>
        </w:rPr>
      </w:pPr>
      <w:r>
        <w:rPr>
          <w:b/>
          <w:bCs/>
          <w:sz w:val="20"/>
          <w:szCs w:val="20"/>
        </w:rPr>
        <w:t>Long-Lived Asset</w:t>
      </w:r>
      <w:r>
        <w:rPr>
          <w:b/>
          <w:bCs/>
          <w:sz w:val="20"/>
          <w:szCs w:val="20"/>
        </w:rPr>
        <w:t>s</w:t>
      </w:r>
    </w:p>
    <w:p w14:paraId="5FC71535" w14:textId="77777777" w:rsidR="00000000" w:rsidRDefault="00832D71">
      <w:pPr>
        <w:pStyle w:val="a3"/>
        <w:spacing w:before="120" w:beforeAutospacing="0" w:after="0" w:afterAutospacing="0"/>
        <w:jc w:val="both"/>
        <w:divId w:val="53354175"/>
        <w:rPr>
          <w:sz w:val="20"/>
          <w:szCs w:val="20"/>
        </w:rPr>
      </w:pPr>
      <w:r>
        <w:rPr>
          <w:i/>
          <w:iCs/>
          <w:sz w:val="20"/>
          <w:szCs w:val="20"/>
        </w:rPr>
        <w:t>Property, plant and equipment</w:t>
      </w:r>
      <w:r>
        <w:rPr>
          <w:i/>
          <w:iCs/>
          <w:sz w:val="20"/>
          <w:szCs w:val="20"/>
        </w:rPr>
        <w:t>.</w:t>
      </w:r>
      <w:r>
        <w:rPr>
          <w:sz w:val="20"/>
          <w:szCs w:val="20"/>
        </w:rPr>
        <w:t xml:space="preserve"> Property, plant and equipment are stated at cost. Expenditures for maintenance and routine repairs are expensed as incurred while betterments are capitalized as additions to the related assets and depreciated over the asset’s</w:t>
      </w:r>
      <w:r>
        <w:rPr>
          <w:sz w:val="20"/>
          <w:szCs w:val="20"/>
        </w:rPr>
        <w:t xml:space="preserve"> remaining useful life. The Partnership capitalizes costs incurred in the acquisition and modification of computer software used internally, including consulting fees and costs of employees dedicated solely to a specific project. At the time assets are ret</w:t>
      </w:r>
      <w:r>
        <w:rPr>
          <w:sz w:val="20"/>
          <w:szCs w:val="20"/>
        </w:rPr>
        <w:t>ired, or otherwise disposed of, the asset and related accumulated depreciation are removed from the accounts, and any resulting gain or loss is recognized within operating expenses.</w:t>
      </w:r>
      <w:r>
        <w:rPr>
          <w:sz w:val="20"/>
          <w:szCs w:val="20"/>
        </w:rPr>
        <w:t xml:space="preserve"> </w:t>
      </w:r>
      <w:r>
        <w:rPr>
          <w:sz w:val="20"/>
          <w:szCs w:val="20"/>
        </w:rPr>
        <w:t>Depreciation is determined under the straight</w:t>
      </w:r>
      <w:r>
        <w:rPr>
          <w:sz w:val="20"/>
          <w:szCs w:val="20"/>
        </w:rPr>
        <w:noBreakHyphen/>
        <w:t>line method based upon the e</w:t>
      </w:r>
      <w:r>
        <w:rPr>
          <w:sz w:val="20"/>
          <w:szCs w:val="20"/>
        </w:rPr>
        <w:t>stimated useful life of the asset as follows</w:t>
      </w:r>
      <w:r>
        <w:rPr>
          <w:sz w:val="20"/>
          <w:szCs w:val="20"/>
        </w:rPr>
        <w:t>:</w:t>
      </w:r>
    </w:p>
    <w:p w14:paraId="738576CE" w14:textId="77777777" w:rsidR="00000000" w:rsidRDefault="00832D71">
      <w:pPr>
        <w:pStyle w:val="a3"/>
        <w:spacing w:before="0" w:beforeAutospacing="0" w:after="0" w:afterAutospacing="0"/>
        <w:divId w:val="1924293542"/>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666"/>
        <w:gridCol w:w="152"/>
        <w:gridCol w:w="1166"/>
      </w:tblGrid>
      <w:tr w:rsidR="00000000" w14:paraId="0FDDEDF4" w14:textId="77777777">
        <w:trPr>
          <w:divId w:val="1924293542"/>
          <w:tblCellSpacing w:w="15" w:type="dxa"/>
        </w:trPr>
        <w:tc>
          <w:tcPr>
            <w:tcW w:w="3722" w:type="pct"/>
            <w:vAlign w:val="center"/>
            <w:hideMark/>
          </w:tcPr>
          <w:p w14:paraId="622BB3E5" w14:textId="77777777" w:rsidR="00000000" w:rsidRDefault="00832D71">
            <w:pPr>
              <w:rPr>
                <w:sz w:val="20"/>
                <w:szCs w:val="20"/>
              </w:rPr>
            </w:pPr>
          </w:p>
        </w:tc>
        <w:tc>
          <w:tcPr>
            <w:tcW w:w="125" w:type="pct"/>
            <w:vAlign w:val="center"/>
            <w:hideMark/>
          </w:tcPr>
          <w:p w14:paraId="41A14A28" w14:textId="77777777" w:rsidR="00000000" w:rsidRDefault="00832D71">
            <w:pPr>
              <w:rPr>
                <w:rFonts w:eastAsia="Times New Roman"/>
                <w:sz w:val="20"/>
                <w:szCs w:val="20"/>
              </w:rPr>
            </w:pPr>
          </w:p>
        </w:tc>
        <w:tc>
          <w:tcPr>
            <w:tcW w:w="1152" w:type="pct"/>
            <w:vAlign w:val="center"/>
            <w:hideMark/>
          </w:tcPr>
          <w:p w14:paraId="63A6C4EF" w14:textId="77777777" w:rsidR="00000000" w:rsidRDefault="00832D71">
            <w:pPr>
              <w:rPr>
                <w:rFonts w:eastAsia="Times New Roman"/>
                <w:sz w:val="20"/>
                <w:szCs w:val="20"/>
              </w:rPr>
            </w:pPr>
          </w:p>
        </w:tc>
      </w:tr>
      <w:tr w:rsidR="00000000" w14:paraId="3B791CC3" w14:textId="77777777">
        <w:trPr>
          <w:divId w:val="1924293542"/>
          <w:trHeight w:val="200"/>
          <w:tblCellSpacing w:w="15" w:type="dxa"/>
        </w:trPr>
        <w:tc>
          <w:tcPr>
            <w:tcW w:w="0" w:type="auto"/>
            <w:hideMark/>
          </w:tcPr>
          <w:p w14:paraId="4FFE570C" w14:textId="77777777" w:rsidR="00000000" w:rsidRDefault="00832D71">
            <w:pPr>
              <w:pStyle w:val="a3"/>
              <w:spacing w:before="0" w:beforeAutospacing="0" w:after="0" w:afterAutospacing="0"/>
              <w:rPr>
                <w:sz w:val="20"/>
                <w:szCs w:val="20"/>
              </w:rPr>
            </w:pPr>
            <w:r>
              <w:rPr>
                <w:sz w:val="20"/>
                <w:szCs w:val="20"/>
              </w:rPr>
              <w:t>Building</w:t>
            </w:r>
            <w:r>
              <w:rPr>
                <w:sz w:val="20"/>
                <w:szCs w:val="20"/>
              </w:rPr>
              <w:t>s</w:t>
            </w:r>
          </w:p>
        </w:tc>
        <w:tc>
          <w:tcPr>
            <w:tcW w:w="0" w:type="auto"/>
            <w:hideMark/>
          </w:tcPr>
          <w:p w14:paraId="6B5E440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A654E4A" w14:textId="77777777" w:rsidR="00000000" w:rsidRDefault="00832D71">
            <w:pPr>
              <w:pStyle w:val="a3"/>
              <w:spacing w:before="0" w:beforeAutospacing="0" w:after="0" w:afterAutospacing="0"/>
              <w:jc w:val="right"/>
              <w:rPr>
                <w:sz w:val="20"/>
                <w:szCs w:val="20"/>
              </w:rPr>
            </w:pPr>
            <w:r>
              <w:rPr>
                <w:sz w:val="20"/>
                <w:szCs w:val="20"/>
              </w:rPr>
              <w:t>4</w:t>
            </w:r>
            <w:r>
              <w:rPr>
                <w:sz w:val="20"/>
                <w:szCs w:val="20"/>
              </w:rPr>
              <w:t>0</w:t>
            </w:r>
            <w:r>
              <w:rPr>
                <w:sz w:val="20"/>
                <w:szCs w:val="20"/>
              </w:rPr>
              <w:t> Year</w:t>
            </w:r>
            <w:r>
              <w:rPr>
                <w:sz w:val="20"/>
                <w:szCs w:val="20"/>
              </w:rPr>
              <w:t>s</w:t>
            </w:r>
          </w:p>
        </w:tc>
      </w:tr>
      <w:tr w:rsidR="00000000" w14:paraId="05945C19" w14:textId="77777777">
        <w:trPr>
          <w:divId w:val="1924293542"/>
          <w:trHeight w:val="200"/>
          <w:tblCellSpacing w:w="15" w:type="dxa"/>
        </w:trPr>
        <w:tc>
          <w:tcPr>
            <w:tcW w:w="0" w:type="auto"/>
            <w:hideMark/>
          </w:tcPr>
          <w:p w14:paraId="3051414D" w14:textId="77777777" w:rsidR="00000000" w:rsidRDefault="00832D71">
            <w:pPr>
              <w:pStyle w:val="a3"/>
              <w:spacing w:before="0" w:beforeAutospacing="0" w:after="0" w:afterAutospacing="0"/>
              <w:rPr>
                <w:sz w:val="20"/>
                <w:szCs w:val="20"/>
              </w:rPr>
            </w:pPr>
            <w:r>
              <w:rPr>
                <w:sz w:val="20"/>
                <w:szCs w:val="20"/>
              </w:rPr>
              <w:t>Building and land improvement</w:t>
            </w:r>
            <w:r>
              <w:rPr>
                <w:sz w:val="20"/>
                <w:szCs w:val="20"/>
              </w:rPr>
              <w:t>s</w:t>
            </w:r>
          </w:p>
        </w:tc>
        <w:tc>
          <w:tcPr>
            <w:tcW w:w="0" w:type="auto"/>
            <w:hideMark/>
          </w:tcPr>
          <w:p w14:paraId="3843065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E57B3A9" w14:textId="77777777" w:rsidR="00000000" w:rsidRDefault="00832D71">
            <w:pPr>
              <w:pStyle w:val="a3"/>
              <w:spacing w:before="0" w:beforeAutospacing="0" w:after="0" w:afterAutospacing="0"/>
              <w:jc w:val="right"/>
              <w:rPr>
                <w:sz w:val="20"/>
                <w:szCs w:val="20"/>
              </w:rPr>
            </w:pPr>
            <w:r>
              <w:rPr>
                <w:sz w:val="20"/>
                <w:szCs w:val="20"/>
              </w:rPr>
              <w:t>2</w:t>
            </w:r>
            <w:r>
              <w:rPr>
                <w:sz w:val="20"/>
                <w:szCs w:val="20"/>
              </w:rPr>
              <w:t>0</w:t>
            </w:r>
            <w:r>
              <w:rPr>
                <w:sz w:val="20"/>
                <w:szCs w:val="20"/>
              </w:rPr>
              <w:t> Year</w:t>
            </w:r>
            <w:r>
              <w:rPr>
                <w:sz w:val="20"/>
                <w:szCs w:val="20"/>
              </w:rPr>
              <w:t>s</w:t>
            </w:r>
          </w:p>
        </w:tc>
      </w:tr>
      <w:tr w:rsidR="00000000" w14:paraId="5E62F844" w14:textId="77777777">
        <w:trPr>
          <w:divId w:val="1924293542"/>
          <w:trHeight w:val="200"/>
          <w:tblCellSpacing w:w="15" w:type="dxa"/>
        </w:trPr>
        <w:tc>
          <w:tcPr>
            <w:tcW w:w="0" w:type="auto"/>
            <w:hideMark/>
          </w:tcPr>
          <w:p w14:paraId="279DEEBE" w14:textId="77777777" w:rsidR="00000000" w:rsidRDefault="00832D71">
            <w:pPr>
              <w:pStyle w:val="a3"/>
              <w:spacing w:before="0" w:beforeAutospacing="0" w:after="0" w:afterAutospacing="0"/>
              <w:rPr>
                <w:sz w:val="20"/>
                <w:szCs w:val="20"/>
              </w:rPr>
            </w:pPr>
            <w:r>
              <w:rPr>
                <w:sz w:val="20"/>
                <w:szCs w:val="20"/>
              </w:rPr>
              <w:t>Transportation equipmen</w:t>
            </w:r>
            <w:r>
              <w:rPr>
                <w:sz w:val="20"/>
                <w:szCs w:val="20"/>
              </w:rPr>
              <w:t>t</w:t>
            </w:r>
          </w:p>
        </w:tc>
        <w:tc>
          <w:tcPr>
            <w:tcW w:w="0" w:type="auto"/>
            <w:hideMark/>
          </w:tcPr>
          <w:p w14:paraId="70DCC9A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1323688" w14:textId="77777777" w:rsidR="00000000" w:rsidRDefault="00832D71">
            <w:pPr>
              <w:pStyle w:val="a3"/>
              <w:spacing w:before="0" w:beforeAutospacing="0" w:after="0" w:afterAutospacing="0"/>
              <w:jc w:val="right"/>
              <w:rPr>
                <w:sz w:val="20"/>
                <w:szCs w:val="20"/>
              </w:rPr>
            </w:pPr>
            <w:r>
              <w:rPr>
                <w:sz w:val="20"/>
                <w:szCs w:val="20"/>
              </w:rPr>
              <w:t>3</w:t>
            </w:r>
            <w:r>
              <w:rPr>
                <w:sz w:val="20"/>
                <w:szCs w:val="20"/>
              </w:rPr>
              <w:t>-</w:t>
            </w:r>
            <w:r>
              <w:rPr>
                <w:sz w:val="20"/>
                <w:szCs w:val="20"/>
              </w:rPr>
              <w:t>1</w:t>
            </w:r>
            <w:r>
              <w:rPr>
                <w:sz w:val="20"/>
                <w:szCs w:val="20"/>
              </w:rPr>
              <w:t>0</w:t>
            </w:r>
            <w:r>
              <w:rPr>
                <w:sz w:val="20"/>
                <w:szCs w:val="20"/>
              </w:rPr>
              <w:t> Year</w:t>
            </w:r>
            <w:r>
              <w:rPr>
                <w:sz w:val="20"/>
                <w:szCs w:val="20"/>
              </w:rPr>
              <w:t>s</w:t>
            </w:r>
          </w:p>
        </w:tc>
      </w:tr>
      <w:tr w:rsidR="00000000" w14:paraId="5BEC4EE5" w14:textId="77777777">
        <w:trPr>
          <w:divId w:val="1924293542"/>
          <w:trHeight w:val="200"/>
          <w:tblCellSpacing w:w="15" w:type="dxa"/>
        </w:trPr>
        <w:tc>
          <w:tcPr>
            <w:tcW w:w="0" w:type="auto"/>
            <w:hideMark/>
          </w:tcPr>
          <w:p w14:paraId="15DB2205" w14:textId="77777777" w:rsidR="00000000" w:rsidRDefault="00832D71">
            <w:pPr>
              <w:pStyle w:val="a3"/>
              <w:spacing w:before="0" w:beforeAutospacing="0" w:after="0" w:afterAutospacing="0"/>
              <w:rPr>
                <w:sz w:val="20"/>
                <w:szCs w:val="20"/>
              </w:rPr>
            </w:pPr>
            <w:r>
              <w:rPr>
                <w:sz w:val="20"/>
                <w:szCs w:val="20"/>
              </w:rPr>
              <w:t>Storage facilitie</w:t>
            </w:r>
            <w:r>
              <w:rPr>
                <w:sz w:val="20"/>
                <w:szCs w:val="20"/>
              </w:rPr>
              <w:t>s</w:t>
            </w:r>
          </w:p>
        </w:tc>
        <w:tc>
          <w:tcPr>
            <w:tcW w:w="0" w:type="auto"/>
            <w:hideMark/>
          </w:tcPr>
          <w:p w14:paraId="12B4E11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02B65C7" w14:textId="77777777" w:rsidR="00000000" w:rsidRDefault="00832D71">
            <w:pPr>
              <w:pStyle w:val="a3"/>
              <w:spacing w:before="0" w:beforeAutospacing="0" w:after="0" w:afterAutospacing="0"/>
              <w:jc w:val="right"/>
              <w:rPr>
                <w:sz w:val="20"/>
                <w:szCs w:val="20"/>
              </w:rPr>
            </w:pPr>
            <w:r>
              <w:rPr>
                <w:sz w:val="20"/>
                <w:szCs w:val="20"/>
              </w:rPr>
              <w:t>7</w:t>
            </w:r>
            <w:r>
              <w:rPr>
                <w:sz w:val="20"/>
                <w:szCs w:val="20"/>
              </w:rPr>
              <w:t>-</w:t>
            </w:r>
            <w:r>
              <w:rPr>
                <w:sz w:val="20"/>
                <w:szCs w:val="20"/>
              </w:rPr>
              <w:t>3</w:t>
            </w:r>
            <w:r>
              <w:rPr>
                <w:sz w:val="20"/>
                <w:szCs w:val="20"/>
              </w:rPr>
              <w:t>0</w:t>
            </w:r>
            <w:r>
              <w:rPr>
                <w:sz w:val="20"/>
                <w:szCs w:val="20"/>
              </w:rPr>
              <w:t> Year</w:t>
            </w:r>
            <w:r>
              <w:rPr>
                <w:sz w:val="20"/>
                <w:szCs w:val="20"/>
              </w:rPr>
              <w:t>s</w:t>
            </w:r>
          </w:p>
        </w:tc>
      </w:tr>
      <w:tr w:rsidR="00000000" w14:paraId="3FA52D59" w14:textId="77777777">
        <w:trPr>
          <w:divId w:val="1924293542"/>
          <w:trHeight w:val="200"/>
          <w:tblCellSpacing w:w="15" w:type="dxa"/>
        </w:trPr>
        <w:tc>
          <w:tcPr>
            <w:tcW w:w="0" w:type="auto"/>
            <w:hideMark/>
          </w:tcPr>
          <w:p w14:paraId="139B8B99" w14:textId="77777777" w:rsidR="00000000" w:rsidRDefault="00832D71">
            <w:pPr>
              <w:pStyle w:val="a3"/>
              <w:spacing w:before="0" w:beforeAutospacing="0" w:after="0" w:afterAutospacing="0"/>
              <w:rPr>
                <w:sz w:val="20"/>
                <w:szCs w:val="20"/>
              </w:rPr>
            </w:pPr>
            <w:r>
              <w:rPr>
                <w:sz w:val="20"/>
                <w:szCs w:val="20"/>
              </w:rPr>
              <w:t>Office equipmen</w:t>
            </w:r>
            <w:r>
              <w:rPr>
                <w:sz w:val="20"/>
                <w:szCs w:val="20"/>
              </w:rPr>
              <w:t>t</w:t>
            </w:r>
          </w:p>
        </w:tc>
        <w:tc>
          <w:tcPr>
            <w:tcW w:w="0" w:type="auto"/>
            <w:hideMark/>
          </w:tcPr>
          <w:p w14:paraId="51472F5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2F016BD" w14:textId="77777777" w:rsidR="00000000" w:rsidRDefault="00832D71">
            <w:pPr>
              <w:pStyle w:val="a3"/>
              <w:spacing w:before="0" w:beforeAutospacing="0" w:after="0" w:afterAutospacing="0"/>
              <w:jc w:val="right"/>
              <w:rPr>
                <w:sz w:val="20"/>
                <w:szCs w:val="20"/>
              </w:rPr>
            </w:pPr>
            <w:r>
              <w:rPr>
                <w:sz w:val="20"/>
                <w:szCs w:val="20"/>
              </w:rPr>
              <w:t>5</w:t>
            </w:r>
            <w:r>
              <w:rPr>
                <w:sz w:val="20"/>
                <w:szCs w:val="20"/>
              </w:rPr>
              <w:t>-</w:t>
            </w:r>
            <w:r>
              <w:rPr>
                <w:sz w:val="20"/>
                <w:szCs w:val="20"/>
              </w:rPr>
              <w:t>1</w:t>
            </w:r>
            <w:r>
              <w:rPr>
                <w:sz w:val="20"/>
                <w:szCs w:val="20"/>
              </w:rPr>
              <w:t>0</w:t>
            </w:r>
            <w:r>
              <w:rPr>
                <w:sz w:val="20"/>
                <w:szCs w:val="20"/>
              </w:rPr>
              <w:t> Year</w:t>
            </w:r>
            <w:r>
              <w:rPr>
                <w:sz w:val="20"/>
                <w:szCs w:val="20"/>
              </w:rPr>
              <w:t>s</w:t>
            </w:r>
          </w:p>
        </w:tc>
      </w:tr>
      <w:tr w:rsidR="00000000" w14:paraId="16257939" w14:textId="77777777">
        <w:trPr>
          <w:divId w:val="1924293542"/>
          <w:trHeight w:val="200"/>
          <w:tblCellSpacing w:w="15" w:type="dxa"/>
        </w:trPr>
        <w:tc>
          <w:tcPr>
            <w:tcW w:w="0" w:type="auto"/>
            <w:hideMark/>
          </w:tcPr>
          <w:p w14:paraId="3EC97D42" w14:textId="77777777" w:rsidR="00000000" w:rsidRDefault="00832D71">
            <w:pPr>
              <w:pStyle w:val="a3"/>
              <w:spacing w:before="0" w:beforeAutospacing="0" w:after="0" w:afterAutospacing="0"/>
              <w:rPr>
                <w:sz w:val="20"/>
                <w:szCs w:val="20"/>
              </w:rPr>
            </w:pPr>
            <w:r>
              <w:rPr>
                <w:sz w:val="20"/>
                <w:szCs w:val="20"/>
              </w:rPr>
              <w:t>Tanks and cylinder</w:t>
            </w:r>
            <w:r>
              <w:rPr>
                <w:sz w:val="20"/>
                <w:szCs w:val="20"/>
              </w:rPr>
              <w:t>s</w:t>
            </w:r>
          </w:p>
        </w:tc>
        <w:tc>
          <w:tcPr>
            <w:tcW w:w="0" w:type="auto"/>
            <w:hideMark/>
          </w:tcPr>
          <w:p w14:paraId="52D7233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26EF7CF" w14:textId="77777777" w:rsidR="00000000" w:rsidRDefault="00832D71">
            <w:pPr>
              <w:pStyle w:val="a3"/>
              <w:spacing w:before="0" w:beforeAutospacing="0" w:after="0" w:afterAutospacing="0"/>
              <w:jc w:val="right"/>
              <w:rPr>
                <w:sz w:val="20"/>
                <w:szCs w:val="20"/>
              </w:rPr>
            </w:pPr>
            <w:r>
              <w:rPr>
                <w:sz w:val="20"/>
                <w:szCs w:val="20"/>
              </w:rPr>
              <w:t>1</w:t>
            </w:r>
            <w:r>
              <w:rPr>
                <w:sz w:val="20"/>
                <w:szCs w:val="20"/>
              </w:rPr>
              <w:t>0</w:t>
            </w:r>
            <w:r>
              <w:rPr>
                <w:sz w:val="20"/>
                <w:szCs w:val="20"/>
              </w:rPr>
              <w:t>-</w:t>
            </w:r>
            <w:r>
              <w:rPr>
                <w:sz w:val="20"/>
                <w:szCs w:val="20"/>
              </w:rPr>
              <w:t>4</w:t>
            </w:r>
            <w:r>
              <w:rPr>
                <w:sz w:val="20"/>
                <w:szCs w:val="20"/>
              </w:rPr>
              <w:t>0</w:t>
            </w:r>
            <w:r>
              <w:rPr>
                <w:sz w:val="20"/>
                <w:szCs w:val="20"/>
              </w:rPr>
              <w:t> Year</w:t>
            </w:r>
            <w:r>
              <w:rPr>
                <w:sz w:val="20"/>
                <w:szCs w:val="20"/>
              </w:rPr>
              <w:t>s</w:t>
            </w:r>
          </w:p>
        </w:tc>
      </w:tr>
      <w:tr w:rsidR="00000000" w14:paraId="35109B65" w14:textId="77777777">
        <w:trPr>
          <w:divId w:val="1924293542"/>
          <w:trHeight w:val="200"/>
          <w:tblCellSpacing w:w="15" w:type="dxa"/>
        </w:trPr>
        <w:tc>
          <w:tcPr>
            <w:tcW w:w="0" w:type="auto"/>
            <w:hideMark/>
          </w:tcPr>
          <w:p w14:paraId="36A83BF3" w14:textId="77777777" w:rsidR="00000000" w:rsidRDefault="00832D71">
            <w:pPr>
              <w:pStyle w:val="a3"/>
              <w:spacing w:before="0" w:beforeAutospacing="0" w:after="0" w:afterAutospacing="0"/>
              <w:rPr>
                <w:sz w:val="20"/>
                <w:szCs w:val="20"/>
              </w:rPr>
            </w:pPr>
            <w:r>
              <w:rPr>
                <w:sz w:val="20"/>
                <w:szCs w:val="20"/>
              </w:rPr>
              <w:t>Computer softwar</w:t>
            </w:r>
            <w:r>
              <w:rPr>
                <w:sz w:val="20"/>
                <w:szCs w:val="20"/>
              </w:rPr>
              <w:t>e</w:t>
            </w:r>
          </w:p>
        </w:tc>
        <w:tc>
          <w:tcPr>
            <w:tcW w:w="0" w:type="auto"/>
            <w:hideMark/>
          </w:tcPr>
          <w:p w14:paraId="6F10B49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EEDD4FB" w14:textId="77777777" w:rsidR="00000000" w:rsidRDefault="00832D71">
            <w:pPr>
              <w:pStyle w:val="a3"/>
              <w:spacing w:before="0" w:beforeAutospacing="0" w:after="0" w:afterAutospacing="0"/>
              <w:jc w:val="right"/>
              <w:rPr>
                <w:sz w:val="20"/>
                <w:szCs w:val="20"/>
              </w:rPr>
            </w:pPr>
            <w:r>
              <w:rPr>
                <w:sz w:val="20"/>
                <w:szCs w:val="20"/>
              </w:rPr>
              <w:t>3</w:t>
            </w:r>
            <w:r>
              <w:rPr>
                <w:sz w:val="20"/>
                <w:szCs w:val="20"/>
              </w:rPr>
              <w:t>-</w:t>
            </w:r>
            <w:r>
              <w:rPr>
                <w:sz w:val="20"/>
                <w:szCs w:val="20"/>
              </w:rPr>
              <w:t>7</w:t>
            </w:r>
            <w:r>
              <w:rPr>
                <w:sz w:val="20"/>
                <w:szCs w:val="20"/>
              </w:rPr>
              <w:t> Year</w:t>
            </w:r>
            <w:r>
              <w:rPr>
                <w:sz w:val="20"/>
                <w:szCs w:val="20"/>
              </w:rPr>
              <w:t>s</w:t>
            </w:r>
          </w:p>
        </w:tc>
      </w:tr>
    </w:tbl>
    <w:p w14:paraId="59262F0E" w14:textId="77777777" w:rsidR="00000000" w:rsidRDefault="00832D71">
      <w:pPr>
        <w:pStyle w:val="a3"/>
        <w:spacing w:before="0" w:beforeAutospacing="0" w:after="0" w:afterAutospacing="0"/>
        <w:divId w:val="1924293542"/>
        <w:rPr>
          <w:sz w:val="20"/>
          <w:szCs w:val="20"/>
        </w:rPr>
      </w:pPr>
      <w:r>
        <w:rPr>
          <w:sz w:val="20"/>
          <w:szCs w:val="20"/>
        </w:rPr>
        <w:t> </w:t>
      </w:r>
    </w:p>
    <w:p w14:paraId="28E82339" w14:textId="77777777" w:rsidR="00000000" w:rsidRDefault="00832D71">
      <w:pPr>
        <w:pStyle w:val="a3"/>
        <w:spacing w:before="40" w:beforeAutospacing="0" w:after="0" w:afterAutospacing="0"/>
        <w:jc w:val="both"/>
        <w:divId w:val="1924293542"/>
        <w:rPr>
          <w:sz w:val="20"/>
          <w:szCs w:val="20"/>
        </w:rPr>
      </w:pPr>
      <w:r>
        <w:rPr>
          <w:sz w:val="20"/>
          <w:szCs w:val="20"/>
        </w:rPr>
        <w:t>The weighted average estimated useful life of the Partnership’s storage facilities and tanks and cylinders is approximately</w:t>
      </w:r>
      <w:r>
        <w:rPr>
          <w:sz w:val="20"/>
          <w:szCs w:val="20"/>
        </w:rPr>
        <w:t xml:space="preserve"> </w:t>
      </w:r>
      <w:r>
        <w:rPr>
          <w:sz w:val="20"/>
          <w:szCs w:val="20"/>
        </w:rPr>
        <w:t>2</w:t>
      </w:r>
      <w:r>
        <w:rPr>
          <w:sz w:val="20"/>
          <w:szCs w:val="20"/>
        </w:rPr>
        <w:t>3</w:t>
      </w:r>
      <w:r>
        <w:rPr>
          <w:sz w:val="20"/>
          <w:szCs w:val="20"/>
        </w:rPr>
        <w:t xml:space="preserve"> years and</w:t>
      </w:r>
      <w:r>
        <w:rPr>
          <w:sz w:val="20"/>
          <w:szCs w:val="20"/>
        </w:rPr>
        <w:t xml:space="preserve"> </w:t>
      </w:r>
      <w:r>
        <w:rPr>
          <w:sz w:val="20"/>
          <w:szCs w:val="20"/>
        </w:rPr>
        <w:t>2</w:t>
      </w:r>
      <w:r>
        <w:rPr>
          <w:sz w:val="20"/>
          <w:szCs w:val="20"/>
        </w:rPr>
        <w:t>8</w:t>
      </w:r>
      <w:r>
        <w:rPr>
          <w:sz w:val="20"/>
          <w:szCs w:val="20"/>
        </w:rPr>
        <w:t xml:space="preserve"> years, respectively</w:t>
      </w:r>
      <w:r>
        <w:rPr>
          <w:sz w:val="20"/>
          <w:szCs w:val="20"/>
        </w:rPr>
        <w:t>.</w:t>
      </w:r>
    </w:p>
    <w:p w14:paraId="6C9C1433" w14:textId="77777777" w:rsidR="00000000" w:rsidRDefault="00832D71">
      <w:pPr>
        <w:pStyle w:val="a3"/>
        <w:spacing w:before="240" w:beforeAutospacing="0" w:after="0" w:afterAutospacing="0"/>
        <w:jc w:val="both"/>
        <w:divId w:val="53354175"/>
        <w:rPr>
          <w:sz w:val="20"/>
          <w:szCs w:val="20"/>
        </w:rPr>
      </w:pPr>
      <w:r>
        <w:rPr>
          <w:sz w:val="20"/>
          <w:szCs w:val="20"/>
        </w:rPr>
        <w:t>The Partnership reviews the</w:t>
      </w:r>
      <w:r>
        <w:rPr>
          <w:sz w:val="20"/>
          <w:szCs w:val="20"/>
        </w:rPr>
        <w:t xml:space="preserve"> </w:t>
      </w:r>
      <w:r>
        <w:rPr>
          <w:sz w:val="20"/>
          <w:szCs w:val="20"/>
        </w:rPr>
        <w:t>recoverability of long-lived assets when circumstances occur that indicate that the carrying value of an asset may not be recoverable. Such circumstances include a significant adverse change in the manner in which an asset is being used, current operating</w:t>
      </w:r>
      <w:r>
        <w:rPr>
          <w:sz w:val="20"/>
          <w:szCs w:val="20"/>
        </w:rPr>
        <w:t xml:space="preserve"> losses combined with a history of operating losses experienced by the asset or a current expectation that an asset will be sold or otherwise disposed of before the end of its previously estimated useful life. Evaluation of possible impairment is based on </w:t>
      </w:r>
      <w:r>
        <w:rPr>
          <w:sz w:val="20"/>
          <w:szCs w:val="20"/>
        </w:rPr>
        <w:t>the Partnership’s ability to recover the value of the asset from the future undiscounted cash flows expected to result from the use and eventual disposition of the asset. If the expected undiscounted cash flows are less than the carrying amount of such ass</w:t>
      </w:r>
      <w:r>
        <w:rPr>
          <w:sz w:val="20"/>
          <w:szCs w:val="20"/>
        </w:rPr>
        <w:t>et, an impairment loss is recorded as the amount by which the carrying amount of an asset exceeds its fair value. The fair value of an asset will be measured using the best information available, including prices for similar assets or the result of using a</w:t>
      </w:r>
      <w:r>
        <w:rPr>
          <w:sz w:val="20"/>
          <w:szCs w:val="20"/>
        </w:rPr>
        <w:t xml:space="preserve"> discounted cash flow valuation technique</w:t>
      </w:r>
      <w:r>
        <w:rPr>
          <w:sz w:val="20"/>
          <w:szCs w:val="20"/>
        </w:rPr>
        <w:t>.</w:t>
      </w:r>
    </w:p>
    <w:p w14:paraId="3ABFE835" w14:textId="77777777" w:rsidR="00000000" w:rsidRDefault="00832D71">
      <w:pPr>
        <w:pStyle w:val="a3"/>
        <w:spacing w:before="240" w:beforeAutospacing="0" w:after="0" w:afterAutospacing="0"/>
        <w:jc w:val="both"/>
        <w:divId w:val="313753256"/>
        <w:rPr>
          <w:sz w:val="20"/>
          <w:szCs w:val="20"/>
        </w:rPr>
      </w:pPr>
      <w:r>
        <w:rPr>
          <w:i/>
          <w:iCs/>
          <w:sz w:val="20"/>
          <w:szCs w:val="20"/>
        </w:rPr>
        <w:t>Goodwill</w:t>
      </w:r>
      <w:r>
        <w:rPr>
          <w:i/>
          <w:iCs/>
          <w:sz w:val="20"/>
          <w:szCs w:val="20"/>
        </w:rPr>
        <w:t>.</w:t>
      </w:r>
      <w:r>
        <w:rPr>
          <w:sz w:val="20"/>
          <w:szCs w:val="20"/>
        </w:rPr>
        <w:t xml:space="preserve"> Goodwill represents the excess of the purchase price over the fair value of net assets acquired. Goodwill is subject to an impairment review at a reporting unit level, on an annual basis as of the end of</w:t>
      </w:r>
      <w:r>
        <w:rPr>
          <w:sz w:val="20"/>
          <w:szCs w:val="20"/>
        </w:rPr>
        <w:t xml:space="preserve"> fiscal July of each year, or when an event occurs or circumstances change that would indicate potential impairment</w:t>
      </w:r>
      <w:r>
        <w:rPr>
          <w:sz w:val="20"/>
          <w:szCs w:val="20"/>
        </w:rPr>
        <w:t>.</w:t>
      </w:r>
    </w:p>
    <w:p w14:paraId="6F3C0082" w14:textId="77777777" w:rsidR="00000000" w:rsidRDefault="00832D71">
      <w:pPr>
        <w:pStyle w:val="a3"/>
        <w:spacing w:before="240" w:beforeAutospacing="0" w:after="0" w:afterAutospacing="0"/>
        <w:jc w:val="both"/>
        <w:divId w:val="313753256"/>
        <w:rPr>
          <w:sz w:val="20"/>
          <w:szCs w:val="20"/>
        </w:rPr>
      </w:pPr>
      <w:r>
        <w:rPr>
          <w:sz w:val="20"/>
          <w:szCs w:val="20"/>
        </w:rPr>
        <w:t>The Partnership has the option to first assess qualitative factors to determine whether the existence of events or circumstances leads to a</w:t>
      </w:r>
      <w:r>
        <w:rPr>
          <w:sz w:val="20"/>
          <w:szCs w:val="20"/>
        </w:rPr>
        <w:t xml:space="preserve"> determination that it is more likely than not that the fair value of a reporting unit is less than its carrying amount. If, after assessing the totality of events or circumstances, an entity determines it is not more likely than not that the fair value of</w:t>
      </w:r>
      <w:r>
        <w:rPr>
          <w:sz w:val="20"/>
          <w:szCs w:val="20"/>
        </w:rPr>
        <w:t xml:space="preserve"> a reporting unit is less than its carrying amount, then performing the impairment test is unnecessary. However, if an entity concludes otherwise, then it is required to perform an impairment test</w:t>
      </w:r>
      <w:r>
        <w:rPr>
          <w:sz w:val="20"/>
          <w:szCs w:val="20"/>
        </w:rPr>
        <w:t>.</w:t>
      </w:r>
    </w:p>
    <w:p w14:paraId="6BEC7176" w14:textId="77777777" w:rsidR="00000000" w:rsidRDefault="00832D71">
      <w:pPr>
        <w:pStyle w:val="a3"/>
        <w:spacing w:before="240" w:beforeAutospacing="0" w:after="0" w:afterAutospacing="0"/>
        <w:jc w:val="both"/>
        <w:divId w:val="313753256"/>
        <w:rPr>
          <w:sz w:val="20"/>
          <w:szCs w:val="20"/>
        </w:rPr>
      </w:pPr>
      <w:r>
        <w:rPr>
          <w:sz w:val="20"/>
          <w:szCs w:val="20"/>
        </w:rPr>
        <w:t>Under the impairment test, the Partnership assesses the ca</w:t>
      </w:r>
      <w:r>
        <w:rPr>
          <w:sz w:val="20"/>
          <w:szCs w:val="20"/>
        </w:rPr>
        <w:t xml:space="preserve">rrying value of goodwill at a reporting unit level based on an estimate of the fair value of the respective reporting unit. Fair value of the reporting unit is estimated using discounted cash flow analyses taking into consideration estimated cash flows in </w:t>
      </w:r>
      <w:r>
        <w:rPr>
          <w:sz w:val="20"/>
          <w:szCs w:val="20"/>
        </w:rPr>
        <w:t>a</w:t>
      </w:r>
      <w:r>
        <w:rPr>
          <w:sz w:val="20"/>
          <w:szCs w:val="20"/>
        </w:rPr>
        <w:t xml:space="preserve"> </w:t>
      </w:r>
      <w:r>
        <w:rPr>
          <w:sz w:val="20"/>
          <w:szCs w:val="20"/>
        </w:rPr>
        <w:t>ten-yea</w:t>
      </w:r>
      <w:r>
        <w:rPr>
          <w:sz w:val="20"/>
          <w:szCs w:val="20"/>
        </w:rPr>
        <w:t>r</w:t>
      </w:r>
      <w:r>
        <w:rPr>
          <w:sz w:val="20"/>
          <w:szCs w:val="20"/>
        </w:rPr>
        <w:t xml:space="preserve"> projection period and a terminal value calculation at the end of the projection period. If the fair value of the reporting unit exceeds its carrying value, the goodwill associated with the reporting unit is not considered to be impaired. If the </w:t>
      </w:r>
      <w:r>
        <w:rPr>
          <w:sz w:val="20"/>
          <w:szCs w:val="20"/>
        </w:rPr>
        <w:t>carrying value of the reporting unit exceeds its fair value, an impairment loss is recognized to the extent that the carrying amount of the associated goodwill, if any, exceeds the implied fair value of the goodwill</w:t>
      </w:r>
      <w:r>
        <w:rPr>
          <w:sz w:val="20"/>
          <w:szCs w:val="20"/>
        </w:rPr>
        <w:t>.</w:t>
      </w:r>
    </w:p>
    <w:p w14:paraId="68C9ADFB" w14:textId="77777777" w:rsidR="00000000" w:rsidRDefault="00832D71">
      <w:pPr>
        <w:pStyle w:val="a3"/>
        <w:spacing w:before="240" w:beforeAutospacing="0" w:after="0" w:afterAutospacing="0"/>
        <w:jc w:val="both"/>
        <w:divId w:val="707491306"/>
        <w:rPr>
          <w:sz w:val="20"/>
          <w:szCs w:val="20"/>
        </w:rPr>
      </w:pPr>
      <w:r>
        <w:rPr>
          <w:i/>
          <w:iCs/>
          <w:sz w:val="20"/>
          <w:szCs w:val="20"/>
        </w:rPr>
        <w:t>Other Intangible Assets</w:t>
      </w:r>
      <w:r>
        <w:rPr>
          <w:i/>
          <w:iCs/>
          <w:sz w:val="20"/>
          <w:szCs w:val="20"/>
        </w:rPr>
        <w:t>.</w:t>
      </w:r>
      <w:r>
        <w:rPr>
          <w:sz w:val="20"/>
          <w:szCs w:val="20"/>
        </w:rPr>
        <w:t xml:space="preserve"> Other intangib</w:t>
      </w:r>
      <w:r>
        <w:rPr>
          <w:sz w:val="20"/>
          <w:szCs w:val="20"/>
        </w:rPr>
        <w:t>le assets consist of customer relationships, tradenames, non-compete agreements and leasehold interests. Customer relationships and tradenames are amortized under the straight-line method over the estimated period for which the assets are expected to contr</w:t>
      </w:r>
      <w:r>
        <w:rPr>
          <w:sz w:val="20"/>
          <w:szCs w:val="20"/>
        </w:rPr>
        <w:t>ibute to the future cash flows of the reporting entities to which they relate, ending periodically between fiscal years 2023 and 2032. Non-compete agreements are amortized under the straight-line method over the periods of the related agreements. Leasehold</w:t>
      </w:r>
      <w:r>
        <w:rPr>
          <w:sz w:val="20"/>
          <w:szCs w:val="20"/>
        </w:rPr>
        <w:t xml:space="preserve"> interests are amortized under the straight-line method over the shorter of the lease term or the useful life of the related assets, through fiscal 2025</w:t>
      </w:r>
      <w:r>
        <w:rPr>
          <w:sz w:val="20"/>
          <w:szCs w:val="20"/>
        </w:rPr>
        <w:t>.</w:t>
      </w:r>
    </w:p>
    <w:p w14:paraId="1C24689A" w14:textId="77777777" w:rsidR="00000000" w:rsidRDefault="00832D71">
      <w:pPr>
        <w:pStyle w:val="a3"/>
        <w:spacing w:before="240" w:beforeAutospacing="0" w:after="0" w:afterAutospacing="0"/>
        <w:jc w:val="both"/>
        <w:divId w:val="1281063664"/>
        <w:rPr>
          <w:sz w:val="20"/>
          <w:szCs w:val="20"/>
        </w:rPr>
      </w:pPr>
      <w:r>
        <w:rPr>
          <w:b/>
          <w:bCs/>
          <w:sz w:val="20"/>
          <w:szCs w:val="20"/>
        </w:rPr>
        <w:t>Accrued Insurance</w:t>
      </w:r>
      <w:r>
        <w:rPr>
          <w:b/>
          <w:bCs/>
          <w:sz w:val="20"/>
          <w:szCs w:val="20"/>
        </w:rPr>
        <w:t>.</w:t>
      </w:r>
      <w:r>
        <w:rPr>
          <w:sz w:val="20"/>
          <w:szCs w:val="20"/>
        </w:rPr>
        <w:t xml:space="preserve"> </w:t>
      </w:r>
      <w:r>
        <w:rPr>
          <w:sz w:val="20"/>
          <w:szCs w:val="20"/>
        </w:rPr>
        <w:t>Accrued insurance represents the estimated costs of known and anticipated or unasse</w:t>
      </w:r>
      <w:r>
        <w:rPr>
          <w:sz w:val="20"/>
          <w:szCs w:val="20"/>
        </w:rPr>
        <w:t>rted claims for incidents related to general and product, workers’ compensation and automobile liability. For each claim, the Partnership records a provision up to the estimated amount of the probable claim utilizing actuarially determined loss development</w:t>
      </w:r>
      <w:r>
        <w:rPr>
          <w:sz w:val="20"/>
          <w:szCs w:val="20"/>
        </w:rPr>
        <w:t xml:space="preserve"> factors applied to actual claims data. The Partnership is self-insured for these liabilities up to predetermined amounts above which third party insurance applies. The Partnership maintains insurance coverage such that its net exposure for insured claims </w:t>
      </w:r>
      <w:r>
        <w:rPr>
          <w:sz w:val="20"/>
          <w:szCs w:val="20"/>
        </w:rPr>
        <w:t>is limited to the insurance deductible, claim</w:t>
      </w:r>
      <w:r>
        <w:rPr>
          <w:sz w:val="20"/>
          <w:szCs w:val="20"/>
        </w:rPr>
        <w:t>s</w:t>
      </w:r>
      <w:r>
        <w:rPr>
          <w:sz w:val="20"/>
          <w:szCs w:val="20"/>
        </w:rPr>
        <w:t xml:space="preserve"> </w:t>
      </w:r>
    </w:p>
    <w:p w14:paraId="3BCD9D6F" w14:textId="77777777" w:rsidR="00000000" w:rsidRDefault="00832D71">
      <w:pPr>
        <w:pStyle w:val="a3"/>
        <w:spacing w:before="200" w:beforeAutospacing="0" w:after="0" w:afterAutospacing="0"/>
        <w:jc w:val="center"/>
        <w:divId w:val="1281063664"/>
        <w:rPr>
          <w:sz w:val="20"/>
          <w:szCs w:val="20"/>
        </w:rPr>
      </w:pPr>
      <w:r>
        <w:rPr>
          <w:sz w:val="20"/>
          <w:szCs w:val="20"/>
        </w:rPr>
        <w:t>F</w:t>
      </w:r>
      <w:r>
        <w:rPr>
          <w:sz w:val="20"/>
          <w:szCs w:val="20"/>
        </w:rPr>
        <w:t>-</w:t>
      </w:r>
      <w:r>
        <w:rPr>
          <w:sz w:val="20"/>
          <w:szCs w:val="20"/>
        </w:rPr>
        <w:t>1</w:t>
      </w:r>
      <w:r>
        <w:rPr>
          <w:sz w:val="20"/>
          <w:szCs w:val="20"/>
        </w:rPr>
        <w:t>2</w:t>
      </w:r>
    </w:p>
    <w:p w14:paraId="5A1D7BB9" w14:textId="77777777" w:rsidR="00000000" w:rsidRDefault="00832D71">
      <w:pPr>
        <w:divId w:val="1281063664"/>
        <w:rPr>
          <w:rFonts w:eastAsia="Times New Roman"/>
          <w:sz w:val="20"/>
          <w:szCs w:val="20"/>
        </w:rPr>
      </w:pPr>
      <w:r>
        <w:rPr>
          <w:rFonts w:eastAsia="Times New Roman"/>
          <w:sz w:val="20"/>
          <w:szCs w:val="20"/>
        </w:rPr>
        <w:pict w14:anchorId="53C2AF66">
          <v:rect id="_x0000_i1131" style="width:0;height:1.5pt" o:hralign="center" o:hrstd="t" o:hr="t" fillcolor="#a0a0a0" stroked="f"/>
        </w:pict>
      </w:r>
    </w:p>
    <w:p w14:paraId="38203E3A" w14:textId="77777777" w:rsidR="00000000" w:rsidRDefault="00832D71">
      <w:pPr>
        <w:pStyle w:val="a3"/>
        <w:spacing w:before="0" w:beforeAutospacing="0" w:after="0" w:afterAutospacing="0"/>
        <w:divId w:val="1281063664"/>
        <w:rPr>
          <w:sz w:val="20"/>
          <w:szCs w:val="20"/>
        </w:rPr>
      </w:pPr>
      <w:r>
        <w:rPr>
          <w:sz w:val="20"/>
          <w:szCs w:val="20"/>
        </w:rPr>
        <w:t> </w:t>
      </w:r>
    </w:p>
    <w:p w14:paraId="47FFFEA0" w14:textId="77777777" w:rsidR="00000000" w:rsidRDefault="00832D71">
      <w:pPr>
        <w:pStyle w:val="a3"/>
        <w:spacing w:before="240" w:beforeAutospacing="0" w:after="0" w:afterAutospacing="0"/>
        <w:jc w:val="both"/>
        <w:divId w:val="1281063664"/>
        <w:rPr>
          <w:sz w:val="20"/>
          <w:szCs w:val="20"/>
        </w:rPr>
      </w:pPr>
      <w:r>
        <w:rPr>
          <w:sz w:val="20"/>
          <w:szCs w:val="20"/>
        </w:rPr>
        <w:t>above</w:t>
      </w:r>
      <w:r>
        <w:rPr>
          <w:sz w:val="20"/>
          <w:szCs w:val="20"/>
        </w:rPr>
        <w:t xml:space="preserve"> </w:t>
      </w:r>
      <w:r>
        <w:rPr>
          <w:sz w:val="20"/>
          <w:szCs w:val="20"/>
        </w:rPr>
        <w:t>which are paid by the Partnership’s insurance carriers. For the portion of the estimated liability that exceeds insurance deductibles, the Partnership records an asset related to the amount of the liability expec</w:t>
      </w:r>
      <w:r>
        <w:rPr>
          <w:sz w:val="20"/>
          <w:szCs w:val="20"/>
        </w:rPr>
        <w:t>ted to be covered by insurance</w:t>
      </w:r>
      <w:r>
        <w:rPr>
          <w:sz w:val="20"/>
          <w:szCs w:val="20"/>
        </w:rPr>
        <w:t>.</w:t>
      </w:r>
    </w:p>
    <w:p w14:paraId="42D82BDF" w14:textId="77777777" w:rsidR="00000000" w:rsidRDefault="00832D71">
      <w:pPr>
        <w:pStyle w:val="a3"/>
        <w:spacing w:before="240" w:beforeAutospacing="0" w:after="0" w:afterAutospacing="0"/>
        <w:jc w:val="both"/>
        <w:divId w:val="1462528966"/>
        <w:rPr>
          <w:sz w:val="20"/>
          <w:szCs w:val="20"/>
        </w:rPr>
      </w:pPr>
      <w:r>
        <w:rPr>
          <w:b/>
          <w:bCs/>
          <w:sz w:val="20"/>
          <w:szCs w:val="20"/>
        </w:rPr>
        <w:t>Pension and Other Postretirement Benefits</w:t>
      </w:r>
      <w:r>
        <w:rPr>
          <w:b/>
          <w:bCs/>
          <w:sz w:val="20"/>
          <w:szCs w:val="20"/>
        </w:rPr>
        <w:t>.</w:t>
      </w:r>
      <w:r>
        <w:rPr>
          <w:sz w:val="20"/>
          <w:szCs w:val="20"/>
        </w:rPr>
        <w:t xml:space="preserve"> The Partnership estimates the rate of return on plan assets, the discount rate used to estimate the present value of future benefit obligations and the expected cost of future healt</w:t>
      </w:r>
      <w:r>
        <w:rPr>
          <w:sz w:val="20"/>
          <w:szCs w:val="20"/>
        </w:rPr>
        <w:t>h care benefits in determining its annual pension and other postretirement benefit costs. The Partnership uses Society of Actuaries mortality tables (Pri-2012), mortality improvement scales (MP-2021) and other actuarial life expectancy information when dev</w:t>
      </w:r>
      <w:r>
        <w:rPr>
          <w:sz w:val="20"/>
          <w:szCs w:val="20"/>
        </w:rPr>
        <w:t>eloping the annual mortality assumptions for the pension and postretirement benefit plans, which are used to measure net periodic benefit costs and the obligation under these plans</w:t>
      </w:r>
      <w:r>
        <w:rPr>
          <w:sz w:val="20"/>
          <w:szCs w:val="20"/>
        </w:rPr>
        <w:t>.</w:t>
      </w:r>
      <w:r>
        <w:rPr>
          <w:sz w:val="20"/>
          <w:szCs w:val="20"/>
        </w:rPr>
        <w:t xml:space="preserve"> </w:t>
      </w:r>
    </w:p>
    <w:p w14:paraId="7A17EB7D" w14:textId="77777777" w:rsidR="00000000" w:rsidRDefault="00832D71">
      <w:pPr>
        <w:pStyle w:val="a3"/>
        <w:spacing w:before="240" w:beforeAutospacing="0" w:after="0" w:afterAutospacing="0"/>
        <w:jc w:val="both"/>
        <w:divId w:val="1737631804"/>
        <w:rPr>
          <w:sz w:val="20"/>
          <w:szCs w:val="20"/>
        </w:rPr>
      </w:pPr>
      <w:r>
        <w:rPr>
          <w:b/>
          <w:bCs/>
          <w:sz w:val="20"/>
          <w:szCs w:val="20"/>
        </w:rPr>
        <w:t>Customer Deposits and Advances</w:t>
      </w:r>
      <w:r>
        <w:rPr>
          <w:b/>
          <w:bCs/>
          <w:sz w:val="20"/>
          <w:szCs w:val="20"/>
        </w:rPr>
        <w:t>.</w:t>
      </w:r>
      <w:r>
        <w:rPr>
          <w:sz w:val="20"/>
          <w:szCs w:val="20"/>
        </w:rPr>
        <w:t xml:space="preserve"> The Partnership offers different payment </w:t>
      </w:r>
      <w:r>
        <w:rPr>
          <w:sz w:val="20"/>
          <w:szCs w:val="20"/>
        </w:rPr>
        <w:t>programs to its customers including the ability to prepay for usage and to make equal monthly payments on account under a budget payment plan. The Partnership establishes a liability within customer deposits and advances for amounts collected in advance of</w:t>
      </w:r>
      <w:r>
        <w:rPr>
          <w:sz w:val="20"/>
          <w:szCs w:val="20"/>
        </w:rPr>
        <w:t xml:space="preserve"> deliveries</w:t>
      </w:r>
      <w:r>
        <w:rPr>
          <w:sz w:val="20"/>
          <w:szCs w:val="20"/>
        </w:rPr>
        <w:t>.</w:t>
      </w:r>
    </w:p>
    <w:p w14:paraId="02B226AE" w14:textId="77777777" w:rsidR="00000000" w:rsidRDefault="00832D71">
      <w:pPr>
        <w:pStyle w:val="a3"/>
        <w:spacing w:before="240" w:beforeAutospacing="0" w:after="0" w:afterAutospacing="0"/>
        <w:jc w:val="both"/>
        <w:divId w:val="250898386"/>
        <w:rPr>
          <w:sz w:val="20"/>
          <w:szCs w:val="20"/>
        </w:rPr>
      </w:pPr>
      <w:r>
        <w:rPr>
          <w:b/>
          <w:bCs/>
          <w:sz w:val="20"/>
          <w:szCs w:val="20"/>
        </w:rPr>
        <w:t>Income Taxes</w:t>
      </w:r>
      <w:r>
        <w:rPr>
          <w:b/>
          <w:bCs/>
          <w:sz w:val="20"/>
          <w:szCs w:val="20"/>
        </w:rPr>
        <w:t>.</w:t>
      </w:r>
      <w:r>
        <w:rPr>
          <w:sz w:val="20"/>
          <w:szCs w:val="20"/>
        </w:rPr>
        <w:t xml:space="preserve"> As discussed in Note 1, the Partnership structure consists of</w:t>
      </w:r>
      <w:r>
        <w:rPr>
          <w:sz w:val="20"/>
          <w:szCs w:val="20"/>
        </w:rPr>
        <w:t xml:space="preserve"> </w:t>
      </w:r>
      <w:r>
        <w:rPr>
          <w:sz w:val="20"/>
          <w:szCs w:val="20"/>
        </w:rPr>
        <w:t>tw</w:t>
      </w:r>
      <w:r>
        <w:rPr>
          <w:sz w:val="20"/>
          <w:szCs w:val="20"/>
        </w:rPr>
        <w:t>o</w:t>
      </w:r>
      <w:r>
        <w:rPr>
          <w:sz w:val="20"/>
          <w:szCs w:val="20"/>
        </w:rPr>
        <w:t xml:space="preserve"> limited partnerships, the Partnership and the Operating Partnership, and the Corporate Entities. For federal income tax purposes, as well as for state income tax p</w:t>
      </w:r>
      <w:r>
        <w:rPr>
          <w:sz w:val="20"/>
          <w:szCs w:val="20"/>
        </w:rPr>
        <w:t>urposes in the majority of the states in which the Partnership operates, the earnings attributable to the Partnership and the Operating Partnership are included in the tax returns of the Common Unitholders. As a result, except for certain states that impos</w:t>
      </w:r>
      <w:r>
        <w:rPr>
          <w:sz w:val="20"/>
          <w:szCs w:val="20"/>
        </w:rPr>
        <w:t>e an income tax on partnerships, no income tax expense is reflected in the Partnership’s consolidated financial statements relating to the earnings of the Partnership and the Operating Partnership. The earnings attributable to the Corporate Entities are su</w:t>
      </w:r>
      <w:r>
        <w:rPr>
          <w:sz w:val="20"/>
          <w:szCs w:val="20"/>
        </w:rPr>
        <w:t xml:space="preserve">bject to federal and state income tax. Net earnings for financial statement purposes may differ significantly from taxable income reportable to Common Unitholders as a result of differences between the tax basis and financial reporting basis of assets and </w:t>
      </w:r>
      <w:r>
        <w:rPr>
          <w:sz w:val="20"/>
          <w:szCs w:val="20"/>
        </w:rPr>
        <w:t>liabilities and the taxable income allocation requirements under the Partnership Agreement</w:t>
      </w:r>
      <w:r>
        <w:rPr>
          <w:sz w:val="20"/>
          <w:szCs w:val="20"/>
        </w:rPr>
        <w:t>.</w:t>
      </w:r>
    </w:p>
    <w:p w14:paraId="078295E4" w14:textId="77777777" w:rsidR="00000000" w:rsidRDefault="00832D71">
      <w:pPr>
        <w:pStyle w:val="a3"/>
        <w:spacing w:before="240" w:beforeAutospacing="0" w:after="0" w:afterAutospacing="0"/>
        <w:jc w:val="both"/>
        <w:divId w:val="250898386"/>
        <w:rPr>
          <w:sz w:val="20"/>
          <w:szCs w:val="20"/>
        </w:rPr>
      </w:pPr>
      <w:r>
        <w:rPr>
          <w:sz w:val="20"/>
          <w:szCs w:val="20"/>
        </w:rPr>
        <w:t>Income taxes for the Corporate Entities are provided based on the asset and liability approach to accounting for income taxes. Under this method, deferred tax asset</w:t>
      </w:r>
      <w:r>
        <w:rPr>
          <w:sz w:val="20"/>
          <w:szCs w:val="20"/>
        </w:rPr>
        <w:t>s and liabilities are recognized for the expected future tax consequences of differences between the carrying amounts and the tax basis of assets and liabilities using enacted tax rates in effect for the year in which the differences are expected to revers</w:t>
      </w:r>
      <w:r>
        <w:rPr>
          <w:sz w:val="20"/>
          <w:szCs w:val="20"/>
        </w:rPr>
        <w:t>e. The effect on deferred tax assets and liabilities of a change in tax rates is recognized in income in the period when the change is enacted. A valuation allowance is recorded to reduce the carrying amounts of deferred tax assets when it is more likely t</w:t>
      </w:r>
      <w:r>
        <w:rPr>
          <w:sz w:val="20"/>
          <w:szCs w:val="20"/>
        </w:rPr>
        <w:t>han not that the full amount will not be realized</w:t>
      </w:r>
      <w:r>
        <w:rPr>
          <w:sz w:val="20"/>
          <w:szCs w:val="20"/>
        </w:rPr>
        <w:t>.</w:t>
      </w:r>
    </w:p>
    <w:p w14:paraId="37BCF38B" w14:textId="77777777" w:rsidR="00000000" w:rsidRDefault="00832D71">
      <w:pPr>
        <w:pStyle w:val="a3"/>
        <w:spacing w:before="240" w:beforeAutospacing="0" w:after="0" w:afterAutospacing="0"/>
        <w:jc w:val="both"/>
        <w:divId w:val="169682088"/>
        <w:rPr>
          <w:sz w:val="20"/>
          <w:szCs w:val="20"/>
        </w:rPr>
      </w:pPr>
      <w:r>
        <w:rPr>
          <w:b/>
          <w:bCs/>
          <w:sz w:val="20"/>
          <w:szCs w:val="20"/>
        </w:rPr>
        <w:t>Loss Contingencies</w:t>
      </w:r>
      <w:r>
        <w:rPr>
          <w:b/>
          <w:bCs/>
          <w:sz w:val="20"/>
          <w:szCs w:val="20"/>
        </w:rPr>
        <w:t>.</w:t>
      </w:r>
      <w:r>
        <w:rPr>
          <w:sz w:val="20"/>
          <w:szCs w:val="20"/>
        </w:rPr>
        <w:t xml:space="preserve"> In the normal course of business, the Partnership is involved in various claims and legal proceedings. The Partnership records a liability for such matters when it is probable that a lo</w:t>
      </w:r>
      <w:r>
        <w:rPr>
          <w:sz w:val="20"/>
          <w:szCs w:val="20"/>
        </w:rPr>
        <w:t>ss has been incurred and the amounts can be reasonably estimated. The liability includes probable and estimable legal costs to the point in the legal matter where the Partnership believes a conclusion to the matter will be reached. When only a range of pos</w:t>
      </w:r>
      <w:r>
        <w:rPr>
          <w:sz w:val="20"/>
          <w:szCs w:val="20"/>
        </w:rPr>
        <w:t>sible loss can be established, the most probable amount in the range is accrued. If no amount within this range is a better estimate than any other amount within the range, the minimum amount in the range is accrued</w:t>
      </w:r>
      <w:r>
        <w:rPr>
          <w:sz w:val="20"/>
          <w:szCs w:val="20"/>
        </w:rPr>
        <w:t>.</w:t>
      </w:r>
    </w:p>
    <w:p w14:paraId="66D7F04E" w14:textId="77777777" w:rsidR="00000000" w:rsidRDefault="00832D71">
      <w:pPr>
        <w:pStyle w:val="a3"/>
        <w:spacing w:before="240" w:beforeAutospacing="0" w:after="0" w:afterAutospacing="0"/>
        <w:jc w:val="both"/>
        <w:divId w:val="1647777628"/>
        <w:rPr>
          <w:sz w:val="20"/>
          <w:szCs w:val="20"/>
        </w:rPr>
      </w:pPr>
      <w:r>
        <w:rPr>
          <w:b/>
          <w:bCs/>
          <w:sz w:val="20"/>
          <w:szCs w:val="20"/>
        </w:rPr>
        <w:t>Asset Retirement Obligations</w:t>
      </w:r>
      <w:r>
        <w:rPr>
          <w:b/>
          <w:bCs/>
          <w:sz w:val="20"/>
          <w:szCs w:val="20"/>
        </w:rPr>
        <w:t>.</w:t>
      </w:r>
      <w:r>
        <w:rPr>
          <w:sz w:val="20"/>
          <w:szCs w:val="20"/>
        </w:rPr>
        <w:t xml:space="preserve"> Asset ret</w:t>
      </w:r>
      <w:r>
        <w:rPr>
          <w:sz w:val="20"/>
          <w:szCs w:val="20"/>
        </w:rPr>
        <w:t>irement obligations apply to legal obligations associated with the retirement of long-lived assets that result from the acquisition, construction, development and/or the normal operation of a long-lived asset. The Partnership has recognized asset retiremen</w:t>
      </w:r>
      <w:r>
        <w:rPr>
          <w:sz w:val="20"/>
          <w:szCs w:val="20"/>
        </w:rPr>
        <w:t>t obligations for certain costs to remove and properly dispose of underground and aboveground fuel oil storage tanks and contractually mandated removal of leasehold improvements</w:t>
      </w:r>
      <w:r>
        <w:rPr>
          <w:sz w:val="20"/>
          <w:szCs w:val="20"/>
        </w:rPr>
        <w:t>.</w:t>
      </w:r>
    </w:p>
    <w:p w14:paraId="052AC292" w14:textId="77777777" w:rsidR="00000000" w:rsidRDefault="00832D71">
      <w:pPr>
        <w:pStyle w:val="a3"/>
        <w:spacing w:before="240" w:beforeAutospacing="0" w:after="0" w:afterAutospacing="0"/>
        <w:jc w:val="both"/>
        <w:divId w:val="1647777628"/>
        <w:rPr>
          <w:sz w:val="20"/>
          <w:szCs w:val="20"/>
        </w:rPr>
      </w:pPr>
      <w:r>
        <w:rPr>
          <w:sz w:val="20"/>
          <w:szCs w:val="20"/>
        </w:rPr>
        <w:t>The Partnership records a liability at fair value for the estimated cost to s</w:t>
      </w:r>
      <w:r>
        <w:rPr>
          <w:sz w:val="20"/>
          <w:szCs w:val="20"/>
        </w:rPr>
        <w:t xml:space="preserve">ettle an asset retirement obligation at the time that liability is incurred, which is generally when the asset is purchased, constructed or leased. The Partnership records the liability, which is referred to as the asset retirement obligation, when it has </w:t>
      </w:r>
      <w:r>
        <w:rPr>
          <w:sz w:val="20"/>
          <w:szCs w:val="20"/>
        </w:rPr>
        <w:t>a legal obligation to incur costs to retire the asset and when a reasonable estimate of the fair value of the liability can be made. If a reasonable estimate cannot be made at the time the liability is incurred, the Partnership records the liability when s</w:t>
      </w:r>
      <w:r>
        <w:rPr>
          <w:sz w:val="20"/>
          <w:szCs w:val="20"/>
        </w:rPr>
        <w:t>ufficient information is available to estimate the liability’s fair value</w:t>
      </w:r>
      <w:r>
        <w:rPr>
          <w:sz w:val="20"/>
          <w:szCs w:val="20"/>
        </w:rPr>
        <w:t>.</w:t>
      </w:r>
    </w:p>
    <w:p w14:paraId="54771389" w14:textId="77777777" w:rsidR="00000000" w:rsidRDefault="00832D71">
      <w:pPr>
        <w:pStyle w:val="a3"/>
        <w:spacing w:before="240" w:beforeAutospacing="0" w:after="0" w:afterAutospacing="0"/>
        <w:jc w:val="both"/>
        <w:divId w:val="608506570"/>
        <w:rPr>
          <w:sz w:val="20"/>
          <w:szCs w:val="20"/>
        </w:rPr>
      </w:pPr>
      <w:r>
        <w:rPr>
          <w:b/>
          <w:bCs/>
          <w:sz w:val="20"/>
          <w:szCs w:val="20"/>
        </w:rPr>
        <w:t>Unit-Based Compensation</w:t>
      </w:r>
      <w:r>
        <w:rPr>
          <w:b/>
          <w:bCs/>
          <w:sz w:val="20"/>
          <w:szCs w:val="20"/>
        </w:rPr>
        <w:t>.</w:t>
      </w:r>
      <w:r>
        <w:rPr>
          <w:sz w:val="20"/>
          <w:szCs w:val="20"/>
        </w:rPr>
        <w:t xml:space="preserve"> The Partnership recognizes compensation cost over the respective service period for employee services received in exchange for an award of equity or equity-</w:t>
      </w:r>
      <w:r>
        <w:rPr>
          <w:sz w:val="20"/>
          <w:szCs w:val="20"/>
        </w:rPr>
        <w:t xml:space="preserve">based compensation based on the grant date fair value of the award. The Partnership measures liability awards under an equity-based payment arrangement based on remeasurement of the award’s fair value at the conclusion of each interim and annual reporting </w:t>
      </w:r>
      <w:r>
        <w:rPr>
          <w:sz w:val="20"/>
          <w:szCs w:val="20"/>
        </w:rPr>
        <w:t>period until the date of settlement, taking into consideration the probability that the performance conditions will be satisfied</w:t>
      </w:r>
      <w:r>
        <w:rPr>
          <w:sz w:val="20"/>
          <w:szCs w:val="20"/>
        </w:rPr>
        <w:t>.</w:t>
      </w:r>
    </w:p>
    <w:p w14:paraId="773546F5" w14:textId="77777777" w:rsidR="00000000" w:rsidRDefault="00832D71">
      <w:pPr>
        <w:pStyle w:val="a3"/>
        <w:spacing w:before="240" w:beforeAutospacing="0" w:after="0" w:afterAutospacing="0"/>
        <w:jc w:val="both"/>
        <w:divId w:val="1624187758"/>
        <w:rPr>
          <w:sz w:val="20"/>
          <w:szCs w:val="20"/>
        </w:rPr>
      </w:pPr>
      <w:r>
        <w:rPr>
          <w:b/>
          <w:bCs/>
          <w:sz w:val="20"/>
          <w:szCs w:val="20"/>
        </w:rPr>
        <w:t>Costs and Expenses</w:t>
      </w:r>
      <w:r>
        <w:rPr>
          <w:b/>
          <w:bCs/>
          <w:sz w:val="20"/>
          <w:szCs w:val="20"/>
        </w:rPr>
        <w:t>.</w:t>
      </w:r>
      <w:r>
        <w:rPr>
          <w:sz w:val="20"/>
          <w:szCs w:val="20"/>
        </w:rPr>
        <w:t xml:space="preserve"> The cost of products sold reported in the consolidated statements of operations represents the weighted av</w:t>
      </w:r>
      <w:r>
        <w:rPr>
          <w:sz w:val="20"/>
          <w:szCs w:val="20"/>
        </w:rPr>
        <w:t>erage unit cost of propane, fuel oil and refined fuels, as well as the cost of natural gas and electricity sold, including transportation costs to deliver product from the Partnership’s supply points to storage or to the Partnership’s customer service cent</w:t>
      </w:r>
      <w:r>
        <w:rPr>
          <w:sz w:val="20"/>
          <w:szCs w:val="20"/>
        </w:rPr>
        <w:t>ers. Cost of products sold also includes the cost of appliances, equipment and related parts sold or installed by the Partnership’s customer service centers computed on a basis that approximates the average cost of the products. Unrealized non-cash gains o</w:t>
      </w:r>
      <w:r>
        <w:rPr>
          <w:sz w:val="20"/>
          <w:szCs w:val="20"/>
        </w:rPr>
        <w:t>r losses from changes in the fair value o</w:t>
      </w:r>
      <w:r>
        <w:rPr>
          <w:sz w:val="20"/>
          <w:szCs w:val="20"/>
        </w:rPr>
        <w:t>f</w:t>
      </w:r>
      <w:r>
        <w:rPr>
          <w:sz w:val="20"/>
          <w:szCs w:val="20"/>
        </w:rPr>
        <w:t xml:space="preserve"> </w:t>
      </w:r>
    </w:p>
    <w:p w14:paraId="51F01D30" w14:textId="77777777" w:rsidR="00000000" w:rsidRDefault="00832D71">
      <w:pPr>
        <w:pStyle w:val="a3"/>
        <w:spacing w:before="200" w:beforeAutospacing="0" w:after="0" w:afterAutospacing="0"/>
        <w:jc w:val="center"/>
        <w:divId w:val="1624187758"/>
        <w:rPr>
          <w:sz w:val="20"/>
          <w:szCs w:val="20"/>
        </w:rPr>
      </w:pPr>
      <w:r>
        <w:rPr>
          <w:sz w:val="20"/>
          <w:szCs w:val="20"/>
        </w:rPr>
        <w:t>F</w:t>
      </w:r>
      <w:r>
        <w:rPr>
          <w:sz w:val="20"/>
          <w:szCs w:val="20"/>
        </w:rPr>
        <w:t>-</w:t>
      </w:r>
      <w:r>
        <w:rPr>
          <w:sz w:val="20"/>
          <w:szCs w:val="20"/>
        </w:rPr>
        <w:t>1</w:t>
      </w:r>
      <w:r>
        <w:rPr>
          <w:sz w:val="20"/>
          <w:szCs w:val="20"/>
        </w:rPr>
        <w:t>3</w:t>
      </w:r>
    </w:p>
    <w:p w14:paraId="039CA1C5" w14:textId="77777777" w:rsidR="00000000" w:rsidRDefault="00832D71">
      <w:pPr>
        <w:divId w:val="1624187758"/>
        <w:rPr>
          <w:rFonts w:eastAsia="Times New Roman"/>
          <w:sz w:val="20"/>
          <w:szCs w:val="20"/>
        </w:rPr>
      </w:pPr>
      <w:r>
        <w:rPr>
          <w:rFonts w:eastAsia="Times New Roman"/>
          <w:sz w:val="20"/>
          <w:szCs w:val="20"/>
        </w:rPr>
        <w:pict w14:anchorId="6ECFBAB0">
          <v:rect id="_x0000_i1132" style="width:0;height:1.5pt" o:hralign="center" o:hrstd="t" o:hr="t" fillcolor="#a0a0a0" stroked="f"/>
        </w:pict>
      </w:r>
    </w:p>
    <w:p w14:paraId="2AF6A230" w14:textId="77777777" w:rsidR="00000000" w:rsidRDefault="00832D71">
      <w:pPr>
        <w:pStyle w:val="a3"/>
        <w:spacing w:before="0" w:beforeAutospacing="0" w:after="0" w:afterAutospacing="0"/>
        <w:divId w:val="1624187758"/>
        <w:rPr>
          <w:sz w:val="20"/>
          <w:szCs w:val="20"/>
        </w:rPr>
      </w:pPr>
      <w:r>
        <w:rPr>
          <w:sz w:val="20"/>
          <w:szCs w:val="20"/>
        </w:rPr>
        <w:t> </w:t>
      </w:r>
    </w:p>
    <w:p w14:paraId="52B8D7F0" w14:textId="77777777" w:rsidR="00000000" w:rsidRDefault="00832D71">
      <w:pPr>
        <w:pStyle w:val="a3"/>
        <w:spacing w:before="240" w:beforeAutospacing="0" w:after="0" w:afterAutospacing="0"/>
        <w:jc w:val="both"/>
        <w:divId w:val="1624187758"/>
        <w:rPr>
          <w:sz w:val="20"/>
          <w:szCs w:val="20"/>
        </w:rPr>
      </w:pPr>
      <w:r>
        <w:rPr>
          <w:sz w:val="20"/>
          <w:szCs w:val="20"/>
        </w:rPr>
        <w:t>commodity derivative instruments that are not designated as cash flow hedges are recorded in each reporting period within cost of products sold. Cost of products sold i</w:t>
      </w:r>
      <w:r>
        <w:rPr>
          <w:sz w:val="20"/>
          <w:szCs w:val="20"/>
        </w:rPr>
        <w:t>s reported exclusive of any depreciation and amortization as such amounts are reported separately within the consolidated statements of operations</w:t>
      </w:r>
      <w:r>
        <w:rPr>
          <w:sz w:val="20"/>
          <w:szCs w:val="20"/>
        </w:rPr>
        <w:t>.</w:t>
      </w:r>
    </w:p>
    <w:p w14:paraId="1840FD7D" w14:textId="77777777" w:rsidR="00000000" w:rsidRDefault="00832D71">
      <w:pPr>
        <w:pStyle w:val="a3"/>
        <w:spacing w:before="240" w:beforeAutospacing="0" w:after="0" w:afterAutospacing="0"/>
        <w:jc w:val="both"/>
        <w:divId w:val="1624187758"/>
        <w:rPr>
          <w:sz w:val="20"/>
          <w:szCs w:val="20"/>
        </w:rPr>
      </w:pPr>
      <w:r>
        <w:rPr>
          <w:sz w:val="20"/>
          <w:szCs w:val="20"/>
        </w:rPr>
        <w:t>All other costs of operating the Partnership’s retail propane, fuel oil and refined fuels distribution and a</w:t>
      </w:r>
      <w:r>
        <w:rPr>
          <w:sz w:val="20"/>
          <w:szCs w:val="20"/>
        </w:rPr>
        <w:t xml:space="preserve">ppliance sales and service operations, as well as the natural gas and electricity marketing business and the renewable energy businesses, are reported within operating expenses in the consolidated statements of operations. These operating expenses include </w:t>
      </w:r>
      <w:r>
        <w:rPr>
          <w:sz w:val="20"/>
          <w:szCs w:val="20"/>
        </w:rPr>
        <w:t>the compensation and benefits of field and direct operating support personnel, costs of operating and maintaining the vehicle fleet, overhead and other costs of the purchasing, training and safety departments and other direct and indirect costs of operatin</w:t>
      </w:r>
      <w:r>
        <w:rPr>
          <w:sz w:val="20"/>
          <w:szCs w:val="20"/>
        </w:rPr>
        <w:t>g the Partnership’s customer service centers</w:t>
      </w:r>
      <w:r>
        <w:rPr>
          <w:sz w:val="20"/>
          <w:szCs w:val="20"/>
        </w:rPr>
        <w:t>.</w:t>
      </w:r>
    </w:p>
    <w:p w14:paraId="10495C16" w14:textId="77777777" w:rsidR="00000000" w:rsidRDefault="00832D71">
      <w:pPr>
        <w:pStyle w:val="a3"/>
        <w:spacing w:before="240" w:beforeAutospacing="0" w:after="0" w:afterAutospacing="0"/>
        <w:jc w:val="both"/>
        <w:divId w:val="1624187758"/>
        <w:rPr>
          <w:sz w:val="20"/>
          <w:szCs w:val="20"/>
        </w:rPr>
      </w:pPr>
      <w:r>
        <w:rPr>
          <w:sz w:val="20"/>
          <w:szCs w:val="20"/>
        </w:rPr>
        <w:t>All costs of back office support functions, including compensation and benefits for executives and other support functions, as well as other costs and expenses to maintain finance and accounting, treasury, lega</w:t>
      </w:r>
      <w:r>
        <w:rPr>
          <w:sz w:val="20"/>
          <w:szCs w:val="20"/>
        </w:rPr>
        <w:t>l, human resources, corporate development and the information systems functions are reported within general and administrative expenses in the consolidated statements of operations</w:t>
      </w:r>
      <w:r>
        <w:rPr>
          <w:sz w:val="20"/>
          <w:szCs w:val="20"/>
        </w:rPr>
        <w:t>.</w:t>
      </w:r>
    </w:p>
    <w:p w14:paraId="695E69E4" w14:textId="77777777" w:rsidR="00000000" w:rsidRDefault="00832D71">
      <w:pPr>
        <w:pStyle w:val="a3"/>
        <w:spacing w:before="240" w:beforeAutospacing="0" w:after="0" w:afterAutospacing="0"/>
        <w:jc w:val="both"/>
        <w:divId w:val="991908299"/>
        <w:rPr>
          <w:sz w:val="20"/>
          <w:szCs w:val="20"/>
        </w:rPr>
      </w:pPr>
      <w:r>
        <w:rPr>
          <w:b/>
          <w:bCs/>
          <w:sz w:val="20"/>
          <w:szCs w:val="20"/>
        </w:rPr>
        <w:t>Net Income Per Unit</w:t>
      </w:r>
      <w:r>
        <w:rPr>
          <w:b/>
          <w:bCs/>
          <w:sz w:val="20"/>
          <w:szCs w:val="20"/>
        </w:rPr>
        <w:t>.</w:t>
      </w:r>
      <w:r>
        <w:rPr>
          <w:sz w:val="20"/>
          <w:szCs w:val="20"/>
        </w:rPr>
        <w:t xml:space="preserve"> Computations of basic income per Common Unit are perf</w:t>
      </w:r>
      <w:r>
        <w:rPr>
          <w:sz w:val="20"/>
          <w:szCs w:val="20"/>
        </w:rPr>
        <w:t>ormed by dividing net income by the weighted average number of outstanding Common Units, and vested (and unissued) restricted units granted under the Partnership’s Restricted Unit Plans, as defined below, to retirement-eligible grantees. Computations of di</w:t>
      </w:r>
      <w:r>
        <w:rPr>
          <w:sz w:val="20"/>
          <w:szCs w:val="20"/>
        </w:rPr>
        <w:t>luted income per Common Unit are performed by dividing net income by the weighted average number of outstanding Common Units and unissued restricted units granted under the Restricted Unit Plans. In computing diluted net income per Common Unit, weighted av</w:t>
      </w:r>
      <w:r>
        <w:rPr>
          <w:sz w:val="20"/>
          <w:szCs w:val="20"/>
        </w:rPr>
        <w:t>erage units outstanding used to compute basic net income per Common Unit were increased by</w:t>
      </w:r>
      <w:r>
        <w:rPr>
          <w:sz w:val="20"/>
          <w:szCs w:val="20"/>
        </w:rPr>
        <w:t xml:space="preserve"> </w:t>
      </w:r>
      <w:r>
        <w:rPr>
          <w:sz w:val="20"/>
          <w:szCs w:val="20"/>
        </w:rPr>
        <w:t>805,03</w:t>
      </w:r>
      <w:r>
        <w:rPr>
          <w:sz w:val="20"/>
          <w:szCs w:val="20"/>
        </w:rPr>
        <w:t>3</w:t>
      </w:r>
      <w:r>
        <w:rPr>
          <w:sz w:val="20"/>
          <w:szCs w:val="20"/>
        </w:rPr>
        <w:t>,</w:t>
      </w:r>
      <w:r>
        <w:rPr>
          <w:sz w:val="20"/>
          <w:szCs w:val="20"/>
        </w:rPr>
        <w:t xml:space="preserve"> </w:t>
      </w:r>
      <w:r>
        <w:rPr>
          <w:sz w:val="20"/>
          <w:szCs w:val="20"/>
        </w:rPr>
        <w:t>599,48</w:t>
      </w:r>
      <w:r>
        <w:rPr>
          <w:sz w:val="20"/>
          <w:szCs w:val="20"/>
        </w:rPr>
        <w:t>1</w:t>
      </w:r>
      <w:r>
        <w:rPr>
          <w:sz w:val="20"/>
          <w:szCs w:val="20"/>
        </w:rPr>
        <w:t xml:space="preserve"> and</w:t>
      </w:r>
      <w:r>
        <w:rPr>
          <w:sz w:val="20"/>
          <w:szCs w:val="20"/>
        </w:rPr>
        <w:t xml:space="preserve"> </w:t>
      </w:r>
      <w:r>
        <w:rPr>
          <w:sz w:val="20"/>
          <w:szCs w:val="20"/>
        </w:rPr>
        <w:t>427,50</w:t>
      </w:r>
      <w:r>
        <w:rPr>
          <w:sz w:val="20"/>
          <w:szCs w:val="20"/>
        </w:rPr>
        <w:t>4</w:t>
      </w:r>
      <w:r>
        <w:rPr>
          <w:sz w:val="20"/>
          <w:szCs w:val="20"/>
        </w:rPr>
        <w:t xml:space="preserve"> units for fiscal</w:t>
      </w:r>
      <w:r>
        <w:rPr>
          <w:sz w:val="20"/>
          <w:szCs w:val="20"/>
        </w:rPr>
        <w:t xml:space="preserve"> </w:t>
      </w:r>
      <w:r>
        <w:rPr>
          <w:sz w:val="20"/>
          <w:szCs w:val="20"/>
        </w:rPr>
        <w:t>2022, 202</w:t>
      </w:r>
      <w:r>
        <w:rPr>
          <w:sz w:val="20"/>
          <w:szCs w:val="20"/>
        </w:rPr>
        <w:t>1</w:t>
      </w:r>
      <w:r>
        <w:rPr>
          <w:sz w:val="20"/>
          <w:szCs w:val="20"/>
        </w:rPr>
        <w:t xml:space="preserve"> and 2020, respectively, to reflect the potential dilutive effect of the unvested restricted units outstandin</w:t>
      </w:r>
      <w:r>
        <w:rPr>
          <w:sz w:val="20"/>
          <w:szCs w:val="20"/>
        </w:rPr>
        <w:t>g using the treasury stock method</w:t>
      </w:r>
      <w:r>
        <w:rPr>
          <w:sz w:val="20"/>
          <w:szCs w:val="20"/>
        </w:rPr>
        <w:t>.</w:t>
      </w:r>
    </w:p>
    <w:p w14:paraId="66114EFB" w14:textId="77777777" w:rsidR="00000000" w:rsidRDefault="00832D71">
      <w:pPr>
        <w:pStyle w:val="a3"/>
        <w:spacing w:before="240" w:beforeAutospacing="0" w:after="0" w:afterAutospacing="0"/>
        <w:jc w:val="both"/>
        <w:divId w:val="20472342"/>
        <w:rPr>
          <w:sz w:val="20"/>
          <w:szCs w:val="20"/>
        </w:rPr>
      </w:pPr>
      <w:r>
        <w:rPr>
          <w:b/>
          <w:bCs/>
          <w:sz w:val="20"/>
          <w:szCs w:val="20"/>
        </w:rPr>
        <w:t>Comprehensive Income</w:t>
      </w:r>
      <w:r>
        <w:rPr>
          <w:b/>
          <w:bCs/>
          <w:sz w:val="20"/>
          <w:szCs w:val="20"/>
        </w:rPr>
        <w:t>.</w:t>
      </w:r>
      <w:r>
        <w:rPr>
          <w:sz w:val="20"/>
          <w:szCs w:val="20"/>
        </w:rPr>
        <w:t xml:space="preserve"> The Partnership reports comprehensive income (the total of net income and all other non-owner changes in partners’ capital) within the consolidated statement of comprehensive income. Other comprehens</w:t>
      </w:r>
      <w:r>
        <w:rPr>
          <w:sz w:val="20"/>
          <w:szCs w:val="20"/>
        </w:rPr>
        <w:t>ive income includes unrealized gains and losses on derivative instruments accounted for as cash flow hedges and reclassifications of realized gains and losses on cash flow hedges into earnings, amortization of net actuarial losses and prior service credits</w:t>
      </w:r>
      <w:r>
        <w:rPr>
          <w:sz w:val="20"/>
          <w:szCs w:val="20"/>
        </w:rPr>
        <w:t xml:space="preserve"> into earnings and changes in the funded status of pension and other postretirement benefit plans, and net actuarial losses recognized in earnings associated with pension settlements</w:t>
      </w:r>
      <w:r>
        <w:rPr>
          <w:sz w:val="20"/>
          <w:szCs w:val="20"/>
        </w:rPr>
        <w:t>.</w:t>
      </w:r>
    </w:p>
    <w:p w14:paraId="410FD664" w14:textId="77777777" w:rsidR="00000000" w:rsidRDefault="00832D71">
      <w:pPr>
        <w:pStyle w:val="a3"/>
        <w:spacing w:before="240" w:beforeAutospacing="0" w:after="0" w:afterAutospacing="0"/>
        <w:jc w:val="both"/>
        <w:divId w:val="2140411921"/>
        <w:rPr>
          <w:sz w:val="20"/>
          <w:szCs w:val="20"/>
        </w:rPr>
      </w:pPr>
      <w:r>
        <w:rPr>
          <w:b/>
          <w:bCs/>
          <w:sz w:val="20"/>
          <w:szCs w:val="20"/>
        </w:rPr>
        <w:t>Recently Issued Accounting Pronouncements</w:t>
      </w:r>
      <w:r>
        <w:rPr>
          <w:b/>
          <w:bCs/>
          <w:sz w:val="20"/>
          <w:szCs w:val="20"/>
        </w:rPr>
        <w:t>.</w:t>
      </w:r>
      <w:r>
        <w:rPr>
          <w:sz w:val="20"/>
          <w:szCs w:val="20"/>
        </w:rPr>
        <w:t xml:space="preserve"> In January 2021, the FASB iss</w:t>
      </w:r>
      <w:r>
        <w:rPr>
          <w:sz w:val="20"/>
          <w:szCs w:val="20"/>
        </w:rPr>
        <w:t>ued Accounting Standards Update (“ASU”) 2021-01 “Reference Rate Reform” (“Topic 848”). This update provides optional expedients and exceptions for contracts, hedging relationships, and other transactions that reference the London Interbank Offered Rate (“L</w:t>
      </w:r>
      <w:r>
        <w:rPr>
          <w:sz w:val="20"/>
          <w:szCs w:val="20"/>
        </w:rPr>
        <w:t>IBOR”) or another reference rate expected to be discontinued because of reference rate reform. Topic 848 became effective for all entities as of March 12, 2020, and will continue through December 31, 2024, which will be the Partnership’s first quarter of f</w:t>
      </w:r>
      <w:r>
        <w:rPr>
          <w:sz w:val="20"/>
          <w:szCs w:val="20"/>
        </w:rPr>
        <w:t>iscal 2025. LIBOR rates based on US dollars will have an extended expiration date of June 30, 2023. Borrowings under the Partnership’s revolving credit facility bear interest at prevailing interest rates based partially on LIBOR (refer to Note 10, “Long-Te</w:t>
      </w:r>
      <w:r>
        <w:rPr>
          <w:sz w:val="20"/>
          <w:szCs w:val="20"/>
        </w:rPr>
        <w:t>rm Borrowings” for more details). The Partnership does not expect that the adoption of Topic 848 will have a material impact on the Partnership’s consolidated financial statements</w:t>
      </w:r>
      <w:r>
        <w:rPr>
          <w:sz w:val="20"/>
          <w:szCs w:val="20"/>
        </w:rPr>
        <w:t>.</w:t>
      </w:r>
    </w:p>
    <w:p w14:paraId="17A080B0" w14:textId="77777777" w:rsidR="00000000" w:rsidRDefault="00832D71">
      <w:pPr>
        <w:pStyle w:val="a3"/>
        <w:spacing w:before="240" w:beforeAutospacing="0" w:after="0" w:afterAutospacing="0"/>
        <w:jc w:val="both"/>
        <w:divId w:val="2140411921"/>
        <w:rPr>
          <w:sz w:val="20"/>
          <w:szCs w:val="20"/>
        </w:rPr>
      </w:pPr>
      <w:r>
        <w:rPr>
          <w:b/>
          <w:bCs/>
          <w:sz w:val="20"/>
          <w:szCs w:val="20"/>
        </w:rPr>
        <w:t>Recently Adopted Accounting Pronouncements</w:t>
      </w:r>
      <w:r>
        <w:rPr>
          <w:b/>
          <w:bCs/>
          <w:sz w:val="20"/>
          <w:szCs w:val="20"/>
        </w:rPr>
        <w:t>.</w:t>
      </w:r>
      <w:r>
        <w:rPr>
          <w:sz w:val="20"/>
          <w:szCs w:val="20"/>
        </w:rPr>
        <w:t xml:space="preserve"> On the first day of fiscal 2020</w:t>
      </w:r>
      <w:r>
        <w:rPr>
          <w:sz w:val="20"/>
          <w:szCs w:val="20"/>
        </w:rPr>
        <w:t>, the Partnership adopted the new leases accounting guidance under ASU 2016-02 “Leases” (“Topic 842”), including the related amendments thereto. Topic 842 amended the existing accounting standards for lease accounting, including requiring lessees to recogn</w:t>
      </w:r>
      <w:r>
        <w:rPr>
          <w:sz w:val="20"/>
          <w:szCs w:val="20"/>
        </w:rPr>
        <w:t>ize most leases on their balance sheets. The Partnership adopted the guidance under Topic 842 using a modified retrospective transition approach for all leases existing at, or entered into after, the date of initial application. The adoption of Topic 842 r</w:t>
      </w:r>
      <w:r>
        <w:rPr>
          <w:sz w:val="20"/>
          <w:szCs w:val="20"/>
        </w:rPr>
        <w:t xml:space="preserve">esulted in the recognition of operating lease right-of-use assets and corresponding lease liabilities on the Partnership’s consolidated balance sheet as of September 29, 2019 of approximately </w:t>
      </w:r>
      <w:r>
        <w:rPr>
          <w:sz w:val="20"/>
          <w:szCs w:val="20"/>
        </w:rPr>
        <w:t>$</w:t>
      </w:r>
      <w:r>
        <w:rPr>
          <w:sz w:val="20"/>
          <w:szCs w:val="20"/>
        </w:rPr>
        <w:t>103,10</w:t>
      </w:r>
      <w:r>
        <w:rPr>
          <w:sz w:val="20"/>
          <w:szCs w:val="20"/>
        </w:rPr>
        <w:t>0</w:t>
      </w:r>
      <w:r>
        <w:rPr>
          <w:sz w:val="20"/>
          <w:szCs w:val="20"/>
        </w:rPr>
        <w:t xml:space="preserve">, but did not have an impact on the Partnership’s other </w:t>
      </w:r>
      <w:r>
        <w:rPr>
          <w:sz w:val="20"/>
          <w:szCs w:val="20"/>
        </w:rPr>
        <w:t>consolidated financial statements or on its financial metrics used for debt covenant compliance. See Note 8, “Leases” for more information</w:t>
      </w:r>
      <w:r>
        <w:rPr>
          <w:sz w:val="20"/>
          <w:szCs w:val="20"/>
        </w:rPr>
        <w:t>.</w:t>
      </w:r>
    </w:p>
    <w:p w14:paraId="0375A8EC" w14:textId="77777777" w:rsidR="00000000" w:rsidRDefault="00832D71">
      <w:pPr>
        <w:pStyle w:val="a3"/>
        <w:spacing w:before="240" w:beforeAutospacing="0" w:after="0" w:afterAutospacing="0"/>
        <w:jc w:val="both"/>
        <w:divId w:val="2140411921"/>
        <w:rPr>
          <w:sz w:val="20"/>
          <w:szCs w:val="20"/>
        </w:rPr>
      </w:pPr>
      <w:r>
        <w:rPr>
          <w:sz w:val="20"/>
          <w:szCs w:val="20"/>
        </w:rPr>
        <w:t>On the first day of fiscal 2021, the Partnership adopted the guidance under ASU 2017-04 “Simplifying the Test for Go</w:t>
      </w:r>
      <w:r>
        <w:rPr>
          <w:sz w:val="20"/>
          <w:szCs w:val="20"/>
        </w:rPr>
        <w:t>odwill Impairment” (“Topic 350”). This update eliminated the requirement to perform a hypothetical purchase price allocation to measure goodwill impairment. In testing goodwill for impairment, an entity may elect to utilize a qualitative assessment to eval</w:t>
      </w:r>
      <w:r>
        <w:rPr>
          <w:sz w:val="20"/>
          <w:szCs w:val="20"/>
        </w:rPr>
        <w:t>uate whether it is more likely than not that the fair value of a reporting unit is less than its carrying amount. If the qualitative assessment indicates that goodwill impairment is more likely than not, an entity should perform its annual or interim goodw</w:t>
      </w:r>
      <w:r>
        <w:rPr>
          <w:sz w:val="20"/>
          <w:szCs w:val="20"/>
        </w:rPr>
        <w:t>ill impairment test by comparing the fair value of a reporting unit to its carrying amount and recognize an impairment charge for the amount by which the carrying amount exceeds the reporting unit's fair value, not to exceed the total amount of goodwill al</w:t>
      </w:r>
      <w:r>
        <w:rPr>
          <w:sz w:val="20"/>
          <w:szCs w:val="20"/>
        </w:rPr>
        <w:t>located to the reporting unit. The adoption of Topic 350 did not have an impact on the Partnership’s consolidated financial statements</w:t>
      </w:r>
      <w:r>
        <w:rPr>
          <w:sz w:val="20"/>
          <w:szCs w:val="20"/>
        </w:rPr>
        <w:t>.</w:t>
      </w:r>
    </w:p>
    <w:p w14:paraId="53DE1610" w14:textId="77777777" w:rsidR="00000000" w:rsidRDefault="00832D71">
      <w:pPr>
        <w:pStyle w:val="a3"/>
        <w:spacing w:before="240" w:beforeAutospacing="0" w:after="0" w:afterAutospacing="0"/>
        <w:jc w:val="both"/>
        <w:divId w:val="2140411921"/>
        <w:rPr>
          <w:sz w:val="20"/>
          <w:szCs w:val="20"/>
        </w:rPr>
      </w:pPr>
      <w:r>
        <w:rPr>
          <w:sz w:val="20"/>
          <w:szCs w:val="20"/>
        </w:rPr>
        <w:t>On</w:t>
      </w:r>
      <w:r>
        <w:rPr>
          <w:sz w:val="20"/>
          <w:szCs w:val="20"/>
        </w:rPr>
        <w:t xml:space="preserve"> </w:t>
      </w:r>
      <w:r>
        <w:rPr>
          <w:sz w:val="20"/>
          <w:szCs w:val="20"/>
        </w:rPr>
        <w:t>the first day of fiscal 2021, the Partnership adopted the guidance under ASU 2016-13 “Financial Instruments - Measure</w:t>
      </w:r>
      <w:r>
        <w:rPr>
          <w:sz w:val="20"/>
          <w:szCs w:val="20"/>
        </w:rPr>
        <w:t>ment of Credit Losses on Financial Instruments” (“Topic 326”), including the related amendments thereto. The new guidance introduced an approach based on expected losses rather than incurred losses to estimate credit losses on certain types of financial in</w:t>
      </w:r>
      <w:r>
        <w:rPr>
          <w:sz w:val="20"/>
          <w:szCs w:val="20"/>
        </w:rPr>
        <w:t>struments including, but not limited to, trade and other receivables, held-to-maturity debt securities, loans and net investments in leases. The Partnershi</w:t>
      </w:r>
      <w:r>
        <w:rPr>
          <w:sz w:val="20"/>
          <w:szCs w:val="20"/>
        </w:rPr>
        <w:t>p</w:t>
      </w:r>
      <w:r>
        <w:rPr>
          <w:sz w:val="20"/>
          <w:szCs w:val="20"/>
        </w:rPr>
        <w:t xml:space="preserve"> </w:t>
      </w:r>
    </w:p>
    <w:p w14:paraId="0A0143B9" w14:textId="77777777" w:rsidR="00000000" w:rsidRDefault="00832D71">
      <w:pPr>
        <w:pStyle w:val="a3"/>
        <w:spacing w:before="200" w:beforeAutospacing="0" w:after="0" w:afterAutospacing="0"/>
        <w:jc w:val="center"/>
        <w:divId w:val="2140411921"/>
        <w:rPr>
          <w:sz w:val="20"/>
          <w:szCs w:val="20"/>
        </w:rPr>
      </w:pPr>
      <w:r>
        <w:rPr>
          <w:sz w:val="20"/>
          <w:szCs w:val="20"/>
        </w:rPr>
        <w:t>F</w:t>
      </w:r>
      <w:r>
        <w:rPr>
          <w:sz w:val="20"/>
          <w:szCs w:val="20"/>
        </w:rPr>
        <w:t>-</w:t>
      </w:r>
      <w:r>
        <w:rPr>
          <w:sz w:val="20"/>
          <w:szCs w:val="20"/>
        </w:rPr>
        <w:t>1</w:t>
      </w:r>
      <w:r>
        <w:rPr>
          <w:sz w:val="20"/>
          <w:szCs w:val="20"/>
        </w:rPr>
        <w:t>4</w:t>
      </w:r>
    </w:p>
    <w:p w14:paraId="6D8FD6DD" w14:textId="77777777" w:rsidR="00000000" w:rsidRDefault="00832D71">
      <w:pPr>
        <w:divId w:val="2140411921"/>
        <w:rPr>
          <w:rFonts w:eastAsia="Times New Roman"/>
          <w:sz w:val="20"/>
          <w:szCs w:val="20"/>
        </w:rPr>
      </w:pPr>
      <w:r>
        <w:rPr>
          <w:rFonts w:eastAsia="Times New Roman"/>
          <w:sz w:val="20"/>
          <w:szCs w:val="20"/>
        </w:rPr>
        <w:pict w14:anchorId="3239DB96">
          <v:rect id="_x0000_i1133" style="width:0;height:1.5pt" o:hralign="center" o:hrstd="t" o:hr="t" fillcolor="#a0a0a0" stroked="f"/>
        </w:pict>
      </w:r>
    </w:p>
    <w:p w14:paraId="4232C124" w14:textId="77777777" w:rsidR="00000000" w:rsidRDefault="00832D71">
      <w:pPr>
        <w:pStyle w:val="a3"/>
        <w:spacing w:before="0" w:beforeAutospacing="0" w:after="0" w:afterAutospacing="0"/>
        <w:divId w:val="2140411921"/>
        <w:rPr>
          <w:sz w:val="20"/>
          <w:szCs w:val="20"/>
        </w:rPr>
      </w:pPr>
      <w:r>
        <w:rPr>
          <w:sz w:val="20"/>
          <w:szCs w:val="20"/>
        </w:rPr>
        <w:t> </w:t>
      </w:r>
    </w:p>
    <w:p w14:paraId="30284870" w14:textId="77777777" w:rsidR="00000000" w:rsidRDefault="00832D71">
      <w:pPr>
        <w:pStyle w:val="a3"/>
        <w:spacing w:before="240" w:beforeAutospacing="0" w:after="0" w:afterAutospacing="0"/>
        <w:jc w:val="both"/>
        <w:divId w:val="2140411921"/>
        <w:rPr>
          <w:sz w:val="20"/>
          <w:szCs w:val="20"/>
        </w:rPr>
      </w:pPr>
      <w:r>
        <w:rPr>
          <w:sz w:val="20"/>
          <w:szCs w:val="20"/>
        </w:rPr>
        <w:t>adopted</w:t>
      </w:r>
      <w:r>
        <w:rPr>
          <w:sz w:val="20"/>
          <w:szCs w:val="20"/>
        </w:rPr>
        <w:t xml:space="preserve"> </w:t>
      </w:r>
      <w:r>
        <w:rPr>
          <w:sz w:val="20"/>
          <w:szCs w:val="20"/>
        </w:rPr>
        <w:t>the guidance under Topic 326 using a modified retrospective transition approach for all financial instruments existing at, or entered into after, the date of initial application. The adoption of Topic 326 did n</w:t>
      </w:r>
      <w:r>
        <w:rPr>
          <w:sz w:val="20"/>
          <w:szCs w:val="20"/>
        </w:rPr>
        <w:t>ot have an impact on the Partnership’s consolidated financial statements</w:t>
      </w:r>
      <w:r>
        <w:rPr>
          <w:sz w:val="20"/>
          <w:szCs w:val="20"/>
        </w:rPr>
        <w:t>.</w:t>
      </w:r>
    </w:p>
    <w:p w14:paraId="146FB9AC" w14:textId="77777777" w:rsidR="00000000" w:rsidRDefault="00832D71">
      <w:pPr>
        <w:pStyle w:val="a3"/>
        <w:spacing w:before="0" w:beforeAutospacing="0" w:after="0" w:afterAutospacing="0"/>
        <w:jc w:val="both"/>
        <w:rPr>
          <w:sz w:val="20"/>
          <w:szCs w:val="20"/>
        </w:rPr>
      </w:pPr>
      <w:r>
        <w:rPr>
          <w:sz w:val="20"/>
          <w:szCs w:val="20"/>
        </w:rPr>
        <w:t> </w:t>
      </w:r>
    </w:p>
    <w:p w14:paraId="1D32ABD1" w14:textId="77777777" w:rsidR="00000000" w:rsidRDefault="00832D71">
      <w:pPr>
        <w:pStyle w:val="a3"/>
        <w:spacing w:before="120" w:beforeAutospacing="0" w:after="0" w:afterAutospacing="0"/>
        <w:ind w:hanging="581"/>
        <w:jc w:val="both"/>
        <w:divId w:val="1281228958"/>
        <w:rPr>
          <w:sz w:val="20"/>
          <w:szCs w:val="20"/>
        </w:rPr>
      </w:pPr>
      <w:r>
        <w:rPr>
          <w:b/>
          <w:bCs/>
          <w:sz w:val="20"/>
          <w:szCs w:val="20"/>
        </w:rPr>
        <w:t>3. Disaggregation of Revenu</w:t>
      </w:r>
      <w:r>
        <w:rPr>
          <w:b/>
          <w:bCs/>
          <w:sz w:val="20"/>
          <w:szCs w:val="20"/>
        </w:rPr>
        <w:t>e</w:t>
      </w:r>
    </w:p>
    <w:p w14:paraId="3BF62A79" w14:textId="77777777" w:rsidR="00000000" w:rsidRDefault="00832D71">
      <w:pPr>
        <w:pStyle w:val="a3"/>
        <w:spacing w:before="120" w:beforeAutospacing="0" w:after="0" w:afterAutospacing="0"/>
        <w:jc w:val="both"/>
        <w:divId w:val="1281228958"/>
        <w:rPr>
          <w:sz w:val="20"/>
          <w:szCs w:val="20"/>
        </w:rPr>
      </w:pPr>
      <w:r>
        <w:rPr>
          <w:sz w:val="20"/>
          <w:szCs w:val="20"/>
        </w:rPr>
        <w:t>The following table disaggregates revenue for each customer type</w:t>
      </w:r>
      <w:r>
        <w:rPr>
          <w:sz w:val="20"/>
          <w:szCs w:val="20"/>
        </w:rPr>
        <w:t>.</w:t>
      </w:r>
      <w:r>
        <w:rPr>
          <w:sz w:val="20"/>
          <w:szCs w:val="20"/>
        </w:rPr>
        <w:t xml:space="preserve"> See Note 17, “Segment Information” for more information on segment reporting wherein </w:t>
      </w:r>
      <w:r>
        <w:rPr>
          <w:sz w:val="20"/>
          <w:szCs w:val="20"/>
        </w:rPr>
        <w:t>it is disclosed that the Partnership’s Propane, Fuel Oil and Refined Fuels and Natural Gas and Electricity reportable segments generated approximately</w:t>
      </w:r>
      <w:r>
        <w:rPr>
          <w:sz w:val="20"/>
          <w:szCs w:val="20"/>
        </w:rPr>
        <w:t xml:space="preserve"> </w:t>
      </w:r>
      <w:r>
        <w:rPr>
          <w:sz w:val="20"/>
          <w:szCs w:val="20"/>
        </w:rPr>
        <w:t>8</w:t>
      </w:r>
      <w:r>
        <w:rPr>
          <w:sz w:val="20"/>
          <w:szCs w:val="20"/>
        </w:rPr>
        <w:t>7</w:t>
      </w:r>
      <w:r>
        <w:rPr>
          <w:sz w:val="20"/>
          <w:szCs w:val="20"/>
        </w:rPr>
        <w:t>%,</w:t>
      </w:r>
      <w:r>
        <w:rPr>
          <w:sz w:val="20"/>
          <w:szCs w:val="20"/>
        </w:rPr>
        <w:t xml:space="preserve"> </w:t>
      </w:r>
      <w:r>
        <w:rPr>
          <w:sz w:val="20"/>
          <w:szCs w:val="20"/>
        </w:rPr>
        <w:t>6</w:t>
      </w:r>
      <w:r>
        <w:rPr>
          <w:sz w:val="20"/>
          <w:szCs w:val="20"/>
        </w:rPr>
        <w:t>% and</w:t>
      </w:r>
      <w:r>
        <w:rPr>
          <w:sz w:val="20"/>
          <w:szCs w:val="20"/>
        </w:rPr>
        <w:t xml:space="preserve"> </w:t>
      </w:r>
      <w:r>
        <w:rPr>
          <w:sz w:val="20"/>
          <w:szCs w:val="20"/>
        </w:rPr>
        <w:t>3</w:t>
      </w:r>
      <w:r>
        <w:rPr>
          <w:sz w:val="20"/>
          <w:szCs w:val="20"/>
        </w:rPr>
        <w:t>%, respectively, of the Partnership’s revenue from its reportable segments for all periods p</w:t>
      </w:r>
      <w:r>
        <w:rPr>
          <w:sz w:val="20"/>
          <w:szCs w:val="20"/>
        </w:rPr>
        <w:t>resented. The propane segment contributes the majority of the Partnership’s revenue and the concentration of revenue by customer type for the propane segment is not materially different from the consolidated revenue</w:t>
      </w:r>
      <w:r>
        <w:rPr>
          <w:sz w:val="20"/>
          <w:szCs w:val="20"/>
        </w:rPr>
        <w:t>.</w:t>
      </w:r>
    </w:p>
    <w:p w14:paraId="6DC82A9D" w14:textId="77777777" w:rsidR="00000000" w:rsidRDefault="00832D71">
      <w:pPr>
        <w:pStyle w:val="a3"/>
        <w:spacing w:before="120" w:beforeAutospacing="0" w:after="0" w:afterAutospacing="0"/>
        <w:jc w:val="both"/>
        <w:divId w:val="1281228958"/>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223"/>
        <w:gridCol w:w="160"/>
        <w:gridCol w:w="1094"/>
        <w:gridCol w:w="110"/>
        <w:gridCol w:w="145"/>
        <w:gridCol w:w="160"/>
        <w:gridCol w:w="1094"/>
        <w:gridCol w:w="110"/>
        <w:gridCol w:w="145"/>
        <w:gridCol w:w="160"/>
        <w:gridCol w:w="1119"/>
        <w:gridCol w:w="125"/>
      </w:tblGrid>
      <w:tr w:rsidR="00000000" w14:paraId="0837E79B" w14:textId="77777777">
        <w:trPr>
          <w:divId w:val="610673455"/>
          <w:tblCellSpacing w:w="15" w:type="dxa"/>
        </w:trPr>
        <w:tc>
          <w:tcPr>
            <w:tcW w:w="1774" w:type="pct"/>
            <w:vAlign w:val="center"/>
            <w:hideMark/>
          </w:tcPr>
          <w:p w14:paraId="3317ADE4" w14:textId="77777777" w:rsidR="00000000" w:rsidRDefault="00832D71">
            <w:pPr>
              <w:rPr>
                <w:sz w:val="20"/>
                <w:szCs w:val="20"/>
              </w:rPr>
            </w:pPr>
          </w:p>
        </w:tc>
        <w:tc>
          <w:tcPr>
            <w:tcW w:w="50" w:type="pct"/>
            <w:vAlign w:val="center"/>
            <w:hideMark/>
          </w:tcPr>
          <w:p w14:paraId="2E76CA30" w14:textId="77777777" w:rsidR="00000000" w:rsidRDefault="00832D71">
            <w:pPr>
              <w:rPr>
                <w:rFonts w:eastAsia="Times New Roman"/>
                <w:sz w:val="20"/>
                <w:szCs w:val="20"/>
              </w:rPr>
            </w:pPr>
          </w:p>
        </w:tc>
        <w:tc>
          <w:tcPr>
            <w:tcW w:w="884" w:type="pct"/>
            <w:vAlign w:val="center"/>
            <w:hideMark/>
          </w:tcPr>
          <w:p w14:paraId="1E375C6C" w14:textId="77777777" w:rsidR="00000000" w:rsidRDefault="00832D71">
            <w:pPr>
              <w:rPr>
                <w:rFonts w:eastAsia="Times New Roman"/>
                <w:sz w:val="20"/>
                <w:szCs w:val="20"/>
              </w:rPr>
            </w:pPr>
          </w:p>
        </w:tc>
        <w:tc>
          <w:tcPr>
            <w:tcW w:w="50" w:type="pct"/>
            <w:vAlign w:val="center"/>
            <w:hideMark/>
          </w:tcPr>
          <w:p w14:paraId="4CE14B90" w14:textId="77777777" w:rsidR="00000000" w:rsidRDefault="00832D71">
            <w:pPr>
              <w:rPr>
                <w:rFonts w:eastAsia="Times New Roman"/>
                <w:sz w:val="20"/>
                <w:szCs w:val="20"/>
              </w:rPr>
            </w:pPr>
          </w:p>
        </w:tc>
        <w:tc>
          <w:tcPr>
            <w:tcW w:w="126" w:type="pct"/>
            <w:vAlign w:val="center"/>
            <w:hideMark/>
          </w:tcPr>
          <w:p w14:paraId="7A1CB338" w14:textId="77777777" w:rsidR="00000000" w:rsidRDefault="00832D71">
            <w:pPr>
              <w:rPr>
                <w:rFonts w:eastAsia="Times New Roman"/>
                <w:sz w:val="20"/>
                <w:szCs w:val="20"/>
              </w:rPr>
            </w:pPr>
          </w:p>
        </w:tc>
        <w:tc>
          <w:tcPr>
            <w:tcW w:w="50" w:type="pct"/>
            <w:vAlign w:val="center"/>
            <w:hideMark/>
          </w:tcPr>
          <w:p w14:paraId="3A14585D" w14:textId="77777777" w:rsidR="00000000" w:rsidRDefault="00832D71">
            <w:pPr>
              <w:rPr>
                <w:rFonts w:eastAsia="Times New Roman"/>
                <w:sz w:val="20"/>
                <w:szCs w:val="20"/>
              </w:rPr>
            </w:pPr>
          </w:p>
        </w:tc>
        <w:tc>
          <w:tcPr>
            <w:tcW w:w="884" w:type="pct"/>
            <w:vAlign w:val="center"/>
            <w:hideMark/>
          </w:tcPr>
          <w:p w14:paraId="398ECCB7" w14:textId="77777777" w:rsidR="00000000" w:rsidRDefault="00832D71">
            <w:pPr>
              <w:rPr>
                <w:rFonts w:eastAsia="Times New Roman"/>
                <w:sz w:val="20"/>
                <w:szCs w:val="20"/>
              </w:rPr>
            </w:pPr>
          </w:p>
        </w:tc>
        <w:tc>
          <w:tcPr>
            <w:tcW w:w="50" w:type="pct"/>
            <w:vAlign w:val="center"/>
            <w:hideMark/>
          </w:tcPr>
          <w:p w14:paraId="365055A8" w14:textId="77777777" w:rsidR="00000000" w:rsidRDefault="00832D71">
            <w:pPr>
              <w:rPr>
                <w:rFonts w:eastAsia="Times New Roman"/>
                <w:sz w:val="20"/>
                <w:szCs w:val="20"/>
              </w:rPr>
            </w:pPr>
          </w:p>
        </w:tc>
        <w:tc>
          <w:tcPr>
            <w:tcW w:w="126" w:type="pct"/>
            <w:vAlign w:val="center"/>
            <w:hideMark/>
          </w:tcPr>
          <w:p w14:paraId="42F2EB51" w14:textId="77777777" w:rsidR="00000000" w:rsidRDefault="00832D71">
            <w:pPr>
              <w:rPr>
                <w:rFonts w:eastAsia="Times New Roman"/>
                <w:sz w:val="20"/>
                <w:szCs w:val="20"/>
              </w:rPr>
            </w:pPr>
          </w:p>
        </w:tc>
        <w:tc>
          <w:tcPr>
            <w:tcW w:w="50" w:type="pct"/>
            <w:vAlign w:val="center"/>
            <w:hideMark/>
          </w:tcPr>
          <w:p w14:paraId="7C3A61BB" w14:textId="77777777" w:rsidR="00000000" w:rsidRDefault="00832D71">
            <w:pPr>
              <w:rPr>
                <w:rFonts w:eastAsia="Times New Roman"/>
                <w:sz w:val="20"/>
                <w:szCs w:val="20"/>
              </w:rPr>
            </w:pPr>
          </w:p>
        </w:tc>
        <w:tc>
          <w:tcPr>
            <w:tcW w:w="903" w:type="pct"/>
            <w:vAlign w:val="center"/>
            <w:hideMark/>
          </w:tcPr>
          <w:p w14:paraId="66C444EF" w14:textId="77777777" w:rsidR="00000000" w:rsidRDefault="00832D71">
            <w:pPr>
              <w:rPr>
                <w:rFonts w:eastAsia="Times New Roman"/>
                <w:sz w:val="20"/>
                <w:szCs w:val="20"/>
              </w:rPr>
            </w:pPr>
          </w:p>
        </w:tc>
        <w:tc>
          <w:tcPr>
            <w:tcW w:w="50" w:type="pct"/>
            <w:vAlign w:val="center"/>
            <w:hideMark/>
          </w:tcPr>
          <w:p w14:paraId="1295645C" w14:textId="77777777" w:rsidR="00000000" w:rsidRDefault="00832D71">
            <w:pPr>
              <w:rPr>
                <w:rFonts w:eastAsia="Times New Roman"/>
                <w:sz w:val="20"/>
                <w:szCs w:val="20"/>
              </w:rPr>
            </w:pPr>
          </w:p>
        </w:tc>
      </w:tr>
      <w:tr w:rsidR="00000000" w14:paraId="43114D47" w14:textId="77777777">
        <w:trPr>
          <w:divId w:val="610673455"/>
          <w:trHeight w:val="160"/>
          <w:tblCellSpacing w:w="15" w:type="dxa"/>
        </w:trPr>
        <w:tc>
          <w:tcPr>
            <w:tcW w:w="0" w:type="auto"/>
            <w:vAlign w:val="bottom"/>
            <w:hideMark/>
          </w:tcPr>
          <w:p w14:paraId="63BCD20A" w14:textId="77777777" w:rsidR="00000000" w:rsidRDefault="00832D71">
            <w:pPr>
              <w:pStyle w:val="a3"/>
              <w:spacing w:before="0" w:beforeAutospacing="0" w:after="0" w:afterAutospacing="0"/>
              <w:rPr>
                <w:sz w:val="22"/>
                <w:szCs w:val="22"/>
              </w:rPr>
            </w:pPr>
            <w:r>
              <w:rPr>
                <w:sz w:val="22"/>
                <w:szCs w:val="22"/>
              </w:rPr>
              <w:t> </w:t>
            </w:r>
          </w:p>
        </w:tc>
        <w:tc>
          <w:tcPr>
            <w:tcW w:w="0" w:type="auto"/>
            <w:gridSpan w:val="10"/>
            <w:vAlign w:val="bottom"/>
            <w:hideMark/>
          </w:tcPr>
          <w:p w14:paraId="5DD2B454" w14:textId="77777777" w:rsidR="00000000" w:rsidRDefault="00832D71">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14:paraId="775CED87"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6A2EE90E" w14:textId="77777777">
        <w:trPr>
          <w:divId w:val="610673455"/>
          <w:trHeight w:val="160"/>
          <w:tblCellSpacing w:w="15" w:type="dxa"/>
        </w:trPr>
        <w:tc>
          <w:tcPr>
            <w:tcW w:w="0" w:type="auto"/>
            <w:vAlign w:val="bottom"/>
            <w:hideMark/>
          </w:tcPr>
          <w:p w14:paraId="09CE72BD"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0147D3F" w14:textId="77777777" w:rsidR="00000000" w:rsidRDefault="00832D71">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14:paraId="3D15C9C1"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7E9D23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03297C5" w14:textId="77777777" w:rsidR="00000000" w:rsidRDefault="00832D71">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14:paraId="1FF529D9"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B53360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24CC6B1" w14:textId="77777777" w:rsidR="00000000" w:rsidRDefault="00832D71">
            <w:pPr>
              <w:pStyle w:val="a3"/>
              <w:spacing w:before="0" w:beforeAutospacing="0" w:after="0" w:afterAutospacing="0"/>
              <w:jc w:val="center"/>
              <w:rPr>
                <w:sz w:val="16"/>
                <w:szCs w:val="16"/>
              </w:rPr>
            </w:pPr>
            <w:r>
              <w:rPr>
                <w:b/>
                <w:bCs/>
                <w:sz w:val="16"/>
                <w:szCs w:val="16"/>
              </w:rPr>
              <w:t>September 26</w:t>
            </w:r>
            <w:r>
              <w:rPr>
                <w:b/>
                <w:bCs/>
                <w:sz w:val="16"/>
                <w:szCs w:val="16"/>
              </w:rPr>
              <w:t>,</w:t>
            </w:r>
          </w:p>
        </w:tc>
        <w:tc>
          <w:tcPr>
            <w:tcW w:w="0" w:type="auto"/>
            <w:vAlign w:val="bottom"/>
            <w:hideMark/>
          </w:tcPr>
          <w:p w14:paraId="366F62D2"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C8232F5" w14:textId="77777777">
        <w:trPr>
          <w:divId w:val="610673455"/>
          <w:trHeight w:val="160"/>
          <w:tblCellSpacing w:w="15" w:type="dxa"/>
        </w:trPr>
        <w:tc>
          <w:tcPr>
            <w:tcW w:w="0" w:type="auto"/>
            <w:vAlign w:val="bottom"/>
            <w:hideMark/>
          </w:tcPr>
          <w:p w14:paraId="24AFA4F7"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1585A45"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58BC7EF"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E81DE8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7421FDA"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6ECCED59"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6BA528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4FD3E7D"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325330C1"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95DCE69" w14:textId="77777777">
        <w:trPr>
          <w:divId w:val="610673455"/>
          <w:trHeight w:val="200"/>
          <w:tblCellSpacing w:w="15" w:type="dxa"/>
        </w:trPr>
        <w:tc>
          <w:tcPr>
            <w:tcW w:w="0" w:type="auto"/>
            <w:hideMark/>
          </w:tcPr>
          <w:p w14:paraId="69E9A87C" w14:textId="77777777" w:rsidR="00000000" w:rsidRDefault="00832D71">
            <w:pPr>
              <w:pStyle w:val="a3"/>
              <w:spacing w:before="0" w:beforeAutospacing="0" w:after="0" w:afterAutospacing="0"/>
              <w:rPr>
                <w:sz w:val="20"/>
                <w:szCs w:val="20"/>
              </w:rPr>
            </w:pPr>
            <w:r>
              <w:rPr>
                <w:sz w:val="20"/>
                <w:szCs w:val="20"/>
              </w:rPr>
              <w:t>Retai</w:t>
            </w:r>
            <w:r>
              <w:rPr>
                <w:sz w:val="20"/>
                <w:szCs w:val="20"/>
              </w:rPr>
              <w:t>l</w:t>
            </w:r>
          </w:p>
        </w:tc>
        <w:tc>
          <w:tcPr>
            <w:tcW w:w="0" w:type="auto"/>
            <w:gridSpan w:val="2"/>
            <w:vAlign w:val="bottom"/>
            <w:hideMark/>
          </w:tcPr>
          <w:p w14:paraId="43F181D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30E614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9B5E023"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164A3A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CE6870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2D7A13D"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5517EB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2783A35" w14:textId="77777777" w:rsidR="00000000" w:rsidRDefault="00832D71">
            <w:pPr>
              <w:pStyle w:val="a3"/>
              <w:spacing w:before="0" w:beforeAutospacing="0" w:after="0" w:afterAutospacing="0"/>
              <w:jc w:val="right"/>
              <w:rPr>
                <w:sz w:val="20"/>
                <w:szCs w:val="20"/>
              </w:rPr>
            </w:pPr>
            <w:r>
              <w:rPr>
                <w:sz w:val="20"/>
                <w:szCs w:val="20"/>
              </w:rPr>
              <w:t> </w:t>
            </w:r>
          </w:p>
        </w:tc>
      </w:tr>
      <w:tr w:rsidR="00000000" w14:paraId="28BBCAD5" w14:textId="77777777">
        <w:trPr>
          <w:divId w:val="610673455"/>
          <w:trHeight w:val="200"/>
          <w:tblCellSpacing w:w="15" w:type="dxa"/>
        </w:trPr>
        <w:tc>
          <w:tcPr>
            <w:tcW w:w="0" w:type="auto"/>
            <w:hideMark/>
          </w:tcPr>
          <w:p w14:paraId="0EC44CBE" w14:textId="77777777" w:rsidR="00000000" w:rsidRDefault="00832D71">
            <w:pPr>
              <w:pStyle w:val="a3"/>
              <w:spacing w:before="0" w:beforeAutospacing="0" w:after="0" w:afterAutospacing="0"/>
              <w:ind w:left="200"/>
              <w:rPr>
                <w:sz w:val="20"/>
                <w:szCs w:val="20"/>
              </w:rPr>
            </w:pPr>
            <w:r>
              <w:rPr>
                <w:sz w:val="20"/>
                <w:szCs w:val="20"/>
              </w:rPr>
              <w:t>Residentia</w:t>
            </w:r>
            <w:r>
              <w:rPr>
                <w:sz w:val="20"/>
                <w:szCs w:val="20"/>
              </w:rPr>
              <w:t>l</w:t>
            </w:r>
          </w:p>
        </w:tc>
        <w:tc>
          <w:tcPr>
            <w:tcW w:w="0" w:type="auto"/>
            <w:noWrap/>
            <w:vAlign w:val="bottom"/>
            <w:hideMark/>
          </w:tcPr>
          <w:p w14:paraId="1BC0CA2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E17E553" w14:textId="77777777" w:rsidR="00000000" w:rsidRDefault="00832D71">
            <w:pPr>
              <w:pStyle w:val="a3"/>
              <w:spacing w:before="0" w:beforeAutospacing="0" w:after="0" w:afterAutospacing="0"/>
              <w:jc w:val="right"/>
              <w:rPr>
                <w:sz w:val="20"/>
                <w:szCs w:val="20"/>
              </w:rPr>
            </w:pPr>
            <w:r>
              <w:rPr>
                <w:sz w:val="20"/>
                <w:szCs w:val="20"/>
              </w:rPr>
              <w:t>798,78</w:t>
            </w:r>
            <w:r>
              <w:rPr>
                <w:sz w:val="20"/>
                <w:szCs w:val="20"/>
              </w:rPr>
              <w:t>4</w:t>
            </w:r>
          </w:p>
        </w:tc>
        <w:tc>
          <w:tcPr>
            <w:tcW w:w="0" w:type="auto"/>
            <w:noWrap/>
            <w:vAlign w:val="bottom"/>
            <w:hideMark/>
          </w:tcPr>
          <w:p w14:paraId="05C592F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7A40A91"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3B36015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1DD5373" w14:textId="77777777" w:rsidR="00000000" w:rsidRDefault="00832D71">
            <w:pPr>
              <w:pStyle w:val="a3"/>
              <w:spacing w:before="0" w:beforeAutospacing="0" w:after="0" w:afterAutospacing="0"/>
              <w:jc w:val="right"/>
              <w:rPr>
                <w:sz w:val="20"/>
                <w:szCs w:val="20"/>
              </w:rPr>
            </w:pPr>
            <w:r>
              <w:rPr>
                <w:sz w:val="20"/>
                <w:szCs w:val="20"/>
              </w:rPr>
              <w:t>703,26</w:t>
            </w:r>
            <w:r>
              <w:rPr>
                <w:sz w:val="20"/>
                <w:szCs w:val="20"/>
              </w:rPr>
              <w:t>3</w:t>
            </w:r>
          </w:p>
        </w:tc>
        <w:tc>
          <w:tcPr>
            <w:tcW w:w="0" w:type="auto"/>
            <w:noWrap/>
            <w:vAlign w:val="bottom"/>
            <w:hideMark/>
          </w:tcPr>
          <w:p w14:paraId="42D7202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1F8FC37"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57F09C7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4AFCDA3" w14:textId="77777777" w:rsidR="00000000" w:rsidRDefault="00832D71">
            <w:pPr>
              <w:pStyle w:val="a3"/>
              <w:spacing w:before="0" w:beforeAutospacing="0" w:after="0" w:afterAutospacing="0"/>
              <w:jc w:val="right"/>
              <w:rPr>
                <w:sz w:val="20"/>
                <w:szCs w:val="20"/>
              </w:rPr>
            </w:pPr>
            <w:r>
              <w:rPr>
                <w:sz w:val="20"/>
                <w:szCs w:val="20"/>
              </w:rPr>
              <w:t>654,26</w:t>
            </w:r>
            <w:r>
              <w:rPr>
                <w:sz w:val="20"/>
                <w:szCs w:val="20"/>
              </w:rPr>
              <w:t>5</w:t>
            </w:r>
          </w:p>
        </w:tc>
        <w:tc>
          <w:tcPr>
            <w:tcW w:w="0" w:type="auto"/>
            <w:noWrap/>
            <w:vAlign w:val="bottom"/>
            <w:hideMark/>
          </w:tcPr>
          <w:p w14:paraId="2770AD79" w14:textId="77777777" w:rsidR="00000000" w:rsidRDefault="00832D71">
            <w:pPr>
              <w:pStyle w:val="a3"/>
              <w:spacing w:before="0" w:beforeAutospacing="0" w:after="0" w:afterAutospacing="0"/>
              <w:rPr>
                <w:sz w:val="20"/>
                <w:szCs w:val="20"/>
              </w:rPr>
            </w:pPr>
            <w:r>
              <w:rPr>
                <w:sz w:val="20"/>
                <w:szCs w:val="20"/>
              </w:rPr>
              <w:t> </w:t>
            </w:r>
          </w:p>
        </w:tc>
      </w:tr>
      <w:tr w:rsidR="00000000" w14:paraId="1847876E" w14:textId="77777777">
        <w:trPr>
          <w:divId w:val="610673455"/>
          <w:trHeight w:val="200"/>
          <w:tblCellSpacing w:w="15" w:type="dxa"/>
        </w:trPr>
        <w:tc>
          <w:tcPr>
            <w:tcW w:w="0" w:type="auto"/>
            <w:hideMark/>
          </w:tcPr>
          <w:p w14:paraId="476118FB" w14:textId="77777777" w:rsidR="00000000" w:rsidRDefault="00832D71">
            <w:pPr>
              <w:pStyle w:val="a3"/>
              <w:spacing w:before="0" w:beforeAutospacing="0" w:after="0" w:afterAutospacing="0"/>
              <w:ind w:left="200"/>
              <w:rPr>
                <w:sz w:val="20"/>
                <w:szCs w:val="20"/>
              </w:rPr>
            </w:pPr>
            <w:r>
              <w:rPr>
                <w:sz w:val="20"/>
                <w:szCs w:val="20"/>
              </w:rPr>
              <w:t>Commercia</w:t>
            </w:r>
            <w:r>
              <w:rPr>
                <w:sz w:val="20"/>
                <w:szCs w:val="20"/>
              </w:rPr>
              <w:t>l</w:t>
            </w:r>
          </w:p>
        </w:tc>
        <w:tc>
          <w:tcPr>
            <w:tcW w:w="0" w:type="auto"/>
            <w:noWrap/>
            <w:vAlign w:val="bottom"/>
            <w:hideMark/>
          </w:tcPr>
          <w:p w14:paraId="7308399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D96189E" w14:textId="77777777" w:rsidR="00000000" w:rsidRDefault="00832D71">
            <w:pPr>
              <w:pStyle w:val="a3"/>
              <w:spacing w:before="0" w:beforeAutospacing="0" w:after="0" w:afterAutospacing="0"/>
              <w:jc w:val="right"/>
              <w:rPr>
                <w:sz w:val="20"/>
                <w:szCs w:val="20"/>
              </w:rPr>
            </w:pPr>
            <w:r>
              <w:rPr>
                <w:sz w:val="20"/>
                <w:szCs w:val="20"/>
              </w:rPr>
              <w:t>435,01</w:t>
            </w:r>
            <w:r>
              <w:rPr>
                <w:sz w:val="20"/>
                <w:szCs w:val="20"/>
              </w:rPr>
              <w:t>5</w:t>
            </w:r>
          </w:p>
        </w:tc>
        <w:tc>
          <w:tcPr>
            <w:tcW w:w="0" w:type="auto"/>
            <w:noWrap/>
            <w:vAlign w:val="bottom"/>
            <w:hideMark/>
          </w:tcPr>
          <w:p w14:paraId="223B393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50FE32D"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5D8B258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E2B0F92" w14:textId="77777777" w:rsidR="00000000" w:rsidRDefault="00832D71">
            <w:pPr>
              <w:pStyle w:val="a3"/>
              <w:spacing w:before="0" w:beforeAutospacing="0" w:after="0" w:afterAutospacing="0"/>
              <w:jc w:val="right"/>
              <w:rPr>
                <w:sz w:val="20"/>
                <w:szCs w:val="20"/>
              </w:rPr>
            </w:pPr>
            <w:r>
              <w:rPr>
                <w:sz w:val="20"/>
                <w:szCs w:val="20"/>
              </w:rPr>
              <w:t>353,36</w:t>
            </w:r>
            <w:r>
              <w:rPr>
                <w:sz w:val="20"/>
                <w:szCs w:val="20"/>
              </w:rPr>
              <w:t>5</w:t>
            </w:r>
          </w:p>
        </w:tc>
        <w:tc>
          <w:tcPr>
            <w:tcW w:w="0" w:type="auto"/>
            <w:noWrap/>
            <w:vAlign w:val="bottom"/>
            <w:hideMark/>
          </w:tcPr>
          <w:p w14:paraId="15012CF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92763F6"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2732B8D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FEA268F" w14:textId="77777777" w:rsidR="00000000" w:rsidRDefault="00832D71">
            <w:pPr>
              <w:pStyle w:val="a3"/>
              <w:spacing w:before="0" w:beforeAutospacing="0" w:after="0" w:afterAutospacing="0"/>
              <w:jc w:val="right"/>
              <w:rPr>
                <w:sz w:val="20"/>
                <w:szCs w:val="20"/>
              </w:rPr>
            </w:pPr>
            <w:r>
              <w:rPr>
                <w:sz w:val="20"/>
                <w:szCs w:val="20"/>
              </w:rPr>
              <w:t>283,02</w:t>
            </w:r>
            <w:r>
              <w:rPr>
                <w:sz w:val="20"/>
                <w:szCs w:val="20"/>
              </w:rPr>
              <w:t>1</w:t>
            </w:r>
          </w:p>
        </w:tc>
        <w:tc>
          <w:tcPr>
            <w:tcW w:w="0" w:type="auto"/>
            <w:noWrap/>
            <w:vAlign w:val="bottom"/>
            <w:hideMark/>
          </w:tcPr>
          <w:p w14:paraId="34D631F6" w14:textId="77777777" w:rsidR="00000000" w:rsidRDefault="00832D71">
            <w:pPr>
              <w:pStyle w:val="a3"/>
              <w:spacing w:before="0" w:beforeAutospacing="0" w:after="0" w:afterAutospacing="0"/>
              <w:rPr>
                <w:sz w:val="20"/>
                <w:szCs w:val="20"/>
              </w:rPr>
            </w:pPr>
            <w:r>
              <w:rPr>
                <w:sz w:val="20"/>
                <w:szCs w:val="20"/>
              </w:rPr>
              <w:t> </w:t>
            </w:r>
          </w:p>
        </w:tc>
      </w:tr>
      <w:tr w:rsidR="00000000" w14:paraId="130C2EC5" w14:textId="77777777">
        <w:trPr>
          <w:divId w:val="610673455"/>
          <w:trHeight w:val="200"/>
          <w:tblCellSpacing w:w="15" w:type="dxa"/>
        </w:trPr>
        <w:tc>
          <w:tcPr>
            <w:tcW w:w="0" w:type="auto"/>
            <w:hideMark/>
          </w:tcPr>
          <w:p w14:paraId="0B23515E" w14:textId="77777777" w:rsidR="00000000" w:rsidRDefault="00832D71">
            <w:pPr>
              <w:pStyle w:val="a3"/>
              <w:spacing w:before="0" w:beforeAutospacing="0" w:after="0" w:afterAutospacing="0"/>
              <w:ind w:left="200"/>
              <w:rPr>
                <w:sz w:val="20"/>
                <w:szCs w:val="20"/>
              </w:rPr>
            </w:pPr>
            <w:r>
              <w:rPr>
                <w:sz w:val="20"/>
                <w:szCs w:val="20"/>
              </w:rPr>
              <w:t>Industria</w:t>
            </w:r>
            <w:r>
              <w:rPr>
                <w:sz w:val="20"/>
                <w:szCs w:val="20"/>
              </w:rPr>
              <w:t>l</w:t>
            </w:r>
          </w:p>
        </w:tc>
        <w:tc>
          <w:tcPr>
            <w:tcW w:w="0" w:type="auto"/>
            <w:noWrap/>
            <w:vAlign w:val="bottom"/>
            <w:hideMark/>
          </w:tcPr>
          <w:p w14:paraId="64F544C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05CB15B" w14:textId="77777777" w:rsidR="00000000" w:rsidRDefault="00832D71">
            <w:pPr>
              <w:pStyle w:val="a3"/>
              <w:spacing w:before="0" w:beforeAutospacing="0" w:after="0" w:afterAutospacing="0"/>
              <w:jc w:val="right"/>
              <w:rPr>
                <w:sz w:val="20"/>
                <w:szCs w:val="20"/>
              </w:rPr>
            </w:pPr>
            <w:r>
              <w:rPr>
                <w:sz w:val="20"/>
                <w:szCs w:val="20"/>
              </w:rPr>
              <w:t>136,25</w:t>
            </w:r>
            <w:r>
              <w:rPr>
                <w:sz w:val="20"/>
                <w:szCs w:val="20"/>
              </w:rPr>
              <w:t>7</w:t>
            </w:r>
          </w:p>
        </w:tc>
        <w:tc>
          <w:tcPr>
            <w:tcW w:w="0" w:type="auto"/>
            <w:noWrap/>
            <w:vAlign w:val="bottom"/>
            <w:hideMark/>
          </w:tcPr>
          <w:p w14:paraId="6F0CBDD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6DB830C"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3E3F482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CBF4C52" w14:textId="77777777" w:rsidR="00000000" w:rsidRDefault="00832D71">
            <w:pPr>
              <w:pStyle w:val="a3"/>
              <w:spacing w:before="0" w:beforeAutospacing="0" w:after="0" w:afterAutospacing="0"/>
              <w:jc w:val="right"/>
              <w:rPr>
                <w:sz w:val="20"/>
                <w:szCs w:val="20"/>
              </w:rPr>
            </w:pPr>
            <w:r>
              <w:rPr>
                <w:sz w:val="20"/>
                <w:szCs w:val="20"/>
              </w:rPr>
              <w:t>111,72</w:t>
            </w:r>
            <w:r>
              <w:rPr>
                <w:sz w:val="20"/>
                <w:szCs w:val="20"/>
              </w:rPr>
              <w:t>3</w:t>
            </w:r>
          </w:p>
        </w:tc>
        <w:tc>
          <w:tcPr>
            <w:tcW w:w="0" w:type="auto"/>
            <w:noWrap/>
            <w:vAlign w:val="bottom"/>
            <w:hideMark/>
          </w:tcPr>
          <w:p w14:paraId="71DFA4F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BC80334"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332F9E5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4DAF94D" w14:textId="77777777" w:rsidR="00000000" w:rsidRDefault="00832D71">
            <w:pPr>
              <w:pStyle w:val="a3"/>
              <w:spacing w:before="0" w:beforeAutospacing="0" w:after="0" w:afterAutospacing="0"/>
              <w:jc w:val="right"/>
              <w:rPr>
                <w:sz w:val="20"/>
                <w:szCs w:val="20"/>
              </w:rPr>
            </w:pPr>
            <w:r>
              <w:rPr>
                <w:sz w:val="20"/>
                <w:szCs w:val="20"/>
              </w:rPr>
              <w:t>92,96</w:t>
            </w:r>
            <w:r>
              <w:rPr>
                <w:sz w:val="20"/>
                <w:szCs w:val="20"/>
              </w:rPr>
              <w:t>9</w:t>
            </w:r>
          </w:p>
        </w:tc>
        <w:tc>
          <w:tcPr>
            <w:tcW w:w="0" w:type="auto"/>
            <w:noWrap/>
            <w:vAlign w:val="bottom"/>
            <w:hideMark/>
          </w:tcPr>
          <w:p w14:paraId="1F9ADC8F" w14:textId="77777777" w:rsidR="00000000" w:rsidRDefault="00832D71">
            <w:pPr>
              <w:pStyle w:val="a3"/>
              <w:spacing w:before="0" w:beforeAutospacing="0" w:after="0" w:afterAutospacing="0"/>
              <w:rPr>
                <w:sz w:val="20"/>
                <w:szCs w:val="20"/>
              </w:rPr>
            </w:pPr>
            <w:r>
              <w:rPr>
                <w:sz w:val="20"/>
                <w:szCs w:val="20"/>
              </w:rPr>
              <w:t> </w:t>
            </w:r>
          </w:p>
        </w:tc>
      </w:tr>
      <w:tr w:rsidR="00000000" w14:paraId="2E3B56D2" w14:textId="77777777">
        <w:trPr>
          <w:divId w:val="610673455"/>
          <w:trHeight w:val="200"/>
          <w:tblCellSpacing w:w="15" w:type="dxa"/>
        </w:trPr>
        <w:tc>
          <w:tcPr>
            <w:tcW w:w="0" w:type="auto"/>
            <w:hideMark/>
          </w:tcPr>
          <w:p w14:paraId="556B06B8" w14:textId="77777777" w:rsidR="00000000" w:rsidRDefault="00832D71">
            <w:pPr>
              <w:pStyle w:val="a3"/>
              <w:spacing w:before="0" w:beforeAutospacing="0" w:after="0" w:afterAutospacing="0"/>
              <w:ind w:left="200"/>
              <w:rPr>
                <w:sz w:val="20"/>
                <w:szCs w:val="20"/>
              </w:rPr>
            </w:pPr>
            <w:r>
              <w:rPr>
                <w:sz w:val="20"/>
                <w:szCs w:val="20"/>
              </w:rPr>
              <w:t>Agricultura</w:t>
            </w:r>
            <w:r>
              <w:rPr>
                <w:sz w:val="20"/>
                <w:szCs w:val="20"/>
              </w:rPr>
              <w:t>l</w:t>
            </w:r>
          </w:p>
        </w:tc>
        <w:tc>
          <w:tcPr>
            <w:tcW w:w="0" w:type="auto"/>
            <w:noWrap/>
            <w:vAlign w:val="bottom"/>
            <w:hideMark/>
          </w:tcPr>
          <w:p w14:paraId="05EDA1C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86510F7" w14:textId="77777777" w:rsidR="00000000" w:rsidRDefault="00832D71">
            <w:pPr>
              <w:pStyle w:val="a3"/>
              <w:spacing w:before="0" w:beforeAutospacing="0" w:after="0" w:afterAutospacing="0"/>
              <w:jc w:val="right"/>
              <w:rPr>
                <w:sz w:val="20"/>
                <w:szCs w:val="20"/>
              </w:rPr>
            </w:pPr>
            <w:r>
              <w:rPr>
                <w:sz w:val="20"/>
                <w:szCs w:val="20"/>
              </w:rPr>
              <w:t>45,25</w:t>
            </w:r>
            <w:r>
              <w:rPr>
                <w:sz w:val="20"/>
                <w:szCs w:val="20"/>
              </w:rPr>
              <w:t>9</w:t>
            </w:r>
          </w:p>
        </w:tc>
        <w:tc>
          <w:tcPr>
            <w:tcW w:w="0" w:type="auto"/>
            <w:noWrap/>
            <w:vAlign w:val="bottom"/>
            <w:hideMark/>
          </w:tcPr>
          <w:p w14:paraId="28487EE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038BC49"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1B9BECA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7D18121" w14:textId="77777777" w:rsidR="00000000" w:rsidRDefault="00832D71">
            <w:pPr>
              <w:pStyle w:val="a3"/>
              <w:spacing w:before="0" w:beforeAutospacing="0" w:after="0" w:afterAutospacing="0"/>
              <w:jc w:val="right"/>
              <w:rPr>
                <w:sz w:val="20"/>
                <w:szCs w:val="20"/>
              </w:rPr>
            </w:pPr>
            <w:r>
              <w:rPr>
                <w:sz w:val="20"/>
                <w:szCs w:val="20"/>
              </w:rPr>
              <w:t>37,87</w:t>
            </w:r>
            <w:r>
              <w:rPr>
                <w:sz w:val="20"/>
                <w:szCs w:val="20"/>
              </w:rPr>
              <w:t>3</w:t>
            </w:r>
          </w:p>
        </w:tc>
        <w:tc>
          <w:tcPr>
            <w:tcW w:w="0" w:type="auto"/>
            <w:noWrap/>
            <w:vAlign w:val="bottom"/>
            <w:hideMark/>
          </w:tcPr>
          <w:p w14:paraId="4B53B06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4A2F1A0"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5A1C664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E8CCC39" w14:textId="77777777" w:rsidR="00000000" w:rsidRDefault="00832D71">
            <w:pPr>
              <w:pStyle w:val="a3"/>
              <w:spacing w:before="0" w:beforeAutospacing="0" w:after="0" w:afterAutospacing="0"/>
              <w:jc w:val="right"/>
              <w:rPr>
                <w:sz w:val="20"/>
                <w:szCs w:val="20"/>
              </w:rPr>
            </w:pPr>
            <w:r>
              <w:rPr>
                <w:sz w:val="20"/>
                <w:szCs w:val="20"/>
              </w:rPr>
              <w:t>33,71</w:t>
            </w:r>
            <w:r>
              <w:rPr>
                <w:sz w:val="20"/>
                <w:szCs w:val="20"/>
              </w:rPr>
              <w:t>8</w:t>
            </w:r>
          </w:p>
        </w:tc>
        <w:tc>
          <w:tcPr>
            <w:tcW w:w="0" w:type="auto"/>
            <w:noWrap/>
            <w:vAlign w:val="bottom"/>
            <w:hideMark/>
          </w:tcPr>
          <w:p w14:paraId="4A83680B" w14:textId="77777777" w:rsidR="00000000" w:rsidRDefault="00832D71">
            <w:pPr>
              <w:pStyle w:val="a3"/>
              <w:spacing w:before="0" w:beforeAutospacing="0" w:after="0" w:afterAutospacing="0"/>
              <w:rPr>
                <w:sz w:val="20"/>
                <w:szCs w:val="20"/>
              </w:rPr>
            </w:pPr>
            <w:r>
              <w:rPr>
                <w:sz w:val="20"/>
                <w:szCs w:val="20"/>
              </w:rPr>
              <w:t> </w:t>
            </w:r>
          </w:p>
        </w:tc>
      </w:tr>
      <w:tr w:rsidR="00000000" w14:paraId="7EF9FABA" w14:textId="77777777">
        <w:trPr>
          <w:divId w:val="610673455"/>
          <w:trHeight w:val="200"/>
          <w:tblCellSpacing w:w="15" w:type="dxa"/>
        </w:trPr>
        <w:tc>
          <w:tcPr>
            <w:tcW w:w="0" w:type="auto"/>
            <w:hideMark/>
          </w:tcPr>
          <w:p w14:paraId="357E948D" w14:textId="77777777" w:rsidR="00000000" w:rsidRDefault="00832D71">
            <w:pPr>
              <w:pStyle w:val="a3"/>
              <w:spacing w:before="0" w:beforeAutospacing="0" w:after="0" w:afterAutospacing="0"/>
              <w:ind w:left="200"/>
              <w:rPr>
                <w:sz w:val="20"/>
                <w:szCs w:val="20"/>
              </w:rPr>
            </w:pPr>
            <w:r>
              <w:rPr>
                <w:sz w:val="20"/>
                <w:szCs w:val="20"/>
              </w:rPr>
              <w:t>Governmen</w:t>
            </w:r>
            <w:r>
              <w:rPr>
                <w:sz w:val="20"/>
                <w:szCs w:val="20"/>
              </w:rPr>
              <w:t>t</w:t>
            </w:r>
          </w:p>
        </w:tc>
        <w:tc>
          <w:tcPr>
            <w:tcW w:w="0" w:type="auto"/>
            <w:noWrap/>
            <w:vAlign w:val="bottom"/>
            <w:hideMark/>
          </w:tcPr>
          <w:p w14:paraId="5415AC0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E757B55" w14:textId="77777777" w:rsidR="00000000" w:rsidRDefault="00832D71">
            <w:pPr>
              <w:pStyle w:val="a3"/>
              <w:spacing w:before="0" w:beforeAutospacing="0" w:after="0" w:afterAutospacing="0"/>
              <w:jc w:val="right"/>
              <w:rPr>
                <w:sz w:val="20"/>
                <w:szCs w:val="20"/>
              </w:rPr>
            </w:pPr>
            <w:r>
              <w:rPr>
                <w:sz w:val="20"/>
                <w:szCs w:val="20"/>
              </w:rPr>
              <w:t>66,03</w:t>
            </w:r>
            <w:r>
              <w:rPr>
                <w:sz w:val="20"/>
                <w:szCs w:val="20"/>
              </w:rPr>
              <w:t>5</w:t>
            </w:r>
          </w:p>
        </w:tc>
        <w:tc>
          <w:tcPr>
            <w:tcW w:w="0" w:type="auto"/>
            <w:noWrap/>
            <w:vAlign w:val="bottom"/>
            <w:hideMark/>
          </w:tcPr>
          <w:p w14:paraId="5C09503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C56E368"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5C5F0B0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53734A8" w14:textId="77777777" w:rsidR="00000000" w:rsidRDefault="00832D71">
            <w:pPr>
              <w:pStyle w:val="a3"/>
              <w:spacing w:before="0" w:beforeAutospacing="0" w:after="0" w:afterAutospacing="0"/>
              <w:jc w:val="right"/>
              <w:rPr>
                <w:sz w:val="20"/>
                <w:szCs w:val="20"/>
              </w:rPr>
            </w:pPr>
            <w:r>
              <w:rPr>
                <w:sz w:val="20"/>
                <w:szCs w:val="20"/>
              </w:rPr>
              <w:t>51,91</w:t>
            </w:r>
            <w:r>
              <w:rPr>
                <w:sz w:val="20"/>
                <w:szCs w:val="20"/>
              </w:rPr>
              <w:t>7</w:t>
            </w:r>
          </w:p>
        </w:tc>
        <w:tc>
          <w:tcPr>
            <w:tcW w:w="0" w:type="auto"/>
            <w:noWrap/>
            <w:vAlign w:val="bottom"/>
            <w:hideMark/>
          </w:tcPr>
          <w:p w14:paraId="71EBE97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267A125"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5C9DBD1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A6CF5FA" w14:textId="77777777" w:rsidR="00000000" w:rsidRDefault="00832D71">
            <w:pPr>
              <w:pStyle w:val="a3"/>
              <w:spacing w:before="0" w:beforeAutospacing="0" w:after="0" w:afterAutospacing="0"/>
              <w:jc w:val="right"/>
              <w:rPr>
                <w:sz w:val="20"/>
                <w:szCs w:val="20"/>
              </w:rPr>
            </w:pPr>
            <w:r>
              <w:rPr>
                <w:sz w:val="20"/>
                <w:szCs w:val="20"/>
              </w:rPr>
              <w:t>43,44</w:t>
            </w:r>
            <w:r>
              <w:rPr>
                <w:sz w:val="20"/>
                <w:szCs w:val="20"/>
              </w:rPr>
              <w:t>1</w:t>
            </w:r>
          </w:p>
        </w:tc>
        <w:tc>
          <w:tcPr>
            <w:tcW w:w="0" w:type="auto"/>
            <w:noWrap/>
            <w:vAlign w:val="bottom"/>
            <w:hideMark/>
          </w:tcPr>
          <w:p w14:paraId="31254CA4" w14:textId="77777777" w:rsidR="00000000" w:rsidRDefault="00832D71">
            <w:pPr>
              <w:pStyle w:val="a3"/>
              <w:spacing w:before="0" w:beforeAutospacing="0" w:after="0" w:afterAutospacing="0"/>
              <w:rPr>
                <w:sz w:val="20"/>
                <w:szCs w:val="20"/>
              </w:rPr>
            </w:pPr>
            <w:r>
              <w:rPr>
                <w:sz w:val="20"/>
                <w:szCs w:val="20"/>
              </w:rPr>
              <w:t> </w:t>
            </w:r>
          </w:p>
        </w:tc>
      </w:tr>
      <w:tr w:rsidR="00000000" w14:paraId="0C9558AF" w14:textId="77777777">
        <w:trPr>
          <w:divId w:val="610673455"/>
          <w:trHeight w:val="200"/>
          <w:tblCellSpacing w:w="15" w:type="dxa"/>
        </w:trPr>
        <w:tc>
          <w:tcPr>
            <w:tcW w:w="0" w:type="auto"/>
            <w:hideMark/>
          </w:tcPr>
          <w:p w14:paraId="5714B8E4" w14:textId="77777777" w:rsidR="00000000" w:rsidRDefault="00832D71">
            <w:pPr>
              <w:pStyle w:val="a3"/>
              <w:spacing w:before="0" w:beforeAutospacing="0" w:after="0" w:afterAutospacing="0"/>
              <w:rPr>
                <w:sz w:val="20"/>
                <w:szCs w:val="20"/>
              </w:rPr>
            </w:pPr>
            <w:r>
              <w:rPr>
                <w:sz w:val="20"/>
                <w:szCs w:val="20"/>
              </w:rPr>
              <w:t>Wholesal</w:t>
            </w:r>
            <w:r>
              <w:rPr>
                <w:sz w:val="20"/>
                <w:szCs w:val="20"/>
              </w:rPr>
              <w:t>e</w:t>
            </w:r>
          </w:p>
        </w:tc>
        <w:tc>
          <w:tcPr>
            <w:tcW w:w="0" w:type="auto"/>
            <w:noWrap/>
            <w:vAlign w:val="bottom"/>
            <w:hideMark/>
          </w:tcPr>
          <w:p w14:paraId="5105DE7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9345AB0" w14:textId="77777777" w:rsidR="00000000" w:rsidRDefault="00832D71">
            <w:pPr>
              <w:pStyle w:val="a3"/>
              <w:spacing w:before="0" w:beforeAutospacing="0" w:after="0" w:afterAutospacing="0"/>
              <w:jc w:val="right"/>
              <w:rPr>
                <w:sz w:val="20"/>
                <w:szCs w:val="20"/>
              </w:rPr>
            </w:pPr>
            <w:r>
              <w:rPr>
                <w:sz w:val="20"/>
                <w:szCs w:val="20"/>
              </w:rPr>
              <w:t>20,11</w:t>
            </w:r>
            <w:r>
              <w:rPr>
                <w:sz w:val="20"/>
                <w:szCs w:val="20"/>
              </w:rPr>
              <w:t>5</w:t>
            </w:r>
          </w:p>
        </w:tc>
        <w:tc>
          <w:tcPr>
            <w:tcW w:w="0" w:type="auto"/>
            <w:noWrap/>
            <w:vAlign w:val="bottom"/>
            <w:hideMark/>
          </w:tcPr>
          <w:p w14:paraId="1887FB8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3C8A7CF"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33DA742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EA71911" w14:textId="77777777" w:rsidR="00000000" w:rsidRDefault="00832D71">
            <w:pPr>
              <w:pStyle w:val="a3"/>
              <w:spacing w:before="0" w:beforeAutospacing="0" w:after="0" w:afterAutospacing="0"/>
              <w:jc w:val="right"/>
              <w:rPr>
                <w:sz w:val="20"/>
                <w:szCs w:val="20"/>
              </w:rPr>
            </w:pPr>
            <w:r>
              <w:rPr>
                <w:sz w:val="20"/>
                <w:szCs w:val="20"/>
              </w:rPr>
              <w:t>30,61</w:t>
            </w:r>
            <w:r>
              <w:rPr>
                <w:sz w:val="20"/>
                <w:szCs w:val="20"/>
              </w:rPr>
              <w:t>4</w:t>
            </w:r>
          </w:p>
        </w:tc>
        <w:tc>
          <w:tcPr>
            <w:tcW w:w="0" w:type="auto"/>
            <w:noWrap/>
            <w:vAlign w:val="bottom"/>
            <w:hideMark/>
          </w:tcPr>
          <w:p w14:paraId="4B7988A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07C4297"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0A135F1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434C795" w14:textId="77777777" w:rsidR="00000000" w:rsidRDefault="00832D71">
            <w:pPr>
              <w:pStyle w:val="a3"/>
              <w:spacing w:before="0" w:beforeAutospacing="0" w:after="0" w:afterAutospacing="0"/>
              <w:jc w:val="right"/>
              <w:rPr>
                <w:sz w:val="20"/>
                <w:szCs w:val="20"/>
              </w:rPr>
            </w:pPr>
            <w:r>
              <w:rPr>
                <w:sz w:val="20"/>
                <w:szCs w:val="20"/>
              </w:rPr>
              <w:t>48</w:t>
            </w:r>
            <w:r>
              <w:rPr>
                <w:sz w:val="20"/>
                <w:szCs w:val="20"/>
              </w:rPr>
              <w:t>3</w:t>
            </w:r>
          </w:p>
        </w:tc>
        <w:tc>
          <w:tcPr>
            <w:tcW w:w="0" w:type="auto"/>
            <w:noWrap/>
            <w:vAlign w:val="bottom"/>
            <w:hideMark/>
          </w:tcPr>
          <w:p w14:paraId="17D97620" w14:textId="77777777" w:rsidR="00000000" w:rsidRDefault="00832D71">
            <w:pPr>
              <w:pStyle w:val="a3"/>
              <w:spacing w:before="0" w:beforeAutospacing="0" w:after="0" w:afterAutospacing="0"/>
              <w:rPr>
                <w:sz w:val="20"/>
                <w:szCs w:val="20"/>
              </w:rPr>
            </w:pPr>
            <w:r>
              <w:rPr>
                <w:sz w:val="20"/>
                <w:szCs w:val="20"/>
              </w:rPr>
              <w:t> </w:t>
            </w:r>
          </w:p>
        </w:tc>
      </w:tr>
      <w:tr w:rsidR="00000000" w14:paraId="47440CA0" w14:textId="77777777">
        <w:trPr>
          <w:divId w:val="610673455"/>
          <w:trHeight w:val="200"/>
          <w:tblCellSpacing w:w="15" w:type="dxa"/>
        </w:trPr>
        <w:tc>
          <w:tcPr>
            <w:tcW w:w="0" w:type="auto"/>
            <w:hideMark/>
          </w:tcPr>
          <w:p w14:paraId="5877E7BF" w14:textId="77777777" w:rsidR="00000000" w:rsidRDefault="00832D71">
            <w:pPr>
              <w:pStyle w:val="a3"/>
              <w:spacing w:before="0" w:beforeAutospacing="0" w:after="0" w:afterAutospacing="0"/>
              <w:rPr>
                <w:sz w:val="20"/>
                <w:szCs w:val="20"/>
              </w:rPr>
            </w:pPr>
            <w:r>
              <w:rPr>
                <w:sz w:val="20"/>
                <w:szCs w:val="20"/>
              </w:rPr>
              <w:t>Total revenue</w:t>
            </w:r>
            <w:r>
              <w:rPr>
                <w:sz w:val="20"/>
                <w:szCs w:val="20"/>
              </w:rPr>
              <w:t>s</w:t>
            </w:r>
          </w:p>
        </w:tc>
        <w:tc>
          <w:tcPr>
            <w:tcW w:w="0" w:type="auto"/>
            <w:noWrap/>
            <w:vAlign w:val="bottom"/>
            <w:hideMark/>
          </w:tcPr>
          <w:p w14:paraId="0B0270B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7ABE124" w14:textId="77777777" w:rsidR="00000000" w:rsidRDefault="00832D71">
            <w:pPr>
              <w:pStyle w:val="a3"/>
              <w:spacing w:before="0" w:beforeAutospacing="0" w:after="0" w:afterAutospacing="0"/>
              <w:jc w:val="right"/>
              <w:rPr>
                <w:sz w:val="20"/>
                <w:szCs w:val="20"/>
              </w:rPr>
            </w:pPr>
            <w:r>
              <w:rPr>
                <w:sz w:val="20"/>
                <w:szCs w:val="20"/>
              </w:rPr>
              <w:t>1,501,46</w:t>
            </w:r>
            <w:r>
              <w:rPr>
                <w:sz w:val="20"/>
                <w:szCs w:val="20"/>
              </w:rPr>
              <w:t>5</w:t>
            </w:r>
          </w:p>
        </w:tc>
        <w:tc>
          <w:tcPr>
            <w:tcW w:w="0" w:type="auto"/>
            <w:noWrap/>
            <w:vAlign w:val="bottom"/>
            <w:hideMark/>
          </w:tcPr>
          <w:p w14:paraId="17E9242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61CD298"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7AC7F6A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44EFC13" w14:textId="77777777" w:rsidR="00000000" w:rsidRDefault="00832D71">
            <w:pPr>
              <w:pStyle w:val="a3"/>
              <w:spacing w:before="0" w:beforeAutospacing="0" w:after="0" w:afterAutospacing="0"/>
              <w:jc w:val="right"/>
              <w:rPr>
                <w:sz w:val="20"/>
                <w:szCs w:val="20"/>
              </w:rPr>
            </w:pPr>
            <w:r>
              <w:rPr>
                <w:sz w:val="20"/>
                <w:szCs w:val="20"/>
              </w:rPr>
              <w:t>1,288,75</w:t>
            </w:r>
            <w:r>
              <w:rPr>
                <w:sz w:val="20"/>
                <w:szCs w:val="20"/>
              </w:rPr>
              <w:t>5</w:t>
            </w:r>
          </w:p>
        </w:tc>
        <w:tc>
          <w:tcPr>
            <w:tcW w:w="0" w:type="auto"/>
            <w:noWrap/>
            <w:vAlign w:val="bottom"/>
            <w:hideMark/>
          </w:tcPr>
          <w:p w14:paraId="45294BC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C4CFA31"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10270F0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5786898" w14:textId="77777777" w:rsidR="00000000" w:rsidRDefault="00832D71">
            <w:pPr>
              <w:pStyle w:val="a3"/>
              <w:spacing w:before="0" w:beforeAutospacing="0" w:after="0" w:afterAutospacing="0"/>
              <w:jc w:val="right"/>
              <w:rPr>
                <w:sz w:val="20"/>
                <w:szCs w:val="20"/>
              </w:rPr>
            </w:pPr>
            <w:r>
              <w:rPr>
                <w:sz w:val="20"/>
                <w:szCs w:val="20"/>
              </w:rPr>
              <w:t>1,107,89</w:t>
            </w:r>
            <w:r>
              <w:rPr>
                <w:sz w:val="20"/>
                <w:szCs w:val="20"/>
              </w:rPr>
              <w:t>7</w:t>
            </w:r>
          </w:p>
        </w:tc>
        <w:tc>
          <w:tcPr>
            <w:tcW w:w="0" w:type="auto"/>
            <w:noWrap/>
            <w:vAlign w:val="bottom"/>
            <w:hideMark/>
          </w:tcPr>
          <w:p w14:paraId="37515C05" w14:textId="77777777" w:rsidR="00000000" w:rsidRDefault="00832D71">
            <w:pPr>
              <w:pStyle w:val="a3"/>
              <w:spacing w:before="0" w:beforeAutospacing="0" w:after="0" w:afterAutospacing="0"/>
              <w:rPr>
                <w:sz w:val="20"/>
                <w:szCs w:val="20"/>
              </w:rPr>
            </w:pPr>
            <w:r>
              <w:rPr>
                <w:sz w:val="20"/>
                <w:szCs w:val="20"/>
              </w:rPr>
              <w:t> </w:t>
            </w:r>
          </w:p>
        </w:tc>
      </w:tr>
    </w:tbl>
    <w:p w14:paraId="18A523AE" w14:textId="77777777" w:rsidR="00000000" w:rsidRDefault="00832D71">
      <w:pPr>
        <w:pStyle w:val="a3"/>
        <w:spacing w:before="0" w:beforeAutospacing="0" w:after="0" w:afterAutospacing="0"/>
        <w:jc w:val="both"/>
        <w:divId w:val="1281228958"/>
        <w:rPr>
          <w:sz w:val="20"/>
          <w:szCs w:val="20"/>
        </w:rPr>
      </w:pPr>
      <w:r>
        <w:rPr>
          <w:sz w:val="20"/>
          <w:szCs w:val="20"/>
        </w:rPr>
        <w:t> </w:t>
      </w:r>
    </w:p>
    <w:p w14:paraId="12567D9D" w14:textId="77777777" w:rsidR="00000000" w:rsidRDefault="00832D71">
      <w:pPr>
        <w:pStyle w:val="a3"/>
        <w:spacing w:before="40" w:beforeAutospacing="0" w:after="0" w:afterAutospacing="0"/>
        <w:jc w:val="both"/>
        <w:divId w:val="1281228958"/>
        <w:rPr>
          <w:sz w:val="20"/>
          <w:szCs w:val="20"/>
        </w:rPr>
      </w:pPr>
      <w:r>
        <w:rPr>
          <w:sz w:val="20"/>
          <w:szCs w:val="20"/>
        </w:rPr>
        <w:t xml:space="preserve">The Partnership recognized </w:t>
      </w:r>
      <w:r>
        <w:rPr>
          <w:sz w:val="20"/>
          <w:szCs w:val="20"/>
        </w:rPr>
        <w:t>$</w:t>
      </w:r>
      <w:r>
        <w:rPr>
          <w:sz w:val="20"/>
          <w:szCs w:val="20"/>
        </w:rPr>
        <w:t>75,14</w:t>
      </w:r>
      <w:r>
        <w:rPr>
          <w:sz w:val="20"/>
          <w:szCs w:val="20"/>
        </w:rPr>
        <w:t>9</w:t>
      </w:r>
      <w:r>
        <w:rPr>
          <w:sz w:val="20"/>
          <w:szCs w:val="20"/>
        </w:rPr>
        <w:t xml:space="preserve">, </w:t>
      </w:r>
      <w:r>
        <w:rPr>
          <w:sz w:val="20"/>
          <w:szCs w:val="20"/>
        </w:rPr>
        <w:t>$</w:t>
      </w:r>
      <w:r>
        <w:rPr>
          <w:sz w:val="20"/>
          <w:szCs w:val="20"/>
        </w:rPr>
        <w:t>72,95</w:t>
      </w:r>
      <w:r>
        <w:rPr>
          <w:sz w:val="20"/>
          <w:szCs w:val="20"/>
        </w:rPr>
        <w:t>5</w:t>
      </w:r>
      <w:r>
        <w:rPr>
          <w:sz w:val="20"/>
          <w:szCs w:val="20"/>
        </w:rPr>
        <w:t xml:space="preserve"> and </w:t>
      </w:r>
      <w:r>
        <w:rPr>
          <w:sz w:val="20"/>
          <w:szCs w:val="20"/>
        </w:rPr>
        <w:t>$</w:t>
      </w:r>
      <w:r>
        <w:rPr>
          <w:sz w:val="20"/>
          <w:szCs w:val="20"/>
        </w:rPr>
        <w:t>67,11</w:t>
      </w:r>
      <w:r>
        <w:rPr>
          <w:sz w:val="20"/>
          <w:szCs w:val="20"/>
        </w:rPr>
        <w:t>7</w:t>
      </w:r>
      <w:r>
        <w:rPr>
          <w:sz w:val="20"/>
          <w:szCs w:val="20"/>
        </w:rPr>
        <w:t xml:space="preserve"> of revenue during fiscal 2022, fiscal 2021 and fiscal 2020, respectively, for annually billed tank rent, maintenance service contracts, fixed price contracts and budgetary programs where customer cons</w:t>
      </w:r>
      <w:r>
        <w:rPr>
          <w:sz w:val="20"/>
          <w:szCs w:val="20"/>
        </w:rPr>
        <w:t xml:space="preserve">ideration was received at the start of the contract period and which was included in contract liabilities as of the beginning of each respective period. Contract assets of </w:t>
      </w:r>
      <w:r>
        <w:rPr>
          <w:sz w:val="20"/>
          <w:szCs w:val="20"/>
        </w:rPr>
        <w:t>$</w:t>
      </w:r>
      <w:r>
        <w:rPr>
          <w:sz w:val="20"/>
          <w:szCs w:val="20"/>
        </w:rPr>
        <w:t>7,95</w:t>
      </w:r>
      <w:r>
        <w:rPr>
          <w:sz w:val="20"/>
          <w:szCs w:val="20"/>
        </w:rPr>
        <w:t>3</w:t>
      </w:r>
      <w:r>
        <w:rPr>
          <w:sz w:val="20"/>
          <w:szCs w:val="20"/>
        </w:rPr>
        <w:t xml:space="preserve"> and </w:t>
      </w:r>
      <w:r>
        <w:rPr>
          <w:sz w:val="20"/>
          <w:szCs w:val="20"/>
        </w:rPr>
        <w:t>$</w:t>
      </w:r>
      <w:r>
        <w:rPr>
          <w:sz w:val="20"/>
          <w:szCs w:val="20"/>
        </w:rPr>
        <w:t>6,00</w:t>
      </w:r>
      <w:r>
        <w:rPr>
          <w:sz w:val="20"/>
          <w:szCs w:val="20"/>
        </w:rPr>
        <w:t>4</w:t>
      </w:r>
      <w:r>
        <w:rPr>
          <w:sz w:val="20"/>
          <w:szCs w:val="20"/>
        </w:rPr>
        <w:t xml:space="preserve"> relating to deliveries to customers enrolled in budgetary programs</w:t>
      </w:r>
      <w:r>
        <w:rPr>
          <w:sz w:val="20"/>
          <w:szCs w:val="20"/>
        </w:rPr>
        <w:t xml:space="preserve"> that exceeded billings to those customers were included in accounts receivable as of September 24, 2022 and September 25, 2021, respectively</w:t>
      </w:r>
      <w:r>
        <w:rPr>
          <w:sz w:val="20"/>
          <w:szCs w:val="20"/>
        </w:rPr>
        <w:t>.</w:t>
      </w:r>
      <w:r>
        <w:rPr>
          <w:sz w:val="20"/>
          <w:szCs w:val="20"/>
        </w:rPr>
        <w:t xml:space="preserve"> </w:t>
      </w:r>
    </w:p>
    <w:p w14:paraId="1B1DBABE" w14:textId="77777777" w:rsidR="00000000" w:rsidRDefault="00832D71">
      <w:pPr>
        <w:pStyle w:val="a3"/>
        <w:spacing w:before="40" w:beforeAutospacing="0" w:after="0" w:afterAutospacing="0"/>
        <w:jc w:val="both"/>
        <w:rPr>
          <w:sz w:val="20"/>
          <w:szCs w:val="20"/>
        </w:rPr>
      </w:pPr>
      <w:r>
        <w:rPr>
          <w:sz w:val="20"/>
          <w:szCs w:val="20"/>
        </w:rPr>
        <w:t> </w:t>
      </w:r>
    </w:p>
    <w:p w14:paraId="5E91C22B" w14:textId="77777777" w:rsidR="00000000" w:rsidRDefault="00832D71">
      <w:pPr>
        <w:pStyle w:val="a3"/>
        <w:spacing w:before="160" w:beforeAutospacing="0" w:after="0" w:afterAutospacing="0"/>
        <w:ind w:hanging="581"/>
        <w:jc w:val="both"/>
        <w:divId w:val="969894278"/>
        <w:rPr>
          <w:sz w:val="20"/>
          <w:szCs w:val="20"/>
        </w:rPr>
      </w:pPr>
      <w:r>
        <w:rPr>
          <w:b/>
          <w:bCs/>
          <w:sz w:val="20"/>
          <w:szCs w:val="20"/>
        </w:rPr>
        <w:t>4. Investments in and Acquisitions and Dispositions of Businesse</w:t>
      </w:r>
      <w:r>
        <w:rPr>
          <w:b/>
          <w:bCs/>
          <w:sz w:val="20"/>
          <w:szCs w:val="20"/>
        </w:rPr>
        <w:t>s</w:t>
      </w:r>
    </w:p>
    <w:p w14:paraId="18D2DFD6" w14:textId="77777777" w:rsidR="00000000" w:rsidRDefault="00832D71">
      <w:pPr>
        <w:pStyle w:val="a3"/>
        <w:spacing w:before="240" w:beforeAutospacing="0" w:after="0" w:afterAutospacing="0"/>
        <w:jc w:val="both"/>
        <w:divId w:val="969894278"/>
        <w:rPr>
          <w:sz w:val="20"/>
          <w:szCs w:val="20"/>
        </w:rPr>
      </w:pPr>
      <w:r>
        <w:rPr>
          <w:sz w:val="20"/>
          <w:szCs w:val="20"/>
        </w:rPr>
        <w:t xml:space="preserve">On March 9, 2022, Suburban Renewables invested </w:t>
      </w:r>
      <w:r>
        <w:rPr>
          <w:sz w:val="20"/>
          <w:szCs w:val="20"/>
        </w:rPr>
        <w:t>$</w:t>
      </w:r>
      <w:r>
        <w:rPr>
          <w:sz w:val="20"/>
          <w:szCs w:val="20"/>
        </w:rPr>
        <w:t>30,00</w:t>
      </w:r>
      <w:r>
        <w:rPr>
          <w:sz w:val="20"/>
          <w:szCs w:val="20"/>
        </w:rPr>
        <w:t>0</w:t>
      </w:r>
      <w:r>
        <w:rPr>
          <w:sz w:val="20"/>
          <w:szCs w:val="20"/>
        </w:rPr>
        <w:t>, plus direct transaction costs, in Independence Hydrogen, Inc. (“IH”), in exchange for a</w:t>
      </w:r>
      <w:r>
        <w:rPr>
          <w:sz w:val="20"/>
          <w:szCs w:val="20"/>
        </w:rPr>
        <w:t xml:space="preserve"> </w:t>
      </w:r>
      <w:r>
        <w:rPr>
          <w:sz w:val="20"/>
          <w:szCs w:val="20"/>
        </w:rPr>
        <w:t>2</w:t>
      </w:r>
      <w:r>
        <w:rPr>
          <w:sz w:val="20"/>
          <w:szCs w:val="20"/>
        </w:rPr>
        <w:t>5</w:t>
      </w:r>
      <w:r>
        <w:rPr>
          <w:sz w:val="20"/>
          <w:szCs w:val="20"/>
        </w:rPr>
        <w:t>% equity interest. IH is a veteran-owned and operated, privately held company developing a gaseous hydrogen ec</w:t>
      </w:r>
      <w:r>
        <w:rPr>
          <w:sz w:val="20"/>
          <w:szCs w:val="20"/>
        </w:rPr>
        <w:t>osystem to deliver locally sourced hydrogen to local markets, with a primary focus on material handling and backup power applications</w:t>
      </w:r>
      <w:r>
        <w:rPr>
          <w:sz w:val="20"/>
          <w:szCs w:val="20"/>
        </w:rPr>
        <w:t>.</w:t>
      </w:r>
      <w:r>
        <w:rPr>
          <w:sz w:val="20"/>
          <w:szCs w:val="20"/>
        </w:rPr>
        <w:t xml:space="preserve"> </w:t>
      </w:r>
    </w:p>
    <w:p w14:paraId="6CE1E404" w14:textId="77777777" w:rsidR="00000000" w:rsidRDefault="00832D71">
      <w:pPr>
        <w:pStyle w:val="a3"/>
        <w:spacing w:before="240" w:beforeAutospacing="0" w:after="0" w:afterAutospacing="0"/>
        <w:jc w:val="both"/>
        <w:divId w:val="969894278"/>
        <w:rPr>
          <w:sz w:val="20"/>
          <w:szCs w:val="20"/>
        </w:rPr>
      </w:pPr>
      <w:r>
        <w:rPr>
          <w:sz w:val="20"/>
          <w:szCs w:val="20"/>
        </w:rPr>
        <w:t>The Operating Partnership also owns a</w:t>
      </w:r>
      <w:r>
        <w:rPr>
          <w:sz w:val="20"/>
          <w:szCs w:val="20"/>
        </w:rPr>
        <w:t xml:space="preserve"> </w:t>
      </w:r>
      <w:r>
        <w:rPr>
          <w:sz w:val="20"/>
          <w:szCs w:val="20"/>
        </w:rPr>
        <w:t>3</w:t>
      </w:r>
      <w:r>
        <w:rPr>
          <w:sz w:val="20"/>
          <w:szCs w:val="20"/>
        </w:rPr>
        <w:t>8</w:t>
      </w:r>
      <w:r>
        <w:rPr>
          <w:sz w:val="20"/>
          <w:szCs w:val="20"/>
        </w:rPr>
        <w:t>% equity stake in Oberon Fuels, Inc. (“Oberon”) based in San Diego, California a</w:t>
      </w:r>
      <w:r>
        <w:rPr>
          <w:sz w:val="20"/>
          <w:szCs w:val="20"/>
        </w:rPr>
        <w:t>nd has also purchased certain secured convertible notes issued by Oberon. Oberon, a development-stage producer of low-carbon, renewable dimethyl ether (“rDME”) transportation fuel, is focused on the research and development of practical and affordable path</w:t>
      </w:r>
      <w:r>
        <w:rPr>
          <w:sz w:val="20"/>
          <w:szCs w:val="20"/>
        </w:rPr>
        <w:t>ways to zero-emission transportation through its proprietary production process. Oberon's rDME fuel is a cost-effective, low-carbon, zero-soot alternative to petroleum diesel, and when blended with propane can significantly reduce its carbon intensity. Add</w:t>
      </w:r>
      <w:r>
        <w:rPr>
          <w:sz w:val="20"/>
          <w:szCs w:val="20"/>
        </w:rPr>
        <w:t>itionally, rDME is a carrier for hydrogen, making it easy to deliver this renewable fuel for the growing hydrogen fuel cell vehicle industry</w:t>
      </w:r>
      <w:r>
        <w:rPr>
          <w:sz w:val="20"/>
          <w:szCs w:val="20"/>
        </w:rPr>
        <w:t>.</w:t>
      </w:r>
    </w:p>
    <w:p w14:paraId="30F54E09" w14:textId="77777777" w:rsidR="00000000" w:rsidRDefault="00832D71">
      <w:pPr>
        <w:pStyle w:val="a3"/>
        <w:spacing w:before="240" w:beforeAutospacing="0" w:after="0" w:afterAutospacing="0"/>
        <w:jc w:val="both"/>
        <w:divId w:val="969894278"/>
        <w:rPr>
          <w:sz w:val="20"/>
          <w:szCs w:val="20"/>
        </w:rPr>
      </w:pPr>
      <w:r>
        <w:rPr>
          <w:sz w:val="20"/>
          <w:szCs w:val="20"/>
        </w:rPr>
        <w:t>The IH and Oberon investments were made in line with the Partnership’s</w:t>
      </w:r>
      <w:r>
        <w:rPr>
          <w:sz w:val="20"/>
          <w:szCs w:val="20"/>
        </w:rPr>
        <w:t xml:space="preserve"> </w:t>
      </w:r>
      <w:r>
        <w:rPr>
          <w:b/>
          <w:bCs/>
          <w:i/>
          <w:iCs/>
          <w:sz w:val="20"/>
          <w:szCs w:val="20"/>
        </w:rPr>
        <w:t>Go Green with Suburban Propan</w:t>
      </w:r>
      <w:r>
        <w:rPr>
          <w:b/>
          <w:bCs/>
          <w:i/>
          <w:iCs/>
          <w:sz w:val="20"/>
          <w:szCs w:val="20"/>
        </w:rPr>
        <w:t>e</w:t>
      </w:r>
      <w:r>
        <w:rPr>
          <w:sz w:val="20"/>
          <w:szCs w:val="20"/>
        </w:rPr>
        <w:t xml:space="preserve"> corporate pi</w:t>
      </w:r>
      <w:r>
        <w:rPr>
          <w:sz w:val="20"/>
          <w:szCs w:val="20"/>
        </w:rPr>
        <w:t>llar, which focuses on innovative solutions to reduce greenhouse gas emissions. These investments are being accounted for under the equity method of accounting and were included in “Other assets” within the consolidated balance sheets, and the Partnership’</w:t>
      </w:r>
      <w:r>
        <w:rPr>
          <w:sz w:val="20"/>
          <w:szCs w:val="20"/>
        </w:rPr>
        <w:t>s equity in Oberon’s and IH’s earnings were included in “Other, net” within the consolidated statements of operations</w:t>
      </w:r>
      <w:r>
        <w:rPr>
          <w:sz w:val="20"/>
          <w:szCs w:val="20"/>
        </w:rPr>
        <w:t>.</w:t>
      </w:r>
    </w:p>
    <w:p w14:paraId="4DBF8E5A" w14:textId="77777777" w:rsidR="00000000" w:rsidRDefault="00832D71">
      <w:pPr>
        <w:pStyle w:val="a3"/>
        <w:spacing w:before="240" w:beforeAutospacing="0" w:after="0" w:afterAutospacing="0"/>
        <w:jc w:val="both"/>
        <w:divId w:val="969894278"/>
        <w:rPr>
          <w:sz w:val="20"/>
          <w:szCs w:val="20"/>
        </w:rPr>
      </w:pPr>
      <w:r>
        <w:rPr>
          <w:sz w:val="20"/>
          <w:szCs w:val="20"/>
        </w:rPr>
        <w:t xml:space="preserve">On February 17, 2022, the Operating Partnership sold certain assets and operations in a non-strategic market of its propane segment for </w:t>
      </w:r>
      <w:r>
        <w:rPr>
          <w:sz w:val="20"/>
          <w:szCs w:val="20"/>
        </w:rPr>
        <w:t>$</w:t>
      </w:r>
      <w:r>
        <w:rPr>
          <w:sz w:val="20"/>
          <w:szCs w:val="20"/>
        </w:rPr>
        <w:t>85</w:t>
      </w:r>
      <w:r>
        <w:rPr>
          <w:sz w:val="20"/>
          <w:szCs w:val="20"/>
        </w:rPr>
        <w:t>0</w:t>
      </w:r>
      <w:r>
        <w:rPr>
          <w:sz w:val="20"/>
          <w:szCs w:val="20"/>
        </w:rPr>
        <w:t xml:space="preserve">, resulting in a gain of </w:t>
      </w:r>
      <w:r>
        <w:rPr>
          <w:sz w:val="20"/>
          <w:szCs w:val="20"/>
        </w:rPr>
        <w:t>$</w:t>
      </w:r>
      <w:r>
        <w:rPr>
          <w:sz w:val="20"/>
          <w:szCs w:val="20"/>
        </w:rPr>
        <w:t>36</w:t>
      </w:r>
      <w:r>
        <w:rPr>
          <w:sz w:val="20"/>
          <w:szCs w:val="20"/>
        </w:rPr>
        <w:t>3</w:t>
      </w:r>
      <w:r>
        <w:rPr>
          <w:sz w:val="20"/>
          <w:szCs w:val="20"/>
        </w:rPr>
        <w:t xml:space="preserve"> that was recognized during the second quarter of fiscal 2022. The corresponding net assets and results of operations were not material to the Partnership’s consolidated results of operations, financial position and cash flo</w:t>
      </w:r>
      <w:r>
        <w:rPr>
          <w:sz w:val="20"/>
          <w:szCs w:val="20"/>
        </w:rPr>
        <w:t>ws</w:t>
      </w:r>
      <w:r>
        <w:rPr>
          <w:sz w:val="20"/>
          <w:szCs w:val="20"/>
        </w:rPr>
        <w:t>.</w:t>
      </w:r>
    </w:p>
    <w:p w14:paraId="48C4FFCA" w14:textId="77777777" w:rsidR="00000000" w:rsidRDefault="00832D71">
      <w:pPr>
        <w:pStyle w:val="a3"/>
        <w:spacing w:before="240" w:beforeAutospacing="0" w:after="0" w:afterAutospacing="0"/>
        <w:jc w:val="both"/>
        <w:divId w:val="969894278"/>
        <w:rPr>
          <w:sz w:val="20"/>
          <w:szCs w:val="20"/>
        </w:rPr>
      </w:pPr>
      <w:r>
        <w:rPr>
          <w:sz w:val="20"/>
          <w:szCs w:val="20"/>
        </w:rPr>
        <w:t>During the third quarter of fiscal 2022, Suburban Renewables announced an agreement to construct, own and operate a new biodigester system with Adirondack Farms in Clinton County, New York for the production of renewable natural gas (“RNG”). Constructi</w:t>
      </w:r>
      <w:r>
        <w:rPr>
          <w:sz w:val="20"/>
          <w:szCs w:val="20"/>
        </w:rPr>
        <w:t>on is expected to commence in fiscal 2023</w:t>
      </w:r>
      <w:r>
        <w:rPr>
          <w:sz w:val="20"/>
          <w:szCs w:val="20"/>
        </w:rPr>
        <w:t>.</w:t>
      </w:r>
    </w:p>
    <w:p w14:paraId="4895D434" w14:textId="77777777" w:rsidR="00000000" w:rsidRDefault="00832D71">
      <w:pPr>
        <w:pStyle w:val="a3"/>
        <w:spacing w:before="200" w:beforeAutospacing="0" w:after="0" w:afterAutospacing="0"/>
        <w:jc w:val="center"/>
        <w:divId w:val="969894278"/>
        <w:rPr>
          <w:sz w:val="20"/>
          <w:szCs w:val="20"/>
        </w:rPr>
      </w:pPr>
      <w:r>
        <w:rPr>
          <w:sz w:val="20"/>
          <w:szCs w:val="20"/>
        </w:rPr>
        <w:t>F</w:t>
      </w:r>
      <w:r>
        <w:rPr>
          <w:sz w:val="20"/>
          <w:szCs w:val="20"/>
        </w:rPr>
        <w:t>-</w:t>
      </w:r>
      <w:r>
        <w:rPr>
          <w:sz w:val="20"/>
          <w:szCs w:val="20"/>
        </w:rPr>
        <w:t>1</w:t>
      </w:r>
      <w:r>
        <w:rPr>
          <w:sz w:val="20"/>
          <w:szCs w:val="20"/>
        </w:rPr>
        <w:t>5</w:t>
      </w:r>
    </w:p>
    <w:p w14:paraId="36FAB757" w14:textId="77777777" w:rsidR="00000000" w:rsidRDefault="00832D71">
      <w:pPr>
        <w:divId w:val="969894278"/>
        <w:rPr>
          <w:rFonts w:eastAsia="Times New Roman"/>
          <w:sz w:val="20"/>
          <w:szCs w:val="20"/>
        </w:rPr>
      </w:pPr>
      <w:r>
        <w:rPr>
          <w:rFonts w:eastAsia="Times New Roman"/>
          <w:sz w:val="20"/>
          <w:szCs w:val="20"/>
        </w:rPr>
        <w:pict w14:anchorId="70A9E7D3">
          <v:rect id="_x0000_i1134" style="width:0;height:1.5pt" o:hralign="center" o:hrstd="t" o:hr="t" fillcolor="#a0a0a0" stroked="f"/>
        </w:pict>
      </w:r>
    </w:p>
    <w:p w14:paraId="4B586663" w14:textId="77777777" w:rsidR="00000000" w:rsidRDefault="00832D71">
      <w:pPr>
        <w:pStyle w:val="a3"/>
        <w:spacing w:before="0" w:beforeAutospacing="0" w:after="0" w:afterAutospacing="0"/>
        <w:divId w:val="969894278"/>
        <w:rPr>
          <w:sz w:val="20"/>
          <w:szCs w:val="20"/>
        </w:rPr>
      </w:pPr>
      <w:r>
        <w:rPr>
          <w:sz w:val="20"/>
          <w:szCs w:val="20"/>
        </w:rPr>
        <w:t> </w:t>
      </w:r>
    </w:p>
    <w:p w14:paraId="195CBF61" w14:textId="77777777" w:rsidR="00000000" w:rsidRDefault="00832D71">
      <w:pPr>
        <w:pStyle w:val="a3"/>
        <w:spacing w:before="240" w:beforeAutospacing="0" w:after="0" w:afterAutospacing="0"/>
        <w:jc w:val="both"/>
        <w:divId w:val="700786052"/>
        <w:rPr>
          <w:sz w:val="20"/>
          <w:szCs w:val="20"/>
        </w:rPr>
      </w:pPr>
      <w:r>
        <w:rPr>
          <w:sz w:val="20"/>
          <w:szCs w:val="20"/>
        </w:rPr>
        <w:t>Pursuant to the Partnership’s strategic growth initiatives, the Operating Partnership acquired the propane assets and operations of various propane retailers in each of t</w:t>
      </w:r>
      <w:r>
        <w:rPr>
          <w:sz w:val="20"/>
          <w:szCs w:val="20"/>
        </w:rPr>
        <w:t>he last three fiscal years as summarized below. The purchase price allocations and results of operations of the acquired businesses were not material to the Partnership’s consolidated financial position and statement of operations</w:t>
      </w:r>
      <w:r>
        <w:rPr>
          <w:sz w:val="20"/>
          <w:szCs w:val="20"/>
        </w:rPr>
        <w:t>.</w:t>
      </w:r>
    </w:p>
    <w:p w14:paraId="1626B6CB" w14:textId="77777777" w:rsidR="00000000" w:rsidRDefault="00832D71">
      <w:pPr>
        <w:pStyle w:val="a3"/>
        <w:spacing w:before="120" w:beforeAutospacing="0" w:after="0" w:afterAutospacing="0"/>
        <w:jc w:val="both"/>
        <w:divId w:val="700786052"/>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588"/>
        <w:gridCol w:w="290"/>
        <w:gridCol w:w="161"/>
        <w:gridCol w:w="2794"/>
        <w:gridCol w:w="110"/>
        <w:gridCol w:w="702"/>
      </w:tblGrid>
      <w:tr w:rsidR="00000000" w14:paraId="0FC0CCBD" w14:textId="77777777">
        <w:trPr>
          <w:divId w:val="700786052"/>
          <w:tblCellSpacing w:w="15" w:type="dxa"/>
        </w:trPr>
        <w:tc>
          <w:tcPr>
            <w:tcW w:w="1992" w:type="pct"/>
            <w:vAlign w:val="center"/>
            <w:hideMark/>
          </w:tcPr>
          <w:p w14:paraId="663F5951" w14:textId="77777777" w:rsidR="00000000" w:rsidRDefault="00832D71">
            <w:pPr>
              <w:rPr>
                <w:sz w:val="20"/>
                <w:szCs w:val="20"/>
              </w:rPr>
            </w:pPr>
          </w:p>
        </w:tc>
        <w:tc>
          <w:tcPr>
            <w:tcW w:w="218" w:type="pct"/>
            <w:vAlign w:val="center"/>
            <w:hideMark/>
          </w:tcPr>
          <w:p w14:paraId="275274E2" w14:textId="77777777" w:rsidR="00000000" w:rsidRDefault="00832D71">
            <w:pPr>
              <w:rPr>
                <w:rFonts w:eastAsia="Times New Roman"/>
                <w:sz w:val="20"/>
                <w:szCs w:val="20"/>
              </w:rPr>
            </w:pPr>
          </w:p>
        </w:tc>
        <w:tc>
          <w:tcPr>
            <w:tcW w:w="50" w:type="pct"/>
            <w:vAlign w:val="center"/>
            <w:hideMark/>
          </w:tcPr>
          <w:p w14:paraId="215AD0A1" w14:textId="77777777" w:rsidR="00000000" w:rsidRDefault="00832D71">
            <w:pPr>
              <w:rPr>
                <w:rFonts w:eastAsia="Times New Roman"/>
                <w:sz w:val="20"/>
                <w:szCs w:val="20"/>
              </w:rPr>
            </w:pPr>
          </w:p>
        </w:tc>
        <w:tc>
          <w:tcPr>
            <w:tcW w:w="2163" w:type="pct"/>
            <w:vAlign w:val="center"/>
            <w:hideMark/>
          </w:tcPr>
          <w:p w14:paraId="340271C0" w14:textId="77777777" w:rsidR="00000000" w:rsidRDefault="00832D71">
            <w:pPr>
              <w:rPr>
                <w:rFonts w:eastAsia="Times New Roman"/>
                <w:sz w:val="20"/>
                <w:szCs w:val="20"/>
              </w:rPr>
            </w:pPr>
          </w:p>
        </w:tc>
        <w:tc>
          <w:tcPr>
            <w:tcW w:w="50" w:type="pct"/>
            <w:vAlign w:val="center"/>
            <w:hideMark/>
          </w:tcPr>
          <w:p w14:paraId="5CD2B49B" w14:textId="77777777" w:rsidR="00000000" w:rsidRDefault="00832D71">
            <w:pPr>
              <w:rPr>
                <w:rFonts w:eastAsia="Times New Roman"/>
                <w:sz w:val="20"/>
                <w:szCs w:val="20"/>
              </w:rPr>
            </w:pPr>
          </w:p>
        </w:tc>
        <w:tc>
          <w:tcPr>
            <w:tcW w:w="526" w:type="pct"/>
            <w:vAlign w:val="center"/>
            <w:hideMark/>
          </w:tcPr>
          <w:p w14:paraId="1A6780B1" w14:textId="77777777" w:rsidR="00000000" w:rsidRDefault="00832D71">
            <w:pPr>
              <w:rPr>
                <w:rFonts w:eastAsia="Times New Roman"/>
                <w:sz w:val="20"/>
                <w:szCs w:val="20"/>
              </w:rPr>
            </w:pPr>
          </w:p>
        </w:tc>
      </w:tr>
      <w:tr w:rsidR="00000000" w14:paraId="7D5DADEC" w14:textId="77777777">
        <w:trPr>
          <w:divId w:val="700786052"/>
          <w:trHeight w:val="160"/>
          <w:tblCellSpacing w:w="15" w:type="dxa"/>
        </w:trPr>
        <w:tc>
          <w:tcPr>
            <w:tcW w:w="0" w:type="auto"/>
            <w:vAlign w:val="bottom"/>
            <w:hideMark/>
          </w:tcPr>
          <w:p w14:paraId="727B183E" w14:textId="77777777" w:rsidR="00000000" w:rsidRDefault="00832D71">
            <w:pPr>
              <w:pStyle w:val="a3"/>
              <w:spacing w:before="0" w:beforeAutospacing="0" w:after="0" w:afterAutospacing="0"/>
              <w:jc w:val="center"/>
              <w:rPr>
                <w:sz w:val="16"/>
                <w:szCs w:val="16"/>
              </w:rPr>
            </w:pPr>
            <w:r>
              <w:rPr>
                <w:b/>
                <w:bCs/>
                <w:sz w:val="16"/>
                <w:szCs w:val="16"/>
              </w:rPr>
              <w:t>Fiscal Yea</w:t>
            </w:r>
            <w:r>
              <w:rPr>
                <w:b/>
                <w:bCs/>
                <w:sz w:val="16"/>
                <w:szCs w:val="16"/>
              </w:rPr>
              <w:t>r</w:t>
            </w:r>
          </w:p>
        </w:tc>
        <w:tc>
          <w:tcPr>
            <w:tcW w:w="0" w:type="auto"/>
            <w:hideMark/>
          </w:tcPr>
          <w:p w14:paraId="775DFB7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B8497EF" w14:textId="77777777" w:rsidR="00000000" w:rsidRDefault="00832D71">
            <w:pPr>
              <w:pStyle w:val="a3"/>
              <w:spacing w:before="0" w:beforeAutospacing="0" w:after="0" w:afterAutospacing="0"/>
              <w:jc w:val="center"/>
              <w:rPr>
                <w:sz w:val="16"/>
                <w:szCs w:val="16"/>
              </w:rPr>
            </w:pPr>
            <w:r>
              <w:rPr>
                <w:b/>
                <w:bCs/>
                <w:sz w:val="16"/>
                <w:szCs w:val="16"/>
              </w:rPr>
              <w:t>Total consideration (1</w:t>
            </w:r>
            <w:r>
              <w:rPr>
                <w:b/>
                <w:bCs/>
                <w:sz w:val="16"/>
                <w:szCs w:val="16"/>
              </w:rPr>
              <w:t>)</w:t>
            </w:r>
          </w:p>
        </w:tc>
        <w:tc>
          <w:tcPr>
            <w:tcW w:w="0" w:type="auto"/>
            <w:vAlign w:val="bottom"/>
            <w:hideMark/>
          </w:tcPr>
          <w:p w14:paraId="58C5A355"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117E94B" w14:textId="77777777" w:rsidR="00000000" w:rsidRDefault="00832D71">
            <w:pPr>
              <w:pStyle w:val="a3"/>
              <w:spacing w:before="0" w:beforeAutospacing="0" w:after="0" w:afterAutospacing="0"/>
              <w:rPr>
                <w:sz w:val="16"/>
                <w:szCs w:val="16"/>
              </w:rPr>
            </w:pPr>
            <w:r>
              <w:rPr>
                <w:sz w:val="16"/>
                <w:szCs w:val="16"/>
              </w:rPr>
              <w:t> </w:t>
            </w:r>
          </w:p>
        </w:tc>
      </w:tr>
      <w:tr w:rsidR="00000000" w14:paraId="7A894091" w14:textId="77777777">
        <w:trPr>
          <w:divId w:val="700786052"/>
          <w:tblCellSpacing w:w="15" w:type="dxa"/>
        </w:trPr>
        <w:tc>
          <w:tcPr>
            <w:tcW w:w="0" w:type="auto"/>
            <w:hideMark/>
          </w:tcPr>
          <w:p w14:paraId="0DE6221C" w14:textId="77777777" w:rsidR="00000000" w:rsidRDefault="00832D71">
            <w:pPr>
              <w:pStyle w:val="a3"/>
              <w:spacing w:before="0" w:beforeAutospacing="0" w:after="0" w:afterAutospacing="0"/>
              <w:jc w:val="center"/>
              <w:rPr>
                <w:sz w:val="20"/>
                <w:szCs w:val="20"/>
              </w:rPr>
            </w:pPr>
            <w:r>
              <w:rPr>
                <w:sz w:val="20"/>
                <w:szCs w:val="20"/>
              </w:rPr>
              <w:t> </w:t>
            </w:r>
          </w:p>
        </w:tc>
        <w:tc>
          <w:tcPr>
            <w:tcW w:w="0" w:type="auto"/>
            <w:hideMark/>
          </w:tcPr>
          <w:p w14:paraId="50B74AE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2C0C19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7CF1FCF"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40042842" w14:textId="77777777" w:rsidR="00000000" w:rsidRDefault="00832D71">
            <w:pPr>
              <w:pStyle w:val="a3"/>
              <w:spacing w:before="0" w:beforeAutospacing="0" w:after="0" w:afterAutospacing="0"/>
              <w:rPr>
                <w:sz w:val="20"/>
                <w:szCs w:val="20"/>
              </w:rPr>
            </w:pPr>
            <w:r>
              <w:rPr>
                <w:sz w:val="20"/>
                <w:szCs w:val="20"/>
              </w:rPr>
              <w:t> </w:t>
            </w:r>
          </w:p>
        </w:tc>
      </w:tr>
      <w:tr w:rsidR="00000000" w14:paraId="2595F54E" w14:textId="77777777">
        <w:trPr>
          <w:divId w:val="700786052"/>
          <w:trHeight w:val="200"/>
          <w:tblCellSpacing w:w="15" w:type="dxa"/>
        </w:trPr>
        <w:tc>
          <w:tcPr>
            <w:tcW w:w="0" w:type="auto"/>
            <w:hideMark/>
          </w:tcPr>
          <w:p w14:paraId="7E7EFDA6" w14:textId="77777777" w:rsidR="00000000" w:rsidRDefault="00832D71">
            <w:pPr>
              <w:pStyle w:val="a3"/>
              <w:spacing w:before="0" w:beforeAutospacing="0" w:after="0" w:afterAutospacing="0"/>
              <w:jc w:val="center"/>
              <w:rPr>
                <w:sz w:val="20"/>
                <w:szCs w:val="20"/>
              </w:rPr>
            </w:pPr>
            <w:r>
              <w:rPr>
                <w:sz w:val="20"/>
                <w:szCs w:val="20"/>
              </w:rPr>
              <w:t>202</w:t>
            </w:r>
            <w:r>
              <w:rPr>
                <w:sz w:val="20"/>
                <w:szCs w:val="20"/>
              </w:rPr>
              <w:t>2</w:t>
            </w:r>
          </w:p>
        </w:tc>
        <w:tc>
          <w:tcPr>
            <w:tcW w:w="0" w:type="auto"/>
            <w:hideMark/>
          </w:tcPr>
          <w:p w14:paraId="68D5B69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9CBF29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025615E" w14:textId="77777777" w:rsidR="00000000" w:rsidRDefault="00832D71">
            <w:pPr>
              <w:pStyle w:val="a3"/>
              <w:spacing w:before="0" w:beforeAutospacing="0" w:after="0" w:afterAutospacing="0"/>
              <w:jc w:val="right"/>
              <w:rPr>
                <w:sz w:val="20"/>
                <w:szCs w:val="20"/>
              </w:rPr>
            </w:pPr>
            <w:r>
              <w:rPr>
                <w:sz w:val="20"/>
                <w:szCs w:val="20"/>
              </w:rPr>
              <w:t>26,70</w:t>
            </w:r>
            <w:r>
              <w:rPr>
                <w:sz w:val="20"/>
                <w:szCs w:val="20"/>
              </w:rPr>
              <w:t>7</w:t>
            </w:r>
          </w:p>
        </w:tc>
        <w:tc>
          <w:tcPr>
            <w:tcW w:w="0" w:type="auto"/>
            <w:noWrap/>
            <w:vAlign w:val="bottom"/>
            <w:hideMark/>
          </w:tcPr>
          <w:p w14:paraId="451531E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9296F0C" w14:textId="77777777" w:rsidR="00000000" w:rsidRDefault="00832D71">
            <w:pPr>
              <w:pStyle w:val="a3"/>
              <w:spacing w:before="0" w:beforeAutospacing="0" w:after="0" w:afterAutospacing="0"/>
              <w:rPr>
                <w:sz w:val="16"/>
                <w:szCs w:val="16"/>
              </w:rPr>
            </w:pPr>
            <w:r>
              <w:rPr>
                <w:b/>
                <w:bCs/>
                <w:sz w:val="16"/>
                <w:szCs w:val="16"/>
              </w:rPr>
              <w:t> (2</w:t>
            </w:r>
            <w:r>
              <w:rPr>
                <w:b/>
                <w:bCs/>
                <w:sz w:val="16"/>
                <w:szCs w:val="16"/>
              </w:rPr>
              <w:t>)</w:t>
            </w:r>
          </w:p>
        </w:tc>
      </w:tr>
      <w:tr w:rsidR="00000000" w14:paraId="3C753BAA" w14:textId="77777777">
        <w:trPr>
          <w:divId w:val="700786052"/>
          <w:trHeight w:val="200"/>
          <w:tblCellSpacing w:w="15" w:type="dxa"/>
        </w:trPr>
        <w:tc>
          <w:tcPr>
            <w:tcW w:w="0" w:type="auto"/>
            <w:hideMark/>
          </w:tcPr>
          <w:p w14:paraId="04F071EE" w14:textId="77777777" w:rsidR="00000000" w:rsidRDefault="00832D71">
            <w:pPr>
              <w:pStyle w:val="a3"/>
              <w:spacing w:before="0" w:beforeAutospacing="0" w:after="0" w:afterAutospacing="0"/>
              <w:jc w:val="center"/>
              <w:rPr>
                <w:sz w:val="20"/>
                <w:szCs w:val="20"/>
              </w:rPr>
            </w:pPr>
            <w:r>
              <w:rPr>
                <w:sz w:val="20"/>
                <w:szCs w:val="20"/>
              </w:rPr>
              <w:t>202</w:t>
            </w:r>
            <w:r>
              <w:rPr>
                <w:sz w:val="20"/>
                <w:szCs w:val="20"/>
              </w:rPr>
              <w:t>1</w:t>
            </w:r>
          </w:p>
        </w:tc>
        <w:tc>
          <w:tcPr>
            <w:tcW w:w="0" w:type="auto"/>
            <w:hideMark/>
          </w:tcPr>
          <w:p w14:paraId="174F5A9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A53A70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63C8725" w14:textId="77777777" w:rsidR="00000000" w:rsidRDefault="00832D71">
            <w:pPr>
              <w:pStyle w:val="a3"/>
              <w:spacing w:before="0" w:beforeAutospacing="0" w:after="0" w:afterAutospacing="0"/>
              <w:jc w:val="right"/>
              <w:rPr>
                <w:sz w:val="20"/>
                <w:szCs w:val="20"/>
              </w:rPr>
            </w:pPr>
            <w:r>
              <w:rPr>
                <w:sz w:val="20"/>
                <w:szCs w:val="20"/>
              </w:rPr>
              <w:t>9,81</w:t>
            </w:r>
            <w:r>
              <w:rPr>
                <w:sz w:val="20"/>
                <w:szCs w:val="20"/>
              </w:rPr>
              <w:t>3</w:t>
            </w:r>
          </w:p>
        </w:tc>
        <w:tc>
          <w:tcPr>
            <w:tcW w:w="0" w:type="auto"/>
            <w:noWrap/>
            <w:vAlign w:val="bottom"/>
            <w:hideMark/>
          </w:tcPr>
          <w:p w14:paraId="6B19861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D39C632" w14:textId="77777777" w:rsidR="00000000" w:rsidRDefault="00832D71">
            <w:pPr>
              <w:pStyle w:val="a3"/>
              <w:spacing w:before="0" w:beforeAutospacing="0" w:after="0" w:afterAutospacing="0"/>
              <w:rPr>
                <w:sz w:val="16"/>
                <w:szCs w:val="16"/>
              </w:rPr>
            </w:pPr>
            <w:r>
              <w:rPr>
                <w:b/>
                <w:bCs/>
                <w:sz w:val="16"/>
                <w:szCs w:val="16"/>
              </w:rPr>
              <w:t> (3</w:t>
            </w:r>
            <w:r>
              <w:rPr>
                <w:b/>
                <w:bCs/>
                <w:sz w:val="16"/>
                <w:szCs w:val="16"/>
              </w:rPr>
              <w:t>)</w:t>
            </w:r>
          </w:p>
        </w:tc>
      </w:tr>
      <w:tr w:rsidR="00000000" w14:paraId="39D9BA57" w14:textId="77777777">
        <w:trPr>
          <w:divId w:val="700786052"/>
          <w:trHeight w:val="200"/>
          <w:tblCellSpacing w:w="15" w:type="dxa"/>
        </w:trPr>
        <w:tc>
          <w:tcPr>
            <w:tcW w:w="0" w:type="auto"/>
            <w:hideMark/>
          </w:tcPr>
          <w:p w14:paraId="787EB7E1" w14:textId="77777777" w:rsidR="00000000" w:rsidRDefault="00832D71">
            <w:pPr>
              <w:pStyle w:val="a3"/>
              <w:spacing w:before="0" w:beforeAutospacing="0" w:after="0" w:afterAutospacing="0"/>
              <w:jc w:val="center"/>
              <w:rPr>
                <w:sz w:val="20"/>
                <w:szCs w:val="20"/>
              </w:rPr>
            </w:pPr>
            <w:r>
              <w:rPr>
                <w:sz w:val="20"/>
                <w:szCs w:val="20"/>
              </w:rPr>
              <w:t>202</w:t>
            </w:r>
            <w:r>
              <w:rPr>
                <w:sz w:val="20"/>
                <w:szCs w:val="20"/>
              </w:rPr>
              <w:t>0</w:t>
            </w:r>
          </w:p>
        </w:tc>
        <w:tc>
          <w:tcPr>
            <w:tcW w:w="0" w:type="auto"/>
            <w:hideMark/>
          </w:tcPr>
          <w:p w14:paraId="30612BC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AD825B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12BA376" w14:textId="77777777" w:rsidR="00000000" w:rsidRDefault="00832D71">
            <w:pPr>
              <w:pStyle w:val="a3"/>
              <w:spacing w:before="0" w:beforeAutospacing="0" w:after="0" w:afterAutospacing="0"/>
              <w:jc w:val="right"/>
              <w:rPr>
                <w:sz w:val="20"/>
                <w:szCs w:val="20"/>
              </w:rPr>
            </w:pPr>
            <w:r>
              <w:rPr>
                <w:sz w:val="20"/>
                <w:szCs w:val="20"/>
              </w:rPr>
              <w:t>27,06</w:t>
            </w:r>
            <w:r>
              <w:rPr>
                <w:sz w:val="20"/>
                <w:szCs w:val="20"/>
              </w:rPr>
              <w:t>5</w:t>
            </w:r>
          </w:p>
        </w:tc>
        <w:tc>
          <w:tcPr>
            <w:tcW w:w="0" w:type="auto"/>
            <w:noWrap/>
            <w:vAlign w:val="bottom"/>
            <w:hideMark/>
          </w:tcPr>
          <w:p w14:paraId="322AD8B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0C9694F" w14:textId="77777777" w:rsidR="00000000" w:rsidRDefault="00832D71">
            <w:pPr>
              <w:pStyle w:val="a3"/>
              <w:spacing w:before="0" w:beforeAutospacing="0" w:after="0" w:afterAutospacing="0"/>
              <w:rPr>
                <w:sz w:val="16"/>
                <w:szCs w:val="16"/>
              </w:rPr>
            </w:pPr>
            <w:r>
              <w:rPr>
                <w:b/>
                <w:bCs/>
                <w:sz w:val="16"/>
                <w:szCs w:val="16"/>
              </w:rPr>
              <w:t> (4</w:t>
            </w:r>
            <w:r>
              <w:rPr>
                <w:b/>
                <w:bCs/>
                <w:sz w:val="16"/>
                <w:szCs w:val="16"/>
              </w:rPr>
              <w:t>)</w:t>
            </w:r>
          </w:p>
        </w:tc>
      </w:tr>
    </w:tbl>
    <w:p w14:paraId="70CE6FBF" w14:textId="77777777" w:rsidR="00000000" w:rsidRDefault="00832D71">
      <w:pPr>
        <w:pStyle w:val="a3"/>
        <w:spacing w:before="0" w:beforeAutospacing="0" w:after="0" w:afterAutospacing="0"/>
        <w:ind w:left="714"/>
        <w:jc w:val="both"/>
        <w:divId w:val="700786052"/>
        <w:rPr>
          <w:sz w:val="20"/>
          <w:szCs w:val="20"/>
        </w:rPr>
      </w:pPr>
      <w:r>
        <w:rPr>
          <w:sz w:val="20"/>
          <w:szCs w:val="20"/>
        </w:rPr>
        <w:t> </w:t>
      </w:r>
    </w:p>
    <w:p w14:paraId="3AA1F1EA" w14:textId="77777777" w:rsidR="00000000" w:rsidRDefault="00832D71">
      <w:pPr>
        <w:jc w:val="both"/>
        <w:divId w:val="1440416023"/>
        <w:rPr>
          <w:rFonts w:eastAsia="Times New Roman"/>
          <w:sz w:val="20"/>
          <w:szCs w:val="20"/>
        </w:rPr>
      </w:pPr>
      <w:r>
        <w:rPr>
          <w:rFonts w:eastAsia="Times New Roman"/>
          <w:sz w:val="18"/>
          <w:szCs w:val="18"/>
        </w:rPr>
        <w:t>(1</w:t>
      </w:r>
      <w:r>
        <w:rPr>
          <w:rFonts w:eastAsia="Times New Roman"/>
          <w:sz w:val="18"/>
          <w:szCs w:val="18"/>
        </w:rPr>
        <w:t>)</w:t>
      </w:r>
    </w:p>
    <w:p w14:paraId="71CA7DD7" w14:textId="77777777" w:rsidR="00000000" w:rsidRDefault="00832D71">
      <w:pPr>
        <w:jc w:val="both"/>
        <w:divId w:val="1861747070"/>
        <w:rPr>
          <w:rFonts w:eastAsia="Times New Roman"/>
          <w:sz w:val="20"/>
          <w:szCs w:val="20"/>
        </w:rPr>
      </w:pPr>
      <w:r>
        <w:rPr>
          <w:rFonts w:eastAsia="Times New Roman"/>
          <w:sz w:val="20"/>
          <w:szCs w:val="20"/>
        </w:rPr>
        <w:t>Total consideration includes non-compete consideration, which will be paid over the respective non-compete periods subject to compliance with the terms of the respective agreements, investments in Oberon and excludes working capital adjustments</w:t>
      </w:r>
      <w:r>
        <w:rPr>
          <w:rFonts w:eastAsia="Times New Roman"/>
          <w:sz w:val="20"/>
          <w:szCs w:val="20"/>
        </w:rPr>
        <w:t>.</w:t>
      </w:r>
    </w:p>
    <w:p w14:paraId="004A8729" w14:textId="77777777" w:rsidR="00000000" w:rsidRDefault="00832D71">
      <w:pPr>
        <w:pStyle w:val="a3"/>
        <w:spacing w:before="0" w:beforeAutospacing="0" w:after="0" w:afterAutospacing="0"/>
        <w:ind w:left="714"/>
        <w:jc w:val="both"/>
        <w:divId w:val="700786052"/>
        <w:rPr>
          <w:sz w:val="20"/>
          <w:szCs w:val="20"/>
        </w:rPr>
      </w:pPr>
      <w:r>
        <w:rPr>
          <w:sz w:val="20"/>
          <w:szCs w:val="20"/>
        </w:rPr>
        <w:t> </w:t>
      </w:r>
    </w:p>
    <w:p w14:paraId="462FF2A8" w14:textId="77777777" w:rsidR="00000000" w:rsidRDefault="00832D71">
      <w:pPr>
        <w:jc w:val="both"/>
        <w:divId w:val="1162547056"/>
        <w:rPr>
          <w:rFonts w:eastAsia="Times New Roman"/>
          <w:sz w:val="20"/>
          <w:szCs w:val="20"/>
        </w:rPr>
      </w:pPr>
      <w:r>
        <w:rPr>
          <w:rFonts w:eastAsia="Times New Roman"/>
          <w:sz w:val="18"/>
          <w:szCs w:val="18"/>
        </w:rPr>
        <w:t>(2</w:t>
      </w:r>
      <w:r>
        <w:rPr>
          <w:rFonts w:eastAsia="Times New Roman"/>
          <w:sz w:val="18"/>
          <w:szCs w:val="18"/>
        </w:rPr>
        <w:t>)</w:t>
      </w:r>
    </w:p>
    <w:p w14:paraId="387CEACE" w14:textId="77777777" w:rsidR="00000000" w:rsidRDefault="00832D71">
      <w:pPr>
        <w:jc w:val="both"/>
        <w:divId w:val="1404178868"/>
        <w:rPr>
          <w:rFonts w:eastAsia="Times New Roman"/>
          <w:sz w:val="20"/>
          <w:szCs w:val="20"/>
        </w:rPr>
      </w:pPr>
      <w:r>
        <w:rPr>
          <w:rFonts w:eastAsia="Times New Roman"/>
          <w:sz w:val="20"/>
          <w:szCs w:val="20"/>
        </w:rPr>
        <w:t>Incl</w:t>
      </w:r>
      <w:r>
        <w:rPr>
          <w:rFonts w:eastAsia="Times New Roman"/>
          <w:sz w:val="20"/>
          <w:szCs w:val="20"/>
        </w:rPr>
        <w:t>udes</w:t>
      </w:r>
      <w:r>
        <w:rPr>
          <w:rFonts w:eastAsia="Times New Roman"/>
          <w:sz w:val="20"/>
          <w:szCs w:val="20"/>
        </w:rPr>
        <w:t xml:space="preserve"> </w:t>
      </w:r>
      <w:r>
        <w:rPr>
          <w:rFonts w:eastAsia="Times New Roman"/>
          <w:sz w:val="20"/>
          <w:szCs w:val="20"/>
        </w:rPr>
        <w:t>on</w:t>
      </w:r>
      <w:r>
        <w:rPr>
          <w:rFonts w:eastAsia="Times New Roman"/>
          <w:sz w:val="20"/>
          <w:szCs w:val="20"/>
        </w:rPr>
        <w:t>e</w:t>
      </w:r>
      <w:r>
        <w:rPr>
          <w:rFonts w:eastAsia="Times New Roman"/>
          <w:sz w:val="20"/>
          <w:szCs w:val="20"/>
        </w:rPr>
        <w:t xml:space="preserve"> acquisition of a propane retailer located in New Mexico</w:t>
      </w:r>
      <w:r>
        <w:rPr>
          <w:rFonts w:eastAsia="Times New Roman"/>
          <w:sz w:val="20"/>
          <w:szCs w:val="20"/>
        </w:rPr>
        <w:t>.</w:t>
      </w:r>
    </w:p>
    <w:p w14:paraId="2B48A58C" w14:textId="77777777" w:rsidR="00000000" w:rsidRDefault="00832D71">
      <w:pPr>
        <w:pStyle w:val="a3"/>
        <w:spacing w:before="0" w:beforeAutospacing="0" w:after="0" w:afterAutospacing="0"/>
        <w:ind w:left="714"/>
        <w:divId w:val="700786052"/>
        <w:rPr>
          <w:sz w:val="20"/>
          <w:szCs w:val="20"/>
        </w:rPr>
      </w:pPr>
      <w:r>
        <w:rPr>
          <w:sz w:val="20"/>
          <w:szCs w:val="20"/>
        </w:rPr>
        <w:t> </w:t>
      </w:r>
    </w:p>
    <w:p w14:paraId="1D03B4FE" w14:textId="77777777" w:rsidR="00000000" w:rsidRDefault="00832D71">
      <w:pPr>
        <w:jc w:val="both"/>
        <w:divId w:val="742339825"/>
        <w:rPr>
          <w:rFonts w:eastAsia="Times New Roman"/>
          <w:sz w:val="20"/>
          <w:szCs w:val="20"/>
        </w:rPr>
      </w:pPr>
      <w:r>
        <w:rPr>
          <w:rFonts w:eastAsia="Times New Roman"/>
          <w:sz w:val="18"/>
          <w:szCs w:val="18"/>
        </w:rPr>
        <w:t>(3</w:t>
      </w:r>
      <w:r>
        <w:rPr>
          <w:rFonts w:eastAsia="Times New Roman"/>
          <w:sz w:val="18"/>
          <w:szCs w:val="18"/>
        </w:rPr>
        <w:t>)</w:t>
      </w:r>
    </w:p>
    <w:p w14:paraId="3243328A" w14:textId="77777777" w:rsidR="00000000" w:rsidRDefault="00832D71">
      <w:pPr>
        <w:jc w:val="both"/>
        <w:divId w:val="1336490966"/>
        <w:rPr>
          <w:rFonts w:eastAsia="Times New Roman"/>
          <w:sz w:val="20"/>
          <w:szCs w:val="20"/>
        </w:rPr>
      </w:pPr>
      <w:r>
        <w:rPr>
          <w:rFonts w:eastAsia="Times New Roman"/>
          <w:sz w:val="20"/>
          <w:szCs w:val="20"/>
        </w:rPr>
        <w:t>Includes</w:t>
      </w:r>
      <w:r>
        <w:rPr>
          <w:rFonts w:eastAsia="Times New Roman"/>
          <w:sz w:val="20"/>
          <w:szCs w:val="20"/>
        </w:rPr>
        <w:t xml:space="preserve"> </w:t>
      </w:r>
      <w:r>
        <w:rPr>
          <w:rFonts w:eastAsia="Times New Roman"/>
          <w:sz w:val="20"/>
          <w:szCs w:val="20"/>
        </w:rPr>
        <w:t>on</w:t>
      </w:r>
      <w:r>
        <w:rPr>
          <w:rFonts w:eastAsia="Times New Roman"/>
          <w:sz w:val="20"/>
          <w:szCs w:val="20"/>
        </w:rPr>
        <w:t>e</w:t>
      </w:r>
      <w:r>
        <w:rPr>
          <w:rFonts w:eastAsia="Times New Roman"/>
          <w:sz w:val="20"/>
          <w:szCs w:val="20"/>
        </w:rPr>
        <w:t xml:space="preserve"> acquisition of a propane retailer located in North Carolina</w:t>
      </w:r>
      <w:r>
        <w:rPr>
          <w:rFonts w:eastAsia="Times New Roman"/>
          <w:sz w:val="20"/>
          <w:szCs w:val="20"/>
        </w:rPr>
        <w:t>.</w:t>
      </w:r>
    </w:p>
    <w:p w14:paraId="56F6AFCC" w14:textId="77777777" w:rsidR="00000000" w:rsidRDefault="00832D71">
      <w:pPr>
        <w:pStyle w:val="a3"/>
        <w:spacing w:before="0" w:beforeAutospacing="0" w:after="0" w:afterAutospacing="0"/>
        <w:ind w:left="714"/>
        <w:divId w:val="700786052"/>
        <w:rPr>
          <w:sz w:val="20"/>
          <w:szCs w:val="20"/>
        </w:rPr>
      </w:pPr>
      <w:r>
        <w:rPr>
          <w:sz w:val="20"/>
          <w:szCs w:val="20"/>
        </w:rPr>
        <w:t> </w:t>
      </w:r>
    </w:p>
    <w:p w14:paraId="50C312E1" w14:textId="77777777" w:rsidR="00000000" w:rsidRDefault="00832D71">
      <w:pPr>
        <w:jc w:val="both"/>
        <w:divId w:val="190382635"/>
        <w:rPr>
          <w:rFonts w:eastAsia="Times New Roman"/>
          <w:sz w:val="20"/>
          <w:szCs w:val="20"/>
        </w:rPr>
      </w:pPr>
      <w:r>
        <w:rPr>
          <w:rFonts w:eastAsia="Times New Roman"/>
          <w:sz w:val="18"/>
          <w:szCs w:val="18"/>
        </w:rPr>
        <w:t>(4</w:t>
      </w:r>
      <w:r>
        <w:rPr>
          <w:rFonts w:eastAsia="Times New Roman"/>
          <w:sz w:val="18"/>
          <w:szCs w:val="18"/>
        </w:rPr>
        <w:t>)</w:t>
      </w:r>
    </w:p>
    <w:p w14:paraId="66B81F8C" w14:textId="77777777" w:rsidR="00000000" w:rsidRDefault="00832D71">
      <w:pPr>
        <w:jc w:val="both"/>
        <w:divId w:val="445001898"/>
        <w:rPr>
          <w:rFonts w:eastAsia="Times New Roman"/>
          <w:sz w:val="20"/>
          <w:szCs w:val="20"/>
        </w:rPr>
      </w:pPr>
      <w:r>
        <w:rPr>
          <w:rFonts w:eastAsia="Times New Roman"/>
          <w:sz w:val="20"/>
          <w:szCs w:val="20"/>
        </w:rPr>
        <w:t>Includes</w:t>
      </w:r>
      <w:r>
        <w:rPr>
          <w:rFonts w:eastAsia="Times New Roman"/>
          <w:sz w:val="20"/>
          <w:szCs w:val="20"/>
        </w:rPr>
        <w:t xml:space="preserve"> </w:t>
      </w:r>
      <w:r>
        <w:rPr>
          <w:rFonts w:eastAsia="Times New Roman"/>
          <w:sz w:val="20"/>
          <w:szCs w:val="20"/>
        </w:rPr>
        <w:t>tw</w:t>
      </w:r>
      <w:r>
        <w:rPr>
          <w:rFonts w:eastAsia="Times New Roman"/>
          <w:sz w:val="20"/>
          <w:szCs w:val="20"/>
        </w:rPr>
        <w:t>o</w:t>
      </w:r>
      <w:r>
        <w:rPr>
          <w:rFonts w:eastAsia="Times New Roman"/>
          <w:sz w:val="20"/>
          <w:szCs w:val="20"/>
        </w:rPr>
        <w:t xml:space="preserve"> </w:t>
      </w:r>
      <w:r>
        <w:rPr>
          <w:rFonts w:eastAsia="Times New Roman"/>
          <w:sz w:val="20"/>
          <w:szCs w:val="20"/>
        </w:rPr>
        <w:t>acquisitions of propane retailers located in Georgia and California</w:t>
      </w:r>
      <w:r>
        <w:rPr>
          <w:rFonts w:eastAsia="Times New Roman"/>
          <w:sz w:val="20"/>
          <w:szCs w:val="20"/>
        </w:rPr>
        <w:t>.</w:t>
      </w:r>
    </w:p>
    <w:p w14:paraId="409F2795" w14:textId="77777777" w:rsidR="00000000" w:rsidRDefault="00832D71">
      <w:pPr>
        <w:pStyle w:val="a3"/>
        <w:spacing w:before="240" w:beforeAutospacing="0" w:after="0" w:afterAutospacing="0"/>
        <w:ind w:hanging="581"/>
        <w:jc w:val="both"/>
        <w:divId w:val="768506504"/>
        <w:rPr>
          <w:sz w:val="20"/>
          <w:szCs w:val="20"/>
        </w:rPr>
      </w:pPr>
      <w:r>
        <w:rPr>
          <w:b/>
          <w:bCs/>
          <w:sz w:val="20"/>
          <w:szCs w:val="20"/>
        </w:rPr>
        <w:t>5. Distributions of Available Cas</w:t>
      </w:r>
      <w:r>
        <w:rPr>
          <w:b/>
          <w:bCs/>
          <w:sz w:val="20"/>
          <w:szCs w:val="20"/>
        </w:rPr>
        <w:t>h</w:t>
      </w:r>
    </w:p>
    <w:p w14:paraId="34BE6448" w14:textId="77777777" w:rsidR="00000000" w:rsidRDefault="00832D71">
      <w:pPr>
        <w:pStyle w:val="a3"/>
        <w:spacing w:before="120" w:beforeAutospacing="0" w:after="0" w:afterAutospacing="0"/>
        <w:jc w:val="both"/>
        <w:divId w:val="768506504"/>
        <w:rPr>
          <w:sz w:val="20"/>
          <w:szCs w:val="20"/>
        </w:rPr>
      </w:pPr>
      <w:r>
        <w:rPr>
          <w:sz w:val="20"/>
          <w:szCs w:val="20"/>
        </w:rPr>
        <w:t>The Partnership makes distributions to its partners no later than</w:t>
      </w:r>
      <w:r>
        <w:rPr>
          <w:sz w:val="20"/>
          <w:szCs w:val="20"/>
        </w:rPr>
        <w:t xml:space="preserve"> </w:t>
      </w:r>
      <w:r>
        <w:rPr>
          <w:sz w:val="20"/>
          <w:szCs w:val="20"/>
        </w:rPr>
        <w:t>4</w:t>
      </w:r>
      <w:r>
        <w:rPr>
          <w:sz w:val="20"/>
          <w:szCs w:val="20"/>
        </w:rPr>
        <w:t>5</w:t>
      </w:r>
      <w:r>
        <w:rPr>
          <w:sz w:val="20"/>
          <w:szCs w:val="20"/>
        </w:rPr>
        <w:t xml:space="preserve"> days after the end of each fiscal quarter in an aggregate amount equal to its Avail</w:t>
      </w:r>
      <w:r>
        <w:rPr>
          <w:sz w:val="20"/>
          <w:szCs w:val="20"/>
        </w:rPr>
        <w:t>able Cash for such quarter. Available Cash, as defined in the Partnership Agreement, generally means all cash on hand at the end of the respective fiscal quarter less the amount of cash reserves established by the Board of Supervisors in its reasonable dis</w:t>
      </w:r>
      <w:r>
        <w:rPr>
          <w:sz w:val="20"/>
          <w:szCs w:val="20"/>
        </w:rPr>
        <w:t>cretion for future cash requirements. These reserves are retained for the proper conduct of the Partnership’s business, the payment of debt principal and interest and for distributions during the next four quarters</w:t>
      </w:r>
      <w:r>
        <w:rPr>
          <w:sz w:val="20"/>
          <w:szCs w:val="20"/>
        </w:rPr>
        <w:t>.</w:t>
      </w:r>
    </w:p>
    <w:p w14:paraId="071A003E" w14:textId="77777777" w:rsidR="00000000" w:rsidRDefault="00832D71">
      <w:pPr>
        <w:pStyle w:val="a3"/>
        <w:spacing w:before="240" w:beforeAutospacing="0" w:after="0" w:afterAutospacing="0"/>
        <w:jc w:val="both"/>
        <w:divId w:val="1201285281"/>
        <w:rPr>
          <w:sz w:val="20"/>
          <w:szCs w:val="20"/>
        </w:rPr>
      </w:pPr>
      <w:r>
        <w:rPr>
          <w:sz w:val="20"/>
          <w:szCs w:val="20"/>
        </w:rPr>
        <w:t>The following summarizes the quarterly d</w:t>
      </w:r>
      <w:r>
        <w:rPr>
          <w:sz w:val="20"/>
          <w:szCs w:val="20"/>
        </w:rPr>
        <w:t>istributions per Common Unit declared and paid in respect of each of the quarters in the last three fiscal years</w:t>
      </w:r>
      <w:r>
        <w:rPr>
          <w:sz w:val="20"/>
          <w:szCs w:val="20"/>
        </w:rPr>
        <w:t>:</w:t>
      </w:r>
    </w:p>
    <w:p w14:paraId="0B87F516" w14:textId="77777777" w:rsidR="00000000" w:rsidRDefault="00832D71">
      <w:pPr>
        <w:pStyle w:val="a3"/>
        <w:spacing w:before="0" w:beforeAutospacing="0" w:after="0" w:afterAutospacing="0"/>
        <w:divId w:val="1201285281"/>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068"/>
        <w:gridCol w:w="110"/>
        <w:gridCol w:w="160"/>
        <w:gridCol w:w="806"/>
        <w:gridCol w:w="110"/>
        <w:gridCol w:w="110"/>
        <w:gridCol w:w="160"/>
        <w:gridCol w:w="808"/>
        <w:gridCol w:w="110"/>
        <w:gridCol w:w="110"/>
        <w:gridCol w:w="160"/>
        <w:gridCol w:w="808"/>
        <w:gridCol w:w="125"/>
      </w:tblGrid>
      <w:tr w:rsidR="00000000" w14:paraId="10A54175" w14:textId="77777777">
        <w:trPr>
          <w:divId w:val="1201285281"/>
          <w:tblCellSpacing w:w="15" w:type="dxa"/>
        </w:trPr>
        <w:tc>
          <w:tcPr>
            <w:tcW w:w="2458" w:type="pct"/>
            <w:vAlign w:val="center"/>
            <w:hideMark/>
          </w:tcPr>
          <w:p w14:paraId="79D2070F" w14:textId="77777777" w:rsidR="00000000" w:rsidRDefault="00832D71">
            <w:pPr>
              <w:rPr>
                <w:sz w:val="20"/>
                <w:szCs w:val="20"/>
              </w:rPr>
            </w:pPr>
          </w:p>
        </w:tc>
        <w:tc>
          <w:tcPr>
            <w:tcW w:w="78" w:type="pct"/>
            <w:vAlign w:val="center"/>
            <w:hideMark/>
          </w:tcPr>
          <w:p w14:paraId="0965C1E3" w14:textId="77777777" w:rsidR="00000000" w:rsidRDefault="00832D71">
            <w:pPr>
              <w:rPr>
                <w:rFonts w:eastAsia="Times New Roman"/>
                <w:sz w:val="20"/>
                <w:szCs w:val="20"/>
              </w:rPr>
            </w:pPr>
          </w:p>
        </w:tc>
        <w:tc>
          <w:tcPr>
            <w:tcW w:w="50" w:type="pct"/>
            <w:vAlign w:val="center"/>
            <w:hideMark/>
          </w:tcPr>
          <w:p w14:paraId="1FCBE9A0" w14:textId="77777777" w:rsidR="00000000" w:rsidRDefault="00832D71">
            <w:pPr>
              <w:rPr>
                <w:rFonts w:eastAsia="Times New Roman"/>
                <w:sz w:val="20"/>
                <w:szCs w:val="20"/>
              </w:rPr>
            </w:pPr>
          </w:p>
        </w:tc>
        <w:tc>
          <w:tcPr>
            <w:tcW w:w="669" w:type="pct"/>
            <w:vAlign w:val="center"/>
            <w:hideMark/>
          </w:tcPr>
          <w:p w14:paraId="6CCE4F87" w14:textId="77777777" w:rsidR="00000000" w:rsidRDefault="00832D71">
            <w:pPr>
              <w:rPr>
                <w:rFonts w:eastAsia="Times New Roman"/>
                <w:sz w:val="20"/>
                <w:szCs w:val="20"/>
              </w:rPr>
            </w:pPr>
          </w:p>
        </w:tc>
        <w:tc>
          <w:tcPr>
            <w:tcW w:w="50" w:type="pct"/>
            <w:vAlign w:val="center"/>
            <w:hideMark/>
          </w:tcPr>
          <w:p w14:paraId="41CDD4EB" w14:textId="77777777" w:rsidR="00000000" w:rsidRDefault="00832D71">
            <w:pPr>
              <w:rPr>
                <w:rFonts w:eastAsia="Times New Roman"/>
                <w:sz w:val="20"/>
                <w:szCs w:val="20"/>
              </w:rPr>
            </w:pPr>
          </w:p>
        </w:tc>
        <w:tc>
          <w:tcPr>
            <w:tcW w:w="78" w:type="pct"/>
            <w:vAlign w:val="center"/>
            <w:hideMark/>
          </w:tcPr>
          <w:p w14:paraId="106E2459" w14:textId="77777777" w:rsidR="00000000" w:rsidRDefault="00832D71">
            <w:pPr>
              <w:rPr>
                <w:rFonts w:eastAsia="Times New Roman"/>
                <w:sz w:val="20"/>
                <w:szCs w:val="20"/>
              </w:rPr>
            </w:pPr>
          </w:p>
        </w:tc>
        <w:tc>
          <w:tcPr>
            <w:tcW w:w="50" w:type="pct"/>
            <w:vAlign w:val="center"/>
            <w:hideMark/>
          </w:tcPr>
          <w:p w14:paraId="6C75302A" w14:textId="77777777" w:rsidR="00000000" w:rsidRDefault="00832D71">
            <w:pPr>
              <w:rPr>
                <w:rFonts w:eastAsia="Times New Roman"/>
                <w:sz w:val="20"/>
                <w:szCs w:val="20"/>
              </w:rPr>
            </w:pPr>
          </w:p>
        </w:tc>
        <w:tc>
          <w:tcPr>
            <w:tcW w:w="669" w:type="pct"/>
            <w:vAlign w:val="center"/>
            <w:hideMark/>
          </w:tcPr>
          <w:p w14:paraId="66C5A02F" w14:textId="77777777" w:rsidR="00000000" w:rsidRDefault="00832D71">
            <w:pPr>
              <w:rPr>
                <w:rFonts w:eastAsia="Times New Roman"/>
                <w:sz w:val="20"/>
                <w:szCs w:val="20"/>
              </w:rPr>
            </w:pPr>
          </w:p>
        </w:tc>
        <w:tc>
          <w:tcPr>
            <w:tcW w:w="50" w:type="pct"/>
            <w:vAlign w:val="center"/>
            <w:hideMark/>
          </w:tcPr>
          <w:p w14:paraId="469F1EB0" w14:textId="77777777" w:rsidR="00000000" w:rsidRDefault="00832D71">
            <w:pPr>
              <w:rPr>
                <w:rFonts w:eastAsia="Times New Roman"/>
                <w:sz w:val="20"/>
                <w:szCs w:val="20"/>
              </w:rPr>
            </w:pPr>
          </w:p>
        </w:tc>
        <w:tc>
          <w:tcPr>
            <w:tcW w:w="78" w:type="pct"/>
            <w:vAlign w:val="center"/>
            <w:hideMark/>
          </w:tcPr>
          <w:p w14:paraId="61692A31" w14:textId="77777777" w:rsidR="00000000" w:rsidRDefault="00832D71">
            <w:pPr>
              <w:rPr>
                <w:rFonts w:eastAsia="Times New Roman"/>
                <w:sz w:val="20"/>
                <w:szCs w:val="20"/>
              </w:rPr>
            </w:pPr>
          </w:p>
        </w:tc>
        <w:tc>
          <w:tcPr>
            <w:tcW w:w="50" w:type="pct"/>
            <w:vAlign w:val="center"/>
            <w:hideMark/>
          </w:tcPr>
          <w:p w14:paraId="1A8474FE" w14:textId="77777777" w:rsidR="00000000" w:rsidRDefault="00832D71">
            <w:pPr>
              <w:rPr>
                <w:rFonts w:eastAsia="Times New Roman"/>
                <w:sz w:val="20"/>
                <w:szCs w:val="20"/>
              </w:rPr>
            </w:pPr>
          </w:p>
        </w:tc>
        <w:tc>
          <w:tcPr>
            <w:tcW w:w="669" w:type="pct"/>
            <w:vAlign w:val="center"/>
            <w:hideMark/>
          </w:tcPr>
          <w:p w14:paraId="6688E9EC" w14:textId="77777777" w:rsidR="00000000" w:rsidRDefault="00832D71">
            <w:pPr>
              <w:rPr>
                <w:rFonts w:eastAsia="Times New Roman"/>
                <w:sz w:val="20"/>
                <w:szCs w:val="20"/>
              </w:rPr>
            </w:pPr>
          </w:p>
        </w:tc>
        <w:tc>
          <w:tcPr>
            <w:tcW w:w="50" w:type="pct"/>
            <w:vAlign w:val="center"/>
            <w:hideMark/>
          </w:tcPr>
          <w:p w14:paraId="2D82DEAC" w14:textId="77777777" w:rsidR="00000000" w:rsidRDefault="00832D71">
            <w:pPr>
              <w:rPr>
                <w:rFonts w:eastAsia="Times New Roman"/>
                <w:sz w:val="20"/>
                <w:szCs w:val="20"/>
              </w:rPr>
            </w:pPr>
          </w:p>
        </w:tc>
      </w:tr>
      <w:tr w:rsidR="00000000" w14:paraId="79160D28" w14:textId="77777777">
        <w:trPr>
          <w:divId w:val="1201285281"/>
          <w:trHeight w:val="160"/>
          <w:tblCellSpacing w:w="15" w:type="dxa"/>
        </w:trPr>
        <w:tc>
          <w:tcPr>
            <w:tcW w:w="0" w:type="auto"/>
            <w:vAlign w:val="bottom"/>
            <w:hideMark/>
          </w:tcPr>
          <w:p w14:paraId="2ECCD83B"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390282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C61160A"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43976E7A"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37606E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1F48C51"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1DB7A737"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996ADC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4951F4F" w14:textId="77777777" w:rsidR="00000000" w:rsidRDefault="00832D71">
            <w:pPr>
              <w:pStyle w:val="a3"/>
              <w:spacing w:before="0" w:beforeAutospacing="0" w:after="0" w:afterAutospacing="0"/>
              <w:jc w:val="center"/>
              <w:rPr>
                <w:sz w:val="16"/>
                <w:szCs w:val="16"/>
              </w:rPr>
            </w:pPr>
            <w:r>
              <w:rPr>
                <w:b/>
                <w:bCs/>
                <w:sz w:val="16"/>
                <w:szCs w:val="16"/>
              </w:rPr>
              <w:t>Fisca</w:t>
            </w:r>
            <w:r>
              <w:rPr>
                <w:b/>
                <w:bCs/>
                <w:sz w:val="16"/>
                <w:szCs w:val="16"/>
              </w:rPr>
              <w:t>l</w:t>
            </w:r>
          </w:p>
        </w:tc>
        <w:tc>
          <w:tcPr>
            <w:tcW w:w="0" w:type="auto"/>
            <w:vAlign w:val="bottom"/>
            <w:hideMark/>
          </w:tcPr>
          <w:p w14:paraId="37DECAC7"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91D2ECD" w14:textId="77777777">
        <w:trPr>
          <w:divId w:val="1201285281"/>
          <w:trHeight w:val="160"/>
          <w:tblCellSpacing w:w="15" w:type="dxa"/>
        </w:trPr>
        <w:tc>
          <w:tcPr>
            <w:tcW w:w="0" w:type="auto"/>
            <w:vAlign w:val="bottom"/>
            <w:hideMark/>
          </w:tcPr>
          <w:p w14:paraId="5E03A1B4"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C5F5F1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1CEDF81"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7861008C"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C5EECE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0B33602"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162BA746"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3BCD2E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DF43479"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3C8DDB27"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86BEA66" w14:textId="77777777">
        <w:trPr>
          <w:divId w:val="1201285281"/>
          <w:trHeight w:val="200"/>
          <w:tblCellSpacing w:w="15" w:type="dxa"/>
        </w:trPr>
        <w:tc>
          <w:tcPr>
            <w:tcW w:w="0" w:type="auto"/>
            <w:hideMark/>
          </w:tcPr>
          <w:p w14:paraId="5F993AD3" w14:textId="77777777" w:rsidR="00000000" w:rsidRDefault="00832D71">
            <w:pPr>
              <w:pStyle w:val="a3"/>
              <w:spacing w:before="0" w:beforeAutospacing="0" w:after="0" w:afterAutospacing="0"/>
              <w:rPr>
                <w:sz w:val="20"/>
                <w:szCs w:val="20"/>
              </w:rPr>
            </w:pPr>
            <w:r>
              <w:rPr>
                <w:sz w:val="20"/>
                <w:szCs w:val="20"/>
              </w:rPr>
              <w:t>First Quarte</w:t>
            </w:r>
            <w:r>
              <w:rPr>
                <w:sz w:val="20"/>
                <w:szCs w:val="20"/>
              </w:rPr>
              <w:t>r</w:t>
            </w:r>
          </w:p>
        </w:tc>
        <w:tc>
          <w:tcPr>
            <w:tcW w:w="0" w:type="auto"/>
            <w:hideMark/>
          </w:tcPr>
          <w:p w14:paraId="14728E0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9BEEF5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CF1C0A9" w14:textId="77777777" w:rsidR="00000000" w:rsidRDefault="00832D71">
            <w:pPr>
              <w:pStyle w:val="a3"/>
              <w:spacing w:before="0" w:beforeAutospacing="0" w:after="0" w:afterAutospacing="0"/>
              <w:jc w:val="right"/>
              <w:rPr>
                <w:sz w:val="20"/>
                <w:szCs w:val="20"/>
              </w:rPr>
            </w:pPr>
            <w:r>
              <w:rPr>
                <w:sz w:val="20"/>
                <w:szCs w:val="20"/>
              </w:rPr>
              <w:t>0.325</w:t>
            </w:r>
            <w:r>
              <w:rPr>
                <w:sz w:val="20"/>
                <w:szCs w:val="20"/>
              </w:rPr>
              <w:t>0</w:t>
            </w:r>
          </w:p>
        </w:tc>
        <w:tc>
          <w:tcPr>
            <w:tcW w:w="0" w:type="auto"/>
            <w:noWrap/>
            <w:vAlign w:val="bottom"/>
            <w:hideMark/>
          </w:tcPr>
          <w:p w14:paraId="6179199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DD79BF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387DC2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E149FDA" w14:textId="77777777" w:rsidR="00000000" w:rsidRDefault="00832D71">
            <w:pPr>
              <w:pStyle w:val="a3"/>
              <w:spacing w:before="0" w:beforeAutospacing="0" w:after="0" w:afterAutospacing="0"/>
              <w:jc w:val="right"/>
              <w:rPr>
                <w:sz w:val="20"/>
                <w:szCs w:val="20"/>
              </w:rPr>
            </w:pPr>
            <w:r>
              <w:rPr>
                <w:sz w:val="20"/>
                <w:szCs w:val="20"/>
              </w:rPr>
              <w:t>0.300</w:t>
            </w:r>
            <w:r>
              <w:rPr>
                <w:sz w:val="20"/>
                <w:szCs w:val="20"/>
              </w:rPr>
              <w:t>0</w:t>
            </w:r>
          </w:p>
        </w:tc>
        <w:tc>
          <w:tcPr>
            <w:tcW w:w="0" w:type="auto"/>
            <w:noWrap/>
            <w:vAlign w:val="bottom"/>
            <w:hideMark/>
          </w:tcPr>
          <w:p w14:paraId="18453B1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2F8095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08A31D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0A778B4" w14:textId="77777777" w:rsidR="00000000" w:rsidRDefault="00832D71">
            <w:pPr>
              <w:pStyle w:val="a3"/>
              <w:spacing w:before="0" w:beforeAutospacing="0" w:after="0" w:afterAutospacing="0"/>
              <w:jc w:val="right"/>
              <w:rPr>
                <w:sz w:val="20"/>
                <w:szCs w:val="20"/>
              </w:rPr>
            </w:pPr>
            <w:r>
              <w:rPr>
                <w:sz w:val="20"/>
                <w:szCs w:val="20"/>
              </w:rPr>
              <w:t>0.600</w:t>
            </w:r>
            <w:r>
              <w:rPr>
                <w:sz w:val="20"/>
                <w:szCs w:val="20"/>
              </w:rPr>
              <w:t>0</w:t>
            </w:r>
          </w:p>
        </w:tc>
        <w:tc>
          <w:tcPr>
            <w:tcW w:w="0" w:type="auto"/>
            <w:noWrap/>
            <w:vAlign w:val="bottom"/>
            <w:hideMark/>
          </w:tcPr>
          <w:p w14:paraId="33CE3249" w14:textId="77777777" w:rsidR="00000000" w:rsidRDefault="00832D71">
            <w:pPr>
              <w:pStyle w:val="a3"/>
              <w:spacing w:before="0" w:beforeAutospacing="0" w:after="0" w:afterAutospacing="0"/>
              <w:rPr>
                <w:sz w:val="20"/>
                <w:szCs w:val="20"/>
              </w:rPr>
            </w:pPr>
            <w:r>
              <w:rPr>
                <w:sz w:val="20"/>
                <w:szCs w:val="20"/>
              </w:rPr>
              <w:t> </w:t>
            </w:r>
          </w:p>
        </w:tc>
      </w:tr>
      <w:tr w:rsidR="00000000" w14:paraId="3045C16D" w14:textId="77777777">
        <w:trPr>
          <w:divId w:val="1201285281"/>
          <w:trHeight w:val="200"/>
          <w:tblCellSpacing w:w="15" w:type="dxa"/>
        </w:trPr>
        <w:tc>
          <w:tcPr>
            <w:tcW w:w="0" w:type="auto"/>
            <w:hideMark/>
          </w:tcPr>
          <w:p w14:paraId="2F0BFBCC" w14:textId="77777777" w:rsidR="00000000" w:rsidRDefault="00832D71">
            <w:pPr>
              <w:pStyle w:val="a3"/>
              <w:spacing w:before="0" w:beforeAutospacing="0" w:after="0" w:afterAutospacing="0"/>
              <w:rPr>
                <w:sz w:val="20"/>
                <w:szCs w:val="20"/>
              </w:rPr>
            </w:pPr>
            <w:r>
              <w:rPr>
                <w:sz w:val="20"/>
                <w:szCs w:val="20"/>
              </w:rPr>
              <w:t>Second Quarte</w:t>
            </w:r>
            <w:r>
              <w:rPr>
                <w:sz w:val="20"/>
                <w:szCs w:val="20"/>
              </w:rPr>
              <w:t>r</w:t>
            </w:r>
          </w:p>
        </w:tc>
        <w:tc>
          <w:tcPr>
            <w:tcW w:w="0" w:type="auto"/>
            <w:hideMark/>
          </w:tcPr>
          <w:p w14:paraId="79C78DC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797B4A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FA04F9" w14:textId="77777777" w:rsidR="00000000" w:rsidRDefault="00832D71">
            <w:pPr>
              <w:pStyle w:val="a3"/>
              <w:spacing w:before="0" w:beforeAutospacing="0" w:after="0" w:afterAutospacing="0"/>
              <w:jc w:val="right"/>
              <w:rPr>
                <w:sz w:val="20"/>
                <w:szCs w:val="20"/>
              </w:rPr>
            </w:pPr>
            <w:r>
              <w:rPr>
                <w:sz w:val="20"/>
                <w:szCs w:val="20"/>
              </w:rPr>
              <w:t>0.325</w:t>
            </w:r>
            <w:r>
              <w:rPr>
                <w:sz w:val="20"/>
                <w:szCs w:val="20"/>
              </w:rPr>
              <w:t>0</w:t>
            </w:r>
          </w:p>
        </w:tc>
        <w:tc>
          <w:tcPr>
            <w:tcW w:w="0" w:type="auto"/>
            <w:noWrap/>
            <w:vAlign w:val="bottom"/>
            <w:hideMark/>
          </w:tcPr>
          <w:p w14:paraId="3F9D6EA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5AA6D8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638E01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EF97221" w14:textId="77777777" w:rsidR="00000000" w:rsidRDefault="00832D71">
            <w:pPr>
              <w:pStyle w:val="a3"/>
              <w:spacing w:before="0" w:beforeAutospacing="0" w:after="0" w:afterAutospacing="0"/>
              <w:jc w:val="right"/>
              <w:rPr>
                <w:sz w:val="20"/>
                <w:szCs w:val="20"/>
              </w:rPr>
            </w:pPr>
            <w:r>
              <w:rPr>
                <w:sz w:val="20"/>
                <w:szCs w:val="20"/>
              </w:rPr>
              <w:t>0.300</w:t>
            </w:r>
            <w:r>
              <w:rPr>
                <w:sz w:val="20"/>
                <w:szCs w:val="20"/>
              </w:rPr>
              <w:t>0</w:t>
            </w:r>
          </w:p>
        </w:tc>
        <w:tc>
          <w:tcPr>
            <w:tcW w:w="0" w:type="auto"/>
            <w:noWrap/>
            <w:vAlign w:val="bottom"/>
            <w:hideMark/>
          </w:tcPr>
          <w:p w14:paraId="129C101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82118D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8C3DB6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CC6028D" w14:textId="77777777" w:rsidR="00000000" w:rsidRDefault="00832D71">
            <w:pPr>
              <w:pStyle w:val="a3"/>
              <w:spacing w:before="0" w:beforeAutospacing="0" w:after="0" w:afterAutospacing="0"/>
              <w:jc w:val="right"/>
              <w:rPr>
                <w:sz w:val="20"/>
                <w:szCs w:val="20"/>
              </w:rPr>
            </w:pPr>
            <w:r>
              <w:rPr>
                <w:sz w:val="20"/>
                <w:szCs w:val="20"/>
              </w:rPr>
              <w:t>0.600</w:t>
            </w:r>
            <w:r>
              <w:rPr>
                <w:sz w:val="20"/>
                <w:szCs w:val="20"/>
              </w:rPr>
              <w:t>0</w:t>
            </w:r>
          </w:p>
        </w:tc>
        <w:tc>
          <w:tcPr>
            <w:tcW w:w="0" w:type="auto"/>
            <w:noWrap/>
            <w:vAlign w:val="bottom"/>
            <w:hideMark/>
          </w:tcPr>
          <w:p w14:paraId="235C8ACE" w14:textId="77777777" w:rsidR="00000000" w:rsidRDefault="00832D71">
            <w:pPr>
              <w:pStyle w:val="a3"/>
              <w:spacing w:before="0" w:beforeAutospacing="0" w:after="0" w:afterAutospacing="0"/>
              <w:rPr>
                <w:sz w:val="20"/>
                <w:szCs w:val="20"/>
              </w:rPr>
            </w:pPr>
            <w:r>
              <w:rPr>
                <w:sz w:val="20"/>
                <w:szCs w:val="20"/>
              </w:rPr>
              <w:t> </w:t>
            </w:r>
          </w:p>
        </w:tc>
      </w:tr>
      <w:tr w:rsidR="00000000" w14:paraId="1B9FD0A8" w14:textId="77777777">
        <w:trPr>
          <w:divId w:val="1201285281"/>
          <w:trHeight w:val="200"/>
          <w:tblCellSpacing w:w="15" w:type="dxa"/>
        </w:trPr>
        <w:tc>
          <w:tcPr>
            <w:tcW w:w="0" w:type="auto"/>
            <w:hideMark/>
          </w:tcPr>
          <w:p w14:paraId="7F1A3C19" w14:textId="77777777" w:rsidR="00000000" w:rsidRDefault="00832D71">
            <w:pPr>
              <w:pStyle w:val="a3"/>
              <w:spacing w:before="0" w:beforeAutospacing="0" w:after="0" w:afterAutospacing="0"/>
              <w:rPr>
                <w:sz w:val="20"/>
                <w:szCs w:val="20"/>
              </w:rPr>
            </w:pPr>
            <w:r>
              <w:rPr>
                <w:sz w:val="20"/>
                <w:szCs w:val="20"/>
              </w:rPr>
              <w:t>Third Quarte</w:t>
            </w:r>
            <w:r>
              <w:rPr>
                <w:sz w:val="20"/>
                <w:szCs w:val="20"/>
              </w:rPr>
              <w:t>r</w:t>
            </w:r>
          </w:p>
        </w:tc>
        <w:tc>
          <w:tcPr>
            <w:tcW w:w="0" w:type="auto"/>
            <w:hideMark/>
          </w:tcPr>
          <w:p w14:paraId="2C80928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B8314A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EBBED96" w14:textId="77777777" w:rsidR="00000000" w:rsidRDefault="00832D71">
            <w:pPr>
              <w:pStyle w:val="a3"/>
              <w:spacing w:before="0" w:beforeAutospacing="0" w:after="0" w:afterAutospacing="0"/>
              <w:jc w:val="right"/>
              <w:rPr>
                <w:sz w:val="20"/>
                <w:szCs w:val="20"/>
              </w:rPr>
            </w:pPr>
            <w:r>
              <w:rPr>
                <w:sz w:val="20"/>
                <w:szCs w:val="20"/>
              </w:rPr>
              <w:t>0.325</w:t>
            </w:r>
            <w:r>
              <w:rPr>
                <w:sz w:val="20"/>
                <w:szCs w:val="20"/>
              </w:rPr>
              <w:t>0</w:t>
            </w:r>
          </w:p>
        </w:tc>
        <w:tc>
          <w:tcPr>
            <w:tcW w:w="0" w:type="auto"/>
            <w:noWrap/>
            <w:vAlign w:val="bottom"/>
            <w:hideMark/>
          </w:tcPr>
          <w:p w14:paraId="1A965FB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5E1FF1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A03DD8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155C15C" w14:textId="77777777" w:rsidR="00000000" w:rsidRDefault="00832D71">
            <w:pPr>
              <w:pStyle w:val="a3"/>
              <w:spacing w:before="0" w:beforeAutospacing="0" w:after="0" w:afterAutospacing="0"/>
              <w:jc w:val="right"/>
              <w:rPr>
                <w:sz w:val="20"/>
                <w:szCs w:val="20"/>
              </w:rPr>
            </w:pPr>
            <w:r>
              <w:rPr>
                <w:sz w:val="20"/>
                <w:szCs w:val="20"/>
              </w:rPr>
              <w:t>0.325</w:t>
            </w:r>
            <w:r>
              <w:rPr>
                <w:sz w:val="20"/>
                <w:szCs w:val="20"/>
              </w:rPr>
              <w:t>0</w:t>
            </w:r>
          </w:p>
        </w:tc>
        <w:tc>
          <w:tcPr>
            <w:tcW w:w="0" w:type="auto"/>
            <w:noWrap/>
            <w:vAlign w:val="bottom"/>
            <w:hideMark/>
          </w:tcPr>
          <w:p w14:paraId="71E7A6E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EFC07B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5C1297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E5F705F" w14:textId="77777777" w:rsidR="00000000" w:rsidRDefault="00832D71">
            <w:pPr>
              <w:pStyle w:val="a3"/>
              <w:spacing w:before="0" w:beforeAutospacing="0" w:after="0" w:afterAutospacing="0"/>
              <w:jc w:val="right"/>
              <w:rPr>
                <w:sz w:val="20"/>
                <w:szCs w:val="20"/>
              </w:rPr>
            </w:pPr>
            <w:r>
              <w:rPr>
                <w:sz w:val="20"/>
                <w:szCs w:val="20"/>
              </w:rPr>
              <w:t>0.300</w:t>
            </w:r>
            <w:r>
              <w:rPr>
                <w:sz w:val="20"/>
                <w:szCs w:val="20"/>
              </w:rPr>
              <w:t>0</w:t>
            </w:r>
          </w:p>
        </w:tc>
        <w:tc>
          <w:tcPr>
            <w:tcW w:w="0" w:type="auto"/>
            <w:noWrap/>
            <w:vAlign w:val="bottom"/>
            <w:hideMark/>
          </w:tcPr>
          <w:p w14:paraId="0E66DFAE" w14:textId="77777777" w:rsidR="00000000" w:rsidRDefault="00832D71">
            <w:pPr>
              <w:pStyle w:val="a3"/>
              <w:spacing w:before="0" w:beforeAutospacing="0" w:after="0" w:afterAutospacing="0"/>
              <w:rPr>
                <w:sz w:val="20"/>
                <w:szCs w:val="20"/>
              </w:rPr>
            </w:pPr>
            <w:r>
              <w:rPr>
                <w:sz w:val="20"/>
                <w:szCs w:val="20"/>
              </w:rPr>
              <w:t> </w:t>
            </w:r>
          </w:p>
        </w:tc>
      </w:tr>
      <w:tr w:rsidR="00000000" w14:paraId="756E01A0" w14:textId="77777777">
        <w:trPr>
          <w:divId w:val="1201285281"/>
          <w:trHeight w:val="200"/>
          <w:tblCellSpacing w:w="15" w:type="dxa"/>
        </w:trPr>
        <w:tc>
          <w:tcPr>
            <w:tcW w:w="0" w:type="auto"/>
            <w:hideMark/>
          </w:tcPr>
          <w:p w14:paraId="5D148A95" w14:textId="77777777" w:rsidR="00000000" w:rsidRDefault="00832D71">
            <w:pPr>
              <w:pStyle w:val="a3"/>
              <w:spacing w:before="0" w:beforeAutospacing="0" w:after="0" w:afterAutospacing="0"/>
              <w:rPr>
                <w:sz w:val="20"/>
                <w:szCs w:val="20"/>
              </w:rPr>
            </w:pPr>
            <w:r>
              <w:rPr>
                <w:sz w:val="20"/>
                <w:szCs w:val="20"/>
              </w:rPr>
              <w:t>Fourth Quarte</w:t>
            </w:r>
            <w:r>
              <w:rPr>
                <w:sz w:val="20"/>
                <w:szCs w:val="20"/>
              </w:rPr>
              <w:t>r</w:t>
            </w:r>
          </w:p>
        </w:tc>
        <w:tc>
          <w:tcPr>
            <w:tcW w:w="0" w:type="auto"/>
            <w:hideMark/>
          </w:tcPr>
          <w:p w14:paraId="78154FE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4A6CEE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E5C04C6" w14:textId="77777777" w:rsidR="00000000" w:rsidRDefault="00832D71">
            <w:pPr>
              <w:pStyle w:val="a3"/>
              <w:spacing w:before="0" w:beforeAutospacing="0" w:after="0" w:afterAutospacing="0"/>
              <w:jc w:val="right"/>
              <w:rPr>
                <w:sz w:val="20"/>
                <w:szCs w:val="20"/>
              </w:rPr>
            </w:pPr>
            <w:r>
              <w:rPr>
                <w:sz w:val="20"/>
                <w:szCs w:val="20"/>
              </w:rPr>
              <w:t>0.325</w:t>
            </w:r>
            <w:r>
              <w:rPr>
                <w:sz w:val="20"/>
                <w:szCs w:val="20"/>
              </w:rPr>
              <w:t>0</w:t>
            </w:r>
          </w:p>
        </w:tc>
        <w:tc>
          <w:tcPr>
            <w:tcW w:w="0" w:type="auto"/>
            <w:noWrap/>
            <w:vAlign w:val="bottom"/>
            <w:hideMark/>
          </w:tcPr>
          <w:p w14:paraId="5B301B1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F8CF2B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D472AE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E456EAD" w14:textId="77777777" w:rsidR="00000000" w:rsidRDefault="00832D71">
            <w:pPr>
              <w:pStyle w:val="a3"/>
              <w:spacing w:before="0" w:beforeAutospacing="0" w:after="0" w:afterAutospacing="0"/>
              <w:jc w:val="right"/>
              <w:rPr>
                <w:sz w:val="20"/>
                <w:szCs w:val="20"/>
              </w:rPr>
            </w:pPr>
            <w:r>
              <w:rPr>
                <w:sz w:val="20"/>
                <w:szCs w:val="20"/>
              </w:rPr>
              <w:t>0.325</w:t>
            </w:r>
            <w:r>
              <w:rPr>
                <w:sz w:val="20"/>
                <w:szCs w:val="20"/>
              </w:rPr>
              <w:t>0</w:t>
            </w:r>
          </w:p>
        </w:tc>
        <w:tc>
          <w:tcPr>
            <w:tcW w:w="0" w:type="auto"/>
            <w:noWrap/>
            <w:vAlign w:val="bottom"/>
            <w:hideMark/>
          </w:tcPr>
          <w:p w14:paraId="78B3DAB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6DB29C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0DD814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CB5EC39" w14:textId="77777777" w:rsidR="00000000" w:rsidRDefault="00832D71">
            <w:pPr>
              <w:pStyle w:val="a3"/>
              <w:spacing w:before="0" w:beforeAutospacing="0" w:after="0" w:afterAutospacing="0"/>
              <w:jc w:val="right"/>
              <w:rPr>
                <w:sz w:val="20"/>
                <w:szCs w:val="20"/>
              </w:rPr>
            </w:pPr>
            <w:r>
              <w:rPr>
                <w:sz w:val="20"/>
                <w:szCs w:val="20"/>
              </w:rPr>
              <w:t>0.300</w:t>
            </w:r>
            <w:r>
              <w:rPr>
                <w:sz w:val="20"/>
                <w:szCs w:val="20"/>
              </w:rPr>
              <w:t>0</w:t>
            </w:r>
          </w:p>
        </w:tc>
        <w:tc>
          <w:tcPr>
            <w:tcW w:w="0" w:type="auto"/>
            <w:noWrap/>
            <w:vAlign w:val="bottom"/>
            <w:hideMark/>
          </w:tcPr>
          <w:p w14:paraId="3A33EF3E" w14:textId="77777777" w:rsidR="00000000" w:rsidRDefault="00832D71">
            <w:pPr>
              <w:pStyle w:val="a3"/>
              <w:spacing w:before="0" w:beforeAutospacing="0" w:after="0" w:afterAutospacing="0"/>
              <w:rPr>
                <w:sz w:val="20"/>
                <w:szCs w:val="20"/>
              </w:rPr>
            </w:pPr>
            <w:r>
              <w:rPr>
                <w:sz w:val="20"/>
                <w:szCs w:val="20"/>
              </w:rPr>
              <w:t> </w:t>
            </w:r>
          </w:p>
        </w:tc>
      </w:tr>
    </w:tbl>
    <w:p w14:paraId="18414ABE" w14:textId="77777777" w:rsidR="00000000" w:rsidRDefault="00832D71">
      <w:pPr>
        <w:pStyle w:val="a3"/>
        <w:spacing w:before="0" w:beforeAutospacing="0" w:after="0" w:afterAutospacing="0"/>
        <w:rPr>
          <w:sz w:val="20"/>
          <w:szCs w:val="20"/>
        </w:rPr>
      </w:pPr>
      <w:r>
        <w:rPr>
          <w:sz w:val="20"/>
          <w:szCs w:val="20"/>
        </w:rPr>
        <w:t> </w:t>
      </w:r>
    </w:p>
    <w:p w14:paraId="1BDD18FE" w14:textId="77777777" w:rsidR="00000000" w:rsidRDefault="00832D71">
      <w:pPr>
        <w:pStyle w:val="a3"/>
        <w:spacing w:before="160" w:beforeAutospacing="0" w:after="0" w:afterAutospacing="0"/>
        <w:ind w:hanging="581"/>
        <w:jc w:val="both"/>
        <w:divId w:val="530532277"/>
        <w:rPr>
          <w:sz w:val="20"/>
          <w:szCs w:val="20"/>
        </w:rPr>
      </w:pPr>
      <w:r>
        <w:rPr>
          <w:b/>
          <w:bCs/>
          <w:sz w:val="20"/>
          <w:szCs w:val="20"/>
        </w:rPr>
        <w:t>6. Selected Balance Sheet Informatio</w:t>
      </w:r>
      <w:r>
        <w:rPr>
          <w:b/>
          <w:bCs/>
          <w:sz w:val="20"/>
          <w:szCs w:val="20"/>
        </w:rPr>
        <w:t>n</w:t>
      </w:r>
    </w:p>
    <w:p w14:paraId="0C148412" w14:textId="77777777" w:rsidR="00000000" w:rsidRDefault="00832D71">
      <w:pPr>
        <w:pStyle w:val="a3"/>
        <w:spacing w:before="120" w:beforeAutospacing="0" w:after="0" w:afterAutospacing="0"/>
        <w:jc w:val="both"/>
        <w:divId w:val="414278992"/>
        <w:rPr>
          <w:sz w:val="20"/>
          <w:szCs w:val="20"/>
        </w:rPr>
      </w:pPr>
      <w:r>
        <w:rPr>
          <w:sz w:val="20"/>
          <w:szCs w:val="20"/>
        </w:rPr>
        <w:t>Inventories consist of the following</w:t>
      </w:r>
      <w:r>
        <w:rPr>
          <w:sz w:val="20"/>
          <w:szCs w:val="20"/>
        </w:rPr>
        <w:t>:</w:t>
      </w:r>
    </w:p>
    <w:p w14:paraId="0A1B5812" w14:textId="77777777" w:rsidR="00000000" w:rsidRDefault="00832D71">
      <w:pPr>
        <w:pStyle w:val="a3"/>
        <w:spacing w:before="0" w:beforeAutospacing="0" w:after="0" w:afterAutospacing="0"/>
        <w:divId w:val="414278992"/>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137"/>
        <w:gridCol w:w="110"/>
        <w:gridCol w:w="161"/>
        <w:gridCol w:w="928"/>
        <w:gridCol w:w="110"/>
        <w:gridCol w:w="110"/>
        <w:gridCol w:w="161"/>
        <w:gridCol w:w="972"/>
        <w:gridCol w:w="125"/>
      </w:tblGrid>
      <w:tr w:rsidR="00000000" w14:paraId="21607AD1" w14:textId="77777777">
        <w:trPr>
          <w:divId w:val="414278992"/>
          <w:tblCellSpacing w:w="15" w:type="dxa"/>
        </w:trPr>
        <w:tc>
          <w:tcPr>
            <w:tcW w:w="2866" w:type="pct"/>
            <w:vAlign w:val="center"/>
            <w:hideMark/>
          </w:tcPr>
          <w:p w14:paraId="560E607D" w14:textId="77777777" w:rsidR="00000000" w:rsidRDefault="00832D71">
            <w:pPr>
              <w:rPr>
                <w:sz w:val="20"/>
                <w:szCs w:val="20"/>
              </w:rPr>
            </w:pPr>
          </w:p>
        </w:tc>
        <w:tc>
          <w:tcPr>
            <w:tcW w:w="69" w:type="pct"/>
            <w:vAlign w:val="center"/>
            <w:hideMark/>
          </w:tcPr>
          <w:p w14:paraId="00986CDD" w14:textId="77777777" w:rsidR="00000000" w:rsidRDefault="00832D71">
            <w:pPr>
              <w:rPr>
                <w:rFonts w:eastAsia="Times New Roman"/>
                <w:sz w:val="20"/>
                <w:szCs w:val="20"/>
              </w:rPr>
            </w:pPr>
          </w:p>
        </w:tc>
        <w:tc>
          <w:tcPr>
            <w:tcW w:w="50" w:type="pct"/>
            <w:vAlign w:val="center"/>
            <w:hideMark/>
          </w:tcPr>
          <w:p w14:paraId="7294F867" w14:textId="77777777" w:rsidR="00000000" w:rsidRDefault="00832D71">
            <w:pPr>
              <w:rPr>
                <w:rFonts w:eastAsia="Times New Roman"/>
                <w:sz w:val="20"/>
                <w:szCs w:val="20"/>
              </w:rPr>
            </w:pPr>
          </w:p>
        </w:tc>
        <w:tc>
          <w:tcPr>
            <w:tcW w:w="878" w:type="pct"/>
            <w:vAlign w:val="center"/>
            <w:hideMark/>
          </w:tcPr>
          <w:p w14:paraId="580A885F" w14:textId="77777777" w:rsidR="00000000" w:rsidRDefault="00832D71">
            <w:pPr>
              <w:rPr>
                <w:rFonts w:eastAsia="Times New Roman"/>
                <w:sz w:val="20"/>
                <w:szCs w:val="20"/>
              </w:rPr>
            </w:pPr>
          </w:p>
        </w:tc>
        <w:tc>
          <w:tcPr>
            <w:tcW w:w="50" w:type="pct"/>
            <w:vAlign w:val="center"/>
            <w:hideMark/>
          </w:tcPr>
          <w:p w14:paraId="271E7AC2" w14:textId="77777777" w:rsidR="00000000" w:rsidRDefault="00832D71">
            <w:pPr>
              <w:rPr>
                <w:rFonts w:eastAsia="Times New Roman"/>
                <w:sz w:val="20"/>
                <w:szCs w:val="20"/>
              </w:rPr>
            </w:pPr>
          </w:p>
        </w:tc>
        <w:tc>
          <w:tcPr>
            <w:tcW w:w="68" w:type="pct"/>
            <w:vAlign w:val="center"/>
            <w:hideMark/>
          </w:tcPr>
          <w:p w14:paraId="57581A93" w14:textId="77777777" w:rsidR="00000000" w:rsidRDefault="00832D71">
            <w:pPr>
              <w:rPr>
                <w:rFonts w:eastAsia="Times New Roman"/>
                <w:sz w:val="20"/>
                <w:szCs w:val="20"/>
              </w:rPr>
            </w:pPr>
          </w:p>
        </w:tc>
        <w:tc>
          <w:tcPr>
            <w:tcW w:w="50" w:type="pct"/>
            <w:vAlign w:val="center"/>
            <w:hideMark/>
          </w:tcPr>
          <w:p w14:paraId="6A0058C9" w14:textId="77777777" w:rsidR="00000000" w:rsidRDefault="00832D71">
            <w:pPr>
              <w:rPr>
                <w:rFonts w:eastAsia="Times New Roman"/>
                <w:sz w:val="20"/>
                <w:szCs w:val="20"/>
              </w:rPr>
            </w:pPr>
          </w:p>
        </w:tc>
        <w:tc>
          <w:tcPr>
            <w:tcW w:w="917" w:type="pct"/>
            <w:vAlign w:val="center"/>
            <w:hideMark/>
          </w:tcPr>
          <w:p w14:paraId="2A5AF9A0" w14:textId="77777777" w:rsidR="00000000" w:rsidRDefault="00832D71">
            <w:pPr>
              <w:rPr>
                <w:rFonts w:eastAsia="Times New Roman"/>
                <w:sz w:val="20"/>
                <w:szCs w:val="20"/>
              </w:rPr>
            </w:pPr>
          </w:p>
        </w:tc>
        <w:tc>
          <w:tcPr>
            <w:tcW w:w="50" w:type="pct"/>
            <w:vAlign w:val="center"/>
            <w:hideMark/>
          </w:tcPr>
          <w:p w14:paraId="7F274A76" w14:textId="77777777" w:rsidR="00000000" w:rsidRDefault="00832D71">
            <w:pPr>
              <w:rPr>
                <w:rFonts w:eastAsia="Times New Roman"/>
                <w:sz w:val="20"/>
                <w:szCs w:val="20"/>
              </w:rPr>
            </w:pPr>
          </w:p>
        </w:tc>
      </w:tr>
      <w:tr w:rsidR="00000000" w14:paraId="69286A10" w14:textId="77777777">
        <w:trPr>
          <w:divId w:val="414278992"/>
          <w:trHeight w:val="160"/>
          <w:tblCellSpacing w:w="15" w:type="dxa"/>
        </w:trPr>
        <w:tc>
          <w:tcPr>
            <w:tcW w:w="0" w:type="auto"/>
            <w:vAlign w:val="bottom"/>
            <w:hideMark/>
          </w:tcPr>
          <w:p w14:paraId="0D5477C6"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7C83A438" w14:textId="77777777" w:rsidR="00000000" w:rsidRDefault="00832D71">
            <w:pPr>
              <w:pStyle w:val="a3"/>
              <w:spacing w:before="0" w:beforeAutospacing="0" w:after="0" w:afterAutospacing="0"/>
              <w:rPr>
                <w:sz w:val="16"/>
                <w:szCs w:val="16"/>
              </w:rPr>
            </w:pPr>
            <w:r>
              <w:rPr>
                <w:sz w:val="16"/>
                <w:szCs w:val="16"/>
              </w:rPr>
              <w:t> </w:t>
            </w:r>
          </w:p>
        </w:tc>
        <w:tc>
          <w:tcPr>
            <w:tcW w:w="0" w:type="auto"/>
            <w:gridSpan w:val="6"/>
            <w:vAlign w:val="bottom"/>
            <w:hideMark/>
          </w:tcPr>
          <w:p w14:paraId="613FE882" w14:textId="77777777" w:rsidR="00000000" w:rsidRDefault="00832D71">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14:paraId="6BC7C048"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EE24528" w14:textId="77777777">
        <w:trPr>
          <w:divId w:val="414278992"/>
          <w:trHeight w:val="160"/>
          <w:tblCellSpacing w:w="15" w:type="dxa"/>
        </w:trPr>
        <w:tc>
          <w:tcPr>
            <w:tcW w:w="0" w:type="auto"/>
            <w:vAlign w:val="bottom"/>
            <w:hideMark/>
          </w:tcPr>
          <w:p w14:paraId="4E79D4D5"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2E6D43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C68C801" w14:textId="77777777" w:rsidR="00000000" w:rsidRDefault="00832D71">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14:paraId="3ACDAFC5"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7FDCF77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B0FC8A8" w14:textId="77777777" w:rsidR="00000000" w:rsidRDefault="00832D71">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14:paraId="0791C940"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B38070F" w14:textId="77777777">
        <w:trPr>
          <w:divId w:val="414278992"/>
          <w:trHeight w:val="160"/>
          <w:tblCellSpacing w:w="15" w:type="dxa"/>
        </w:trPr>
        <w:tc>
          <w:tcPr>
            <w:tcW w:w="0" w:type="auto"/>
            <w:vAlign w:val="bottom"/>
            <w:hideMark/>
          </w:tcPr>
          <w:p w14:paraId="4984167A"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B5F256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C2ACD84"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11B0669"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4D1D29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088F300"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0DF226A"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B84AE8D" w14:textId="77777777">
        <w:trPr>
          <w:divId w:val="414278992"/>
          <w:trHeight w:val="200"/>
          <w:tblCellSpacing w:w="15" w:type="dxa"/>
        </w:trPr>
        <w:tc>
          <w:tcPr>
            <w:tcW w:w="0" w:type="auto"/>
            <w:hideMark/>
          </w:tcPr>
          <w:p w14:paraId="2F73C063" w14:textId="77777777" w:rsidR="00000000" w:rsidRDefault="00832D71">
            <w:pPr>
              <w:pStyle w:val="a3"/>
              <w:spacing w:before="0" w:beforeAutospacing="0" w:after="0" w:afterAutospacing="0"/>
              <w:rPr>
                <w:sz w:val="20"/>
                <w:szCs w:val="20"/>
              </w:rPr>
            </w:pPr>
            <w:r>
              <w:rPr>
                <w:sz w:val="20"/>
                <w:szCs w:val="20"/>
              </w:rPr>
              <w:t>Propane, fuel oil and refined fuels and natural ga</w:t>
            </w:r>
            <w:r>
              <w:rPr>
                <w:sz w:val="20"/>
                <w:szCs w:val="20"/>
              </w:rPr>
              <w:t>s</w:t>
            </w:r>
          </w:p>
        </w:tc>
        <w:tc>
          <w:tcPr>
            <w:tcW w:w="0" w:type="auto"/>
            <w:hideMark/>
          </w:tcPr>
          <w:p w14:paraId="06A86C3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64C09B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E1D90DE" w14:textId="77777777" w:rsidR="00000000" w:rsidRDefault="00832D71">
            <w:pPr>
              <w:pStyle w:val="a3"/>
              <w:spacing w:before="0" w:beforeAutospacing="0" w:after="0" w:afterAutospacing="0"/>
              <w:jc w:val="right"/>
              <w:rPr>
                <w:sz w:val="20"/>
                <w:szCs w:val="20"/>
              </w:rPr>
            </w:pPr>
            <w:r>
              <w:rPr>
                <w:sz w:val="20"/>
                <w:szCs w:val="20"/>
              </w:rPr>
              <w:t>64,24</w:t>
            </w:r>
            <w:r>
              <w:rPr>
                <w:sz w:val="20"/>
                <w:szCs w:val="20"/>
              </w:rPr>
              <w:t>0</w:t>
            </w:r>
          </w:p>
        </w:tc>
        <w:tc>
          <w:tcPr>
            <w:tcW w:w="0" w:type="auto"/>
            <w:noWrap/>
            <w:vAlign w:val="bottom"/>
            <w:hideMark/>
          </w:tcPr>
          <w:p w14:paraId="3F4B50E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76B162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23E333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73F4BF3" w14:textId="77777777" w:rsidR="00000000" w:rsidRDefault="00832D71">
            <w:pPr>
              <w:pStyle w:val="a3"/>
              <w:spacing w:before="0" w:beforeAutospacing="0" w:after="0" w:afterAutospacing="0"/>
              <w:jc w:val="right"/>
              <w:rPr>
                <w:sz w:val="20"/>
                <w:szCs w:val="20"/>
              </w:rPr>
            </w:pPr>
            <w:r>
              <w:rPr>
                <w:sz w:val="20"/>
                <w:szCs w:val="20"/>
              </w:rPr>
              <w:t>59,49</w:t>
            </w:r>
            <w:r>
              <w:rPr>
                <w:sz w:val="20"/>
                <w:szCs w:val="20"/>
              </w:rPr>
              <w:t>2</w:t>
            </w:r>
          </w:p>
        </w:tc>
        <w:tc>
          <w:tcPr>
            <w:tcW w:w="0" w:type="auto"/>
            <w:noWrap/>
            <w:vAlign w:val="bottom"/>
            <w:hideMark/>
          </w:tcPr>
          <w:p w14:paraId="32517F12" w14:textId="77777777" w:rsidR="00000000" w:rsidRDefault="00832D71">
            <w:pPr>
              <w:pStyle w:val="a3"/>
              <w:spacing w:before="0" w:beforeAutospacing="0" w:after="0" w:afterAutospacing="0"/>
              <w:rPr>
                <w:sz w:val="20"/>
                <w:szCs w:val="20"/>
              </w:rPr>
            </w:pPr>
            <w:r>
              <w:rPr>
                <w:sz w:val="20"/>
                <w:szCs w:val="20"/>
              </w:rPr>
              <w:t> </w:t>
            </w:r>
          </w:p>
        </w:tc>
      </w:tr>
      <w:tr w:rsidR="00000000" w14:paraId="5A485F5A" w14:textId="77777777">
        <w:trPr>
          <w:divId w:val="414278992"/>
          <w:trHeight w:val="200"/>
          <w:tblCellSpacing w:w="15" w:type="dxa"/>
        </w:trPr>
        <w:tc>
          <w:tcPr>
            <w:tcW w:w="0" w:type="auto"/>
            <w:hideMark/>
          </w:tcPr>
          <w:p w14:paraId="2C294F56" w14:textId="77777777" w:rsidR="00000000" w:rsidRDefault="00832D71">
            <w:pPr>
              <w:pStyle w:val="a3"/>
              <w:spacing w:before="0" w:beforeAutospacing="0" w:after="0" w:afterAutospacing="0"/>
              <w:rPr>
                <w:sz w:val="20"/>
                <w:szCs w:val="20"/>
              </w:rPr>
            </w:pPr>
            <w:r>
              <w:rPr>
                <w:sz w:val="20"/>
                <w:szCs w:val="20"/>
              </w:rPr>
              <w:t>Appliance</w:t>
            </w:r>
            <w:r>
              <w:rPr>
                <w:sz w:val="20"/>
                <w:szCs w:val="20"/>
              </w:rPr>
              <w:t>s</w:t>
            </w:r>
          </w:p>
        </w:tc>
        <w:tc>
          <w:tcPr>
            <w:tcW w:w="0" w:type="auto"/>
            <w:hideMark/>
          </w:tcPr>
          <w:p w14:paraId="47D5505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D76DE2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434ACB9" w14:textId="77777777" w:rsidR="00000000" w:rsidRDefault="00832D71">
            <w:pPr>
              <w:pStyle w:val="a3"/>
              <w:spacing w:before="0" w:beforeAutospacing="0" w:after="0" w:afterAutospacing="0"/>
              <w:jc w:val="right"/>
              <w:rPr>
                <w:sz w:val="20"/>
                <w:szCs w:val="20"/>
              </w:rPr>
            </w:pPr>
            <w:r>
              <w:rPr>
                <w:sz w:val="20"/>
                <w:szCs w:val="20"/>
              </w:rPr>
              <w:t>2,68</w:t>
            </w:r>
            <w:r>
              <w:rPr>
                <w:sz w:val="20"/>
                <w:szCs w:val="20"/>
              </w:rPr>
              <w:t>1</w:t>
            </w:r>
          </w:p>
        </w:tc>
        <w:tc>
          <w:tcPr>
            <w:tcW w:w="0" w:type="auto"/>
            <w:noWrap/>
            <w:vAlign w:val="bottom"/>
            <w:hideMark/>
          </w:tcPr>
          <w:p w14:paraId="63D2FE0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0688E6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62B541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746C8CF" w14:textId="77777777" w:rsidR="00000000" w:rsidRDefault="00832D71">
            <w:pPr>
              <w:pStyle w:val="a3"/>
              <w:spacing w:before="0" w:beforeAutospacing="0" w:after="0" w:afterAutospacing="0"/>
              <w:jc w:val="right"/>
              <w:rPr>
                <w:sz w:val="20"/>
                <w:szCs w:val="20"/>
              </w:rPr>
            </w:pPr>
            <w:r>
              <w:rPr>
                <w:sz w:val="20"/>
                <w:szCs w:val="20"/>
              </w:rPr>
              <w:t>2,31</w:t>
            </w:r>
            <w:r>
              <w:rPr>
                <w:sz w:val="20"/>
                <w:szCs w:val="20"/>
              </w:rPr>
              <w:t>0</w:t>
            </w:r>
          </w:p>
        </w:tc>
        <w:tc>
          <w:tcPr>
            <w:tcW w:w="0" w:type="auto"/>
            <w:noWrap/>
            <w:vAlign w:val="bottom"/>
            <w:hideMark/>
          </w:tcPr>
          <w:p w14:paraId="319272BC" w14:textId="77777777" w:rsidR="00000000" w:rsidRDefault="00832D71">
            <w:pPr>
              <w:pStyle w:val="a3"/>
              <w:spacing w:before="0" w:beforeAutospacing="0" w:after="0" w:afterAutospacing="0"/>
              <w:rPr>
                <w:sz w:val="20"/>
                <w:szCs w:val="20"/>
              </w:rPr>
            </w:pPr>
            <w:r>
              <w:rPr>
                <w:sz w:val="20"/>
                <w:szCs w:val="20"/>
              </w:rPr>
              <w:t> </w:t>
            </w:r>
          </w:p>
        </w:tc>
      </w:tr>
      <w:tr w:rsidR="00000000" w14:paraId="73A4A0D0" w14:textId="77777777">
        <w:trPr>
          <w:divId w:val="414278992"/>
          <w:trHeight w:val="200"/>
          <w:tblCellSpacing w:w="15" w:type="dxa"/>
        </w:trPr>
        <w:tc>
          <w:tcPr>
            <w:tcW w:w="0" w:type="auto"/>
            <w:hideMark/>
          </w:tcPr>
          <w:p w14:paraId="257EDD5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EFEC7D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F4596D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BB97D9F" w14:textId="77777777" w:rsidR="00000000" w:rsidRDefault="00832D71">
            <w:pPr>
              <w:pStyle w:val="a3"/>
              <w:spacing w:before="0" w:beforeAutospacing="0" w:after="0" w:afterAutospacing="0"/>
              <w:jc w:val="right"/>
              <w:rPr>
                <w:sz w:val="20"/>
                <w:szCs w:val="20"/>
              </w:rPr>
            </w:pPr>
            <w:r>
              <w:rPr>
                <w:sz w:val="20"/>
                <w:szCs w:val="20"/>
              </w:rPr>
              <w:t>66,92</w:t>
            </w:r>
            <w:r>
              <w:rPr>
                <w:sz w:val="20"/>
                <w:szCs w:val="20"/>
              </w:rPr>
              <w:t>1</w:t>
            </w:r>
          </w:p>
        </w:tc>
        <w:tc>
          <w:tcPr>
            <w:tcW w:w="0" w:type="auto"/>
            <w:noWrap/>
            <w:vAlign w:val="bottom"/>
            <w:hideMark/>
          </w:tcPr>
          <w:p w14:paraId="6614EE5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C09491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B44DE8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C18BFB9" w14:textId="77777777" w:rsidR="00000000" w:rsidRDefault="00832D71">
            <w:pPr>
              <w:pStyle w:val="a3"/>
              <w:spacing w:before="0" w:beforeAutospacing="0" w:after="0" w:afterAutospacing="0"/>
              <w:jc w:val="right"/>
              <w:rPr>
                <w:sz w:val="20"/>
                <w:szCs w:val="20"/>
              </w:rPr>
            </w:pPr>
            <w:r>
              <w:rPr>
                <w:sz w:val="20"/>
                <w:szCs w:val="20"/>
              </w:rPr>
              <w:t>61,80</w:t>
            </w:r>
            <w:r>
              <w:rPr>
                <w:sz w:val="20"/>
                <w:szCs w:val="20"/>
              </w:rPr>
              <w:t>2</w:t>
            </w:r>
          </w:p>
        </w:tc>
        <w:tc>
          <w:tcPr>
            <w:tcW w:w="0" w:type="auto"/>
            <w:noWrap/>
            <w:vAlign w:val="bottom"/>
            <w:hideMark/>
          </w:tcPr>
          <w:p w14:paraId="1C7FF347" w14:textId="77777777" w:rsidR="00000000" w:rsidRDefault="00832D71">
            <w:pPr>
              <w:pStyle w:val="a3"/>
              <w:spacing w:before="0" w:beforeAutospacing="0" w:after="0" w:afterAutospacing="0"/>
              <w:rPr>
                <w:sz w:val="20"/>
                <w:szCs w:val="20"/>
              </w:rPr>
            </w:pPr>
            <w:r>
              <w:rPr>
                <w:sz w:val="20"/>
                <w:szCs w:val="20"/>
              </w:rPr>
              <w:t> </w:t>
            </w:r>
          </w:p>
        </w:tc>
      </w:tr>
    </w:tbl>
    <w:p w14:paraId="0DBA4A58" w14:textId="77777777" w:rsidR="00000000" w:rsidRDefault="00832D71">
      <w:pPr>
        <w:pStyle w:val="a3"/>
        <w:spacing w:before="0" w:beforeAutospacing="0" w:after="0" w:afterAutospacing="0"/>
        <w:divId w:val="530532277"/>
        <w:rPr>
          <w:sz w:val="20"/>
          <w:szCs w:val="20"/>
        </w:rPr>
      </w:pPr>
      <w:r>
        <w:rPr>
          <w:sz w:val="20"/>
          <w:szCs w:val="20"/>
        </w:rPr>
        <w:t> </w:t>
      </w:r>
    </w:p>
    <w:p w14:paraId="3EC2D255" w14:textId="77777777" w:rsidR="00000000" w:rsidRDefault="00832D71">
      <w:pPr>
        <w:pStyle w:val="a3"/>
        <w:spacing w:before="40" w:beforeAutospacing="0" w:after="0" w:afterAutospacing="0"/>
        <w:jc w:val="both"/>
        <w:divId w:val="530532277"/>
        <w:rPr>
          <w:sz w:val="20"/>
          <w:szCs w:val="20"/>
        </w:rPr>
      </w:pPr>
      <w:r>
        <w:rPr>
          <w:sz w:val="20"/>
          <w:szCs w:val="20"/>
        </w:rPr>
        <w:t xml:space="preserve">The Partnership enters into contracts for the supply of propane, fuel oil and natural gas. </w:t>
      </w:r>
      <w:r>
        <w:rPr>
          <w:sz w:val="20"/>
          <w:szCs w:val="20"/>
        </w:rPr>
        <w:t>Such contracts generally have a term of one year subject to annual renewal, with purchase quantities specified at the time of order and costs based on market prices at the date of delivery</w:t>
      </w:r>
      <w:r>
        <w:rPr>
          <w:sz w:val="20"/>
          <w:szCs w:val="20"/>
        </w:rPr>
        <w:t>.</w:t>
      </w:r>
    </w:p>
    <w:p w14:paraId="530BE1D7" w14:textId="77777777" w:rsidR="00000000" w:rsidRDefault="00832D71">
      <w:pPr>
        <w:pStyle w:val="a3"/>
        <w:spacing w:before="200" w:beforeAutospacing="0" w:after="0" w:afterAutospacing="0"/>
        <w:jc w:val="center"/>
        <w:divId w:val="530532277"/>
        <w:rPr>
          <w:sz w:val="20"/>
          <w:szCs w:val="20"/>
        </w:rPr>
      </w:pPr>
      <w:r>
        <w:rPr>
          <w:sz w:val="20"/>
          <w:szCs w:val="20"/>
        </w:rPr>
        <w:t>F</w:t>
      </w:r>
      <w:r>
        <w:rPr>
          <w:sz w:val="20"/>
          <w:szCs w:val="20"/>
        </w:rPr>
        <w:t>-</w:t>
      </w:r>
      <w:r>
        <w:rPr>
          <w:sz w:val="20"/>
          <w:szCs w:val="20"/>
        </w:rPr>
        <w:t>1</w:t>
      </w:r>
      <w:r>
        <w:rPr>
          <w:sz w:val="20"/>
          <w:szCs w:val="20"/>
        </w:rPr>
        <w:t>6</w:t>
      </w:r>
    </w:p>
    <w:p w14:paraId="09E3E294" w14:textId="77777777" w:rsidR="00000000" w:rsidRDefault="00832D71">
      <w:pPr>
        <w:divId w:val="530532277"/>
        <w:rPr>
          <w:rFonts w:eastAsia="Times New Roman"/>
          <w:sz w:val="20"/>
          <w:szCs w:val="20"/>
        </w:rPr>
      </w:pPr>
      <w:r>
        <w:rPr>
          <w:rFonts w:eastAsia="Times New Roman"/>
          <w:sz w:val="20"/>
          <w:szCs w:val="20"/>
        </w:rPr>
        <w:pict w14:anchorId="412F7DCB">
          <v:rect id="_x0000_i1135" style="width:0;height:1.5pt" o:hralign="center" o:hrstd="t" o:hr="t" fillcolor="#a0a0a0" stroked="f"/>
        </w:pict>
      </w:r>
    </w:p>
    <w:p w14:paraId="067809B5" w14:textId="77777777" w:rsidR="00000000" w:rsidRDefault="00832D71">
      <w:pPr>
        <w:pStyle w:val="a3"/>
        <w:spacing w:before="0" w:beforeAutospacing="0" w:after="0" w:afterAutospacing="0"/>
        <w:divId w:val="530532277"/>
        <w:rPr>
          <w:sz w:val="20"/>
          <w:szCs w:val="20"/>
        </w:rPr>
      </w:pPr>
      <w:r>
        <w:rPr>
          <w:sz w:val="20"/>
          <w:szCs w:val="20"/>
        </w:rPr>
        <w:t> </w:t>
      </w:r>
    </w:p>
    <w:p w14:paraId="4619123C" w14:textId="77777777" w:rsidR="00000000" w:rsidRDefault="00832D71">
      <w:pPr>
        <w:pStyle w:val="a3"/>
        <w:spacing w:before="240" w:beforeAutospacing="0" w:after="0" w:afterAutospacing="0"/>
        <w:jc w:val="both"/>
        <w:divId w:val="408190152"/>
        <w:rPr>
          <w:sz w:val="20"/>
          <w:szCs w:val="20"/>
        </w:rPr>
      </w:pPr>
      <w:r>
        <w:rPr>
          <w:sz w:val="20"/>
          <w:szCs w:val="20"/>
        </w:rPr>
        <w:t>Property, plant and eq</w:t>
      </w:r>
      <w:r>
        <w:rPr>
          <w:sz w:val="20"/>
          <w:szCs w:val="20"/>
        </w:rPr>
        <w:t>uipment consist of the following</w:t>
      </w:r>
      <w:r>
        <w:rPr>
          <w:sz w:val="20"/>
          <w:szCs w:val="20"/>
        </w:rPr>
        <w:t>:</w:t>
      </w:r>
    </w:p>
    <w:p w14:paraId="4ADD6B73" w14:textId="77777777" w:rsidR="00000000" w:rsidRDefault="00832D71">
      <w:pPr>
        <w:pStyle w:val="a3"/>
        <w:spacing w:before="0" w:beforeAutospacing="0" w:after="0" w:afterAutospacing="0"/>
        <w:divId w:val="408190152"/>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85"/>
        <w:gridCol w:w="110"/>
        <w:gridCol w:w="160"/>
        <w:gridCol w:w="860"/>
        <w:gridCol w:w="127"/>
        <w:gridCol w:w="110"/>
        <w:gridCol w:w="160"/>
        <w:gridCol w:w="860"/>
        <w:gridCol w:w="142"/>
      </w:tblGrid>
      <w:tr w:rsidR="00000000" w14:paraId="3073058A" w14:textId="77777777">
        <w:trPr>
          <w:divId w:val="408190152"/>
          <w:tblCellSpacing w:w="15" w:type="dxa"/>
        </w:trPr>
        <w:tc>
          <w:tcPr>
            <w:tcW w:w="3331" w:type="pct"/>
            <w:vAlign w:val="center"/>
            <w:hideMark/>
          </w:tcPr>
          <w:p w14:paraId="2B700AF2" w14:textId="77777777" w:rsidR="00000000" w:rsidRDefault="00832D71">
            <w:pPr>
              <w:rPr>
                <w:sz w:val="20"/>
                <w:szCs w:val="20"/>
              </w:rPr>
            </w:pPr>
          </w:p>
        </w:tc>
        <w:tc>
          <w:tcPr>
            <w:tcW w:w="80" w:type="pct"/>
            <w:vAlign w:val="center"/>
            <w:hideMark/>
          </w:tcPr>
          <w:p w14:paraId="0460BC89" w14:textId="77777777" w:rsidR="00000000" w:rsidRDefault="00832D71">
            <w:pPr>
              <w:rPr>
                <w:rFonts w:eastAsia="Times New Roman"/>
                <w:sz w:val="20"/>
                <w:szCs w:val="20"/>
              </w:rPr>
            </w:pPr>
          </w:p>
        </w:tc>
        <w:tc>
          <w:tcPr>
            <w:tcW w:w="50" w:type="pct"/>
            <w:vAlign w:val="center"/>
            <w:hideMark/>
          </w:tcPr>
          <w:p w14:paraId="0E2D8659" w14:textId="77777777" w:rsidR="00000000" w:rsidRDefault="00832D71">
            <w:pPr>
              <w:rPr>
                <w:rFonts w:eastAsia="Times New Roman"/>
                <w:sz w:val="20"/>
                <w:szCs w:val="20"/>
              </w:rPr>
            </w:pPr>
          </w:p>
        </w:tc>
        <w:tc>
          <w:tcPr>
            <w:tcW w:w="647" w:type="pct"/>
            <w:vAlign w:val="center"/>
            <w:hideMark/>
          </w:tcPr>
          <w:p w14:paraId="0387CF1D" w14:textId="77777777" w:rsidR="00000000" w:rsidRDefault="00832D71">
            <w:pPr>
              <w:rPr>
                <w:rFonts w:eastAsia="Times New Roman"/>
                <w:sz w:val="20"/>
                <w:szCs w:val="20"/>
              </w:rPr>
            </w:pPr>
          </w:p>
        </w:tc>
        <w:tc>
          <w:tcPr>
            <w:tcW w:w="50" w:type="pct"/>
            <w:vAlign w:val="center"/>
            <w:hideMark/>
          </w:tcPr>
          <w:p w14:paraId="0C2149A7" w14:textId="77777777" w:rsidR="00000000" w:rsidRDefault="00832D71">
            <w:pPr>
              <w:rPr>
                <w:rFonts w:eastAsia="Times New Roman"/>
                <w:sz w:val="20"/>
                <w:szCs w:val="20"/>
              </w:rPr>
            </w:pPr>
          </w:p>
        </w:tc>
        <w:tc>
          <w:tcPr>
            <w:tcW w:w="80" w:type="pct"/>
            <w:vAlign w:val="center"/>
            <w:hideMark/>
          </w:tcPr>
          <w:p w14:paraId="74135565" w14:textId="77777777" w:rsidR="00000000" w:rsidRDefault="00832D71">
            <w:pPr>
              <w:rPr>
                <w:rFonts w:eastAsia="Times New Roman"/>
                <w:sz w:val="20"/>
                <w:szCs w:val="20"/>
              </w:rPr>
            </w:pPr>
          </w:p>
        </w:tc>
        <w:tc>
          <w:tcPr>
            <w:tcW w:w="50" w:type="pct"/>
            <w:vAlign w:val="center"/>
            <w:hideMark/>
          </w:tcPr>
          <w:p w14:paraId="24BFF9B5" w14:textId="77777777" w:rsidR="00000000" w:rsidRDefault="00832D71">
            <w:pPr>
              <w:rPr>
                <w:rFonts w:eastAsia="Times New Roman"/>
                <w:sz w:val="20"/>
                <w:szCs w:val="20"/>
              </w:rPr>
            </w:pPr>
          </w:p>
        </w:tc>
        <w:tc>
          <w:tcPr>
            <w:tcW w:w="659" w:type="pct"/>
            <w:vAlign w:val="center"/>
            <w:hideMark/>
          </w:tcPr>
          <w:p w14:paraId="73DB4B86" w14:textId="77777777" w:rsidR="00000000" w:rsidRDefault="00832D71">
            <w:pPr>
              <w:rPr>
                <w:rFonts w:eastAsia="Times New Roman"/>
                <w:sz w:val="20"/>
                <w:szCs w:val="20"/>
              </w:rPr>
            </w:pPr>
          </w:p>
        </w:tc>
        <w:tc>
          <w:tcPr>
            <w:tcW w:w="50" w:type="pct"/>
            <w:vAlign w:val="center"/>
            <w:hideMark/>
          </w:tcPr>
          <w:p w14:paraId="3EED4B6A" w14:textId="77777777" w:rsidR="00000000" w:rsidRDefault="00832D71">
            <w:pPr>
              <w:rPr>
                <w:rFonts w:eastAsia="Times New Roman"/>
                <w:sz w:val="20"/>
                <w:szCs w:val="20"/>
              </w:rPr>
            </w:pPr>
          </w:p>
        </w:tc>
      </w:tr>
      <w:tr w:rsidR="00000000" w14:paraId="0E358DAE" w14:textId="77777777">
        <w:trPr>
          <w:divId w:val="408190152"/>
          <w:trHeight w:val="160"/>
          <w:tblCellSpacing w:w="15" w:type="dxa"/>
        </w:trPr>
        <w:tc>
          <w:tcPr>
            <w:tcW w:w="0" w:type="auto"/>
            <w:vAlign w:val="bottom"/>
            <w:hideMark/>
          </w:tcPr>
          <w:p w14:paraId="47A8456A"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D7BDBE3" w14:textId="77777777" w:rsidR="00000000" w:rsidRDefault="00832D71">
            <w:pPr>
              <w:pStyle w:val="a3"/>
              <w:spacing w:before="0" w:beforeAutospacing="0" w:after="0" w:afterAutospacing="0"/>
              <w:rPr>
                <w:sz w:val="16"/>
                <w:szCs w:val="16"/>
              </w:rPr>
            </w:pPr>
            <w:r>
              <w:rPr>
                <w:sz w:val="16"/>
                <w:szCs w:val="16"/>
              </w:rPr>
              <w:t> </w:t>
            </w:r>
          </w:p>
        </w:tc>
        <w:tc>
          <w:tcPr>
            <w:tcW w:w="0" w:type="auto"/>
            <w:gridSpan w:val="6"/>
            <w:vAlign w:val="bottom"/>
            <w:hideMark/>
          </w:tcPr>
          <w:p w14:paraId="33AF47EA" w14:textId="77777777" w:rsidR="00000000" w:rsidRDefault="00832D71">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14:paraId="6666BB8A"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5391ABC3" w14:textId="77777777">
        <w:trPr>
          <w:divId w:val="408190152"/>
          <w:trHeight w:val="160"/>
          <w:tblCellSpacing w:w="15" w:type="dxa"/>
        </w:trPr>
        <w:tc>
          <w:tcPr>
            <w:tcW w:w="0" w:type="auto"/>
            <w:vAlign w:val="bottom"/>
            <w:hideMark/>
          </w:tcPr>
          <w:p w14:paraId="3788F8F2"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CC3204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4B903E8" w14:textId="77777777" w:rsidR="00000000" w:rsidRDefault="00832D71">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14:paraId="48D787CA"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F81262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8A2655C" w14:textId="77777777" w:rsidR="00000000" w:rsidRDefault="00832D71">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14:paraId="39177288"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422AC8D3" w14:textId="77777777">
        <w:trPr>
          <w:divId w:val="408190152"/>
          <w:trHeight w:val="160"/>
          <w:tblCellSpacing w:w="15" w:type="dxa"/>
        </w:trPr>
        <w:tc>
          <w:tcPr>
            <w:tcW w:w="0" w:type="auto"/>
            <w:vAlign w:val="bottom"/>
            <w:hideMark/>
          </w:tcPr>
          <w:p w14:paraId="1677484F"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791DCAD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6FAEF7A"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63C1C14F"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B21D11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B5E12B9"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63014116"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13B0E09E" w14:textId="77777777">
        <w:trPr>
          <w:divId w:val="408190152"/>
          <w:trHeight w:val="200"/>
          <w:tblCellSpacing w:w="15" w:type="dxa"/>
        </w:trPr>
        <w:tc>
          <w:tcPr>
            <w:tcW w:w="0" w:type="auto"/>
            <w:hideMark/>
          </w:tcPr>
          <w:p w14:paraId="7E672CB4" w14:textId="77777777" w:rsidR="00000000" w:rsidRDefault="00832D71">
            <w:pPr>
              <w:pStyle w:val="a3"/>
              <w:spacing w:before="0" w:beforeAutospacing="0" w:after="0" w:afterAutospacing="0"/>
              <w:rPr>
                <w:sz w:val="20"/>
                <w:szCs w:val="20"/>
              </w:rPr>
            </w:pPr>
            <w:r>
              <w:rPr>
                <w:sz w:val="20"/>
                <w:szCs w:val="20"/>
              </w:rPr>
              <w:t>Land and improvement</w:t>
            </w:r>
            <w:r>
              <w:rPr>
                <w:sz w:val="20"/>
                <w:szCs w:val="20"/>
              </w:rPr>
              <w:t>s</w:t>
            </w:r>
          </w:p>
        </w:tc>
        <w:tc>
          <w:tcPr>
            <w:tcW w:w="0" w:type="auto"/>
            <w:hideMark/>
          </w:tcPr>
          <w:p w14:paraId="572ADE5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2A1820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9073EFC" w14:textId="77777777" w:rsidR="00000000" w:rsidRDefault="00832D71">
            <w:pPr>
              <w:pStyle w:val="a3"/>
              <w:spacing w:before="0" w:beforeAutospacing="0" w:after="0" w:afterAutospacing="0"/>
              <w:jc w:val="right"/>
              <w:rPr>
                <w:sz w:val="20"/>
                <w:szCs w:val="20"/>
              </w:rPr>
            </w:pPr>
            <w:r>
              <w:rPr>
                <w:sz w:val="20"/>
                <w:szCs w:val="20"/>
              </w:rPr>
              <w:t>189,88</w:t>
            </w:r>
            <w:r>
              <w:rPr>
                <w:sz w:val="20"/>
                <w:szCs w:val="20"/>
              </w:rPr>
              <w:t>2</w:t>
            </w:r>
          </w:p>
        </w:tc>
        <w:tc>
          <w:tcPr>
            <w:tcW w:w="0" w:type="auto"/>
            <w:noWrap/>
            <w:vAlign w:val="bottom"/>
            <w:hideMark/>
          </w:tcPr>
          <w:p w14:paraId="1608129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EBE7B9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C98C51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BCE171E" w14:textId="77777777" w:rsidR="00000000" w:rsidRDefault="00832D71">
            <w:pPr>
              <w:pStyle w:val="a3"/>
              <w:spacing w:before="0" w:beforeAutospacing="0" w:after="0" w:afterAutospacing="0"/>
              <w:jc w:val="right"/>
              <w:rPr>
                <w:sz w:val="20"/>
                <w:szCs w:val="20"/>
              </w:rPr>
            </w:pPr>
            <w:r>
              <w:rPr>
                <w:sz w:val="20"/>
                <w:szCs w:val="20"/>
              </w:rPr>
              <w:t>187,10</w:t>
            </w:r>
            <w:r>
              <w:rPr>
                <w:sz w:val="20"/>
                <w:szCs w:val="20"/>
              </w:rPr>
              <w:t>6</w:t>
            </w:r>
          </w:p>
        </w:tc>
        <w:tc>
          <w:tcPr>
            <w:tcW w:w="0" w:type="auto"/>
            <w:noWrap/>
            <w:vAlign w:val="bottom"/>
            <w:hideMark/>
          </w:tcPr>
          <w:p w14:paraId="7C5994DD" w14:textId="77777777" w:rsidR="00000000" w:rsidRDefault="00832D71">
            <w:pPr>
              <w:pStyle w:val="a3"/>
              <w:spacing w:before="0" w:beforeAutospacing="0" w:after="0" w:afterAutospacing="0"/>
              <w:rPr>
                <w:sz w:val="20"/>
                <w:szCs w:val="20"/>
              </w:rPr>
            </w:pPr>
            <w:r>
              <w:rPr>
                <w:sz w:val="20"/>
                <w:szCs w:val="20"/>
              </w:rPr>
              <w:t> </w:t>
            </w:r>
          </w:p>
        </w:tc>
      </w:tr>
      <w:tr w:rsidR="00000000" w14:paraId="2018BEE8" w14:textId="77777777">
        <w:trPr>
          <w:divId w:val="408190152"/>
          <w:trHeight w:val="200"/>
          <w:tblCellSpacing w:w="15" w:type="dxa"/>
        </w:trPr>
        <w:tc>
          <w:tcPr>
            <w:tcW w:w="0" w:type="auto"/>
            <w:hideMark/>
          </w:tcPr>
          <w:p w14:paraId="03A5CA78" w14:textId="77777777" w:rsidR="00000000" w:rsidRDefault="00832D71">
            <w:pPr>
              <w:pStyle w:val="a3"/>
              <w:spacing w:before="0" w:beforeAutospacing="0" w:after="0" w:afterAutospacing="0"/>
              <w:rPr>
                <w:sz w:val="20"/>
                <w:szCs w:val="20"/>
              </w:rPr>
            </w:pPr>
            <w:r>
              <w:rPr>
                <w:sz w:val="20"/>
                <w:szCs w:val="20"/>
              </w:rPr>
              <w:t>Buildings and improvement</w:t>
            </w:r>
            <w:r>
              <w:rPr>
                <w:sz w:val="20"/>
                <w:szCs w:val="20"/>
              </w:rPr>
              <w:t>s</w:t>
            </w:r>
          </w:p>
        </w:tc>
        <w:tc>
          <w:tcPr>
            <w:tcW w:w="0" w:type="auto"/>
            <w:hideMark/>
          </w:tcPr>
          <w:p w14:paraId="0A55127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CB34EC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5E119EF" w14:textId="77777777" w:rsidR="00000000" w:rsidRDefault="00832D71">
            <w:pPr>
              <w:pStyle w:val="a3"/>
              <w:spacing w:before="0" w:beforeAutospacing="0" w:after="0" w:afterAutospacing="0"/>
              <w:jc w:val="right"/>
              <w:rPr>
                <w:sz w:val="20"/>
                <w:szCs w:val="20"/>
              </w:rPr>
            </w:pPr>
            <w:r>
              <w:rPr>
                <w:sz w:val="20"/>
                <w:szCs w:val="20"/>
              </w:rPr>
              <w:t>116,87</w:t>
            </w:r>
            <w:r>
              <w:rPr>
                <w:sz w:val="20"/>
                <w:szCs w:val="20"/>
              </w:rPr>
              <w:t>0</w:t>
            </w:r>
          </w:p>
        </w:tc>
        <w:tc>
          <w:tcPr>
            <w:tcW w:w="0" w:type="auto"/>
            <w:noWrap/>
            <w:vAlign w:val="bottom"/>
            <w:hideMark/>
          </w:tcPr>
          <w:p w14:paraId="27AC94C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2D5786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278F1E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4E495F1" w14:textId="77777777" w:rsidR="00000000" w:rsidRDefault="00832D71">
            <w:pPr>
              <w:pStyle w:val="a3"/>
              <w:spacing w:before="0" w:beforeAutospacing="0" w:after="0" w:afterAutospacing="0"/>
              <w:jc w:val="right"/>
              <w:rPr>
                <w:sz w:val="20"/>
                <w:szCs w:val="20"/>
              </w:rPr>
            </w:pPr>
            <w:r>
              <w:rPr>
                <w:sz w:val="20"/>
                <w:szCs w:val="20"/>
              </w:rPr>
              <w:t>114,30</w:t>
            </w:r>
            <w:r>
              <w:rPr>
                <w:sz w:val="20"/>
                <w:szCs w:val="20"/>
              </w:rPr>
              <w:t>9</w:t>
            </w:r>
          </w:p>
        </w:tc>
        <w:tc>
          <w:tcPr>
            <w:tcW w:w="0" w:type="auto"/>
            <w:noWrap/>
            <w:vAlign w:val="bottom"/>
            <w:hideMark/>
          </w:tcPr>
          <w:p w14:paraId="7058F76B" w14:textId="77777777" w:rsidR="00000000" w:rsidRDefault="00832D71">
            <w:pPr>
              <w:pStyle w:val="a3"/>
              <w:spacing w:before="0" w:beforeAutospacing="0" w:after="0" w:afterAutospacing="0"/>
              <w:rPr>
                <w:sz w:val="20"/>
                <w:szCs w:val="20"/>
              </w:rPr>
            </w:pPr>
            <w:r>
              <w:rPr>
                <w:sz w:val="20"/>
                <w:szCs w:val="20"/>
              </w:rPr>
              <w:t> </w:t>
            </w:r>
          </w:p>
        </w:tc>
      </w:tr>
      <w:tr w:rsidR="00000000" w14:paraId="563774BE" w14:textId="77777777">
        <w:trPr>
          <w:divId w:val="408190152"/>
          <w:trHeight w:val="200"/>
          <w:tblCellSpacing w:w="15" w:type="dxa"/>
        </w:trPr>
        <w:tc>
          <w:tcPr>
            <w:tcW w:w="0" w:type="auto"/>
            <w:hideMark/>
          </w:tcPr>
          <w:p w14:paraId="706087A5" w14:textId="77777777" w:rsidR="00000000" w:rsidRDefault="00832D71">
            <w:pPr>
              <w:pStyle w:val="a3"/>
              <w:spacing w:before="0" w:beforeAutospacing="0" w:after="0" w:afterAutospacing="0"/>
              <w:rPr>
                <w:sz w:val="20"/>
                <w:szCs w:val="20"/>
              </w:rPr>
            </w:pPr>
            <w:r>
              <w:rPr>
                <w:sz w:val="20"/>
                <w:szCs w:val="20"/>
              </w:rPr>
              <w:t>Transportation equipmen</w:t>
            </w:r>
            <w:r>
              <w:rPr>
                <w:sz w:val="20"/>
                <w:szCs w:val="20"/>
              </w:rPr>
              <w:t>t</w:t>
            </w:r>
          </w:p>
        </w:tc>
        <w:tc>
          <w:tcPr>
            <w:tcW w:w="0" w:type="auto"/>
            <w:hideMark/>
          </w:tcPr>
          <w:p w14:paraId="4240BC1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87C1DE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C945AE5" w14:textId="77777777" w:rsidR="00000000" w:rsidRDefault="00832D71">
            <w:pPr>
              <w:pStyle w:val="a3"/>
              <w:spacing w:before="0" w:beforeAutospacing="0" w:after="0" w:afterAutospacing="0"/>
              <w:jc w:val="right"/>
              <w:rPr>
                <w:sz w:val="20"/>
                <w:szCs w:val="20"/>
              </w:rPr>
            </w:pPr>
            <w:r>
              <w:rPr>
                <w:sz w:val="20"/>
                <w:szCs w:val="20"/>
              </w:rPr>
              <w:t>23,52</w:t>
            </w:r>
            <w:r>
              <w:rPr>
                <w:sz w:val="20"/>
                <w:szCs w:val="20"/>
              </w:rPr>
              <w:t>1</w:t>
            </w:r>
          </w:p>
        </w:tc>
        <w:tc>
          <w:tcPr>
            <w:tcW w:w="0" w:type="auto"/>
            <w:noWrap/>
            <w:vAlign w:val="bottom"/>
            <w:hideMark/>
          </w:tcPr>
          <w:p w14:paraId="426FE89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A39F9A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D2BB35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08B0BFC" w14:textId="77777777" w:rsidR="00000000" w:rsidRDefault="00832D71">
            <w:pPr>
              <w:pStyle w:val="a3"/>
              <w:spacing w:before="0" w:beforeAutospacing="0" w:after="0" w:afterAutospacing="0"/>
              <w:jc w:val="right"/>
              <w:rPr>
                <w:sz w:val="20"/>
                <w:szCs w:val="20"/>
              </w:rPr>
            </w:pPr>
            <w:r>
              <w:rPr>
                <w:sz w:val="20"/>
                <w:szCs w:val="20"/>
              </w:rPr>
              <w:t>27,84</w:t>
            </w:r>
            <w:r>
              <w:rPr>
                <w:sz w:val="20"/>
                <w:szCs w:val="20"/>
              </w:rPr>
              <w:t>8</w:t>
            </w:r>
          </w:p>
        </w:tc>
        <w:tc>
          <w:tcPr>
            <w:tcW w:w="0" w:type="auto"/>
            <w:noWrap/>
            <w:vAlign w:val="bottom"/>
            <w:hideMark/>
          </w:tcPr>
          <w:p w14:paraId="41578934" w14:textId="77777777" w:rsidR="00000000" w:rsidRDefault="00832D71">
            <w:pPr>
              <w:pStyle w:val="a3"/>
              <w:spacing w:before="0" w:beforeAutospacing="0" w:after="0" w:afterAutospacing="0"/>
              <w:rPr>
                <w:sz w:val="20"/>
                <w:szCs w:val="20"/>
              </w:rPr>
            </w:pPr>
            <w:r>
              <w:rPr>
                <w:sz w:val="20"/>
                <w:szCs w:val="20"/>
              </w:rPr>
              <w:t> </w:t>
            </w:r>
          </w:p>
        </w:tc>
      </w:tr>
      <w:tr w:rsidR="00000000" w14:paraId="4944052E" w14:textId="77777777">
        <w:trPr>
          <w:divId w:val="408190152"/>
          <w:trHeight w:val="200"/>
          <w:tblCellSpacing w:w="15" w:type="dxa"/>
        </w:trPr>
        <w:tc>
          <w:tcPr>
            <w:tcW w:w="0" w:type="auto"/>
            <w:hideMark/>
          </w:tcPr>
          <w:p w14:paraId="28868999" w14:textId="77777777" w:rsidR="00000000" w:rsidRDefault="00832D71">
            <w:pPr>
              <w:pStyle w:val="a3"/>
              <w:spacing w:before="0" w:beforeAutospacing="0" w:after="0" w:afterAutospacing="0"/>
              <w:rPr>
                <w:sz w:val="20"/>
                <w:szCs w:val="20"/>
              </w:rPr>
            </w:pPr>
            <w:r>
              <w:rPr>
                <w:sz w:val="20"/>
                <w:szCs w:val="20"/>
              </w:rPr>
              <w:t>Storage facilitie</w:t>
            </w:r>
            <w:r>
              <w:rPr>
                <w:sz w:val="20"/>
                <w:szCs w:val="20"/>
              </w:rPr>
              <w:t>s</w:t>
            </w:r>
          </w:p>
        </w:tc>
        <w:tc>
          <w:tcPr>
            <w:tcW w:w="0" w:type="auto"/>
            <w:hideMark/>
          </w:tcPr>
          <w:p w14:paraId="4C596DA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DCF721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A57889C" w14:textId="77777777" w:rsidR="00000000" w:rsidRDefault="00832D71">
            <w:pPr>
              <w:pStyle w:val="a3"/>
              <w:spacing w:before="0" w:beforeAutospacing="0" w:after="0" w:afterAutospacing="0"/>
              <w:jc w:val="right"/>
              <w:rPr>
                <w:sz w:val="20"/>
                <w:szCs w:val="20"/>
              </w:rPr>
            </w:pPr>
            <w:r>
              <w:rPr>
                <w:sz w:val="20"/>
                <w:szCs w:val="20"/>
              </w:rPr>
              <w:t>115,14</w:t>
            </w:r>
            <w:r>
              <w:rPr>
                <w:sz w:val="20"/>
                <w:szCs w:val="20"/>
              </w:rPr>
              <w:t>9</w:t>
            </w:r>
          </w:p>
        </w:tc>
        <w:tc>
          <w:tcPr>
            <w:tcW w:w="0" w:type="auto"/>
            <w:noWrap/>
            <w:vAlign w:val="bottom"/>
            <w:hideMark/>
          </w:tcPr>
          <w:p w14:paraId="4B20965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C35A23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09CDA7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C74FF4F" w14:textId="77777777" w:rsidR="00000000" w:rsidRDefault="00832D71">
            <w:pPr>
              <w:pStyle w:val="a3"/>
              <w:spacing w:before="0" w:beforeAutospacing="0" w:after="0" w:afterAutospacing="0"/>
              <w:jc w:val="right"/>
              <w:rPr>
                <w:sz w:val="20"/>
                <w:szCs w:val="20"/>
              </w:rPr>
            </w:pPr>
            <w:r>
              <w:rPr>
                <w:sz w:val="20"/>
                <w:szCs w:val="20"/>
              </w:rPr>
              <w:t>114,32</w:t>
            </w:r>
            <w:r>
              <w:rPr>
                <w:sz w:val="20"/>
                <w:szCs w:val="20"/>
              </w:rPr>
              <w:t>8</w:t>
            </w:r>
          </w:p>
        </w:tc>
        <w:tc>
          <w:tcPr>
            <w:tcW w:w="0" w:type="auto"/>
            <w:noWrap/>
            <w:vAlign w:val="bottom"/>
            <w:hideMark/>
          </w:tcPr>
          <w:p w14:paraId="3F736705" w14:textId="77777777" w:rsidR="00000000" w:rsidRDefault="00832D71">
            <w:pPr>
              <w:pStyle w:val="a3"/>
              <w:spacing w:before="0" w:beforeAutospacing="0" w:after="0" w:afterAutospacing="0"/>
              <w:rPr>
                <w:sz w:val="20"/>
                <w:szCs w:val="20"/>
              </w:rPr>
            </w:pPr>
            <w:r>
              <w:rPr>
                <w:sz w:val="20"/>
                <w:szCs w:val="20"/>
              </w:rPr>
              <w:t> </w:t>
            </w:r>
          </w:p>
        </w:tc>
      </w:tr>
      <w:tr w:rsidR="00000000" w14:paraId="681C1AC9" w14:textId="77777777">
        <w:trPr>
          <w:divId w:val="408190152"/>
          <w:trHeight w:val="200"/>
          <w:tblCellSpacing w:w="15" w:type="dxa"/>
        </w:trPr>
        <w:tc>
          <w:tcPr>
            <w:tcW w:w="0" w:type="auto"/>
            <w:hideMark/>
          </w:tcPr>
          <w:p w14:paraId="518791CC" w14:textId="77777777" w:rsidR="00000000" w:rsidRDefault="00832D71">
            <w:pPr>
              <w:pStyle w:val="a3"/>
              <w:spacing w:before="0" w:beforeAutospacing="0" w:after="0" w:afterAutospacing="0"/>
              <w:rPr>
                <w:sz w:val="20"/>
                <w:szCs w:val="20"/>
              </w:rPr>
            </w:pPr>
            <w:r>
              <w:rPr>
                <w:sz w:val="20"/>
                <w:szCs w:val="20"/>
              </w:rPr>
              <w:t>Equipment, primarily tanks and cylinder</w:t>
            </w:r>
            <w:r>
              <w:rPr>
                <w:sz w:val="20"/>
                <w:szCs w:val="20"/>
              </w:rPr>
              <w:t>s</w:t>
            </w:r>
          </w:p>
        </w:tc>
        <w:tc>
          <w:tcPr>
            <w:tcW w:w="0" w:type="auto"/>
            <w:hideMark/>
          </w:tcPr>
          <w:p w14:paraId="58F1220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5B2C44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6219770" w14:textId="77777777" w:rsidR="00000000" w:rsidRDefault="00832D71">
            <w:pPr>
              <w:pStyle w:val="a3"/>
              <w:spacing w:before="0" w:beforeAutospacing="0" w:after="0" w:afterAutospacing="0"/>
              <w:jc w:val="right"/>
              <w:rPr>
                <w:sz w:val="20"/>
                <w:szCs w:val="20"/>
              </w:rPr>
            </w:pPr>
            <w:r>
              <w:rPr>
                <w:sz w:val="20"/>
                <w:szCs w:val="20"/>
              </w:rPr>
              <w:t>928,80</w:t>
            </w:r>
            <w:r>
              <w:rPr>
                <w:sz w:val="20"/>
                <w:szCs w:val="20"/>
              </w:rPr>
              <w:t>2</w:t>
            </w:r>
          </w:p>
        </w:tc>
        <w:tc>
          <w:tcPr>
            <w:tcW w:w="0" w:type="auto"/>
            <w:noWrap/>
            <w:vAlign w:val="bottom"/>
            <w:hideMark/>
          </w:tcPr>
          <w:p w14:paraId="71BB78E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0193DB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36221A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6B1BAAB" w14:textId="77777777" w:rsidR="00000000" w:rsidRDefault="00832D71">
            <w:pPr>
              <w:pStyle w:val="a3"/>
              <w:spacing w:before="0" w:beforeAutospacing="0" w:after="0" w:afterAutospacing="0"/>
              <w:jc w:val="right"/>
              <w:rPr>
                <w:sz w:val="20"/>
                <w:szCs w:val="20"/>
              </w:rPr>
            </w:pPr>
            <w:r>
              <w:rPr>
                <w:sz w:val="20"/>
                <w:szCs w:val="20"/>
              </w:rPr>
              <w:t>901,94</w:t>
            </w:r>
            <w:r>
              <w:rPr>
                <w:sz w:val="20"/>
                <w:szCs w:val="20"/>
              </w:rPr>
              <w:t>5</w:t>
            </w:r>
          </w:p>
        </w:tc>
        <w:tc>
          <w:tcPr>
            <w:tcW w:w="0" w:type="auto"/>
            <w:noWrap/>
            <w:vAlign w:val="bottom"/>
            <w:hideMark/>
          </w:tcPr>
          <w:p w14:paraId="6B52F208" w14:textId="77777777" w:rsidR="00000000" w:rsidRDefault="00832D71">
            <w:pPr>
              <w:pStyle w:val="a3"/>
              <w:spacing w:before="0" w:beforeAutospacing="0" w:after="0" w:afterAutospacing="0"/>
              <w:rPr>
                <w:sz w:val="20"/>
                <w:szCs w:val="20"/>
              </w:rPr>
            </w:pPr>
            <w:r>
              <w:rPr>
                <w:sz w:val="20"/>
                <w:szCs w:val="20"/>
              </w:rPr>
              <w:t> </w:t>
            </w:r>
          </w:p>
        </w:tc>
      </w:tr>
      <w:tr w:rsidR="00000000" w14:paraId="53D5DF80" w14:textId="77777777">
        <w:trPr>
          <w:divId w:val="408190152"/>
          <w:trHeight w:val="200"/>
          <w:tblCellSpacing w:w="15" w:type="dxa"/>
        </w:trPr>
        <w:tc>
          <w:tcPr>
            <w:tcW w:w="0" w:type="auto"/>
            <w:hideMark/>
          </w:tcPr>
          <w:p w14:paraId="193C70DB" w14:textId="77777777" w:rsidR="00000000" w:rsidRDefault="00832D71">
            <w:pPr>
              <w:pStyle w:val="a3"/>
              <w:spacing w:before="0" w:beforeAutospacing="0" w:after="0" w:afterAutospacing="0"/>
              <w:rPr>
                <w:sz w:val="20"/>
                <w:szCs w:val="20"/>
              </w:rPr>
            </w:pPr>
            <w:r>
              <w:rPr>
                <w:sz w:val="20"/>
                <w:szCs w:val="20"/>
              </w:rPr>
              <w:t>Computer softwar</w:t>
            </w:r>
            <w:r>
              <w:rPr>
                <w:sz w:val="20"/>
                <w:szCs w:val="20"/>
              </w:rPr>
              <w:t>e</w:t>
            </w:r>
          </w:p>
        </w:tc>
        <w:tc>
          <w:tcPr>
            <w:tcW w:w="0" w:type="auto"/>
            <w:hideMark/>
          </w:tcPr>
          <w:p w14:paraId="3EC2413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D4DF6D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304421E" w14:textId="77777777" w:rsidR="00000000" w:rsidRDefault="00832D71">
            <w:pPr>
              <w:pStyle w:val="a3"/>
              <w:spacing w:before="0" w:beforeAutospacing="0" w:after="0" w:afterAutospacing="0"/>
              <w:jc w:val="right"/>
              <w:rPr>
                <w:sz w:val="20"/>
                <w:szCs w:val="20"/>
              </w:rPr>
            </w:pPr>
            <w:r>
              <w:rPr>
                <w:sz w:val="20"/>
                <w:szCs w:val="20"/>
              </w:rPr>
              <w:t>52,95</w:t>
            </w:r>
            <w:r>
              <w:rPr>
                <w:sz w:val="20"/>
                <w:szCs w:val="20"/>
              </w:rPr>
              <w:t>8</w:t>
            </w:r>
          </w:p>
        </w:tc>
        <w:tc>
          <w:tcPr>
            <w:tcW w:w="0" w:type="auto"/>
            <w:noWrap/>
            <w:vAlign w:val="bottom"/>
            <w:hideMark/>
          </w:tcPr>
          <w:p w14:paraId="05695DD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6415B4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45723F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E0B4932" w14:textId="77777777" w:rsidR="00000000" w:rsidRDefault="00832D71">
            <w:pPr>
              <w:pStyle w:val="a3"/>
              <w:spacing w:before="0" w:beforeAutospacing="0" w:after="0" w:afterAutospacing="0"/>
              <w:jc w:val="right"/>
              <w:rPr>
                <w:sz w:val="20"/>
                <w:szCs w:val="20"/>
              </w:rPr>
            </w:pPr>
            <w:r>
              <w:rPr>
                <w:sz w:val="20"/>
                <w:szCs w:val="20"/>
              </w:rPr>
              <w:t>52,75</w:t>
            </w:r>
            <w:r>
              <w:rPr>
                <w:sz w:val="20"/>
                <w:szCs w:val="20"/>
              </w:rPr>
              <w:t>2</w:t>
            </w:r>
          </w:p>
        </w:tc>
        <w:tc>
          <w:tcPr>
            <w:tcW w:w="0" w:type="auto"/>
            <w:noWrap/>
            <w:vAlign w:val="bottom"/>
            <w:hideMark/>
          </w:tcPr>
          <w:p w14:paraId="3203B8D0" w14:textId="77777777" w:rsidR="00000000" w:rsidRDefault="00832D71">
            <w:pPr>
              <w:pStyle w:val="a3"/>
              <w:spacing w:before="0" w:beforeAutospacing="0" w:after="0" w:afterAutospacing="0"/>
              <w:rPr>
                <w:sz w:val="20"/>
                <w:szCs w:val="20"/>
              </w:rPr>
            </w:pPr>
            <w:r>
              <w:rPr>
                <w:sz w:val="20"/>
                <w:szCs w:val="20"/>
              </w:rPr>
              <w:t> </w:t>
            </w:r>
          </w:p>
        </w:tc>
      </w:tr>
      <w:tr w:rsidR="00000000" w14:paraId="20499B42" w14:textId="77777777">
        <w:trPr>
          <w:divId w:val="408190152"/>
          <w:trHeight w:val="200"/>
          <w:tblCellSpacing w:w="15" w:type="dxa"/>
        </w:trPr>
        <w:tc>
          <w:tcPr>
            <w:tcW w:w="0" w:type="auto"/>
            <w:hideMark/>
          </w:tcPr>
          <w:p w14:paraId="4EEC0678" w14:textId="77777777" w:rsidR="00000000" w:rsidRDefault="00832D71">
            <w:pPr>
              <w:pStyle w:val="a3"/>
              <w:spacing w:before="0" w:beforeAutospacing="0" w:after="0" w:afterAutospacing="0"/>
              <w:rPr>
                <w:sz w:val="20"/>
                <w:szCs w:val="20"/>
              </w:rPr>
            </w:pPr>
            <w:r>
              <w:rPr>
                <w:sz w:val="20"/>
                <w:szCs w:val="20"/>
              </w:rPr>
              <w:t>Construction in progres</w:t>
            </w:r>
            <w:r>
              <w:rPr>
                <w:sz w:val="20"/>
                <w:szCs w:val="20"/>
              </w:rPr>
              <w:t>s</w:t>
            </w:r>
          </w:p>
        </w:tc>
        <w:tc>
          <w:tcPr>
            <w:tcW w:w="0" w:type="auto"/>
            <w:hideMark/>
          </w:tcPr>
          <w:p w14:paraId="4FC102A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A90CC4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FFA0F1E" w14:textId="77777777" w:rsidR="00000000" w:rsidRDefault="00832D71">
            <w:pPr>
              <w:pStyle w:val="a3"/>
              <w:spacing w:before="0" w:beforeAutospacing="0" w:after="0" w:afterAutospacing="0"/>
              <w:jc w:val="right"/>
              <w:rPr>
                <w:sz w:val="20"/>
                <w:szCs w:val="20"/>
              </w:rPr>
            </w:pPr>
            <w:r>
              <w:rPr>
                <w:sz w:val="20"/>
                <w:szCs w:val="20"/>
              </w:rPr>
              <w:t>11,33</w:t>
            </w:r>
            <w:r>
              <w:rPr>
                <w:sz w:val="20"/>
                <w:szCs w:val="20"/>
              </w:rPr>
              <w:t>9</w:t>
            </w:r>
          </w:p>
        </w:tc>
        <w:tc>
          <w:tcPr>
            <w:tcW w:w="0" w:type="auto"/>
            <w:noWrap/>
            <w:vAlign w:val="bottom"/>
            <w:hideMark/>
          </w:tcPr>
          <w:p w14:paraId="1722E2B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0615BA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20509B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6520C8B" w14:textId="77777777" w:rsidR="00000000" w:rsidRDefault="00832D71">
            <w:pPr>
              <w:pStyle w:val="a3"/>
              <w:spacing w:before="0" w:beforeAutospacing="0" w:after="0" w:afterAutospacing="0"/>
              <w:jc w:val="right"/>
              <w:rPr>
                <w:sz w:val="20"/>
                <w:szCs w:val="20"/>
              </w:rPr>
            </w:pPr>
            <w:r>
              <w:rPr>
                <w:sz w:val="20"/>
                <w:szCs w:val="20"/>
              </w:rPr>
              <w:t>8,62</w:t>
            </w:r>
            <w:r>
              <w:rPr>
                <w:sz w:val="20"/>
                <w:szCs w:val="20"/>
              </w:rPr>
              <w:t>7</w:t>
            </w:r>
          </w:p>
        </w:tc>
        <w:tc>
          <w:tcPr>
            <w:tcW w:w="0" w:type="auto"/>
            <w:noWrap/>
            <w:vAlign w:val="bottom"/>
            <w:hideMark/>
          </w:tcPr>
          <w:p w14:paraId="04B7F549" w14:textId="77777777" w:rsidR="00000000" w:rsidRDefault="00832D71">
            <w:pPr>
              <w:pStyle w:val="a3"/>
              <w:spacing w:before="0" w:beforeAutospacing="0" w:after="0" w:afterAutospacing="0"/>
              <w:rPr>
                <w:sz w:val="20"/>
                <w:szCs w:val="20"/>
              </w:rPr>
            </w:pPr>
            <w:r>
              <w:rPr>
                <w:sz w:val="20"/>
                <w:szCs w:val="20"/>
              </w:rPr>
              <w:t> </w:t>
            </w:r>
          </w:p>
        </w:tc>
      </w:tr>
      <w:tr w:rsidR="00000000" w14:paraId="5E1CE192" w14:textId="77777777">
        <w:trPr>
          <w:divId w:val="408190152"/>
          <w:trHeight w:val="200"/>
          <w:tblCellSpacing w:w="15" w:type="dxa"/>
        </w:trPr>
        <w:tc>
          <w:tcPr>
            <w:tcW w:w="0" w:type="auto"/>
            <w:hideMark/>
          </w:tcPr>
          <w:p w14:paraId="42D5ED1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3F6964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5F0F23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7893DE9" w14:textId="77777777" w:rsidR="00000000" w:rsidRDefault="00832D71">
            <w:pPr>
              <w:pStyle w:val="a3"/>
              <w:spacing w:before="0" w:beforeAutospacing="0" w:after="0" w:afterAutospacing="0"/>
              <w:jc w:val="right"/>
              <w:rPr>
                <w:sz w:val="20"/>
                <w:szCs w:val="20"/>
              </w:rPr>
            </w:pPr>
            <w:r>
              <w:rPr>
                <w:sz w:val="20"/>
                <w:szCs w:val="20"/>
              </w:rPr>
              <w:t>1,438,52</w:t>
            </w:r>
            <w:r>
              <w:rPr>
                <w:sz w:val="20"/>
                <w:szCs w:val="20"/>
              </w:rPr>
              <w:t>1</w:t>
            </w:r>
          </w:p>
        </w:tc>
        <w:tc>
          <w:tcPr>
            <w:tcW w:w="0" w:type="auto"/>
            <w:noWrap/>
            <w:vAlign w:val="bottom"/>
            <w:hideMark/>
          </w:tcPr>
          <w:p w14:paraId="7718FF3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504C11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26F976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E0FDEF3" w14:textId="77777777" w:rsidR="00000000" w:rsidRDefault="00832D71">
            <w:pPr>
              <w:pStyle w:val="a3"/>
              <w:spacing w:before="0" w:beforeAutospacing="0" w:after="0" w:afterAutospacing="0"/>
              <w:jc w:val="right"/>
              <w:rPr>
                <w:sz w:val="20"/>
                <w:szCs w:val="20"/>
              </w:rPr>
            </w:pPr>
            <w:r>
              <w:rPr>
                <w:sz w:val="20"/>
                <w:szCs w:val="20"/>
              </w:rPr>
              <w:t>1,406,91</w:t>
            </w:r>
            <w:r>
              <w:rPr>
                <w:sz w:val="20"/>
                <w:szCs w:val="20"/>
              </w:rPr>
              <w:t>5</w:t>
            </w:r>
          </w:p>
        </w:tc>
        <w:tc>
          <w:tcPr>
            <w:tcW w:w="0" w:type="auto"/>
            <w:noWrap/>
            <w:vAlign w:val="bottom"/>
            <w:hideMark/>
          </w:tcPr>
          <w:p w14:paraId="01E8E16E" w14:textId="77777777" w:rsidR="00000000" w:rsidRDefault="00832D71">
            <w:pPr>
              <w:pStyle w:val="a3"/>
              <w:spacing w:before="0" w:beforeAutospacing="0" w:after="0" w:afterAutospacing="0"/>
              <w:rPr>
                <w:sz w:val="20"/>
                <w:szCs w:val="20"/>
              </w:rPr>
            </w:pPr>
            <w:r>
              <w:rPr>
                <w:sz w:val="20"/>
                <w:szCs w:val="20"/>
              </w:rPr>
              <w:t> </w:t>
            </w:r>
          </w:p>
        </w:tc>
      </w:tr>
      <w:tr w:rsidR="00000000" w14:paraId="60C39EB0" w14:textId="77777777">
        <w:trPr>
          <w:divId w:val="408190152"/>
          <w:trHeight w:val="200"/>
          <w:tblCellSpacing w:w="15" w:type="dxa"/>
        </w:trPr>
        <w:tc>
          <w:tcPr>
            <w:tcW w:w="0" w:type="auto"/>
            <w:hideMark/>
          </w:tcPr>
          <w:p w14:paraId="1506891E" w14:textId="77777777" w:rsidR="00000000" w:rsidRDefault="00832D71">
            <w:pPr>
              <w:pStyle w:val="a3"/>
              <w:spacing w:before="0" w:beforeAutospacing="0" w:after="0" w:afterAutospacing="0"/>
              <w:rPr>
                <w:sz w:val="20"/>
                <w:szCs w:val="20"/>
              </w:rPr>
            </w:pPr>
            <w:r>
              <w:rPr>
                <w:sz w:val="20"/>
                <w:szCs w:val="20"/>
              </w:rPr>
              <w:t>Less: accumulated depreciatio</w:t>
            </w:r>
            <w:r>
              <w:rPr>
                <w:sz w:val="20"/>
                <w:szCs w:val="20"/>
              </w:rPr>
              <w:t>n</w:t>
            </w:r>
          </w:p>
        </w:tc>
        <w:tc>
          <w:tcPr>
            <w:tcW w:w="0" w:type="auto"/>
            <w:hideMark/>
          </w:tcPr>
          <w:p w14:paraId="36C6FDA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AFE64B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C696610" w14:textId="77777777" w:rsidR="00000000" w:rsidRDefault="00832D71">
            <w:pPr>
              <w:pStyle w:val="a3"/>
              <w:spacing w:before="0" w:beforeAutospacing="0" w:after="0" w:afterAutospacing="0"/>
              <w:jc w:val="right"/>
              <w:rPr>
                <w:sz w:val="20"/>
                <w:szCs w:val="20"/>
              </w:rPr>
            </w:pPr>
            <w:r>
              <w:rPr>
                <w:sz w:val="20"/>
                <w:szCs w:val="20"/>
              </w:rPr>
              <w:t>(</w:t>
            </w:r>
            <w:r>
              <w:rPr>
                <w:sz w:val="20"/>
                <w:szCs w:val="20"/>
              </w:rPr>
              <w:t>874,73</w:t>
            </w:r>
            <w:r>
              <w:rPr>
                <w:sz w:val="20"/>
                <w:szCs w:val="20"/>
              </w:rPr>
              <w:t>7</w:t>
            </w:r>
          </w:p>
        </w:tc>
        <w:tc>
          <w:tcPr>
            <w:tcW w:w="0" w:type="auto"/>
            <w:noWrap/>
            <w:vAlign w:val="bottom"/>
            <w:hideMark/>
          </w:tcPr>
          <w:p w14:paraId="527D6182"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F128F1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6076D0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5EE3D99" w14:textId="77777777" w:rsidR="00000000" w:rsidRDefault="00832D71">
            <w:pPr>
              <w:pStyle w:val="a3"/>
              <w:spacing w:before="0" w:beforeAutospacing="0" w:after="0" w:afterAutospacing="0"/>
              <w:jc w:val="right"/>
              <w:rPr>
                <w:sz w:val="20"/>
                <w:szCs w:val="20"/>
              </w:rPr>
            </w:pPr>
            <w:r>
              <w:rPr>
                <w:sz w:val="20"/>
                <w:szCs w:val="20"/>
              </w:rPr>
              <w:t>(</w:t>
            </w:r>
            <w:r>
              <w:rPr>
                <w:sz w:val="20"/>
                <w:szCs w:val="20"/>
              </w:rPr>
              <w:t>837,78</w:t>
            </w:r>
            <w:r>
              <w:rPr>
                <w:sz w:val="20"/>
                <w:szCs w:val="20"/>
              </w:rPr>
              <w:t>5</w:t>
            </w:r>
          </w:p>
        </w:tc>
        <w:tc>
          <w:tcPr>
            <w:tcW w:w="0" w:type="auto"/>
            <w:noWrap/>
            <w:vAlign w:val="bottom"/>
            <w:hideMark/>
          </w:tcPr>
          <w:p w14:paraId="6FBDD5E5" w14:textId="77777777" w:rsidR="00000000" w:rsidRDefault="00832D71">
            <w:pPr>
              <w:pStyle w:val="a3"/>
              <w:spacing w:before="0" w:beforeAutospacing="0" w:after="0" w:afterAutospacing="0"/>
              <w:rPr>
                <w:sz w:val="20"/>
                <w:szCs w:val="20"/>
              </w:rPr>
            </w:pPr>
            <w:r>
              <w:rPr>
                <w:sz w:val="20"/>
                <w:szCs w:val="20"/>
              </w:rPr>
              <w:t>)</w:t>
            </w:r>
          </w:p>
        </w:tc>
      </w:tr>
      <w:tr w:rsidR="00000000" w14:paraId="2874E4A6" w14:textId="77777777">
        <w:trPr>
          <w:divId w:val="408190152"/>
          <w:trHeight w:val="200"/>
          <w:tblCellSpacing w:w="15" w:type="dxa"/>
        </w:trPr>
        <w:tc>
          <w:tcPr>
            <w:tcW w:w="0" w:type="auto"/>
            <w:hideMark/>
          </w:tcPr>
          <w:p w14:paraId="4BABA06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23465E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F373A3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4C2541D" w14:textId="77777777" w:rsidR="00000000" w:rsidRDefault="00832D71">
            <w:pPr>
              <w:pStyle w:val="a3"/>
              <w:spacing w:before="0" w:beforeAutospacing="0" w:after="0" w:afterAutospacing="0"/>
              <w:jc w:val="right"/>
              <w:rPr>
                <w:sz w:val="20"/>
                <w:szCs w:val="20"/>
              </w:rPr>
            </w:pPr>
            <w:r>
              <w:rPr>
                <w:sz w:val="20"/>
                <w:szCs w:val="20"/>
              </w:rPr>
              <w:t>563,78</w:t>
            </w:r>
            <w:r>
              <w:rPr>
                <w:sz w:val="20"/>
                <w:szCs w:val="20"/>
              </w:rPr>
              <w:t>4</w:t>
            </w:r>
          </w:p>
        </w:tc>
        <w:tc>
          <w:tcPr>
            <w:tcW w:w="0" w:type="auto"/>
            <w:noWrap/>
            <w:vAlign w:val="bottom"/>
            <w:hideMark/>
          </w:tcPr>
          <w:p w14:paraId="2E218C1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8091B7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07053E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050191E" w14:textId="77777777" w:rsidR="00000000" w:rsidRDefault="00832D71">
            <w:pPr>
              <w:pStyle w:val="a3"/>
              <w:spacing w:before="0" w:beforeAutospacing="0" w:after="0" w:afterAutospacing="0"/>
              <w:jc w:val="right"/>
              <w:rPr>
                <w:sz w:val="20"/>
                <w:szCs w:val="20"/>
              </w:rPr>
            </w:pPr>
            <w:r>
              <w:rPr>
                <w:sz w:val="20"/>
                <w:szCs w:val="20"/>
              </w:rPr>
              <w:t>569,13</w:t>
            </w:r>
            <w:r>
              <w:rPr>
                <w:sz w:val="20"/>
                <w:szCs w:val="20"/>
              </w:rPr>
              <w:t>0</w:t>
            </w:r>
          </w:p>
        </w:tc>
        <w:tc>
          <w:tcPr>
            <w:tcW w:w="0" w:type="auto"/>
            <w:noWrap/>
            <w:vAlign w:val="bottom"/>
            <w:hideMark/>
          </w:tcPr>
          <w:p w14:paraId="3BE056F6" w14:textId="77777777" w:rsidR="00000000" w:rsidRDefault="00832D71">
            <w:pPr>
              <w:pStyle w:val="a3"/>
              <w:spacing w:before="0" w:beforeAutospacing="0" w:after="0" w:afterAutospacing="0"/>
              <w:rPr>
                <w:sz w:val="20"/>
                <w:szCs w:val="20"/>
              </w:rPr>
            </w:pPr>
            <w:r>
              <w:rPr>
                <w:sz w:val="20"/>
                <w:szCs w:val="20"/>
              </w:rPr>
              <w:t> </w:t>
            </w:r>
          </w:p>
        </w:tc>
      </w:tr>
    </w:tbl>
    <w:p w14:paraId="27748082" w14:textId="77777777" w:rsidR="00000000" w:rsidRDefault="00832D71">
      <w:pPr>
        <w:pStyle w:val="a3"/>
        <w:spacing w:before="0" w:beforeAutospacing="0" w:after="0" w:afterAutospacing="0"/>
        <w:jc w:val="both"/>
        <w:divId w:val="530532277"/>
        <w:rPr>
          <w:sz w:val="20"/>
          <w:szCs w:val="20"/>
        </w:rPr>
      </w:pPr>
      <w:r>
        <w:rPr>
          <w:sz w:val="20"/>
          <w:szCs w:val="20"/>
        </w:rPr>
        <w:t> </w:t>
      </w:r>
    </w:p>
    <w:p w14:paraId="3B72CAA7" w14:textId="77777777" w:rsidR="00000000" w:rsidRDefault="00832D71">
      <w:pPr>
        <w:pStyle w:val="a3"/>
        <w:spacing w:before="40" w:beforeAutospacing="0" w:after="0" w:afterAutospacing="0"/>
        <w:jc w:val="both"/>
        <w:divId w:val="530532277"/>
        <w:rPr>
          <w:sz w:val="20"/>
          <w:szCs w:val="20"/>
        </w:rPr>
      </w:pPr>
      <w:r>
        <w:rPr>
          <w:sz w:val="20"/>
          <w:szCs w:val="20"/>
        </w:rPr>
        <w:t xml:space="preserve">Depreciation expense for fiscal 2022, 2021 and 2020 amounted to </w:t>
      </w:r>
      <w:r>
        <w:rPr>
          <w:sz w:val="20"/>
          <w:szCs w:val="20"/>
        </w:rPr>
        <w:t>$</w:t>
      </w:r>
      <w:r>
        <w:rPr>
          <w:sz w:val="20"/>
          <w:szCs w:val="20"/>
        </w:rPr>
        <w:t>51,27</w:t>
      </w:r>
      <w:r>
        <w:rPr>
          <w:sz w:val="20"/>
          <w:szCs w:val="20"/>
        </w:rPr>
        <w:t>6</w:t>
      </w:r>
      <w:r>
        <w:rPr>
          <w:sz w:val="20"/>
          <w:szCs w:val="20"/>
        </w:rPr>
        <w:t xml:space="preserve">, </w:t>
      </w:r>
      <w:r>
        <w:rPr>
          <w:sz w:val="20"/>
          <w:szCs w:val="20"/>
        </w:rPr>
        <w:t>$</w:t>
      </w:r>
      <w:r>
        <w:rPr>
          <w:sz w:val="20"/>
          <w:szCs w:val="20"/>
        </w:rPr>
        <w:t>56,50</w:t>
      </w:r>
      <w:r>
        <w:rPr>
          <w:sz w:val="20"/>
          <w:szCs w:val="20"/>
        </w:rPr>
        <w:t>1</w:t>
      </w:r>
      <w:r>
        <w:rPr>
          <w:sz w:val="20"/>
          <w:szCs w:val="20"/>
        </w:rPr>
        <w:t xml:space="preserve"> and </w:t>
      </w:r>
      <w:r>
        <w:rPr>
          <w:sz w:val="20"/>
          <w:szCs w:val="20"/>
        </w:rPr>
        <w:t>$</w:t>
      </w:r>
      <w:r>
        <w:rPr>
          <w:sz w:val="20"/>
          <w:szCs w:val="20"/>
        </w:rPr>
        <w:t>59,72</w:t>
      </w:r>
      <w:r>
        <w:rPr>
          <w:sz w:val="20"/>
          <w:szCs w:val="20"/>
        </w:rPr>
        <w:t>6</w:t>
      </w:r>
      <w:r>
        <w:rPr>
          <w:sz w:val="20"/>
          <w:szCs w:val="20"/>
        </w:rPr>
        <w:t>, respectively</w:t>
      </w:r>
      <w:r>
        <w:rPr>
          <w:sz w:val="20"/>
          <w:szCs w:val="20"/>
        </w:rPr>
        <w:t>.</w:t>
      </w:r>
    </w:p>
    <w:p w14:paraId="3DD530D3" w14:textId="77777777" w:rsidR="00000000" w:rsidRDefault="00832D71">
      <w:pPr>
        <w:pStyle w:val="a3"/>
        <w:spacing w:before="0" w:beforeAutospacing="0" w:after="0" w:afterAutospacing="0"/>
        <w:rPr>
          <w:sz w:val="20"/>
          <w:szCs w:val="20"/>
        </w:rPr>
      </w:pPr>
      <w:r>
        <w:rPr>
          <w:sz w:val="20"/>
          <w:szCs w:val="20"/>
        </w:rPr>
        <w:t> </w:t>
      </w:r>
    </w:p>
    <w:p w14:paraId="36BEE56C" w14:textId="77777777" w:rsidR="00000000" w:rsidRDefault="00832D71">
      <w:pPr>
        <w:pStyle w:val="a3"/>
        <w:spacing w:before="160" w:beforeAutospacing="0" w:after="0" w:afterAutospacing="0"/>
        <w:ind w:hanging="581"/>
        <w:jc w:val="both"/>
        <w:divId w:val="476147002"/>
        <w:rPr>
          <w:sz w:val="20"/>
          <w:szCs w:val="20"/>
        </w:rPr>
      </w:pPr>
      <w:r>
        <w:rPr>
          <w:b/>
          <w:bCs/>
          <w:sz w:val="20"/>
          <w:szCs w:val="20"/>
        </w:rPr>
        <w:t>7. Goodwill and Other Intangible Asset</w:t>
      </w:r>
      <w:r>
        <w:rPr>
          <w:b/>
          <w:bCs/>
          <w:sz w:val="20"/>
          <w:szCs w:val="20"/>
        </w:rPr>
        <w:t>s</w:t>
      </w:r>
    </w:p>
    <w:p w14:paraId="547420BF" w14:textId="77777777" w:rsidR="00000000" w:rsidRDefault="00832D71">
      <w:pPr>
        <w:pStyle w:val="a3"/>
        <w:spacing w:before="120" w:beforeAutospacing="0" w:after="0" w:afterAutospacing="0"/>
        <w:jc w:val="both"/>
        <w:divId w:val="476147002"/>
        <w:rPr>
          <w:sz w:val="20"/>
          <w:szCs w:val="20"/>
        </w:rPr>
      </w:pPr>
      <w:r>
        <w:rPr>
          <w:sz w:val="20"/>
          <w:szCs w:val="20"/>
        </w:rPr>
        <w:t>The Partnership’s fiscal 2022 and fiscal 2021 annual goodwill impairment review resulted in no adjustments</w:t>
      </w:r>
      <w:r>
        <w:rPr>
          <w:sz w:val="20"/>
          <w:szCs w:val="20"/>
        </w:rPr>
        <w:t xml:space="preserve"> to the carrying amount of goodwill</w:t>
      </w:r>
      <w:r>
        <w:rPr>
          <w:sz w:val="20"/>
          <w:szCs w:val="20"/>
        </w:rPr>
        <w:t>.</w:t>
      </w:r>
    </w:p>
    <w:p w14:paraId="0619284A" w14:textId="77777777" w:rsidR="00000000" w:rsidRDefault="00832D71">
      <w:pPr>
        <w:pStyle w:val="a3"/>
        <w:spacing w:before="240" w:beforeAutospacing="0" w:after="0" w:afterAutospacing="0"/>
        <w:jc w:val="both"/>
        <w:divId w:val="2018117003"/>
        <w:rPr>
          <w:sz w:val="20"/>
          <w:szCs w:val="20"/>
        </w:rPr>
      </w:pPr>
      <w:r>
        <w:rPr>
          <w:sz w:val="20"/>
          <w:szCs w:val="20"/>
        </w:rPr>
        <w:t>The carrying values of goodwill assigned to the Partnership’s operating segments are as follows</w:t>
      </w:r>
      <w:r>
        <w:rPr>
          <w:sz w:val="20"/>
          <w:szCs w:val="20"/>
        </w:rPr>
        <w:t>:</w:t>
      </w:r>
    </w:p>
    <w:p w14:paraId="0E2B5DC0" w14:textId="77777777" w:rsidR="00000000" w:rsidRDefault="00832D71">
      <w:pPr>
        <w:pStyle w:val="a3"/>
        <w:spacing w:before="0" w:beforeAutospacing="0" w:after="0" w:afterAutospacing="0"/>
        <w:divId w:val="201811700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7"/>
        <w:gridCol w:w="110"/>
        <w:gridCol w:w="160"/>
        <w:gridCol w:w="860"/>
        <w:gridCol w:w="127"/>
        <w:gridCol w:w="110"/>
        <w:gridCol w:w="160"/>
        <w:gridCol w:w="851"/>
        <w:gridCol w:w="127"/>
        <w:gridCol w:w="110"/>
        <w:gridCol w:w="161"/>
        <w:gridCol w:w="1011"/>
        <w:gridCol w:w="110"/>
        <w:gridCol w:w="110"/>
        <w:gridCol w:w="160"/>
        <w:gridCol w:w="860"/>
        <w:gridCol w:w="142"/>
      </w:tblGrid>
      <w:tr w:rsidR="00000000" w14:paraId="4D4A2B41" w14:textId="77777777">
        <w:trPr>
          <w:divId w:val="2018117003"/>
          <w:tblCellSpacing w:w="15" w:type="dxa"/>
        </w:trPr>
        <w:tc>
          <w:tcPr>
            <w:tcW w:w="2151" w:type="pct"/>
            <w:vAlign w:val="center"/>
            <w:hideMark/>
          </w:tcPr>
          <w:p w14:paraId="30B85170" w14:textId="77777777" w:rsidR="00000000" w:rsidRDefault="00832D71">
            <w:pPr>
              <w:rPr>
                <w:sz w:val="20"/>
                <w:szCs w:val="20"/>
              </w:rPr>
            </w:pPr>
          </w:p>
        </w:tc>
        <w:tc>
          <w:tcPr>
            <w:tcW w:w="51" w:type="pct"/>
            <w:vAlign w:val="center"/>
            <w:hideMark/>
          </w:tcPr>
          <w:p w14:paraId="2A19027E" w14:textId="77777777" w:rsidR="00000000" w:rsidRDefault="00832D71">
            <w:pPr>
              <w:rPr>
                <w:rFonts w:eastAsia="Times New Roman"/>
                <w:sz w:val="20"/>
                <w:szCs w:val="20"/>
              </w:rPr>
            </w:pPr>
          </w:p>
        </w:tc>
        <w:tc>
          <w:tcPr>
            <w:tcW w:w="50" w:type="pct"/>
            <w:vAlign w:val="center"/>
            <w:hideMark/>
          </w:tcPr>
          <w:p w14:paraId="1C815638" w14:textId="77777777" w:rsidR="00000000" w:rsidRDefault="00832D71">
            <w:pPr>
              <w:rPr>
                <w:rFonts w:eastAsia="Times New Roman"/>
                <w:sz w:val="20"/>
                <w:szCs w:val="20"/>
              </w:rPr>
            </w:pPr>
          </w:p>
        </w:tc>
        <w:tc>
          <w:tcPr>
            <w:tcW w:w="378" w:type="pct"/>
            <w:vAlign w:val="center"/>
            <w:hideMark/>
          </w:tcPr>
          <w:p w14:paraId="28D56FE5" w14:textId="77777777" w:rsidR="00000000" w:rsidRDefault="00832D71">
            <w:pPr>
              <w:rPr>
                <w:rFonts w:eastAsia="Times New Roman"/>
                <w:sz w:val="20"/>
                <w:szCs w:val="20"/>
              </w:rPr>
            </w:pPr>
          </w:p>
        </w:tc>
        <w:tc>
          <w:tcPr>
            <w:tcW w:w="50" w:type="pct"/>
            <w:vAlign w:val="center"/>
            <w:hideMark/>
          </w:tcPr>
          <w:p w14:paraId="1F327DF5" w14:textId="77777777" w:rsidR="00000000" w:rsidRDefault="00832D71">
            <w:pPr>
              <w:rPr>
                <w:rFonts w:eastAsia="Times New Roman"/>
                <w:sz w:val="20"/>
                <w:szCs w:val="20"/>
              </w:rPr>
            </w:pPr>
          </w:p>
        </w:tc>
        <w:tc>
          <w:tcPr>
            <w:tcW w:w="51" w:type="pct"/>
            <w:vAlign w:val="center"/>
            <w:hideMark/>
          </w:tcPr>
          <w:p w14:paraId="6F16EAB4" w14:textId="77777777" w:rsidR="00000000" w:rsidRDefault="00832D71">
            <w:pPr>
              <w:rPr>
                <w:rFonts w:eastAsia="Times New Roman"/>
                <w:sz w:val="20"/>
                <w:szCs w:val="20"/>
              </w:rPr>
            </w:pPr>
          </w:p>
        </w:tc>
        <w:tc>
          <w:tcPr>
            <w:tcW w:w="50" w:type="pct"/>
            <w:vAlign w:val="center"/>
            <w:hideMark/>
          </w:tcPr>
          <w:p w14:paraId="5D36FF43" w14:textId="77777777" w:rsidR="00000000" w:rsidRDefault="00832D71">
            <w:pPr>
              <w:rPr>
                <w:rFonts w:eastAsia="Times New Roman"/>
                <w:sz w:val="20"/>
                <w:szCs w:val="20"/>
              </w:rPr>
            </w:pPr>
          </w:p>
        </w:tc>
        <w:tc>
          <w:tcPr>
            <w:tcW w:w="690" w:type="pct"/>
            <w:vAlign w:val="center"/>
            <w:hideMark/>
          </w:tcPr>
          <w:p w14:paraId="21EBA18E" w14:textId="77777777" w:rsidR="00000000" w:rsidRDefault="00832D71">
            <w:pPr>
              <w:rPr>
                <w:rFonts w:eastAsia="Times New Roman"/>
                <w:sz w:val="20"/>
                <w:szCs w:val="20"/>
              </w:rPr>
            </w:pPr>
          </w:p>
        </w:tc>
        <w:tc>
          <w:tcPr>
            <w:tcW w:w="50" w:type="pct"/>
            <w:vAlign w:val="center"/>
            <w:hideMark/>
          </w:tcPr>
          <w:p w14:paraId="67A193DC" w14:textId="77777777" w:rsidR="00000000" w:rsidRDefault="00832D71">
            <w:pPr>
              <w:rPr>
                <w:rFonts w:eastAsia="Times New Roman"/>
                <w:sz w:val="20"/>
                <w:szCs w:val="20"/>
              </w:rPr>
            </w:pPr>
          </w:p>
        </w:tc>
        <w:tc>
          <w:tcPr>
            <w:tcW w:w="51" w:type="pct"/>
            <w:vAlign w:val="center"/>
            <w:hideMark/>
          </w:tcPr>
          <w:p w14:paraId="3CB23F81" w14:textId="77777777" w:rsidR="00000000" w:rsidRDefault="00832D71">
            <w:pPr>
              <w:rPr>
                <w:rFonts w:eastAsia="Times New Roman"/>
                <w:sz w:val="20"/>
                <w:szCs w:val="20"/>
              </w:rPr>
            </w:pPr>
          </w:p>
        </w:tc>
        <w:tc>
          <w:tcPr>
            <w:tcW w:w="50" w:type="pct"/>
            <w:vAlign w:val="center"/>
            <w:hideMark/>
          </w:tcPr>
          <w:p w14:paraId="1D3B16E0" w14:textId="77777777" w:rsidR="00000000" w:rsidRDefault="00832D71">
            <w:pPr>
              <w:rPr>
                <w:rFonts w:eastAsia="Times New Roman"/>
                <w:sz w:val="20"/>
                <w:szCs w:val="20"/>
              </w:rPr>
            </w:pPr>
          </w:p>
        </w:tc>
        <w:tc>
          <w:tcPr>
            <w:tcW w:w="793" w:type="pct"/>
            <w:vAlign w:val="center"/>
            <w:hideMark/>
          </w:tcPr>
          <w:p w14:paraId="7EE94F23" w14:textId="77777777" w:rsidR="00000000" w:rsidRDefault="00832D71">
            <w:pPr>
              <w:rPr>
                <w:rFonts w:eastAsia="Times New Roman"/>
                <w:sz w:val="20"/>
                <w:szCs w:val="20"/>
              </w:rPr>
            </w:pPr>
          </w:p>
        </w:tc>
        <w:tc>
          <w:tcPr>
            <w:tcW w:w="50" w:type="pct"/>
            <w:vAlign w:val="center"/>
            <w:hideMark/>
          </w:tcPr>
          <w:p w14:paraId="578DE1A8" w14:textId="77777777" w:rsidR="00000000" w:rsidRDefault="00832D71">
            <w:pPr>
              <w:rPr>
                <w:rFonts w:eastAsia="Times New Roman"/>
                <w:sz w:val="20"/>
                <w:szCs w:val="20"/>
              </w:rPr>
            </w:pPr>
          </w:p>
        </w:tc>
        <w:tc>
          <w:tcPr>
            <w:tcW w:w="51" w:type="pct"/>
            <w:vAlign w:val="center"/>
            <w:hideMark/>
          </w:tcPr>
          <w:p w14:paraId="7916D241" w14:textId="77777777" w:rsidR="00000000" w:rsidRDefault="00832D71">
            <w:pPr>
              <w:rPr>
                <w:rFonts w:eastAsia="Times New Roman"/>
                <w:sz w:val="20"/>
                <w:szCs w:val="20"/>
              </w:rPr>
            </w:pPr>
          </w:p>
        </w:tc>
        <w:tc>
          <w:tcPr>
            <w:tcW w:w="50" w:type="pct"/>
            <w:vAlign w:val="center"/>
            <w:hideMark/>
          </w:tcPr>
          <w:p w14:paraId="7B8CFADA" w14:textId="77777777" w:rsidR="00000000" w:rsidRDefault="00832D71">
            <w:pPr>
              <w:rPr>
                <w:rFonts w:eastAsia="Times New Roman"/>
                <w:sz w:val="20"/>
                <w:szCs w:val="20"/>
              </w:rPr>
            </w:pPr>
          </w:p>
        </w:tc>
        <w:tc>
          <w:tcPr>
            <w:tcW w:w="379" w:type="pct"/>
            <w:vAlign w:val="center"/>
            <w:hideMark/>
          </w:tcPr>
          <w:p w14:paraId="6A80651E" w14:textId="77777777" w:rsidR="00000000" w:rsidRDefault="00832D71">
            <w:pPr>
              <w:rPr>
                <w:rFonts w:eastAsia="Times New Roman"/>
                <w:sz w:val="20"/>
                <w:szCs w:val="20"/>
              </w:rPr>
            </w:pPr>
          </w:p>
        </w:tc>
        <w:tc>
          <w:tcPr>
            <w:tcW w:w="50" w:type="pct"/>
            <w:vAlign w:val="center"/>
            <w:hideMark/>
          </w:tcPr>
          <w:p w14:paraId="5AB42DB4" w14:textId="77777777" w:rsidR="00000000" w:rsidRDefault="00832D71">
            <w:pPr>
              <w:rPr>
                <w:rFonts w:eastAsia="Times New Roman"/>
                <w:sz w:val="20"/>
                <w:szCs w:val="20"/>
              </w:rPr>
            </w:pPr>
          </w:p>
        </w:tc>
      </w:tr>
      <w:tr w:rsidR="00000000" w14:paraId="1C437BD0" w14:textId="77777777">
        <w:trPr>
          <w:divId w:val="2018117003"/>
          <w:trHeight w:val="160"/>
          <w:tblCellSpacing w:w="15" w:type="dxa"/>
        </w:trPr>
        <w:tc>
          <w:tcPr>
            <w:tcW w:w="0" w:type="auto"/>
            <w:vAlign w:val="bottom"/>
            <w:hideMark/>
          </w:tcPr>
          <w:p w14:paraId="316A46CA"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52A759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8EF1E1E" w14:textId="77777777" w:rsidR="00000000" w:rsidRDefault="00832D71">
            <w:pPr>
              <w:pStyle w:val="a3"/>
              <w:spacing w:before="0" w:beforeAutospacing="0" w:after="0" w:afterAutospacing="0"/>
              <w:jc w:val="center"/>
              <w:rPr>
                <w:sz w:val="16"/>
                <w:szCs w:val="16"/>
              </w:rPr>
            </w:pPr>
            <w:r>
              <w:rPr>
                <w:b/>
                <w:bCs/>
                <w:sz w:val="16"/>
                <w:szCs w:val="16"/>
              </w:rPr>
              <w:t>Propan</w:t>
            </w:r>
            <w:r>
              <w:rPr>
                <w:b/>
                <w:bCs/>
                <w:sz w:val="16"/>
                <w:szCs w:val="16"/>
              </w:rPr>
              <w:t>e</w:t>
            </w:r>
          </w:p>
        </w:tc>
        <w:tc>
          <w:tcPr>
            <w:tcW w:w="0" w:type="auto"/>
            <w:vAlign w:val="bottom"/>
            <w:hideMark/>
          </w:tcPr>
          <w:p w14:paraId="68633811"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16AD5D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A9A8800" w14:textId="77777777" w:rsidR="00000000" w:rsidRDefault="00832D71">
            <w:pPr>
              <w:pStyle w:val="a3"/>
              <w:spacing w:before="0" w:beforeAutospacing="0" w:after="0" w:afterAutospacing="0"/>
              <w:jc w:val="center"/>
              <w:rPr>
                <w:sz w:val="16"/>
                <w:szCs w:val="16"/>
              </w:rPr>
            </w:pPr>
            <w:r>
              <w:rPr>
                <w:b/>
                <w:bCs/>
                <w:sz w:val="16"/>
                <w:szCs w:val="16"/>
              </w:rPr>
              <w:t>Fuel oil and</w:t>
            </w:r>
            <w:r>
              <w:rPr>
                <w:b/>
                <w:bCs/>
                <w:sz w:val="16"/>
                <w:szCs w:val="16"/>
              </w:rPr>
              <w:br/>
              <w:t>refined fuel</w:t>
            </w:r>
            <w:r>
              <w:rPr>
                <w:b/>
                <w:bCs/>
                <w:sz w:val="16"/>
                <w:szCs w:val="16"/>
              </w:rPr>
              <w:t>s</w:t>
            </w:r>
          </w:p>
        </w:tc>
        <w:tc>
          <w:tcPr>
            <w:tcW w:w="0" w:type="auto"/>
            <w:vAlign w:val="bottom"/>
            <w:hideMark/>
          </w:tcPr>
          <w:p w14:paraId="55603B3F"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7CDB22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938934E" w14:textId="77777777" w:rsidR="00000000" w:rsidRDefault="00832D71">
            <w:pPr>
              <w:pStyle w:val="a3"/>
              <w:spacing w:before="0" w:beforeAutospacing="0" w:after="0" w:afterAutospacing="0"/>
              <w:jc w:val="center"/>
              <w:rPr>
                <w:sz w:val="16"/>
                <w:szCs w:val="16"/>
              </w:rPr>
            </w:pPr>
            <w:r>
              <w:rPr>
                <w:b/>
                <w:bCs/>
                <w:sz w:val="16"/>
                <w:szCs w:val="16"/>
              </w:rPr>
              <w:t>Natural gas and</w:t>
            </w:r>
            <w:r>
              <w:rPr>
                <w:b/>
                <w:bCs/>
                <w:sz w:val="16"/>
                <w:szCs w:val="16"/>
              </w:rPr>
              <w:br/>
              <w:t>electricit</w:t>
            </w:r>
            <w:r>
              <w:rPr>
                <w:b/>
                <w:bCs/>
                <w:sz w:val="16"/>
                <w:szCs w:val="16"/>
              </w:rPr>
              <w:t>y</w:t>
            </w:r>
          </w:p>
        </w:tc>
        <w:tc>
          <w:tcPr>
            <w:tcW w:w="0" w:type="auto"/>
            <w:vAlign w:val="bottom"/>
            <w:hideMark/>
          </w:tcPr>
          <w:p w14:paraId="6A77EAF4"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57D87C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BCDCD49" w14:textId="77777777" w:rsidR="00000000" w:rsidRDefault="00832D71">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14:paraId="714918A6"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39DA9B9" w14:textId="77777777">
        <w:trPr>
          <w:divId w:val="2018117003"/>
          <w:trHeight w:val="200"/>
          <w:tblCellSpacing w:w="15" w:type="dxa"/>
        </w:trPr>
        <w:tc>
          <w:tcPr>
            <w:tcW w:w="0" w:type="auto"/>
            <w:vAlign w:val="bottom"/>
            <w:hideMark/>
          </w:tcPr>
          <w:p w14:paraId="63F1966E" w14:textId="77777777" w:rsidR="00000000" w:rsidRDefault="00832D71">
            <w:pPr>
              <w:pStyle w:val="a3"/>
              <w:spacing w:before="0" w:beforeAutospacing="0" w:after="0" w:afterAutospacing="0"/>
              <w:rPr>
                <w:sz w:val="20"/>
                <w:szCs w:val="20"/>
              </w:rPr>
            </w:pPr>
            <w:r>
              <w:rPr>
                <w:sz w:val="20"/>
                <w:szCs w:val="20"/>
              </w:rPr>
              <w:t>Balance as of September 25, 202</w:t>
            </w:r>
            <w:r>
              <w:rPr>
                <w:sz w:val="20"/>
                <w:szCs w:val="20"/>
              </w:rPr>
              <w:t>1</w:t>
            </w:r>
          </w:p>
        </w:tc>
        <w:tc>
          <w:tcPr>
            <w:tcW w:w="0" w:type="auto"/>
            <w:hideMark/>
          </w:tcPr>
          <w:p w14:paraId="4624D8D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E9EC87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C7DE880"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54D843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9D511DD"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E1AF864"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7BB7FB8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C38624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A1EEC2C"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F573E8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106CCA3"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CE54BE7"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2A333DC" w14:textId="77777777">
        <w:trPr>
          <w:divId w:val="2018117003"/>
          <w:trHeight w:val="200"/>
          <w:tblCellSpacing w:w="15" w:type="dxa"/>
        </w:trPr>
        <w:tc>
          <w:tcPr>
            <w:tcW w:w="0" w:type="auto"/>
            <w:hideMark/>
          </w:tcPr>
          <w:p w14:paraId="7284D8A6" w14:textId="77777777" w:rsidR="00000000" w:rsidRDefault="00832D71">
            <w:pPr>
              <w:pStyle w:val="a3"/>
              <w:spacing w:before="0" w:beforeAutospacing="0" w:after="0" w:afterAutospacing="0"/>
              <w:ind w:left="200"/>
              <w:rPr>
                <w:sz w:val="20"/>
                <w:szCs w:val="20"/>
              </w:rPr>
            </w:pPr>
            <w:r>
              <w:rPr>
                <w:sz w:val="20"/>
                <w:szCs w:val="20"/>
              </w:rPr>
              <w:t>Goodwil</w:t>
            </w:r>
            <w:r>
              <w:rPr>
                <w:sz w:val="20"/>
                <w:szCs w:val="20"/>
              </w:rPr>
              <w:t>l</w:t>
            </w:r>
          </w:p>
        </w:tc>
        <w:tc>
          <w:tcPr>
            <w:tcW w:w="0" w:type="auto"/>
            <w:hideMark/>
          </w:tcPr>
          <w:p w14:paraId="6D784C3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B10DA2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08F0ED3" w14:textId="77777777" w:rsidR="00000000" w:rsidRDefault="00832D71">
            <w:pPr>
              <w:pStyle w:val="a3"/>
              <w:spacing w:before="0" w:beforeAutospacing="0" w:after="0" w:afterAutospacing="0"/>
              <w:jc w:val="right"/>
              <w:rPr>
                <w:sz w:val="20"/>
                <w:szCs w:val="20"/>
              </w:rPr>
            </w:pPr>
            <w:r>
              <w:rPr>
                <w:sz w:val="20"/>
                <w:szCs w:val="20"/>
              </w:rPr>
              <w:t>1,094,68</w:t>
            </w:r>
            <w:r>
              <w:rPr>
                <w:sz w:val="20"/>
                <w:szCs w:val="20"/>
              </w:rPr>
              <w:t>8</w:t>
            </w:r>
          </w:p>
        </w:tc>
        <w:tc>
          <w:tcPr>
            <w:tcW w:w="0" w:type="auto"/>
            <w:noWrap/>
            <w:vAlign w:val="bottom"/>
            <w:hideMark/>
          </w:tcPr>
          <w:p w14:paraId="5B386EA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EF9A06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98BA84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DC34DE3" w14:textId="77777777" w:rsidR="00000000" w:rsidRDefault="00832D71">
            <w:pPr>
              <w:pStyle w:val="a3"/>
              <w:spacing w:before="0" w:beforeAutospacing="0" w:after="0" w:afterAutospacing="0"/>
              <w:jc w:val="right"/>
              <w:rPr>
                <w:sz w:val="20"/>
                <w:szCs w:val="20"/>
              </w:rPr>
            </w:pPr>
            <w:r>
              <w:rPr>
                <w:sz w:val="20"/>
                <w:szCs w:val="20"/>
              </w:rPr>
              <w:t>10,90</w:t>
            </w:r>
            <w:r>
              <w:rPr>
                <w:sz w:val="20"/>
                <w:szCs w:val="20"/>
              </w:rPr>
              <w:t>0</w:t>
            </w:r>
          </w:p>
        </w:tc>
        <w:tc>
          <w:tcPr>
            <w:tcW w:w="0" w:type="auto"/>
            <w:noWrap/>
            <w:vAlign w:val="bottom"/>
            <w:hideMark/>
          </w:tcPr>
          <w:p w14:paraId="388FC9B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F3B546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22250E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986AB6D" w14:textId="77777777" w:rsidR="00000000" w:rsidRDefault="00832D71">
            <w:pPr>
              <w:pStyle w:val="a3"/>
              <w:spacing w:before="0" w:beforeAutospacing="0" w:after="0" w:afterAutospacing="0"/>
              <w:jc w:val="right"/>
              <w:rPr>
                <w:sz w:val="20"/>
                <w:szCs w:val="20"/>
              </w:rPr>
            </w:pPr>
            <w:r>
              <w:rPr>
                <w:sz w:val="20"/>
                <w:szCs w:val="20"/>
              </w:rPr>
              <w:t>7,90</w:t>
            </w:r>
            <w:r>
              <w:rPr>
                <w:sz w:val="20"/>
                <w:szCs w:val="20"/>
              </w:rPr>
              <w:t>0</w:t>
            </w:r>
          </w:p>
        </w:tc>
        <w:tc>
          <w:tcPr>
            <w:tcW w:w="0" w:type="auto"/>
            <w:noWrap/>
            <w:vAlign w:val="bottom"/>
            <w:hideMark/>
          </w:tcPr>
          <w:p w14:paraId="5E6B319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15A422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EA892E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418A5B8" w14:textId="77777777" w:rsidR="00000000" w:rsidRDefault="00832D71">
            <w:pPr>
              <w:pStyle w:val="a3"/>
              <w:spacing w:before="0" w:beforeAutospacing="0" w:after="0" w:afterAutospacing="0"/>
              <w:jc w:val="right"/>
              <w:rPr>
                <w:sz w:val="20"/>
                <w:szCs w:val="20"/>
              </w:rPr>
            </w:pPr>
            <w:r>
              <w:rPr>
                <w:sz w:val="20"/>
                <w:szCs w:val="20"/>
              </w:rPr>
              <w:t>1,113,48</w:t>
            </w:r>
            <w:r>
              <w:rPr>
                <w:sz w:val="20"/>
                <w:szCs w:val="20"/>
              </w:rPr>
              <w:t>8</w:t>
            </w:r>
          </w:p>
        </w:tc>
        <w:tc>
          <w:tcPr>
            <w:tcW w:w="0" w:type="auto"/>
            <w:noWrap/>
            <w:vAlign w:val="bottom"/>
            <w:hideMark/>
          </w:tcPr>
          <w:p w14:paraId="709A8312" w14:textId="77777777" w:rsidR="00000000" w:rsidRDefault="00832D71">
            <w:pPr>
              <w:pStyle w:val="a3"/>
              <w:spacing w:before="0" w:beforeAutospacing="0" w:after="0" w:afterAutospacing="0"/>
              <w:rPr>
                <w:sz w:val="20"/>
                <w:szCs w:val="20"/>
              </w:rPr>
            </w:pPr>
            <w:r>
              <w:rPr>
                <w:sz w:val="20"/>
                <w:szCs w:val="20"/>
              </w:rPr>
              <w:t> </w:t>
            </w:r>
          </w:p>
        </w:tc>
      </w:tr>
      <w:tr w:rsidR="00000000" w14:paraId="7E6BC727" w14:textId="77777777">
        <w:trPr>
          <w:divId w:val="2018117003"/>
          <w:trHeight w:val="200"/>
          <w:tblCellSpacing w:w="15" w:type="dxa"/>
        </w:trPr>
        <w:tc>
          <w:tcPr>
            <w:tcW w:w="0" w:type="auto"/>
            <w:hideMark/>
          </w:tcPr>
          <w:p w14:paraId="7A097588" w14:textId="77777777" w:rsidR="00000000" w:rsidRDefault="00832D71">
            <w:pPr>
              <w:pStyle w:val="a3"/>
              <w:spacing w:before="0" w:beforeAutospacing="0" w:after="0" w:afterAutospacing="0"/>
              <w:ind w:left="200"/>
              <w:rPr>
                <w:sz w:val="20"/>
                <w:szCs w:val="20"/>
              </w:rPr>
            </w:pPr>
            <w:r>
              <w:rPr>
                <w:sz w:val="20"/>
                <w:szCs w:val="20"/>
              </w:rPr>
              <w:t>Accumulated adjustment</w:t>
            </w:r>
            <w:r>
              <w:rPr>
                <w:sz w:val="20"/>
                <w:szCs w:val="20"/>
              </w:rPr>
              <w:t>s</w:t>
            </w:r>
          </w:p>
        </w:tc>
        <w:tc>
          <w:tcPr>
            <w:tcW w:w="0" w:type="auto"/>
            <w:hideMark/>
          </w:tcPr>
          <w:p w14:paraId="57EED0E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FD1EAF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32EE709"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296202D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01398E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ADE4CA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D2FA857" w14:textId="77777777" w:rsidR="00000000" w:rsidRDefault="00832D71">
            <w:pPr>
              <w:pStyle w:val="a3"/>
              <w:spacing w:before="0" w:beforeAutospacing="0" w:after="0" w:afterAutospacing="0"/>
              <w:jc w:val="right"/>
              <w:rPr>
                <w:sz w:val="20"/>
                <w:szCs w:val="20"/>
              </w:rPr>
            </w:pPr>
            <w:r>
              <w:rPr>
                <w:sz w:val="20"/>
                <w:szCs w:val="20"/>
              </w:rPr>
              <w:t>(</w:t>
            </w:r>
            <w:r>
              <w:rPr>
                <w:sz w:val="20"/>
                <w:szCs w:val="20"/>
              </w:rPr>
              <w:t>6,46</w:t>
            </w:r>
            <w:r>
              <w:rPr>
                <w:sz w:val="20"/>
                <w:szCs w:val="20"/>
              </w:rPr>
              <w:t>2</w:t>
            </w:r>
          </w:p>
        </w:tc>
        <w:tc>
          <w:tcPr>
            <w:tcW w:w="0" w:type="auto"/>
            <w:noWrap/>
            <w:vAlign w:val="bottom"/>
            <w:hideMark/>
          </w:tcPr>
          <w:p w14:paraId="6859ED3E"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CEF42F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1E980C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5FD69B1"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75CC959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494EB4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013AA3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D76A1A8" w14:textId="77777777" w:rsidR="00000000" w:rsidRDefault="00832D71">
            <w:pPr>
              <w:pStyle w:val="a3"/>
              <w:spacing w:before="0" w:beforeAutospacing="0" w:after="0" w:afterAutospacing="0"/>
              <w:jc w:val="right"/>
              <w:rPr>
                <w:sz w:val="20"/>
                <w:szCs w:val="20"/>
              </w:rPr>
            </w:pPr>
            <w:r>
              <w:rPr>
                <w:sz w:val="20"/>
                <w:szCs w:val="20"/>
              </w:rPr>
              <w:t>(</w:t>
            </w:r>
            <w:r>
              <w:rPr>
                <w:sz w:val="20"/>
                <w:szCs w:val="20"/>
              </w:rPr>
              <w:t>6,46</w:t>
            </w:r>
            <w:r>
              <w:rPr>
                <w:sz w:val="20"/>
                <w:szCs w:val="20"/>
              </w:rPr>
              <w:t>2</w:t>
            </w:r>
          </w:p>
        </w:tc>
        <w:tc>
          <w:tcPr>
            <w:tcW w:w="0" w:type="auto"/>
            <w:noWrap/>
            <w:vAlign w:val="bottom"/>
            <w:hideMark/>
          </w:tcPr>
          <w:p w14:paraId="3B24660D" w14:textId="77777777" w:rsidR="00000000" w:rsidRDefault="00832D71">
            <w:pPr>
              <w:pStyle w:val="a3"/>
              <w:spacing w:before="0" w:beforeAutospacing="0" w:after="0" w:afterAutospacing="0"/>
              <w:rPr>
                <w:sz w:val="20"/>
                <w:szCs w:val="20"/>
              </w:rPr>
            </w:pPr>
            <w:r>
              <w:rPr>
                <w:sz w:val="20"/>
                <w:szCs w:val="20"/>
              </w:rPr>
              <w:t>)</w:t>
            </w:r>
          </w:p>
        </w:tc>
      </w:tr>
      <w:tr w:rsidR="00000000" w14:paraId="4DBA6816" w14:textId="77777777">
        <w:trPr>
          <w:divId w:val="2018117003"/>
          <w:trHeight w:val="200"/>
          <w:tblCellSpacing w:w="15" w:type="dxa"/>
        </w:trPr>
        <w:tc>
          <w:tcPr>
            <w:tcW w:w="0" w:type="auto"/>
            <w:hideMark/>
          </w:tcPr>
          <w:p w14:paraId="07C4197C" w14:textId="77777777" w:rsidR="00000000" w:rsidRDefault="00832D71">
            <w:pPr>
              <w:pStyle w:val="a3"/>
              <w:spacing w:before="0" w:beforeAutospacing="0" w:after="0" w:afterAutospacing="0"/>
              <w:ind w:left="200"/>
              <w:rPr>
                <w:sz w:val="20"/>
                <w:szCs w:val="20"/>
              </w:rPr>
            </w:pPr>
            <w:r>
              <w:rPr>
                <w:sz w:val="20"/>
                <w:szCs w:val="20"/>
              </w:rPr>
              <w:t> </w:t>
            </w:r>
          </w:p>
        </w:tc>
        <w:tc>
          <w:tcPr>
            <w:tcW w:w="0" w:type="auto"/>
            <w:hideMark/>
          </w:tcPr>
          <w:p w14:paraId="0912565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F86BBC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EDE3396" w14:textId="77777777" w:rsidR="00000000" w:rsidRDefault="00832D71">
            <w:pPr>
              <w:pStyle w:val="a3"/>
              <w:spacing w:before="0" w:beforeAutospacing="0" w:after="0" w:afterAutospacing="0"/>
              <w:jc w:val="right"/>
              <w:rPr>
                <w:sz w:val="20"/>
                <w:szCs w:val="20"/>
              </w:rPr>
            </w:pPr>
            <w:r>
              <w:rPr>
                <w:sz w:val="20"/>
                <w:szCs w:val="20"/>
              </w:rPr>
              <w:t>1,094,68</w:t>
            </w:r>
            <w:r>
              <w:rPr>
                <w:sz w:val="20"/>
                <w:szCs w:val="20"/>
              </w:rPr>
              <w:t>8</w:t>
            </w:r>
          </w:p>
        </w:tc>
        <w:tc>
          <w:tcPr>
            <w:tcW w:w="0" w:type="auto"/>
            <w:noWrap/>
            <w:vAlign w:val="bottom"/>
            <w:hideMark/>
          </w:tcPr>
          <w:p w14:paraId="7D6DABC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362CFA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0C5DB1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173DB73" w14:textId="77777777" w:rsidR="00000000" w:rsidRDefault="00832D71">
            <w:pPr>
              <w:pStyle w:val="a3"/>
              <w:spacing w:before="0" w:beforeAutospacing="0" w:after="0" w:afterAutospacing="0"/>
              <w:jc w:val="right"/>
              <w:rPr>
                <w:sz w:val="20"/>
                <w:szCs w:val="20"/>
              </w:rPr>
            </w:pPr>
            <w:r>
              <w:rPr>
                <w:sz w:val="20"/>
                <w:szCs w:val="20"/>
              </w:rPr>
              <w:t>4,43</w:t>
            </w:r>
            <w:r>
              <w:rPr>
                <w:sz w:val="20"/>
                <w:szCs w:val="20"/>
              </w:rPr>
              <w:t>8</w:t>
            </w:r>
          </w:p>
        </w:tc>
        <w:tc>
          <w:tcPr>
            <w:tcW w:w="0" w:type="auto"/>
            <w:noWrap/>
            <w:vAlign w:val="bottom"/>
            <w:hideMark/>
          </w:tcPr>
          <w:p w14:paraId="44B6A48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DD3333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A60090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147927B" w14:textId="77777777" w:rsidR="00000000" w:rsidRDefault="00832D71">
            <w:pPr>
              <w:pStyle w:val="a3"/>
              <w:spacing w:before="0" w:beforeAutospacing="0" w:after="0" w:afterAutospacing="0"/>
              <w:jc w:val="right"/>
              <w:rPr>
                <w:sz w:val="20"/>
                <w:szCs w:val="20"/>
              </w:rPr>
            </w:pPr>
            <w:r>
              <w:rPr>
                <w:sz w:val="20"/>
                <w:szCs w:val="20"/>
              </w:rPr>
              <w:t>7,90</w:t>
            </w:r>
            <w:r>
              <w:rPr>
                <w:sz w:val="20"/>
                <w:szCs w:val="20"/>
              </w:rPr>
              <w:t>0</w:t>
            </w:r>
          </w:p>
        </w:tc>
        <w:tc>
          <w:tcPr>
            <w:tcW w:w="0" w:type="auto"/>
            <w:noWrap/>
            <w:vAlign w:val="bottom"/>
            <w:hideMark/>
          </w:tcPr>
          <w:p w14:paraId="61CB6E5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454208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A707B4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835973B" w14:textId="77777777" w:rsidR="00000000" w:rsidRDefault="00832D71">
            <w:pPr>
              <w:pStyle w:val="a3"/>
              <w:spacing w:before="0" w:beforeAutospacing="0" w:after="0" w:afterAutospacing="0"/>
              <w:jc w:val="right"/>
              <w:rPr>
                <w:sz w:val="20"/>
                <w:szCs w:val="20"/>
              </w:rPr>
            </w:pPr>
            <w:r>
              <w:rPr>
                <w:sz w:val="20"/>
                <w:szCs w:val="20"/>
              </w:rPr>
              <w:t>1,107,02</w:t>
            </w:r>
            <w:r>
              <w:rPr>
                <w:sz w:val="20"/>
                <w:szCs w:val="20"/>
              </w:rPr>
              <w:t>6</w:t>
            </w:r>
          </w:p>
        </w:tc>
        <w:tc>
          <w:tcPr>
            <w:tcW w:w="0" w:type="auto"/>
            <w:noWrap/>
            <w:vAlign w:val="bottom"/>
            <w:hideMark/>
          </w:tcPr>
          <w:p w14:paraId="0AF75667" w14:textId="77777777" w:rsidR="00000000" w:rsidRDefault="00832D71">
            <w:pPr>
              <w:pStyle w:val="a3"/>
              <w:spacing w:before="0" w:beforeAutospacing="0" w:after="0" w:afterAutospacing="0"/>
              <w:rPr>
                <w:sz w:val="20"/>
                <w:szCs w:val="20"/>
              </w:rPr>
            </w:pPr>
            <w:r>
              <w:rPr>
                <w:sz w:val="20"/>
                <w:szCs w:val="20"/>
              </w:rPr>
              <w:t> </w:t>
            </w:r>
          </w:p>
        </w:tc>
      </w:tr>
      <w:tr w:rsidR="00000000" w14:paraId="1CC21559" w14:textId="77777777">
        <w:trPr>
          <w:divId w:val="2018117003"/>
          <w:tblCellSpacing w:w="15" w:type="dxa"/>
        </w:trPr>
        <w:tc>
          <w:tcPr>
            <w:tcW w:w="0" w:type="auto"/>
            <w:hideMark/>
          </w:tcPr>
          <w:p w14:paraId="0337F674" w14:textId="77777777" w:rsidR="00000000" w:rsidRDefault="00832D71">
            <w:pPr>
              <w:pStyle w:val="a3"/>
              <w:spacing w:before="0" w:beforeAutospacing="0" w:after="0" w:afterAutospacing="0"/>
              <w:ind w:left="200"/>
              <w:rPr>
                <w:sz w:val="20"/>
                <w:szCs w:val="20"/>
              </w:rPr>
            </w:pPr>
            <w:r>
              <w:rPr>
                <w:sz w:val="20"/>
                <w:szCs w:val="20"/>
              </w:rPr>
              <w:t> </w:t>
            </w:r>
          </w:p>
        </w:tc>
        <w:tc>
          <w:tcPr>
            <w:tcW w:w="0" w:type="auto"/>
            <w:hideMark/>
          </w:tcPr>
          <w:p w14:paraId="14F6672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BE11B8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5EA6716"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5C81645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AF299D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805D20E"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2585F65"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350665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E738189"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503D1B64"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350B52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A4178BF" w14:textId="77777777" w:rsidR="00000000" w:rsidRDefault="00832D71">
            <w:pPr>
              <w:pStyle w:val="a3"/>
              <w:spacing w:before="0" w:beforeAutospacing="0" w:after="0" w:afterAutospacing="0"/>
              <w:jc w:val="right"/>
              <w:rPr>
                <w:sz w:val="20"/>
                <w:szCs w:val="20"/>
              </w:rPr>
            </w:pPr>
            <w:r>
              <w:rPr>
                <w:sz w:val="20"/>
                <w:szCs w:val="20"/>
              </w:rPr>
              <w:t> </w:t>
            </w:r>
          </w:p>
        </w:tc>
      </w:tr>
      <w:tr w:rsidR="00000000" w14:paraId="7203626B" w14:textId="77777777">
        <w:trPr>
          <w:divId w:val="2018117003"/>
          <w:trHeight w:val="200"/>
          <w:tblCellSpacing w:w="15" w:type="dxa"/>
        </w:trPr>
        <w:tc>
          <w:tcPr>
            <w:tcW w:w="0" w:type="auto"/>
            <w:hideMark/>
          </w:tcPr>
          <w:p w14:paraId="5CB9C8A1" w14:textId="77777777" w:rsidR="00000000" w:rsidRDefault="00832D71">
            <w:pPr>
              <w:pStyle w:val="a3"/>
              <w:spacing w:before="0" w:beforeAutospacing="0" w:after="0" w:afterAutospacing="0"/>
              <w:rPr>
                <w:sz w:val="20"/>
                <w:szCs w:val="20"/>
              </w:rPr>
            </w:pPr>
            <w:r>
              <w:rPr>
                <w:b/>
                <w:bCs/>
                <w:sz w:val="20"/>
                <w:szCs w:val="20"/>
                <w:u w:val="single"/>
              </w:rPr>
              <w:t>Fiscal 2022 Activit</w:t>
            </w:r>
            <w:r>
              <w:rPr>
                <w:b/>
                <w:bCs/>
                <w:sz w:val="20"/>
                <w:szCs w:val="20"/>
                <w:u w:val="single"/>
              </w:rPr>
              <w:t>y</w:t>
            </w:r>
          </w:p>
        </w:tc>
        <w:tc>
          <w:tcPr>
            <w:tcW w:w="0" w:type="auto"/>
            <w:hideMark/>
          </w:tcPr>
          <w:p w14:paraId="5E52A566"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3A01CE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080FA58"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F10DF8D"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55D1F6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08AA3F0"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01BFE8C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A521C2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B0E88F6"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7A94E2F"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52954F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DAE47C1" w14:textId="77777777" w:rsidR="00000000" w:rsidRDefault="00832D71">
            <w:pPr>
              <w:pStyle w:val="a3"/>
              <w:spacing w:before="0" w:beforeAutospacing="0" w:after="0" w:afterAutospacing="0"/>
              <w:jc w:val="right"/>
              <w:rPr>
                <w:sz w:val="20"/>
                <w:szCs w:val="20"/>
              </w:rPr>
            </w:pPr>
            <w:r>
              <w:rPr>
                <w:sz w:val="20"/>
                <w:szCs w:val="20"/>
              </w:rPr>
              <w:t> </w:t>
            </w:r>
          </w:p>
        </w:tc>
      </w:tr>
      <w:tr w:rsidR="00000000" w14:paraId="2908ACDD" w14:textId="77777777">
        <w:trPr>
          <w:divId w:val="2018117003"/>
          <w:trHeight w:val="200"/>
          <w:tblCellSpacing w:w="15" w:type="dxa"/>
        </w:trPr>
        <w:tc>
          <w:tcPr>
            <w:tcW w:w="0" w:type="auto"/>
            <w:hideMark/>
          </w:tcPr>
          <w:p w14:paraId="06E3A2A1" w14:textId="77777777" w:rsidR="00000000" w:rsidRDefault="00832D71">
            <w:pPr>
              <w:pStyle w:val="a3"/>
              <w:spacing w:before="0" w:beforeAutospacing="0" w:after="0" w:afterAutospacing="0"/>
              <w:ind w:left="200"/>
              <w:rPr>
                <w:sz w:val="20"/>
                <w:szCs w:val="20"/>
              </w:rPr>
            </w:pPr>
            <w:r>
              <w:rPr>
                <w:sz w:val="20"/>
                <w:szCs w:val="20"/>
              </w:rPr>
              <w:t>Goodwill disposed</w:t>
            </w:r>
            <w:r>
              <w:rPr>
                <w:sz w:val="20"/>
                <w:szCs w:val="20"/>
              </w:rPr>
              <w:t xml:space="preserve"> </w:t>
            </w:r>
            <w:r>
              <w:rPr>
                <w:sz w:val="16"/>
                <w:szCs w:val="16"/>
              </w:rPr>
              <w:t>(1</w:t>
            </w:r>
            <w:r>
              <w:rPr>
                <w:sz w:val="16"/>
                <w:szCs w:val="16"/>
              </w:rPr>
              <w:t>)</w:t>
            </w:r>
          </w:p>
        </w:tc>
        <w:tc>
          <w:tcPr>
            <w:tcW w:w="0" w:type="auto"/>
            <w:hideMark/>
          </w:tcPr>
          <w:p w14:paraId="65E2A26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27E025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72BCBA4" w14:textId="77777777" w:rsidR="00000000" w:rsidRDefault="00832D71">
            <w:pPr>
              <w:pStyle w:val="a3"/>
              <w:spacing w:before="0" w:beforeAutospacing="0" w:after="0" w:afterAutospacing="0"/>
              <w:jc w:val="right"/>
              <w:rPr>
                <w:sz w:val="20"/>
                <w:szCs w:val="20"/>
              </w:rPr>
            </w:pPr>
            <w:r>
              <w:rPr>
                <w:sz w:val="20"/>
                <w:szCs w:val="20"/>
              </w:rPr>
              <w:t>(</w:t>
            </w:r>
            <w:r>
              <w:rPr>
                <w:sz w:val="20"/>
                <w:szCs w:val="20"/>
              </w:rPr>
              <w:t>39</w:t>
            </w:r>
            <w:r>
              <w:rPr>
                <w:sz w:val="20"/>
                <w:szCs w:val="20"/>
              </w:rPr>
              <w:t>9</w:t>
            </w:r>
          </w:p>
        </w:tc>
        <w:tc>
          <w:tcPr>
            <w:tcW w:w="0" w:type="auto"/>
            <w:noWrap/>
            <w:vAlign w:val="bottom"/>
            <w:hideMark/>
          </w:tcPr>
          <w:p w14:paraId="66305A3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80127AC"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0F5BE6D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3B2F15C"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12E245E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DA106A4"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758872E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EAC0F83"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79DBCC1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0323EDE"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22A2855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FE156E2" w14:textId="77777777" w:rsidR="00000000" w:rsidRDefault="00832D71">
            <w:pPr>
              <w:pStyle w:val="a3"/>
              <w:spacing w:before="0" w:beforeAutospacing="0" w:after="0" w:afterAutospacing="0"/>
              <w:jc w:val="right"/>
              <w:rPr>
                <w:sz w:val="20"/>
                <w:szCs w:val="20"/>
              </w:rPr>
            </w:pPr>
            <w:r>
              <w:rPr>
                <w:sz w:val="20"/>
                <w:szCs w:val="20"/>
              </w:rPr>
              <w:t>(</w:t>
            </w:r>
            <w:r>
              <w:rPr>
                <w:sz w:val="20"/>
                <w:szCs w:val="20"/>
              </w:rPr>
              <w:t>39</w:t>
            </w:r>
            <w:r>
              <w:rPr>
                <w:sz w:val="20"/>
                <w:szCs w:val="20"/>
              </w:rPr>
              <w:t>9</w:t>
            </w:r>
          </w:p>
        </w:tc>
        <w:tc>
          <w:tcPr>
            <w:tcW w:w="0" w:type="auto"/>
            <w:noWrap/>
            <w:vAlign w:val="bottom"/>
            <w:hideMark/>
          </w:tcPr>
          <w:p w14:paraId="12CEF7E4" w14:textId="77777777" w:rsidR="00000000" w:rsidRDefault="00832D71">
            <w:pPr>
              <w:pStyle w:val="a3"/>
              <w:spacing w:before="0" w:beforeAutospacing="0" w:after="0" w:afterAutospacing="0"/>
              <w:rPr>
                <w:sz w:val="20"/>
                <w:szCs w:val="20"/>
              </w:rPr>
            </w:pPr>
            <w:r>
              <w:rPr>
                <w:sz w:val="20"/>
                <w:szCs w:val="20"/>
              </w:rPr>
              <w:t>)</w:t>
            </w:r>
          </w:p>
        </w:tc>
      </w:tr>
      <w:tr w:rsidR="00000000" w14:paraId="22AE0487" w14:textId="77777777">
        <w:trPr>
          <w:divId w:val="2018117003"/>
          <w:trHeight w:val="200"/>
          <w:tblCellSpacing w:w="15" w:type="dxa"/>
        </w:trPr>
        <w:tc>
          <w:tcPr>
            <w:tcW w:w="0" w:type="auto"/>
            <w:hideMark/>
          </w:tcPr>
          <w:p w14:paraId="4CDC5541" w14:textId="77777777" w:rsidR="00000000" w:rsidRDefault="00832D71">
            <w:pPr>
              <w:pStyle w:val="a3"/>
              <w:spacing w:before="0" w:beforeAutospacing="0" w:after="0" w:afterAutospacing="0"/>
              <w:ind w:left="200"/>
              <w:rPr>
                <w:sz w:val="20"/>
                <w:szCs w:val="20"/>
              </w:rPr>
            </w:pPr>
            <w:r>
              <w:rPr>
                <w:sz w:val="20"/>
                <w:szCs w:val="20"/>
              </w:rPr>
              <w:t>Goodwill acquired</w:t>
            </w:r>
            <w:r>
              <w:rPr>
                <w:sz w:val="20"/>
                <w:szCs w:val="20"/>
              </w:rPr>
              <w:t xml:space="preserve"> </w:t>
            </w:r>
            <w:r>
              <w:rPr>
                <w:sz w:val="16"/>
                <w:szCs w:val="16"/>
              </w:rPr>
              <w:t>(2</w:t>
            </w:r>
            <w:r>
              <w:rPr>
                <w:sz w:val="16"/>
                <w:szCs w:val="16"/>
              </w:rPr>
              <w:t>)</w:t>
            </w:r>
          </w:p>
        </w:tc>
        <w:tc>
          <w:tcPr>
            <w:tcW w:w="0" w:type="auto"/>
            <w:hideMark/>
          </w:tcPr>
          <w:p w14:paraId="3BBF769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B34EF0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8C36CAF" w14:textId="77777777" w:rsidR="00000000" w:rsidRDefault="00832D71">
            <w:pPr>
              <w:pStyle w:val="a3"/>
              <w:spacing w:before="0" w:beforeAutospacing="0" w:after="0" w:afterAutospacing="0"/>
              <w:jc w:val="right"/>
              <w:rPr>
                <w:sz w:val="20"/>
                <w:szCs w:val="20"/>
              </w:rPr>
            </w:pPr>
            <w:r>
              <w:rPr>
                <w:sz w:val="20"/>
                <w:szCs w:val="20"/>
              </w:rPr>
              <w:t>6,79</w:t>
            </w:r>
            <w:r>
              <w:rPr>
                <w:sz w:val="20"/>
                <w:szCs w:val="20"/>
              </w:rPr>
              <w:t>6</w:t>
            </w:r>
          </w:p>
        </w:tc>
        <w:tc>
          <w:tcPr>
            <w:tcW w:w="0" w:type="auto"/>
            <w:noWrap/>
            <w:vAlign w:val="bottom"/>
            <w:hideMark/>
          </w:tcPr>
          <w:p w14:paraId="7C2D60C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3E7494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AF1FFA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0EA918D"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41DE91C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28C85E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3F9836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631C3E8"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3E35607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0C19BA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E7C3B6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EFF453E" w14:textId="77777777" w:rsidR="00000000" w:rsidRDefault="00832D71">
            <w:pPr>
              <w:pStyle w:val="a3"/>
              <w:spacing w:before="0" w:beforeAutospacing="0" w:after="0" w:afterAutospacing="0"/>
              <w:jc w:val="right"/>
              <w:rPr>
                <w:sz w:val="20"/>
                <w:szCs w:val="20"/>
              </w:rPr>
            </w:pPr>
            <w:r>
              <w:rPr>
                <w:sz w:val="20"/>
                <w:szCs w:val="20"/>
              </w:rPr>
              <w:t>6,79</w:t>
            </w:r>
            <w:r>
              <w:rPr>
                <w:sz w:val="20"/>
                <w:szCs w:val="20"/>
              </w:rPr>
              <w:t>6</w:t>
            </w:r>
          </w:p>
        </w:tc>
        <w:tc>
          <w:tcPr>
            <w:tcW w:w="0" w:type="auto"/>
            <w:noWrap/>
            <w:vAlign w:val="bottom"/>
            <w:hideMark/>
          </w:tcPr>
          <w:p w14:paraId="62103429" w14:textId="77777777" w:rsidR="00000000" w:rsidRDefault="00832D71">
            <w:pPr>
              <w:pStyle w:val="a3"/>
              <w:spacing w:before="0" w:beforeAutospacing="0" w:after="0" w:afterAutospacing="0"/>
              <w:rPr>
                <w:sz w:val="20"/>
                <w:szCs w:val="20"/>
              </w:rPr>
            </w:pPr>
            <w:r>
              <w:rPr>
                <w:sz w:val="20"/>
                <w:szCs w:val="20"/>
              </w:rPr>
              <w:t> </w:t>
            </w:r>
          </w:p>
        </w:tc>
      </w:tr>
      <w:tr w:rsidR="00000000" w14:paraId="6D25D6B6" w14:textId="77777777">
        <w:trPr>
          <w:divId w:val="2018117003"/>
          <w:tblCellSpacing w:w="15" w:type="dxa"/>
        </w:trPr>
        <w:tc>
          <w:tcPr>
            <w:tcW w:w="0" w:type="auto"/>
            <w:hideMark/>
          </w:tcPr>
          <w:p w14:paraId="08F07DA5" w14:textId="77777777" w:rsidR="00000000" w:rsidRDefault="00832D71">
            <w:pPr>
              <w:pStyle w:val="a3"/>
              <w:spacing w:before="0" w:beforeAutospacing="0" w:after="0" w:afterAutospacing="0"/>
              <w:ind w:left="200"/>
              <w:rPr>
                <w:sz w:val="20"/>
                <w:szCs w:val="20"/>
              </w:rPr>
            </w:pPr>
            <w:r>
              <w:rPr>
                <w:sz w:val="20"/>
                <w:szCs w:val="20"/>
              </w:rPr>
              <w:t> </w:t>
            </w:r>
          </w:p>
        </w:tc>
        <w:tc>
          <w:tcPr>
            <w:tcW w:w="0" w:type="auto"/>
            <w:hideMark/>
          </w:tcPr>
          <w:p w14:paraId="0D10EB2D"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D1AD4B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95F7999"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0EC8CBDC"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841724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1C96F27"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7B9D37A"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EF2E4E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7438BCB"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3556AE7B"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970865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CDD9EE7" w14:textId="77777777" w:rsidR="00000000" w:rsidRDefault="00832D71">
            <w:pPr>
              <w:pStyle w:val="a3"/>
              <w:spacing w:before="0" w:beforeAutospacing="0" w:after="0" w:afterAutospacing="0"/>
              <w:jc w:val="right"/>
              <w:rPr>
                <w:sz w:val="20"/>
                <w:szCs w:val="20"/>
              </w:rPr>
            </w:pPr>
            <w:r>
              <w:rPr>
                <w:sz w:val="20"/>
                <w:szCs w:val="20"/>
              </w:rPr>
              <w:t> </w:t>
            </w:r>
          </w:p>
        </w:tc>
      </w:tr>
      <w:tr w:rsidR="00000000" w14:paraId="213358FC" w14:textId="77777777">
        <w:trPr>
          <w:divId w:val="2018117003"/>
          <w:trHeight w:val="200"/>
          <w:tblCellSpacing w:w="15" w:type="dxa"/>
        </w:trPr>
        <w:tc>
          <w:tcPr>
            <w:tcW w:w="0" w:type="auto"/>
            <w:vAlign w:val="bottom"/>
            <w:hideMark/>
          </w:tcPr>
          <w:p w14:paraId="5FAAF94E" w14:textId="77777777" w:rsidR="00000000" w:rsidRDefault="00832D71">
            <w:pPr>
              <w:pStyle w:val="a3"/>
              <w:spacing w:before="0" w:beforeAutospacing="0" w:after="0" w:afterAutospacing="0"/>
              <w:rPr>
                <w:sz w:val="20"/>
                <w:szCs w:val="20"/>
              </w:rPr>
            </w:pPr>
            <w:r>
              <w:rPr>
                <w:sz w:val="20"/>
                <w:szCs w:val="20"/>
              </w:rPr>
              <w:t>Balance as of September 24, 202</w:t>
            </w:r>
            <w:r>
              <w:rPr>
                <w:sz w:val="20"/>
                <w:szCs w:val="20"/>
              </w:rPr>
              <w:t>2</w:t>
            </w:r>
          </w:p>
        </w:tc>
        <w:tc>
          <w:tcPr>
            <w:tcW w:w="0" w:type="auto"/>
            <w:hideMark/>
          </w:tcPr>
          <w:p w14:paraId="3D2B027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60AAD5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2A85365"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E94286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4DEC1A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0B8BD8C"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2A4C8A70"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567B7B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6FFB6D5"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B15CA9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E08F79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90E35D1" w14:textId="77777777" w:rsidR="00000000" w:rsidRDefault="00832D71">
            <w:pPr>
              <w:pStyle w:val="a3"/>
              <w:spacing w:before="0" w:beforeAutospacing="0" w:after="0" w:afterAutospacing="0"/>
              <w:jc w:val="right"/>
              <w:rPr>
                <w:sz w:val="20"/>
                <w:szCs w:val="20"/>
              </w:rPr>
            </w:pPr>
            <w:r>
              <w:rPr>
                <w:sz w:val="20"/>
                <w:szCs w:val="20"/>
              </w:rPr>
              <w:t> </w:t>
            </w:r>
          </w:p>
        </w:tc>
      </w:tr>
      <w:tr w:rsidR="00000000" w14:paraId="5F684849" w14:textId="77777777">
        <w:trPr>
          <w:divId w:val="2018117003"/>
          <w:trHeight w:val="200"/>
          <w:tblCellSpacing w:w="15" w:type="dxa"/>
        </w:trPr>
        <w:tc>
          <w:tcPr>
            <w:tcW w:w="0" w:type="auto"/>
            <w:hideMark/>
          </w:tcPr>
          <w:p w14:paraId="49E98F04" w14:textId="77777777" w:rsidR="00000000" w:rsidRDefault="00832D71">
            <w:pPr>
              <w:pStyle w:val="a3"/>
              <w:spacing w:before="0" w:beforeAutospacing="0" w:after="0" w:afterAutospacing="0"/>
              <w:ind w:left="200"/>
              <w:rPr>
                <w:sz w:val="20"/>
                <w:szCs w:val="20"/>
              </w:rPr>
            </w:pPr>
            <w:r>
              <w:rPr>
                <w:sz w:val="20"/>
                <w:szCs w:val="20"/>
              </w:rPr>
              <w:t>Goodwil</w:t>
            </w:r>
            <w:r>
              <w:rPr>
                <w:sz w:val="20"/>
                <w:szCs w:val="20"/>
              </w:rPr>
              <w:t>l</w:t>
            </w:r>
          </w:p>
        </w:tc>
        <w:tc>
          <w:tcPr>
            <w:tcW w:w="0" w:type="auto"/>
            <w:hideMark/>
          </w:tcPr>
          <w:p w14:paraId="202073A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800C5E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0B4DD4C" w14:textId="77777777" w:rsidR="00000000" w:rsidRDefault="00832D71">
            <w:pPr>
              <w:pStyle w:val="a3"/>
              <w:spacing w:before="0" w:beforeAutospacing="0" w:after="0" w:afterAutospacing="0"/>
              <w:jc w:val="right"/>
              <w:rPr>
                <w:sz w:val="20"/>
                <w:szCs w:val="20"/>
              </w:rPr>
            </w:pPr>
            <w:r>
              <w:rPr>
                <w:sz w:val="20"/>
                <w:szCs w:val="20"/>
              </w:rPr>
              <w:t>1,101,08</w:t>
            </w:r>
            <w:r>
              <w:rPr>
                <w:sz w:val="20"/>
                <w:szCs w:val="20"/>
              </w:rPr>
              <w:t>5</w:t>
            </w:r>
          </w:p>
        </w:tc>
        <w:tc>
          <w:tcPr>
            <w:tcW w:w="0" w:type="auto"/>
            <w:noWrap/>
            <w:vAlign w:val="bottom"/>
            <w:hideMark/>
          </w:tcPr>
          <w:p w14:paraId="659A972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6A5BEC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F94018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C0B64FE" w14:textId="77777777" w:rsidR="00000000" w:rsidRDefault="00832D71">
            <w:pPr>
              <w:pStyle w:val="a3"/>
              <w:spacing w:before="0" w:beforeAutospacing="0" w:after="0" w:afterAutospacing="0"/>
              <w:jc w:val="right"/>
              <w:rPr>
                <w:sz w:val="20"/>
                <w:szCs w:val="20"/>
              </w:rPr>
            </w:pPr>
            <w:r>
              <w:rPr>
                <w:sz w:val="20"/>
                <w:szCs w:val="20"/>
              </w:rPr>
              <w:t>10,90</w:t>
            </w:r>
            <w:r>
              <w:rPr>
                <w:sz w:val="20"/>
                <w:szCs w:val="20"/>
              </w:rPr>
              <w:t>0</w:t>
            </w:r>
          </w:p>
        </w:tc>
        <w:tc>
          <w:tcPr>
            <w:tcW w:w="0" w:type="auto"/>
            <w:noWrap/>
            <w:vAlign w:val="bottom"/>
            <w:hideMark/>
          </w:tcPr>
          <w:p w14:paraId="5C2E530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833AC4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164E1E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63A56AB" w14:textId="77777777" w:rsidR="00000000" w:rsidRDefault="00832D71">
            <w:pPr>
              <w:pStyle w:val="a3"/>
              <w:spacing w:before="0" w:beforeAutospacing="0" w:after="0" w:afterAutospacing="0"/>
              <w:jc w:val="right"/>
              <w:rPr>
                <w:sz w:val="20"/>
                <w:szCs w:val="20"/>
              </w:rPr>
            </w:pPr>
            <w:r>
              <w:rPr>
                <w:sz w:val="20"/>
                <w:szCs w:val="20"/>
              </w:rPr>
              <w:t>7,90</w:t>
            </w:r>
            <w:r>
              <w:rPr>
                <w:sz w:val="20"/>
                <w:szCs w:val="20"/>
              </w:rPr>
              <w:t>0</w:t>
            </w:r>
          </w:p>
        </w:tc>
        <w:tc>
          <w:tcPr>
            <w:tcW w:w="0" w:type="auto"/>
            <w:noWrap/>
            <w:vAlign w:val="bottom"/>
            <w:hideMark/>
          </w:tcPr>
          <w:p w14:paraId="471BC78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FC30F2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928A44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7332D95" w14:textId="77777777" w:rsidR="00000000" w:rsidRDefault="00832D71">
            <w:pPr>
              <w:pStyle w:val="a3"/>
              <w:spacing w:before="0" w:beforeAutospacing="0" w:after="0" w:afterAutospacing="0"/>
              <w:jc w:val="right"/>
              <w:rPr>
                <w:sz w:val="20"/>
                <w:szCs w:val="20"/>
              </w:rPr>
            </w:pPr>
            <w:r>
              <w:rPr>
                <w:sz w:val="20"/>
                <w:szCs w:val="20"/>
              </w:rPr>
              <w:t>1,119,88</w:t>
            </w:r>
            <w:r>
              <w:rPr>
                <w:sz w:val="20"/>
                <w:szCs w:val="20"/>
              </w:rPr>
              <w:t>5</w:t>
            </w:r>
          </w:p>
        </w:tc>
        <w:tc>
          <w:tcPr>
            <w:tcW w:w="0" w:type="auto"/>
            <w:noWrap/>
            <w:vAlign w:val="bottom"/>
            <w:hideMark/>
          </w:tcPr>
          <w:p w14:paraId="41687549" w14:textId="77777777" w:rsidR="00000000" w:rsidRDefault="00832D71">
            <w:pPr>
              <w:pStyle w:val="a3"/>
              <w:spacing w:before="0" w:beforeAutospacing="0" w:after="0" w:afterAutospacing="0"/>
              <w:rPr>
                <w:sz w:val="20"/>
                <w:szCs w:val="20"/>
              </w:rPr>
            </w:pPr>
            <w:r>
              <w:rPr>
                <w:sz w:val="20"/>
                <w:szCs w:val="20"/>
              </w:rPr>
              <w:t> </w:t>
            </w:r>
          </w:p>
        </w:tc>
      </w:tr>
      <w:tr w:rsidR="00000000" w14:paraId="661B13EC" w14:textId="77777777">
        <w:trPr>
          <w:divId w:val="2018117003"/>
          <w:trHeight w:val="200"/>
          <w:tblCellSpacing w:w="15" w:type="dxa"/>
        </w:trPr>
        <w:tc>
          <w:tcPr>
            <w:tcW w:w="0" w:type="auto"/>
            <w:hideMark/>
          </w:tcPr>
          <w:p w14:paraId="3EA9FF65" w14:textId="77777777" w:rsidR="00000000" w:rsidRDefault="00832D71">
            <w:pPr>
              <w:pStyle w:val="a3"/>
              <w:spacing w:before="0" w:beforeAutospacing="0" w:after="0" w:afterAutospacing="0"/>
              <w:ind w:left="200"/>
              <w:rPr>
                <w:sz w:val="20"/>
                <w:szCs w:val="20"/>
              </w:rPr>
            </w:pPr>
            <w:r>
              <w:rPr>
                <w:sz w:val="20"/>
                <w:szCs w:val="20"/>
              </w:rPr>
              <w:t>Accumulated adjustment</w:t>
            </w:r>
            <w:r>
              <w:rPr>
                <w:sz w:val="20"/>
                <w:szCs w:val="20"/>
              </w:rPr>
              <w:t>s</w:t>
            </w:r>
          </w:p>
        </w:tc>
        <w:tc>
          <w:tcPr>
            <w:tcW w:w="0" w:type="auto"/>
            <w:hideMark/>
          </w:tcPr>
          <w:p w14:paraId="1AB7AE9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3B1BC1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4895AAE"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4468920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AB65DE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13D0E1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E52FBA5" w14:textId="77777777" w:rsidR="00000000" w:rsidRDefault="00832D71">
            <w:pPr>
              <w:pStyle w:val="a3"/>
              <w:spacing w:before="0" w:beforeAutospacing="0" w:after="0" w:afterAutospacing="0"/>
              <w:jc w:val="right"/>
              <w:rPr>
                <w:sz w:val="20"/>
                <w:szCs w:val="20"/>
              </w:rPr>
            </w:pPr>
            <w:r>
              <w:rPr>
                <w:sz w:val="20"/>
                <w:szCs w:val="20"/>
              </w:rPr>
              <w:t>(</w:t>
            </w:r>
            <w:r>
              <w:rPr>
                <w:sz w:val="20"/>
                <w:szCs w:val="20"/>
              </w:rPr>
              <w:t>6,46</w:t>
            </w:r>
            <w:r>
              <w:rPr>
                <w:sz w:val="20"/>
                <w:szCs w:val="20"/>
              </w:rPr>
              <w:t>2</w:t>
            </w:r>
          </w:p>
        </w:tc>
        <w:tc>
          <w:tcPr>
            <w:tcW w:w="0" w:type="auto"/>
            <w:noWrap/>
            <w:vAlign w:val="bottom"/>
            <w:hideMark/>
          </w:tcPr>
          <w:p w14:paraId="308CE0FA"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79FB03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437D5D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D138B38"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51D0D5A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3A27B7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B670C0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B4517D2" w14:textId="77777777" w:rsidR="00000000" w:rsidRDefault="00832D71">
            <w:pPr>
              <w:pStyle w:val="a3"/>
              <w:spacing w:before="0" w:beforeAutospacing="0" w:after="0" w:afterAutospacing="0"/>
              <w:jc w:val="right"/>
              <w:rPr>
                <w:sz w:val="20"/>
                <w:szCs w:val="20"/>
              </w:rPr>
            </w:pPr>
            <w:r>
              <w:rPr>
                <w:sz w:val="20"/>
                <w:szCs w:val="20"/>
              </w:rPr>
              <w:t>(</w:t>
            </w:r>
            <w:r>
              <w:rPr>
                <w:sz w:val="20"/>
                <w:szCs w:val="20"/>
              </w:rPr>
              <w:t>6,46</w:t>
            </w:r>
            <w:r>
              <w:rPr>
                <w:sz w:val="20"/>
                <w:szCs w:val="20"/>
              </w:rPr>
              <w:t>2</w:t>
            </w:r>
          </w:p>
        </w:tc>
        <w:tc>
          <w:tcPr>
            <w:tcW w:w="0" w:type="auto"/>
            <w:noWrap/>
            <w:vAlign w:val="bottom"/>
            <w:hideMark/>
          </w:tcPr>
          <w:p w14:paraId="04AFC4BC" w14:textId="77777777" w:rsidR="00000000" w:rsidRDefault="00832D71">
            <w:pPr>
              <w:pStyle w:val="a3"/>
              <w:spacing w:before="0" w:beforeAutospacing="0" w:after="0" w:afterAutospacing="0"/>
              <w:rPr>
                <w:sz w:val="20"/>
                <w:szCs w:val="20"/>
              </w:rPr>
            </w:pPr>
            <w:r>
              <w:rPr>
                <w:sz w:val="20"/>
                <w:szCs w:val="20"/>
              </w:rPr>
              <w:t>)</w:t>
            </w:r>
          </w:p>
        </w:tc>
      </w:tr>
      <w:tr w:rsidR="00000000" w14:paraId="54F50985" w14:textId="77777777">
        <w:trPr>
          <w:divId w:val="2018117003"/>
          <w:trHeight w:val="200"/>
          <w:tblCellSpacing w:w="15" w:type="dxa"/>
        </w:trPr>
        <w:tc>
          <w:tcPr>
            <w:tcW w:w="0" w:type="auto"/>
            <w:hideMark/>
          </w:tcPr>
          <w:p w14:paraId="37D8245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9F7151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6F1EEE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A65CC3C" w14:textId="77777777" w:rsidR="00000000" w:rsidRDefault="00832D71">
            <w:pPr>
              <w:pStyle w:val="a3"/>
              <w:spacing w:before="0" w:beforeAutospacing="0" w:after="0" w:afterAutospacing="0"/>
              <w:jc w:val="right"/>
              <w:rPr>
                <w:sz w:val="20"/>
                <w:szCs w:val="20"/>
              </w:rPr>
            </w:pPr>
            <w:r>
              <w:rPr>
                <w:sz w:val="20"/>
                <w:szCs w:val="20"/>
              </w:rPr>
              <w:t>1,101,08</w:t>
            </w:r>
            <w:r>
              <w:rPr>
                <w:sz w:val="20"/>
                <w:szCs w:val="20"/>
              </w:rPr>
              <w:t>5</w:t>
            </w:r>
          </w:p>
        </w:tc>
        <w:tc>
          <w:tcPr>
            <w:tcW w:w="0" w:type="auto"/>
            <w:noWrap/>
            <w:vAlign w:val="bottom"/>
            <w:hideMark/>
          </w:tcPr>
          <w:p w14:paraId="0E58F0D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51D2AA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AFAE0E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592BE49" w14:textId="77777777" w:rsidR="00000000" w:rsidRDefault="00832D71">
            <w:pPr>
              <w:pStyle w:val="a3"/>
              <w:spacing w:before="0" w:beforeAutospacing="0" w:after="0" w:afterAutospacing="0"/>
              <w:jc w:val="right"/>
              <w:rPr>
                <w:sz w:val="20"/>
                <w:szCs w:val="20"/>
              </w:rPr>
            </w:pPr>
            <w:r>
              <w:rPr>
                <w:sz w:val="20"/>
                <w:szCs w:val="20"/>
              </w:rPr>
              <w:t>4,43</w:t>
            </w:r>
            <w:r>
              <w:rPr>
                <w:sz w:val="20"/>
                <w:szCs w:val="20"/>
              </w:rPr>
              <w:t>8</w:t>
            </w:r>
          </w:p>
        </w:tc>
        <w:tc>
          <w:tcPr>
            <w:tcW w:w="0" w:type="auto"/>
            <w:noWrap/>
            <w:vAlign w:val="bottom"/>
            <w:hideMark/>
          </w:tcPr>
          <w:p w14:paraId="399AAB1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DA38B5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6267D7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DA778A0" w14:textId="77777777" w:rsidR="00000000" w:rsidRDefault="00832D71">
            <w:pPr>
              <w:pStyle w:val="a3"/>
              <w:spacing w:before="0" w:beforeAutospacing="0" w:after="0" w:afterAutospacing="0"/>
              <w:jc w:val="right"/>
              <w:rPr>
                <w:sz w:val="20"/>
                <w:szCs w:val="20"/>
              </w:rPr>
            </w:pPr>
            <w:r>
              <w:rPr>
                <w:sz w:val="20"/>
                <w:szCs w:val="20"/>
              </w:rPr>
              <w:t>7,90</w:t>
            </w:r>
            <w:r>
              <w:rPr>
                <w:sz w:val="20"/>
                <w:szCs w:val="20"/>
              </w:rPr>
              <w:t>0</w:t>
            </w:r>
          </w:p>
        </w:tc>
        <w:tc>
          <w:tcPr>
            <w:tcW w:w="0" w:type="auto"/>
            <w:noWrap/>
            <w:vAlign w:val="bottom"/>
            <w:hideMark/>
          </w:tcPr>
          <w:p w14:paraId="6CCB4F6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EB285A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1BF148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A83D20B" w14:textId="77777777" w:rsidR="00000000" w:rsidRDefault="00832D71">
            <w:pPr>
              <w:pStyle w:val="a3"/>
              <w:spacing w:before="0" w:beforeAutospacing="0" w:after="0" w:afterAutospacing="0"/>
              <w:jc w:val="right"/>
              <w:rPr>
                <w:sz w:val="20"/>
                <w:szCs w:val="20"/>
              </w:rPr>
            </w:pPr>
            <w:r>
              <w:rPr>
                <w:sz w:val="20"/>
                <w:szCs w:val="20"/>
              </w:rPr>
              <w:t>1,113,42</w:t>
            </w:r>
            <w:r>
              <w:rPr>
                <w:sz w:val="20"/>
                <w:szCs w:val="20"/>
              </w:rPr>
              <w:t>3</w:t>
            </w:r>
          </w:p>
        </w:tc>
        <w:tc>
          <w:tcPr>
            <w:tcW w:w="0" w:type="auto"/>
            <w:noWrap/>
            <w:vAlign w:val="bottom"/>
            <w:hideMark/>
          </w:tcPr>
          <w:p w14:paraId="7E1DB6A6" w14:textId="77777777" w:rsidR="00000000" w:rsidRDefault="00832D71">
            <w:pPr>
              <w:pStyle w:val="a3"/>
              <w:spacing w:before="0" w:beforeAutospacing="0" w:after="0" w:afterAutospacing="0"/>
              <w:rPr>
                <w:sz w:val="20"/>
                <w:szCs w:val="20"/>
              </w:rPr>
            </w:pPr>
            <w:r>
              <w:rPr>
                <w:sz w:val="20"/>
                <w:szCs w:val="20"/>
              </w:rPr>
              <w:t> </w:t>
            </w:r>
          </w:p>
        </w:tc>
      </w:tr>
    </w:tbl>
    <w:p w14:paraId="577B2009" w14:textId="77777777" w:rsidR="00000000" w:rsidRDefault="00832D71">
      <w:pPr>
        <w:pStyle w:val="a3"/>
        <w:spacing w:before="0" w:beforeAutospacing="0" w:after="0" w:afterAutospacing="0"/>
        <w:divId w:val="476147002"/>
        <w:rPr>
          <w:sz w:val="20"/>
          <w:szCs w:val="20"/>
        </w:rPr>
      </w:pPr>
      <w:r>
        <w:rPr>
          <w:sz w:val="20"/>
          <w:szCs w:val="20"/>
        </w:rPr>
        <w:t> </w:t>
      </w:r>
    </w:p>
    <w:p w14:paraId="2988E89D" w14:textId="77777777" w:rsidR="00000000" w:rsidRDefault="00832D71">
      <w:pPr>
        <w:pStyle w:val="a3"/>
        <w:spacing w:before="40" w:beforeAutospacing="0" w:after="0" w:afterAutospacing="0"/>
        <w:jc w:val="both"/>
        <w:divId w:val="552691016"/>
        <w:rPr>
          <w:sz w:val="20"/>
          <w:szCs w:val="20"/>
        </w:rPr>
      </w:pPr>
      <w:r>
        <w:rPr>
          <w:sz w:val="20"/>
          <w:szCs w:val="20"/>
        </w:rPr>
        <w:t>Other intangible assets consist of the following</w:t>
      </w:r>
      <w:r>
        <w:rPr>
          <w:sz w:val="20"/>
          <w:szCs w:val="20"/>
        </w:rPr>
        <w:t>:</w:t>
      </w:r>
    </w:p>
    <w:p w14:paraId="0450A5BB" w14:textId="77777777" w:rsidR="00000000" w:rsidRDefault="00832D71">
      <w:pPr>
        <w:pStyle w:val="a3"/>
        <w:spacing w:before="0" w:beforeAutospacing="0" w:after="0" w:afterAutospacing="0"/>
        <w:jc w:val="both"/>
        <w:divId w:val="552691016"/>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451"/>
        <w:gridCol w:w="110"/>
        <w:gridCol w:w="160"/>
        <w:gridCol w:w="777"/>
        <w:gridCol w:w="127"/>
        <w:gridCol w:w="110"/>
        <w:gridCol w:w="160"/>
        <w:gridCol w:w="777"/>
        <w:gridCol w:w="142"/>
      </w:tblGrid>
      <w:tr w:rsidR="00000000" w14:paraId="28989475" w14:textId="77777777">
        <w:trPr>
          <w:divId w:val="552691016"/>
          <w:tblCellSpacing w:w="15" w:type="dxa"/>
        </w:trPr>
        <w:tc>
          <w:tcPr>
            <w:tcW w:w="3331" w:type="pct"/>
            <w:vAlign w:val="center"/>
            <w:hideMark/>
          </w:tcPr>
          <w:p w14:paraId="24F2B07B" w14:textId="77777777" w:rsidR="00000000" w:rsidRDefault="00832D71">
            <w:pPr>
              <w:rPr>
                <w:sz w:val="20"/>
                <w:szCs w:val="20"/>
              </w:rPr>
            </w:pPr>
          </w:p>
        </w:tc>
        <w:tc>
          <w:tcPr>
            <w:tcW w:w="80" w:type="pct"/>
            <w:vAlign w:val="center"/>
            <w:hideMark/>
          </w:tcPr>
          <w:p w14:paraId="0D692558" w14:textId="77777777" w:rsidR="00000000" w:rsidRDefault="00832D71">
            <w:pPr>
              <w:rPr>
                <w:rFonts w:eastAsia="Times New Roman"/>
                <w:sz w:val="20"/>
                <w:szCs w:val="20"/>
              </w:rPr>
            </w:pPr>
          </w:p>
        </w:tc>
        <w:tc>
          <w:tcPr>
            <w:tcW w:w="50" w:type="pct"/>
            <w:vAlign w:val="center"/>
            <w:hideMark/>
          </w:tcPr>
          <w:p w14:paraId="15CA5F76" w14:textId="77777777" w:rsidR="00000000" w:rsidRDefault="00832D71">
            <w:pPr>
              <w:rPr>
                <w:rFonts w:eastAsia="Times New Roman"/>
                <w:sz w:val="20"/>
                <w:szCs w:val="20"/>
              </w:rPr>
            </w:pPr>
          </w:p>
        </w:tc>
        <w:tc>
          <w:tcPr>
            <w:tcW w:w="647" w:type="pct"/>
            <w:vAlign w:val="center"/>
            <w:hideMark/>
          </w:tcPr>
          <w:p w14:paraId="0FBCF814" w14:textId="77777777" w:rsidR="00000000" w:rsidRDefault="00832D71">
            <w:pPr>
              <w:rPr>
                <w:rFonts w:eastAsia="Times New Roman"/>
                <w:sz w:val="20"/>
                <w:szCs w:val="20"/>
              </w:rPr>
            </w:pPr>
          </w:p>
        </w:tc>
        <w:tc>
          <w:tcPr>
            <w:tcW w:w="50" w:type="pct"/>
            <w:vAlign w:val="center"/>
            <w:hideMark/>
          </w:tcPr>
          <w:p w14:paraId="5F85D24F" w14:textId="77777777" w:rsidR="00000000" w:rsidRDefault="00832D71">
            <w:pPr>
              <w:rPr>
                <w:rFonts w:eastAsia="Times New Roman"/>
                <w:sz w:val="20"/>
                <w:szCs w:val="20"/>
              </w:rPr>
            </w:pPr>
          </w:p>
        </w:tc>
        <w:tc>
          <w:tcPr>
            <w:tcW w:w="80" w:type="pct"/>
            <w:vAlign w:val="center"/>
            <w:hideMark/>
          </w:tcPr>
          <w:p w14:paraId="2BE1FFA3" w14:textId="77777777" w:rsidR="00000000" w:rsidRDefault="00832D71">
            <w:pPr>
              <w:rPr>
                <w:rFonts w:eastAsia="Times New Roman"/>
                <w:sz w:val="20"/>
                <w:szCs w:val="20"/>
              </w:rPr>
            </w:pPr>
          </w:p>
        </w:tc>
        <w:tc>
          <w:tcPr>
            <w:tcW w:w="50" w:type="pct"/>
            <w:vAlign w:val="center"/>
            <w:hideMark/>
          </w:tcPr>
          <w:p w14:paraId="1818C903" w14:textId="77777777" w:rsidR="00000000" w:rsidRDefault="00832D71">
            <w:pPr>
              <w:rPr>
                <w:rFonts w:eastAsia="Times New Roman"/>
                <w:sz w:val="20"/>
                <w:szCs w:val="20"/>
              </w:rPr>
            </w:pPr>
          </w:p>
        </w:tc>
        <w:tc>
          <w:tcPr>
            <w:tcW w:w="659" w:type="pct"/>
            <w:vAlign w:val="center"/>
            <w:hideMark/>
          </w:tcPr>
          <w:p w14:paraId="09E445CB" w14:textId="77777777" w:rsidR="00000000" w:rsidRDefault="00832D71">
            <w:pPr>
              <w:rPr>
                <w:rFonts w:eastAsia="Times New Roman"/>
                <w:sz w:val="20"/>
                <w:szCs w:val="20"/>
              </w:rPr>
            </w:pPr>
          </w:p>
        </w:tc>
        <w:tc>
          <w:tcPr>
            <w:tcW w:w="50" w:type="pct"/>
            <w:vAlign w:val="center"/>
            <w:hideMark/>
          </w:tcPr>
          <w:p w14:paraId="15563E16" w14:textId="77777777" w:rsidR="00000000" w:rsidRDefault="00832D71">
            <w:pPr>
              <w:rPr>
                <w:rFonts w:eastAsia="Times New Roman"/>
                <w:sz w:val="20"/>
                <w:szCs w:val="20"/>
              </w:rPr>
            </w:pPr>
          </w:p>
        </w:tc>
      </w:tr>
      <w:tr w:rsidR="00000000" w14:paraId="35BFB69A" w14:textId="77777777">
        <w:trPr>
          <w:divId w:val="552691016"/>
          <w:trHeight w:val="160"/>
          <w:tblCellSpacing w:w="15" w:type="dxa"/>
        </w:trPr>
        <w:tc>
          <w:tcPr>
            <w:tcW w:w="0" w:type="auto"/>
            <w:vAlign w:val="bottom"/>
            <w:hideMark/>
          </w:tcPr>
          <w:p w14:paraId="00840468"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3A9AA39" w14:textId="77777777" w:rsidR="00000000" w:rsidRDefault="00832D71">
            <w:pPr>
              <w:pStyle w:val="a3"/>
              <w:spacing w:before="0" w:beforeAutospacing="0" w:after="0" w:afterAutospacing="0"/>
              <w:rPr>
                <w:sz w:val="16"/>
                <w:szCs w:val="16"/>
              </w:rPr>
            </w:pPr>
            <w:r>
              <w:rPr>
                <w:sz w:val="16"/>
                <w:szCs w:val="16"/>
              </w:rPr>
              <w:t> </w:t>
            </w:r>
          </w:p>
        </w:tc>
        <w:tc>
          <w:tcPr>
            <w:tcW w:w="0" w:type="auto"/>
            <w:gridSpan w:val="6"/>
            <w:vAlign w:val="bottom"/>
            <w:hideMark/>
          </w:tcPr>
          <w:p w14:paraId="7EF43F7F" w14:textId="77777777" w:rsidR="00000000" w:rsidRDefault="00832D71">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14:paraId="7B34DAED"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1C26A367" w14:textId="77777777">
        <w:trPr>
          <w:divId w:val="552691016"/>
          <w:trHeight w:val="160"/>
          <w:tblCellSpacing w:w="15" w:type="dxa"/>
        </w:trPr>
        <w:tc>
          <w:tcPr>
            <w:tcW w:w="0" w:type="auto"/>
            <w:vAlign w:val="bottom"/>
            <w:hideMark/>
          </w:tcPr>
          <w:p w14:paraId="16CCF934"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0810FC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2469DCF" w14:textId="77777777" w:rsidR="00000000" w:rsidRDefault="00832D71">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14:paraId="6A20CC3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748294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664C04A" w14:textId="77777777" w:rsidR="00000000" w:rsidRDefault="00832D71">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14:paraId="1231D0DF"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C581EF5" w14:textId="77777777">
        <w:trPr>
          <w:divId w:val="552691016"/>
          <w:trHeight w:val="160"/>
          <w:tblCellSpacing w:w="15" w:type="dxa"/>
        </w:trPr>
        <w:tc>
          <w:tcPr>
            <w:tcW w:w="0" w:type="auto"/>
            <w:vAlign w:val="bottom"/>
            <w:hideMark/>
          </w:tcPr>
          <w:p w14:paraId="1157563A"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E939E3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028EE08"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1D408B24"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0269C9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4518B97"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7765180A"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3EEC6E5" w14:textId="77777777">
        <w:trPr>
          <w:divId w:val="552691016"/>
          <w:trHeight w:val="200"/>
          <w:tblCellSpacing w:w="15" w:type="dxa"/>
        </w:trPr>
        <w:tc>
          <w:tcPr>
            <w:tcW w:w="0" w:type="auto"/>
            <w:hideMark/>
          </w:tcPr>
          <w:p w14:paraId="5BA8896C" w14:textId="77777777" w:rsidR="00000000" w:rsidRDefault="00832D71">
            <w:pPr>
              <w:pStyle w:val="a3"/>
              <w:spacing w:before="0" w:beforeAutospacing="0" w:after="0" w:afterAutospacing="0"/>
              <w:rPr>
                <w:sz w:val="20"/>
                <w:szCs w:val="20"/>
              </w:rPr>
            </w:pPr>
            <w:r>
              <w:rPr>
                <w:sz w:val="20"/>
                <w:szCs w:val="20"/>
              </w:rPr>
              <w:t>Customer relationships</w:t>
            </w:r>
            <w:r>
              <w:rPr>
                <w:sz w:val="20"/>
                <w:szCs w:val="20"/>
              </w:rPr>
              <w:t xml:space="preserve"> </w:t>
            </w:r>
            <w:r>
              <w:rPr>
                <w:sz w:val="16"/>
                <w:szCs w:val="16"/>
              </w:rPr>
              <w:t>(2</w:t>
            </w:r>
            <w:r>
              <w:rPr>
                <w:sz w:val="16"/>
                <w:szCs w:val="16"/>
              </w:rPr>
              <w:t>)</w:t>
            </w:r>
          </w:p>
        </w:tc>
        <w:tc>
          <w:tcPr>
            <w:tcW w:w="0" w:type="auto"/>
            <w:hideMark/>
          </w:tcPr>
          <w:p w14:paraId="6BACEE2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438C93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18C6A25" w14:textId="77777777" w:rsidR="00000000" w:rsidRDefault="00832D71">
            <w:pPr>
              <w:pStyle w:val="a3"/>
              <w:spacing w:before="0" w:beforeAutospacing="0" w:after="0" w:afterAutospacing="0"/>
              <w:jc w:val="right"/>
              <w:rPr>
                <w:sz w:val="20"/>
                <w:szCs w:val="20"/>
              </w:rPr>
            </w:pPr>
            <w:r>
              <w:rPr>
                <w:sz w:val="20"/>
                <w:szCs w:val="20"/>
              </w:rPr>
              <w:t>526,66</w:t>
            </w:r>
            <w:r>
              <w:rPr>
                <w:sz w:val="20"/>
                <w:szCs w:val="20"/>
              </w:rPr>
              <w:t>5</w:t>
            </w:r>
          </w:p>
        </w:tc>
        <w:tc>
          <w:tcPr>
            <w:tcW w:w="0" w:type="auto"/>
            <w:noWrap/>
            <w:vAlign w:val="bottom"/>
            <w:hideMark/>
          </w:tcPr>
          <w:p w14:paraId="32D0F07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4A7171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92CECB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B815CBA" w14:textId="77777777" w:rsidR="00000000" w:rsidRDefault="00832D71">
            <w:pPr>
              <w:pStyle w:val="a3"/>
              <w:spacing w:before="0" w:beforeAutospacing="0" w:after="0" w:afterAutospacing="0"/>
              <w:jc w:val="right"/>
              <w:rPr>
                <w:sz w:val="20"/>
                <w:szCs w:val="20"/>
              </w:rPr>
            </w:pPr>
            <w:r>
              <w:rPr>
                <w:sz w:val="20"/>
                <w:szCs w:val="20"/>
              </w:rPr>
              <w:t>519,60</w:t>
            </w:r>
            <w:r>
              <w:rPr>
                <w:sz w:val="20"/>
                <w:szCs w:val="20"/>
              </w:rPr>
              <w:t>4</w:t>
            </w:r>
          </w:p>
        </w:tc>
        <w:tc>
          <w:tcPr>
            <w:tcW w:w="0" w:type="auto"/>
            <w:noWrap/>
            <w:vAlign w:val="bottom"/>
            <w:hideMark/>
          </w:tcPr>
          <w:p w14:paraId="2CCF3346" w14:textId="77777777" w:rsidR="00000000" w:rsidRDefault="00832D71">
            <w:pPr>
              <w:pStyle w:val="a3"/>
              <w:spacing w:before="0" w:beforeAutospacing="0" w:after="0" w:afterAutospacing="0"/>
              <w:rPr>
                <w:sz w:val="20"/>
                <w:szCs w:val="20"/>
              </w:rPr>
            </w:pPr>
            <w:r>
              <w:rPr>
                <w:sz w:val="20"/>
                <w:szCs w:val="20"/>
              </w:rPr>
              <w:t> </w:t>
            </w:r>
          </w:p>
        </w:tc>
      </w:tr>
      <w:tr w:rsidR="00000000" w14:paraId="5BFB7A39" w14:textId="77777777">
        <w:trPr>
          <w:divId w:val="552691016"/>
          <w:trHeight w:val="200"/>
          <w:tblCellSpacing w:w="15" w:type="dxa"/>
        </w:trPr>
        <w:tc>
          <w:tcPr>
            <w:tcW w:w="0" w:type="auto"/>
            <w:hideMark/>
          </w:tcPr>
          <w:p w14:paraId="1A50F717" w14:textId="77777777" w:rsidR="00000000" w:rsidRDefault="00832D71">
            <w:pPr>
              <w:pStyle w:val="a3"/>
              <w:spacing w:before="0" w:beforeAutospacing="0" w:after="0" w:afterAutospacing="0"/>
              <w:rPr>
                <w:sz w:val="20"/>
                <w:szCs w:val="20"/>
              </w:rPr>
            </w:pPr>
            <w:r>
              <w:rPr>
                <w:sz w:val="20"/>
                <w:szCs w:val="20"/>
              </w:rPr>
              <w:t>Non-compete agreements</w:t>
            </w:r>
            <w:r>
              <w:rPr>
                <w:sz w:val="20"/>
                <w:szCs w:val="20"/>
              </w:rPr>
              <w:t xml:space="preserve"> </w:t>
            </w:r>
            <w:r>
              <w:rPr>
                <w:sz w:val="16"/>
                <w:szCs w:val="16"/>
              </w:rPr>
              <w:t>(2</w:t>
            </w:r>
            <w:r>
              <w:rPr>
                <w:sz w:val="16"/>
                <w:szCs w:val="16"/>
              </w:rPr>
              <w:t>)</w:t>
            </w:r>
          </w:p>
        </w:tc>
        <w:tc>
          <w:tcPr>
            <w:tcW w:w="0" w:type="auto"/>
            <w:hideMark/>
          </w:tcPr>
          <w:p w14:paraId="2F23F42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15ABBB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0DF0CE7" w14:textId="77777777" w:rsidR="00000000" w:rsidRDefault="00832D71">
            <w:pPr>
              <w:pStyle w:val="a3"/>
              <w:spacing w:before="0" w:beforeAutospacing="0" w:after="0" w:afterAutospacing="0"/>
              <w:jc w:val="right"/>
              <w:rPr>
                <w:sz w:val="20"/>
                <w:szCs w:val="20"/>
              </w:rPr>
            </w:pPr>
            <w:r>
              <w:rPr>
                <w:sz w:val="20"/>
                <w:szCs w:val="20"/>
              </w:rPr>
              <w:t>40,19</w:t>
            </w:r>
            <w:r>
              <w:rPr>
                <w:sz w:val="20"/>
                <w:szCs w:val="20"/>
              </w:rPr>
              <w:t>0</w:t>
            </w:r>
          </w:p>
        </w:tc>
        <w:tc>
          <w:tcPr>
            <w:tcW w:w="0" w:type="auto"/>
            <w:noWrap/>
            <w:vAlign w:val="bottom"/>
            <w:hideMark/>
          </w:tcPr>
          <w:p w14:paraId="67FEDC1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74D9CC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784F40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293B4E6" w14:textId="77777777" w:rsidR="00000000" w:rsidRDefault="00832D71">
            <w:pPr>
              <w:pStyle w:val="a3"/>
              <w:spacing w:before="0" w:beforeAutospacing="0" w:after="0" w:afterAutospacing="0"/>
              <w:jc w:val="right"/>
              <w:rPr>
                <w:sz w:val="20"/>
                <w:szCs w:val="20"/>
              </w:rPr>
            </w:pPr>
            <w:r>
              <w:rPr>
                <w:sz w:val="20"/>
                <w:szCs w:val="20"/>
              </w:rPr>
              <w:t>38,94</w:t>
            </w:r>
            <w:r>
              <w:rPr>
                <w:sz w:val="20"/>
                <w:szCs w:val="20"/>
              </w:rPr>
              <w:t>0</w:t>
            </w:r>
          </w:p>
        </w:tc>
        <w:tc>
          <w:tcPr>
            <w:tcW w:w="0" w:type="auto"/>
            <w:noWrap/>
            <w:vAlign w:val="bottom"/>
            <w:hideMark/>
          </w:tcPr>
          <w:p w14:paraId="778FA009" w14:textId="77777777" w:rsidR="00000000" w:rsidRDefault="00832D71">
            <w:pPr>
              <w:pStyle w:val="a3"/>
              <w:spacing w:before="0" w:beforeAutospacing="0" w:after="0" w:afterAutospacing="0"/>
              <w:rPr>
                <w:sz w:val="20"/>
                <w:szCs w:val="20"/>
              </w:rPr>
            </w:pPr>
            <w:r>
              <w:rPr>
                <w:sz w:val="20"/>
                <w:szCs w:val="20"/>
              </w:rPr>
              <w:t> </w:t>
            </w:r>
          </w:p>
        </w:tc>
      </w:tr>
      <w:tr w:rsidR="00000000" w14:paraId="7285A87A" w14:textId="77777777">
        <w:trPr>
          <w:divId w:val="552691016"/>
          <w:trHeight w:val="200"/>
          <w:tblCellSpacing w:w="15" w:type="dxa"/>
        </w:trPr>
        <w:tc>
          <w:tcPr>
            <w:tcW w:w="0" w:type="auto"/>
            <w:hideMark/>
          </w:tcPr>
          <w:p w14:paraId="598CBE56" w14:textId="77777777" w:rsidR="00000000" w:rsidRDefault="00832D71">
            <w:pPr>
              <w:pStyle w:val="a3"/>
              <w:spacing w:before="0" w:beforeAutospacing="0" w:after="0" w:afterAutospacing="0"/>
              <w:rPr>
                <w:sz w:val="20"/>
                <w:szCs w:val="20"/>
              </w:rPr>
            </w:pPr>
            <w:r>
              <w:rPr>
                <w:sz w:val="20"/>
                <w:szCs w:val="20"/>
              </w:rPr>
              <w:t>Othe</w:t>
            </w:r>
            <w:r>
              <w:rPr>
                <w:sz w:val="20"/>
                <w:szCs w:val="20"/>
              </w:rPr>
              <w:t>r</w:t>
            </w:r>
          </w:p>
        </w:tc>
        <w:tc>
          <w:tcPr>
            <w:tcW w:w="0" w:type="auto"/>
            <w:hideMark/>
          </w:tcPr>
          <w:p w14:paraId="076EDD1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324416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0EEC16C" w14:textId="77777777" w:rsidR="00000000" w:rsidRDefault="00832D71">
            <w:pPr>
              <w:pStyle w:val="a3"/>
              <w:spacing w:before="0" w:beforeAutospacing="0" w:after="0" w:afterAutospacing="0"/>
              <w:jc w:val="right"/>
              <w:rPr>
                <w:sz w:val="20"/>
                <w:szCs w:val="20"/>
              </w:rPr>
            </w:pPr>
            <w:r>
              <w:rPr>
                <w:sz w:val="20"/>
                <w:szCs w:val="20"/>
              </w:rPr>
              <w:t>1,96</w:t>
            </w:r>
            <w:r>
              <w:rPr>
                <w:sz w:val="20"/>
                <w:szCs w:val="20"/>
              </w:rPr>
              <w:t>7</w:t>
            </w:r>
          </w:p>
        </w:tc>
        <w:tc>
          <w:tcPr>
            <w:tcW w:w="0" w:type="auto"/>
            <w:noWrap/>
            <w:vAlign w:val="bottom"/>
            <w:hideMark/>
          </w:tcPr>
          <w:p w14:paraId="427F295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362F2E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60CABF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F2E9AE4" w14:textId="77777777" w:rsidR="00000000" w:rsidRDefault="00832D71">
            <w:pPr>
              <w:pStyle w:val="a3"/>
              <w:spacing w:before="0" w:beforeAutospacing="0" w:after="0" w:afterAutospacing="0"/>
              <w:jc w:val="right"/>
              <w:rPr>
                <w:sz w:val="20"/>
                <w:szCs w:val="20"/>
              </w:rPr>
            </w:pPr>
            <w:r>
              <w:rPr>
                <w:sz w:val="20"/>
                <w:szCs w:val="20"/>
              </w:rPr>
              <w:t>1,96</w:t>
            </w:r>
            <w:r>
              <w:rPr>
                <w:sz w:val="20"/>
                <w:szCs w:val="20"/>
              </w:rPr>
              <w:t>7</w:t>
            </w:r>
          </w:p>
        </w:tc>
        <w:tc>
          <w:tcPr>
            <w:tcW w:w="0" w:type="auto"/>
            <w:noWrap/>
            <w:vAlign w:val="bottom"/>
            <w:hideMark/>
          </w:tcPr>
          <w:p w14:paraId="49F90D72" w14:textId="77777777" w:rsidR="00000000" w:rsidRDefault="00832D71">
            <w:pPr>
              <w:pStyle w:val="a3"/>
              <w:spacing w:before="0" w:beforeAutospacing="0" w:after="0" w:afterAutospacing="0"/>
              <w:rPr>
                <w:sz w:val="20"/>
                <w:szCs w:val="20"/>
              </w:rPr>
            </w:pPr>
            <w:r>
              <w:rPr>
                <w:sz w:val="20"/>
                <w:szCs w:val="20"/>
              </w:rPr>
              <w:t> </w:t>
            </w:r>
          </w:p>
        </w:tc>
      </w:tr>
      <w:tr w:rsidR="00000000" w14:paraId="1FB9F151" w14:textId="77777777">
        <w:trPr>
          <w:divId w:val="552691016"/>
          <w:trHeight w:val="200"/>
          <w:tblCellSpacing w:w="15" w:type="dxa"/>
        </w:trPr>
        <w:tc>
          <w:tcPr>
            <w:tcW w:w="0" w:type="auto"/>
            <w:hideMark/>
          </w:tcPr>
          <w:p w14:paraId="0C9D36E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64FE2A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1B71D5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8EDC2C3" w14:textId="77777777" w:rsidR="00000000" w:rsidRDefault="00832D71">
            <w:pPr>
              <w:pStyle w:val="a3"/>
              <w:spacing w:before="0" w:beforeAutospacing="0" w:after="0" w:afterAutospacing="0"/>
              <w:jc w:val="right"/>
              <w:rPr>
                <w:sz w:val="20"/>
                <w:szCs w:val="20"/>
              </w:rPr>
            </w:pPr>
            <w:r>
              <w:rPr>
                <w:sz w:val="20"/>
                <w:szCs w:val="20"/>
              </w:rPr>
              <w:t>568,82</w:t>
            </w:r>
            <w:r>
              <w:rPr>
                <w:sz w:val="20"/>
                <w:szCs w:val="20"/>
              </w:rPr>
              <w:t>2</w:t>
            </w:r>
          </w:p>
        </w:tc>
        <w:tc>
          <w:tcPr>
            <w:tcW w:w="0" w:type="auto"/>
            <w:noWrap/>
            <w:vAlign w:val="bottom"/>
            <w:hideMark/>
          </w:tcPr>
          <w:p w14:paraId="44558E1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1395E6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0E8536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BD4DEDA" w14:textId="77777777" w:rsidR="00000000" w:rsidRDefault="00832D71">
            <w:pPr>
              <w:pStyle w:val="a3"/>
              <w:spacing w:before="0" w:beforeAutospacing="0" w:after="0" w:afterAutospacing="0"/>
              <w:jc w:val="right"/>
              <w:rPr>
                <w:sz w:val="20"/>
                <w:szCs w:val="20"/>
              </w:rPr>
            </w:pPr>
            <w:r>
              <w:rPr>
                <w:sz w:val="20"/>
                <w:szCs w:val="20"/>
              </w:rPr>
              <w:t>560,51</w:t>
            </w:r>
            <w:r>
              <w:rPr>
                <w:sz w:val="20"/>
                <w:szCs w:val="20"/>
              </w:rPr>
              <w:t>1</w:t>
            </w:r>
          </w:p>
        </w:tc>
        <w:tc>
          <w:tcPr>
            <w:tcW w:w="0" w:type="auto"/>
            <w:noWrap/>
            <w:vAlign w:val="bottom"/>
            <w:hideMark/>
          </w:tcPr>
          <w:p w14:paraId="107626C4" w14:textId="77777777" w:rsidR="00000000" w:rsidRDefault="00832D71">
            <w:pPr>
              <w:pStyle w:val="a3"/>
              <w:spacing w:before="0" w:beforeAutospacing="0" w:after="0" w:afterAutospacing="0"/>
              <w:rPr>
                <w:sz w:val="20"/>
                <w:szCs w:val="20"/>
              </w:rPr>
            </w:pPr>
            <w:r>
              <w:rPr>
                <w:sz w:val="20"/>
                <w:szCs w:val="20"/>
              </w:rPr>
              <w:t> </w:t>
            </w:r>
          </w:p>
        </w:tc>
      </w:tr>
      <w:tr w:rsidR="00000000" w14:paraId="069128FA" w14:textId="77777777">
        <w:trPr>
          <w:divId w:val="552691016"/>
          <w:trHeight w:val="200"/>
          <w:tblCellSpacing w:w="15" w:type="dxa"/>
        </w:trPr>
        <w:tc>
          <w:tcPr>
            <w:tcW w:w="0" w:type="auto"/>
            <w:hideMark/>
          </w:tcPr>
          <w:p w14:paraId="3B6B682C" w14:textId="77777777" w:rsidR="00000000" w:rsidRDefault="00832D71">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hideMark/>
          </w:tcPr>
          <w:p w14:paraId="22883F3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FEE1C0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CB582AB"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6A62C35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9EBFB8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D1D429C" w14:textId="77777777" w:rsidR="00000000" w:rsidRDefault="00832D71">
            <w:pPr>
              <w:pStyle w:val="a3"/>
              <w:spacing w:before="0" w:beforeAutospacing="0" w:after="0" w:afterAutospacing="0"/>
              <w:jc w:val="right"/>
              <w:rPr>
                <w:sz w:val="20"/>
                <w:szCs w:val="20"/>
              </w:rPr>
            </w:pPr>
            <w:r>
              <w:rPr>
                <w:sz w:val="20"/>
                <w:szCs w:val="20"/>
              </w:rPr>
              <w:t> </w:t>
            </w:r>
          </w:p>
        </w:tc>
      </w:tr>
      <w:tr w:rsidR="00000000" w14:paraId="12815CB8" w14:textId="77777777">
        <w:trPr>
          <w:divId w:val="552691016"/>
          <w:trHeight w:val="200"/>
          <w:tblCellSpacing w:w="15" w:type="dxa"/>
        </w:trPr>
        <w:tc>
          <w:tcPr>
            <w:tcW w:w="0" w:type="auto"/>
            <w:hideMark/>
          </w:tcPr>
          <w:p w14:paraId="09DDAB2E" w14:textId="77777777" w:rsidR="00000000" w:rsidRDefault="00832D71">
            <w:pPr>
              <w:pStyle w:val="a3"/>
              <w:spacing w:before="0" w:beforeAutospacing="0" w:after="0" w:afterAutospacing="0"/>
              <w:ind w:left="200"/>
              <w:rPr>
                <w:sz w:val="20"/>
                <w:szCs w:val="20"/>
              </w:rPr>
            </w:pPr>
            <w:r>
              <w:rPr>
                <w:sz w:val="20"/>
                <w:szCs w:val="20"/>
              </w:rPr>
              <w:t>Customer relationship</w:t>
            </w:r>
            <w:r>
              <w:rPr>
                <w:sz w:val="20"/>
                <w:szCs w:val="20"/>
              </w:rPr>
              <w:t>s</w:t>
            </w:r>
          </w:p>
        </w:tc>
        <w:tc>
          <w:tcPr>
            <w:tcW w:w="0" w:type="auto"/>
            <w:hideMark/>
          </w:tcPr>
          <w:p w14:paraId="17FCCB9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81A5AE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61F53D3" w14:textId="77777777" w:rsidR="00000000" w:rsidRDefault="00832D71">
            <w:pPr>
              <w:pStyle w:val="a3"/>
              <w:spacing w:before="0" w:beforeAutospacing="0" w:after="0" w:afterAutospacing="0"/>
              <w:jc w:val="right"/>
              <w:rPr>
                <w:sz w:val="20"/>
                <w:szCs w:val="20"/>
              </w:rPr>
            </w:pPr>
            <w:r>
              <w:rPr>
                <w:sz w:val="20"/>
                <w:szCs w:val="20"/>
              </w:rPr>
              <w:t>(</w:t>
            </w:r>
            <w:r>
              <w:rPr>
                <w:sz w:val="20"/>
                <w:szCs w:val="20"/>
              </w:rPr>
              <w:t>492,96</w:t>
            </w:r>
            <w:r>
              <w:rPr>
                <w:sz w:val="20"/>
                <w:szCs w:val="20"/>
              </w:rPr>
              <w:t>8</w:t>
            </w:r>
          </w:p>
        </w:tc>
        <w:tc>
          <w:tcPr>
            <w:tcW w:w="0" w:type="auto"/>
            <w:noWrap/>
            <w:vAlign w:val="bottom"/>
            <w:hideMark/>
          </w:tcPr>
          <w:p w14:paraId="7ADF86B0"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6C3F014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81FE31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A56F5E5" w14:textId="77777777" w:rsidR="00000000" w:rsidRDefault="00832D71">
            <w:pPr>
              <w:pStyle w:val="a3"/>
              <w:spacing w:before="0" w:beforeAutospacing="0" w:after="0" w:afterAutospacing="0"/>
              <w:jc w:val="right"/>
              <w:rPr>
                <w:sz w:val="20"/>
                <w:szCs w:val="20"/>
              </w:rPr>
            </w:pPr>
            <w:r>
              <w:rPr>
                <w:sz w:val="20"/>
                <w:szCs w:val="20"/>
              </w:rPr>
              <w:t>(</w:t>
            </w:r>
            <w:r>
              <w:rPr>
                <w:sz w:val="20"/>
                <w:szCs w:val="20"/>
              </w:rPr>
              <w:t>486,39</w:t>
            </w:r>
            <w:r>
              <w:rPr>
                <w:sz w:val="20"/>
                <w:szCs w:val="20"/>
              </w:rPr>
              <w:t>5</w:t>
            </w:r>
          </w:p>
        </w:tc>
        <w:tc>
          <w:tcPr>
            <w:tcW w:w="0" w:type="auto"/>
            <w:noWrap/>
            <w:vAlign w:val="bottom"/>
            <w:hideMark/>
          </w:tcPr>
          <w:p w14:paraId="45240930" w14:textId="77777777" w:rsidR="00000000" w:rsidRDefault="00832D71">
            <w:pPr>
              <w:pStyle w:val="a3"/>
              <w:spacing w:before="0" w:beforeAutospacing="0" w:after="0" w:afterAutospacing="0"/>
              <w:rPr>
                <w:sz w:val="20"/>
                <w:szCs w:val="20"/>
              </w:rPr>
            </w:pPr>
            <w:r>
              <w:rPr>
                <w:sz w:val="20"/>
                <w:szCs w:val="20"/>
              </w:rPr>
              <w:t>)</w:t>
            </w:r>
          </w:p>
        </w:tc>
      </w:tr>
      <w:tr w:rsidR="00000000" w14:paraId="0CA66400" w14:textId="77777777">
        <w:trPr>
          <w:divId w:val="552691016"/>
          <w:trHeight w:val="200"/>
          <w:tblCellSpacing w:w="15" w:type="dxa"/>
        </w:trPr>
        <w:tc>
          <w:tcPr>
            <w:tcW w:w="0" w:type="auto"/>
            <w:hideMark/>
          </w:tcPr>
          <w:p w14:paraId="07CEB000" w14:textId="77777777" w:rsidR="00000000" w:rsidRDefault="00832D71">
            <w:pPr>
              <w:pStyle w:val="a3"/>
              <w:spacing w:before="0" w:beforeAutospacing="0" w:after="0" w:afterAutospacing="0"/>
              <w:ind w:left="200"/>
              <w:rPr>
                <w:sz w:val="20"/>
                <w:szCs w:val="20"/>
              </w:rPr>
            </w:pPr>
            <w:r>
              <w:rPr>
                <w:sz w:val="20"/>
                <w:szCs w:val="20"/>
              </w:rPr>
              <w:t>Non-compete agreement</w:t>
            </w:r>
            <w:r>
              <w:rPr>
                <w:sz w:val="20"/>
                <w:szCs w:val="20"/>
              </w:rPr>
              <w:t>s</w:t>
            </w:r>
          </w:p>
        </w:tc>
        <w:tc>
          <w:tcPr>
            <w:tcW w:w="0" w:type="auto"/>
            <w:hideMark/>
          </w:tcPr>
          <w:p w14:paraId="1F42A97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B6C46A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3DF10EA" w14:textId="77777777" w:rsidR="00000000" w:rsidRDefault="00832D71">
            <w:pPr>
              <w:pStyle w:val="a3"/>
              <w:spacing w:before="0" w:beforeAutospacing="0" w:after="0" w:afterAutospacing="0"/>
              <w:jc w:val="right"/>
              <w:rPr>
                <w:sz w:val="20"/>
                <w:szCs w:val="20"/>
              </w:rPr>
            </w:pPr>
            <w:r>
              <w:rPr>
                <w:sz w:val="20"/>
                <w:szCs w:val="20"/>
              </w:rPr>
              <w:t>(</w:t>
            </w:r>
            <w:r>
              <w:rPr>
                <w:sz w:val="20"/>
                <w:szCs w:val="20"/>
              </w:rPr>
              <w:t>34,13</w:t>
            </w:r>
            <w:r>
              <w:rPr>
                <w:sz w:val="20"/>
                <w:szCs w:val="20"/>
              </w:rPr>
              <w:t>7</w:t>
            </w:r>
          </w:p>
        </w:tc>
        <w:tc>
          <w:tcPr>
            <w:tcW w:w="0" w:type="auto"/>
            <w:noWrap/>
            <w:vAlign w:val="bottom"/>
            <w:hideMark/>
          </w:tcPr>
          <w:p w14:paraId="7F98CD33"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40528D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4FBCD8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B090B62" w14:textId="77777777" w:rsidR="00000000" w:rsidRDefault="00832D71">
            <w:pPr>
              <w:pStyle w:val="a3"/>
              <w:spacing w:before="0" w:beforeAutospacing="0" w:after="0" w:afterAutospacing="0"/>
              <w:jc w:val="right"/>
              <w:rPr>
                <w:sz w:val="20"/>
                <w:szCs w:val="20"/>
              </w:rPr>
            </w:pPr>
            <w:r>
              <w:rPr>
                <w:sz w:val="20"/>
                <w:szCs w:val="20"/>
              </w:rPr>
              <w:t>(</w:t>
            </w:r>
            <w:r>
              <w:rPr>
                <w:sz w:val="20"/>
                <w:szCs w:val="20"/>
              </w:rPr>
              <w:t>33,22</w:t>
            </w:r>
            <w:r>
              <w:rPr>
                <w:sz w:val="20"/>
                <w:szCs w:val="20"/>
              </w:rPr>
              <w:t>9</w:t>
            </w:r>
          </w:p>
        </w:tc>
        <w:tc>
          <w:tcPr>
            <w:tcW w:w="0" w:type="auto"/>
            <w:noWrap/>
            <w:vAlign w:val="bottom"/>
            <w:hideMark/>
          </w:tcPr>
          <w:p w14:paraId="2506B04E" w14:textId="77777777" w:rsidR="00000000" w:rsidRDefault="00832D71">
            <w:pPr>
              <w:pStyle w:val="a3"/>
              <w:spacing w:before="0" w:beforeAutospacing="0" w:after="0" w:afterAutospacing="0"/>
              <w:rPr>
                <w:sz w:val="20"/>
                <w:szCs w:val="20"/>
              </w:rPr>
            </w:pPr>
            <w:r>
              <w:rPr>
                <w:sz w:val="20"/>
                <w:szCs w:val="20"/>
              </w:rPr>
              <w:t>)</w:t>
            </w:r>
          </w:p>
        </w:tc>
      </w:tr>
      <w:tr w:rsidR="00000000" w14:paraId="753D3479" w14:textId="77777777">
        <w:trPr>
          <w:divId w:val="552691016"/>
          <w:trHeight w:val="200"/>
          <w:tblCellSpacing w:w="15" w:type="dxa"/>
        </w:trPr>
        <w:tc>
          <w:tcPr>
            <w:tcW w:w="0" w:type="auto"/>
            <w:hideMark/>
          </w:tcPr>
          <w:p w14:paraId="6657084C" w14:textId="77777777" w:rsidR="00000000" w:rsidRDefault="00832D71">
            <w:pPr>
              <w:pStyle w:val="a3"/>
              <w:spacing w:before="0" w:beforeAutospacing="0" w:after="0" w:afterAutospacing="0"/>
              <w:ind w:left="200"/>
              <w:rPr>
                <w:sz w:val="20"/>
                <w:szCs w:val="20"/>
              </w:rPr>
            </w:pPr>
            <w:r>
              <w:rPr>
                <w:sz w:val="20"/>
                <w:szCs w:val="20"/>
              </w:rPr>
              <w:t>Othe</w:t>
            </w:r>
            <w:r>
              <w:rPr>
                <w:sz w:val="20"/>
                <w:szCs w:val="20"/>
              </w:rPr>
              <w:t>r</w:t>
            </w:r>
          </w:p>
        </w:tc>
        <w:tc>
          <w:tcPr>
            <w:tcW w:w="0" w:type="auto"/>
            <w:hideMark/>
          </w:tcPr>
          <w:p w14:paraId="33E6439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3BB0A7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98D2336" w14:textId="77777777" w:rsidR="00000000" w:rsidRDefault="00832D71">
            <w:pPr>
              <w:pStyle w:val="a3"/>
              <w:spacing w:before="0" w:beforeAutospacing="0" w:after="0" w:afterAutospacing="0"/>
              <w:jc w:val="right"/>
              <w:rPr>
                <w:sz w:val="20"/>
                <w:szCs w:val="20"/>
              </w:rPr>
            </w:pPr>
            <w:r>
              <w:rPr>
                <w:sz w:val="20"/>
                <w:szCs w:val="20"/>
              </w:rPr>
              <w:t>(</w:t>
            </w:r>
            <w:r>
              <w:rPr>
                <w:sz w:val="20"/>
                <w:szCs w:val="20"/>
              </w:rPr>
              <w:t>1,71</w:t>
            </w:r>
            <w:r>
              <w:rPr>
                <w:sz w:val="20"/>
                <w:szCs w:val="20"/>
              </w:rPr>
              <w:t>5</w:t>
            </w:r>
          </w:p>
        </w:tc>
        <w:tc>
          <w:tcPr>
            <w:tcW w:w="0" w:type="auto"/>
            <w:noWrap/>
            <w:vAlign w:val="bottom"/>
            <w:hideMark/>
          </w:tcPr>
          <w:p w14:paraId="168CC05C"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0BC58E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4AC24D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B0EDE92" w14:textId="77777777" w:rsidR="00000000" w:rsidRDefault="00832D71">
            <w:pPr>
              <w:pStyle w:val="a3"/>
              <w:spacing w:before="0" w:beforeAutospacing="0" w:after="0" w:afterAutospacing="0"/>
              <w:jc w:val="right"/>
              <w:rPr>
                <w:sz w:val="20"/>
                <w:szCs w:val="20"/>
              </w:rPr>
            </w:pPr>
            <w:r>
              <w:rPr>
                <w:sz w:val="20"/>
                <w:szCs w:val="20"/>
              </w:rPr>
              <w:t>(</w:t>
            </w:r>
            <w:r>
              <w:rPr>
                <w:sz w:val="20"/>
                <w:szCs w:val="20"/>
              </w:rPr>
              <w:t>1,62</w:t>
            </w:r>
            <w:r>
              <w:rPr>
                <w:sz w:val="20"/>
                <w:szCs w:val="20"/>
              </w:rPr>
              <w:t>4</w:t>
            </w:r>
          </w:p>
        </w:tc>
        <w:tc>
          <w:tcPr>
            <w:tcW w:w="0" w:type="auto"/>
            <w:noWrap/>
            <w:vAlign w:val="bottom"/>
            <w:hideMark/>
          </w:tcPr>
          <w:p w14:paraId="247D47EE" w14:textId="77777777" w:rsidR="00000000" w:rsidRDefault="00832D71">
            <w:pPr>
              <w:pStyle w:val="a3"/>
              <w:spacing w:before="0" w:beforeAutospacing="0" w:after="0" w:afterAutospacing="0"/>
              <w:rPr>
                <w:sz w:val="20"/>
                <w:szCs w:val="20"/>
              </w:rPr>
            </w:pPr>
            <w:r>
              <w:rPr>
                <w:sz w:val="20"/>
                <w:szCs w:val="20"/>
              </w:rPr>
              <w:t>)</w:t>
            </w:r>
          </w:p>
        </w:tc>
      </w:tr>
      <w:tr w:rsidR="00000000" w14:paraId="73F87038" w14:textId="77777777">
        <w:trPr>
          <w:divId w:val="552691016"/>
          <w:trHeight w:val="200"/>
          <w:tblCellSpacing w:w="15" w:type="dxa"/>
        </w:trPr>
        <w:tc>
          <w:tcPr>
            <w:tcW w:w="0" w:type="auto"/>
            <w:hideMark/>
          </w:tcPr>
          <w:p w14:paraId="4812FCF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B7E947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212C78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57CD977" w14:textId="77777777" w:rsidR="00000000" w:rsidRDefault="00832D71">
            <w:pPr>
              <w:pStyle w:val="a3"/>
              <w:spacing w:before="0" w:beforeAutospacing="0" w:after="0" w:afterAutospacing="0"/>
              <w:jc w:val="right"/>
              <w:rPr>
                <w:sz w:val="20"/>
                <w:szCs w:val="20"/>
              </w:rPr>
            </w:pPr>
            <w:r>
              <w:rPr>
                <w:sz w:val="20"/>
                <w:szCs w:val="20"/>
              </w:rPr>
              <w:t>(</w:t>
            </w:r>
            <w:r>
              <w:rPr>
                <w:sz w:val="20"/>
                <w:szCs w:val="20"/>
              </w:rPr>
              <w:t>528,82</w:t>
            </w:r>
            <w:r>
              <w:rPr>
                <w:sz w:val="20"/>
                <w:szCs w:val="20"/>
              </w:rPr>
              <w:t>0</w:t>
            </w:r>
          </w:p>
        </w:tc>
        <w:tc>
          <w:tcPr>
            <w:tcW w:w="0" w:type="auto"/>
            <w:noWrap/>
            <w:vAlign w:val="bottom"/>
            <w:hideMark/>
          </w:tcPr>
          <w:p w14:paraId="21AF5AC9"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F3A9F7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7049F4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75E403A" w14:textId="77777777" w:rsidR="00000000" w:rsidRDefault="00832D71">
            <w:pPr>
              <w:pStyle w:val="a3"/>
              <w:spacing w:before="0" w:beforeAutospacing="0" w:after="0" w:afterAutospacing="0"/>
              <w:jc w:val="right"/>
              <w:rPr>
                <w:sz w:val="20"/>
                <w:szCs w:val="20"/>
              </w:rPr>
            </w:pPr>
            <w:r>
              <w:rPr>
                <w:sz w:val="20"/>
                <w:szCs w:val="20"/>
              </w:rPr>
              <w:t>(</w:t>
            </w:r>
            <w:r>
              <w:rPr>
                <w:sz w:val="20"/>
                <w:szCs w:val="20"/>
              </w:rPr>
              <w:t>521,24</w:t>
            </w:r>
            <w:r>
              <w:rPr>
                <w:sz w:val="20"/>
                <w:szCs w:val="20"/>
              </w:rPr>
              <w:t>8</w:t>
            </w:r>
          </w:p>
        </w:tc>
        <w:tc>
          <w:tcPr>
            <w:tcW w:w="0" w:type="auto"/>
            <w:noWrap/>
            <w:vAlign w:val="bottom"/>
            <w:hideMark/>
          </w:tcPr>
          <w:p w14:paraId="35D2D314" w14:textId="77777777" w:rsidR="00000000" w:rsidRDefault="00832D71">
            <w:pPr>
              <w:pStyle w:val="a3"/>
              <w:spacing w:before="0" w:beforeAutospacing="0" w:after="0" w:afterAutospacing="0"/>
              <w:rPr>
                <w:sz w:val="20"/>
                <w:szCs w:val="20"/>
              </w:rPr>
            </w:pPr>
            <w:r>
              <w:rPr>
                <w:sz w:val="20"/>
                <w:szCs w:val="20"/>
              </w:rPr>
              <w:t>)</w:t>
            </w:r>
          </w:p>
        </w:tc>
      </w:tr>
      <w:tr w:rsidR="00000000" w14:paraId="66658D34" w14:textId="77777777">
        <w:trPr>
          <w:divId w:val="552691016"/>
          <w:trHeight w:val="200"/>
          <w:tblCellSpacing w:w="15" w:type="dxa"/>
        </w:trPr>
        <w:tc>
          <w:tcPr>
            <w:tcW w:w="0" w:type="auto"/>
            <w:hideMark/>
          </w:tcPr>
          <w:p w14:paraId="1CF5F8E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35A606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D3128E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1FA3B4C" w14:textId="77777777" w:rsidR="00000000" w:rsidRDefault="00832D71">
            <w:pPr>
              <w:pStyle w:val="a3"/>
              <w:spacing w:before="0" w:beforeAutospacing="0" w:after="0" w:afterAutospacing="0"/>
              <w:jc w:val="right"/>
              <w:rPr>
                <w:sz w:val="20"/>
                <w:szCs w:val="20"/>
              </w:rPr>
            </w:pPr>
            <w:r>
              <w:rPr>
                <w:sz w:val="20"/>
                <w:szCs w:val="20"/>
              </w:rPr>
              <w:t>40,00</w:t>
            </w:r>
            <w:r>
              <w:rPr>
                <w:sz w:val="20"/>
                <w:szCs w:val="20"/>
              </w:rPr>
              <w:t>2</w:t>
            </w:r>
          </w:p>
        </w:tc>
        <w:tc>
          <w:tcPr>
            <w:tcW w:w="0" w:type="auto"/>
            <w:noWrap/>
            <w:vAlign w:val="bottom"/>
            <w:hideMark/>
          </w:tcPr>
          <w:p w14:paraId="37C19A3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94708E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52C56B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1085094" w14:textId="77777777" w:rsidR="00000000" w:rsidRDefault="00832D71">
            <w:pPr>
              <w:pStyle w:val="a3"/>
              <w:spacing w:before="0" w:beforeAutospacing="0" w:after="0" w:afterAutospacing="0"/>
              <w:jc w:val="right"/>
              <w:rPr>
                <w:sz w:val="20"/>
                <w:szCs w:val="20"/>
              </w:rPr>
            </w:pPr>
            <w:r>
              <w:rPr>
                <w:sz w:val="20"/>
                <w:szCs w:val="20"/>
              </w:rPr>
              <w:t>39,26</w:t>
            </w:r>
            <w:r>
              <w:rPr>
                <w:sz w:val="20"/>
                <w:szCs w:val="20"/>
              </w:rPr>
              <w:t>3</w:t>
            </w:r>
          </w:p>
        </w:tc>
        <w:tc>
          <w:tcPr>
            <w:tcW w:w="0" w:type="auto"/>
            <w:noWrap/>
            <w:vAlign w:val="bottom"/>
            <w:hideMark/>
          </w:tcPr>
          <w:p w14:paraId="5707EEEB" w14:textId="77777777" w:rsidR="00000000" w:rsidRDefault="00832D71">
            <w:pPr>
              <w:pStyle w:val="a3"/>
              <w:spacing w:before="0" w:beforeAutospacing="0" w:after="0" w:afterAutospacing="0"/>
              <w:rPr>
                <w:sz w:val="20"/>
                <w:szCs w:val="20"/>
              </w:rPr>
            </w:pPr>
            <w:r>
              <w:rPr>
                <w:sz w:val="20"/>
                <w:szCs w:val="20"/>
              </w:rPr>
              <w:t> </w:t>
            </w:r>
          </w:p>
        </w:tc>
      </w:tr>
    </w:tbl>
    <w:p w14:paraId="60E6E9F1" w14:textId="77777777" w:rsidR="00000000" w:rsidRDefault="00832D71">
      <w:pPr>
        <w:pStyle w:val="a3"/>
        <w:spacing w:before="0" w:beforeAutospacing="0" w:after="0" w:afterAutospacing="0"/>
        <w:ind w:left="714"/>
        <w:jc w:val="both"/>
        <w:divId w:val="552691016"/>
        <w:rPr>
          <w:sz w:val="20"/>
          <w:szCs w:val="20"/>
        </w:rPr>
      </w:pPr>
      <w:r>
        <w:rPr>
          <w:sz w:val="20"/>
          <w:szCs w:val="20"/>
        </w:rPr>
        <w:t> </w:t>
      </w:r>
    </w:p>
    <w:p w14:paraId="15A9AB87" w14:textId="77777777" w:rsidR="00000000" w:rsidRDefault="00832D71">
      <w:pPr>
        <w:jc w:val="both"/>
        <w:divId w:val="1171987410"/>
        <w:rPr>
          <w:rFonts w:eastAsia="Times New Roman"/>
          <w:sz w:val="20"/>
          <w:szCs w:val="20"/>
        </w:rPr>
      </w:pPr>
      <w:r>
        <w:rPr>
          <w:rFonts w:eastAsia="Times New Roman"/>
          <w:sz w:val="18"/>
          <w:szCs w:val="18"/>
        </w:rPr>
        <w:t>(1</w:t>
      </w:r>
      <w:r>
        <w:rPr>
          <w:rFonts w:eastAsia="Times New Roman"/>
          <w:sz w:val="18"/>
          <w:szCs w:val="18"/>
        </w:rPr>
        <w:t>)</w:t>
      </w:r>
    </w:p>
    <w:p w14:paraId="29261FE1" w14:textId="77777777" w:rsidR="00000000" w:rsidRDefault="00832D71">
      <w:pPr>
        <w:jc w:val="both"/>
        <w:divId w:val="943419335"/>
        <w:rPr>
          <w:rFonts w:eastAsia="Times New Roman"/>
          <w:sz w:val="20"/>
          <w:szCs w:val="20"/>
        </w:rPr>
      </w:pPr>
      <w:r>
        <w:rPr>
          <w:rFonts w:eastAsia="Times New Roman"/>
          <w:sz w:val="20"/>
          <w:szCs w:val="20"/>
        </w:rPr>
        <w:t>Reflects the impact from the disposition of certain assets and operations in a non-strategic market of the propane segment (See Note 4)</w:t>
      </w:r>
      <w:r>
        <w:rPr>
          <w:rFonts w:eastAsia="Times New Roman"/>
          <w:sz w:val="20"/>
          <w:szCs w:val="20"/>
        </w:rPr>
        <w:t>.</w:t>
      </w:r>
    </w:p>
    <w:p w14:paraId="36A1B94E" w14:textId="77777777" w:rsidR="00000000" w:rsidRDefault="00832D71">
      <w:pPr>
        <w:pStyle w:val="a3"/>
        <w:spacing w:before="200" w:beforeAutospacing="0" w:after="0" w:afterAutospacing="0"/>
        <w:jc w:val="center"/>
        <w:divId w:val="552691016"/>
        <w:rPr>
          <w:sz w:val="20"/>
          <w:szCs w:val="20"/>
        </w:rPr>
      </w:pPr>
      <w:r>
        <w:rPr>
          <w:sz w:val="20"/>
          <w:szCs w:val="20"/>
        </w:rPr>
        <w:t>F</w:t>
      </w:r>
      <w:r>
        <w:rPr>
          <w:sz w:val="20"/>
          <w:szCs w:val="20"/>
        </w:rPr>
        <w:t>-</w:t>
      </w:r>
      <w:r>
        <w:rPr>
          <w:sz w:val="20"/>
          <w:szCs w:val="20"/>
        </w:rPr>
        <w:t>1</w:t>
      </w:r>
      <w:r>
        <w:rPr>
          <w:sz w:val="20"/>
          <w:szCs w:val="20"/>
        </w:rPr>
        <w:t>7</w:t>
      </w:r>
    </w:p>
    <w:p w14:paraId="754EB282" w14:textId="77777777" w:rsidR="00000000" w:rsidRDefault="00832D71">
      <w:pPr>
        <w:divId w:val="552691016"/>
        <w:rPr>
          <w:rFonts w:eastAsia="Times New Roman"/>
          <w:sz w:val="20"/>
          <w:szCs w:val="20"/>
        </w:rPr>
      </w:pPr>
      <w:r>
        <w:rPr>
          <w:rFonts w:eastAsia="Times New Roman"/>
          <w:sz w:val="20"/>
          <w:szCs w:val="20"/>
        </w:rPr>
        <w:pict w14:anchorId="55F99D33">
          <v:rect id="_x0000_i1136" style="width:0;height:1.5pt" o:hralign="center" o:hrstd="t" o:hr="t" fillcolor="#a0a0a0" stroked="f"/>
        </w:pict>
      </w:r>
    </w:p>
    <w:p w14:paraId="672328E0" w14:textId="77777777" w:rsidR="00000000" w:rsidRDefault="00832D71">
      <w:pPr>
        <w:pStyle w:val="a3"/>
        <w:spacing w:before="0" w:beforeAutospacing="0" w:after="0" w:afterAutospacing="0"/>
        <w:divId w:val="552691016"/>
        <w:rPr>
          <w:sz w:val="20"/>
          <w:szCs w:val="20"/>
        </w:rPr>
      </w:pPr>
      <w:r>
        <w:rPr>
          <w:sz w:val="20"/>
          <w:szCs w:val="20"/>
        </w:rPr>
        <w:t> </w:t>
      </w:r>
    </w:p>
    <w:p w14:paraId="4AE3F8C2" w14:textId="77777777" w:rsidR="00000000" w:rsidRDefault="00832D71">
      <w:pPr>
        <w:pStyle w:val="a3"/>
        <w:spacing w:before="0" w:beforeAutospacing="0" w:after="0" w:afterAutospacing="0"/>
        <w:ind w:left="714"/>
        <w:jc w:val="both"/>
        <w:divId w:val="552691016"/>
        <w:rPr>
          <w:sz w:val="20"/>
          <w:szCs w:val="20"/>
        </w:rPr>
      </w:pPr>
      <w:r>
        <w:rPr>
          <w:sz w:val="20"/>
          <w:szCs w:val="20"/>
        </w:rPr>
        <w:t> </w:t>
      </w:r>
    </w:p>
    <w:p w14:paraId="26CB0D16" w14:textId="77777777" w:rsidR="00000000" w:rsidRDefault="00832D71">
      <w:pPr>
        <w:jc w:val="both"/>
        <w:divId w:val="857043870"/>
        <w:rPr>
          <w:rFonts w:eastAsia="Times New Roman"/>
          <w:sz w:val="20"/>
          <w:szCs w:val="20"/>
        </w:rPr>
      </w:pPr>
      <w:r>
        <w:rPr>
          <w:rFonts w:eastAsia="Times New Roman"/>
          <w:sz w:val="18"/>
          <w:szCs w:val="18"/>
        </w:rPr>
        <w:t>(2</w:t>
      </w:r>
      <w:r>
        <w:rPr>
          <w:rFonts w:eastAsia="Times New Roman"/>
          <w:sz w:val="18"/>
          <w:szCs w:val="18"/>
        </w:rPr>
        <w:t>)</w:t>
      </w:r>
    </w:p>
    <w:p w14:paraId="56C1B9F7" w14:textId="77777777" w:rsidR="00000000" w:rsidRDefault="00832D71">
      <w:pPr>
        <w:jc w:val="both"/>
        <w:divId w:val="1649676107"/>
        <w:rPr>
          <w:rFonts w:eastAsia="Times New Roman"/>
          <w:sz w:val="20"/>
          <w:szCs w:val="20"/>
        </w:rPr>
      </w:pPr>
      <w:r>
        <w:rPr>
          <w:rFonts w:eastAsia="Times New Roman"/>
          <w:sz w:val="20"/>
          <w:szCs w:val="20"/>
        </w:rPr>
        <w:t>Reflects the impact from acquisitions (See Note 4)</w:t>
      </w:r>
      <w:r>
        <w:rPr>
          <w:rFonts w:eastAsia="Times New Roman"/>
          <w:sz w:val="20"/>
          <w:szCs w:val="20"/>
        </w:rPr>
        <w:t>.</w:t>
      </w:r>
    </w:p>
    <w:p w14:paraId="610822AD" w14:textId="77777777" w:rsidR="00000000" w:rsidRDefault="00832D71">
      <w:pPr>
        <w:pStyle w:val="a3"/>
        <w:spacing w:before="0" w:beforeAutospacing="0" w:after="0" w:afterAutospacing="0"/>
        <w:jc w:val="both"/>
        <w:divId w:val="476147002"/>
        <w:rPr>
          <w:sz w:val="20"/>
          <w:szCs w:val="20"/>
        </w:rPr>
      </w:pPr>
      <w:r>
        <w:rPr>
          <w:sz w:val="20"/>
          <w:szCs w:val="20"/>
        </w:rPr>
        <w:t> </w:t>
      </w:r>
    </w:p>
    <w:p w14:paraId="102740E9" w14:textId="77777777" w:rsidR="00000000" w:rsidRDefault="00832D71">
      <w:pPr>
        <w:pStyle w:val="a3"/>
        <w:spacing w:before="40" w:beforeAutospacing="0" w:after="0" w:afterAutospacing="0"/>
        <w:jc w:val="both"/>
        <w:divId w:val="476147002"/>
        <w:rPr>
          <w:sz w:val="20"/>
          <w:szCs w:val="20"/>
        </w:rPr>
      </w:pPr>
      <w:r>
        <w:rPr>
          <w:sz w:val="20"/>
          <w:szCs w:val="20"/>
        </w:rPr>
        <w:t>Aggregate amorti</w:t>
      </w:r>
      <w:r>
        <w:rPr>
          <w:sz w:val="20"/>
          <w:szCs w:val="20"/>
        </w:rPr>
        <w:t xml:space="preserve">zation expense related to other intangible assets for fiscal 2022, 2021 and 2020 was </w:t>
      </w:r>
      <w:r>
        <w:rPr>
          <w:sz w:val="20"/>
          <w:szCs w:val="20"/>
        </w:rPr>
        <w:t>$</w:t>
      </w:r>
      <w:r>
        <w:rPr>
          <w:sz w:val="20"/>
          <w:szCs w:val="20"/>
        </w:rPr>
        <w:t>7,57</w:t>
      </w:r>
      <w:r>
        <w:rPr>
          <w:sz w:val="20"/>
          <w:szCs w:val="20"/>
        </w:rPr>
        <w:t>2</w:t>
      </w:r>
      <w:r>
        <w:rPr>
          <w:sz w:val="20"/>
          <w:szCs w:val="20"/>
        </w:rPr>
        <w:t xml:space="preserve">, </w:t>
      </w:r>
      <w:r>
        <w:rPr>
          <w:sz w:val="20"/>
          <w:szCs w:val="20"/>
        </w:rPr>
        <w:t>$</w:t>
      </w:r>
      <w:r>
        <w:rPr>
          <w:sz w:val="20"/>
          <w:szCs w:val="20"/>
        </w:rPr>
        <w:t>48,05</w:t>
      </w:r>
      <w:r>
        <w:rPr>
          <w:sz w:val="20"/>
          <w:szCs w:val="20"/>
        </w:rPr>
        <w:t>4</w:t>
      </w:r>
      <w:r>
        <w:rPr>
          <w:sz w:val="20"/>
          <w:szCs w:val="20"/>
        </w:rPr>
        <w:t xml:space="preserve"> and </w:t>
      </w:r>
      <w:r>
        <w:rPr>
          <w:sz w:val="20"/>
          <w:szCs w:val="20"/>
        </w:rPr>
        <w:t>$</w:t>
      </w:r>
      <w:r>
        <w:rPr>
          <w:sz w:val="20"/>
          <w:szCs w:val="20"/>
        </w:rPr>
        <w:t>57,06</w:t>
      </w:r>
      <w:r>
        <w:rPr>
          <w:sz w:val="20"/>
          <w:szCs w:val="20"/>
        </w:rPr>
        <w:t>5</w:t>
      </w:r>
      <w:r>
        <w:rPr>
          <w:sz w:val="20"/>
          <w:szCs w:val="20"/>
        </w:rPr>
        <w:t>, respectively. The reduction in fiscal 2022 was attributable to the conclusion of the amortization period for certain intangible assets from pr</w:t>
      </w:r>
      <w:r>
        <w:rPr>
          <w:sz w:val="20"/>
          <w:szCs w:val="20"/>
        </w:rPr>
        <w:t xml:space="preserve">ior business acquisitions. Aggregate amortization expense for each of the five succeeding fiscal years related to other intangible assets held as of September 24, 2022 is estimated as follows: 2023 - </w:t>
      </w:r>
      <w:r>
        <w:rPr>
          <w:sz w:val="20"/>
          <w:szCs w:val="20"/>
        </w:rPr>
        <w:t>$</w:t>
      </w:r>
      <w:r>
        <w:rPr>
          <w:sz w:val="20"/>
          <w:szCs w:val="20"/>
        </w:rPr>
        <w:t>7,63</w:t>
      </w:r>
      <w:r>
        <w:rPr>
          <w:sz w:val="20"/>
          <w:szCs w:val="20"/>
        </w:rPr>
        <w:t>9</w:t>
      </w:r>
      <w:r>
        <w:rPr>
          <w:sz w:val="20"/>
          <w:szCs w:val="20"/>
        </w:rPr>
        <w:t xml:space="preserve">; 2024 - </w:t>
      </w:r>
      <w:r>
        <w:rPr>
          <w:sz w:val="20"/>
          <w:szCs w:val="20"/>
        </w:rPr>
        <w:t>$</w:t>
      </w:r>
      <w:r>
        <w:rPr>
          <w:sz w:val="20"/>
          <w:szCs w:val="20"/>
        </w:rPr>
        <w:t>7,47</w:t>
      </w:r>
      <w:r>
        <w:rPr>
          <w:sz w:val="20"/>
          <w:szCs w:val="20"/>
        </w:rPr>
        <w:t>4</w:t>
      </w:r>
      <w:r>
        <w:rPr>
          <w:sz w:val="20"/>
          <w:szCs w:val="20"/>
        </w:rPr>
        <w:t xml:space="preserve">; 2025 - </w:t>
      </w:r>
      <w:r>
        <w:rPr>
          <w:sz w:val="20"/>
          <w:szCs w:val="20"/>
        </w:rPr>
        <w:t>$</w:t>
      </w:r>
      <w:r>
        <w:rPr>
          <w:sz w:val="20"/>
          <w:szCs w:val="20"/>
        </w:rPr>
        <w:t>5,38</w:t>
      </w:r>
      <w:r>
        <w:rPr>
          <w:sz w:val="20"/>
          <w:szCs w:val="20"/>
        </w:rPr>
        <w:t>9</w:t>
      </w:r>
      <w:r>
        <w:rPr>
          <w:sz w:val="20"/>
          <w:szCs w:val="20"/>
        </w:rPr>
        <w:t xml:space="preserve">; 2026 - </w:t>
      </w:r>
      <w:r>
        <w:rPr>
          <w:sz w:val="20"/>
          <w:szCs w:val="20"/>
        </w:rPr>
        <w:t>$</w:t>
      </w:r>
      <w:r>
        <w:rPr>
          <w:sz w:val="20"/>
          <w:szCs w:val="20"/>
        </w:rPr>
        <w:t>4,63</w:t>
      </w:r>
      <w:r>
        <w:rPr>
          <w:sz w:val="20"/>
          <w:szCs w:val="20"/>
        </w:rPr>
        <w:t>3</w:t>
      </w:r>
      <w:r>
        <w:rPr>
          <w:sz w:val="20"/>
          <w:szCs w:val="20"/>
        </w:rPr>
        <w:t>; and</w:t>
      </w:r>
      <w:r>
        <w:rPr>
          <w:sz w:val="20"/>
          <w:szCs w:val="20"/>
        </w:rPr>
        <w:t xml:space="preserve"> 2027 - </w:t>
      </w:r>
      <w:r>
        <w:rPr>
          <w:sz w:val="20"/>
          <w:szCs w:val="20"/>
        </w:rPr>
        <w:t>$</w:t>
      </w:r>
      <w:r>
        <w:rPr>
          <w:sz w:val="20"/>
          <w:szCs w:val="20"/>
        </w:rPr>
        <w:t>4,63</w:t>
      </w:r>
      <w:r>
        <w:rPr>
          <w:sz w:val="20"/>
          <w:szCs w:val="20"/>
        </w:rPr>
        <w:t>3</w:t>
      </w:r>
      <w:r>
        <w:rPr>
          <w:sz w:val="20"/>
          <w:szCs w:val="20"/>
        </w:rPr>
        <w:t>.</w:t>
      </w:r>
    </w:p>
    <w:p w14:paraId="4CF1DA00" w14:textId="77777777" w:rsidR="00000000" w:rsidRDefault="00832D71">
      <w:pPr>
        <w:pStyle w:val="a3"/>
        <w:spacing w:before="0" w:beforeAutospacing="0" w:after="0" w:afterAutospacing="0"/>
        <w:rPr>
          <w:sz w:val="20"/>
          <w:szCs w:val="20"/>
        </w:rPr>
      </w:pPr>
      <w:r>
        <w:rPr>
          <w:sz w:val="20"/>
          <w:szCs w:val="20"/>
        </w:rPr>
        <w:t> </w:t>
      </w:r>
    </w:p>
    <w:p w14:paraId="7545040B" w14:textId="77777777" w:rsidR="00000000" w:rsidRDefault="00832D71">
      <w:pPr>
        <w:pStyle w:val="a3"/>
        <w:spacing w:before="160" w:beforeAutospacing="0" w:after="0" w:afterAutospacing="0"/>
        <w:ind w:hanging="581"/>
        <w:jc w:val="both"/>
        <w:divId w:val="946734206"/>
        <w:rPr>
          <w:sz w:val="20"/>
          <w:szCs w:val="20"/>
        </w:rPr>
      </w:pPr>
      <w:r>
        <w:rPr>
          <w:b/>
          <w:bCs/>
          <w:sz w:val="20"/>
          <w:szCs w:val="20"/>
        </w:rPr>
        <w:t>8. Lease</w:t>
      </w:r>
      <w:r>
        <w:rPr>
          <w:b/>
          <w:bCs/>
          <w:sz w:val="20"/>
          <w:szCs w:val="20"/>
        </w:rPr>
        <w:t>s</w:t>
      </w:r>
      <w:r>
        <w:rPr>
          <w:b/>
          <w:bCs/>
          <w:sz w:val="20"/>
          <w:szCs w:val="20"/>
        </w:rPr>
        <w:t xml:space="preserve"> </w:t>
      </w:r>
    </w:p>
    <w:p w14:paraId="73B91639" w14:textId="77777777" w:rsidR="00000000" w:rsidRDefault="00832D71">
      <w:pPr>
        <w:pStyle w:val="a3"/>
        <w:spacing w:before="120" w:beforeAutospacing="0" w:after="0" w:afterAutospacing="0"/>
        <w:jc w:val="both"/>
        <w:divId w:val="946734206"/>
        <w:rPr>
          <w:sz w:val="20"/>
          <w:szCs w:val="20"/>
        </w:rPr>
      </w:pPr>
      <w:r>
        <w:rPr>
          <w:sz w:val="20"/>
          <w:szCs w:val="20"/>
        </w:rPr>
        <w:t>The Partnership leases certain property, plant and equipment, including portions of its vehicle fleet, for various periods under noncancelable leases all of which were determined to be operating leases. The Partnership determines if an agreement contains a</w:t>
      </w:r>
      <w:r>
        <w:rPr>
          <w:sz w:val="20"/>
          <w:szCs w:val="20"/>
        </w:rPr>
        <w:t xml:space="preserve"> lease at inception based on the Partnership’s right to the economic benefits of the leased assets and its right to direct the use of the leased asset. Right-of-use assets represent the Partnership’s right to use an underlying asset, and right-of-use liabi</w:t>
      </w:r>
      <w:r>
        <w:rPr>
          <w:sz w:val="20"/>
          <w:szCs w:val="20"/>
        </w:rPr>
        <w:t>lities represent the Partnership’s obligation to make lease payments arising from the lease. Right-of-use assets and liabilities are recognized at the lease commencement date based on the present value of the lease payments over the lease term.</w:t>
      </w:r>
      <w:r>
        <w:rPr>
          <w:sz w:val="20"/>
          <w:szCs w:val="20"/>
        </w:rPr>
        <w:t xml:space="preserve"> </w:t>
      </w:r>
      <w:r>
        <w:rPr>
          <w:sz w:val="20"/>
          <w:szCs w:val="20"/>
        </w:rPr>
        <w:t xml:space="preserve">As most of </w:t>
      </w:r>
      <w:r>
        <w:rPr>
          <w:sz w:val="20"/>
          <w:szCs w:val="20"/>
        </w:rPr>
        <w:t>the Partnership’s leases do not provide an implicit rate, the Partnership uses its estimated incremental borrowing rate based on the information available at the commencement date, adjusted for the lease term, to determine the present value of the lease pa</w:t>
      </w:r>
      <w:r>
        <w:rPr>
          <w:sz w:val="20"/>
          <w:szCs w:val="20"/>
        </w:rPr>
        <w:t>yments. This rate is calculated based on a collateralized rate for the specific leasing activities of the Partnership</w:t>
      </w:r>
      <w:r>
        <w:rPr>
          <w:sz w:val="20"/>
          <w:szCs w:val="20"/>
        </w:rPr>
        <w:t>.</w:t>
      </w:r>
    </w:p>
    <w:p w14:paraId="1E968F35" w14:textId="77777777" w:rsidR="00000000" w:rsidRDefault="00832D71">
      <w:pPr>
        <w:pStyle w:val="a3"/>
        <w:spacing w:before="240" w:beforeAutospacing="0" w:after="0" w:afterAutospacing="0"/>
        <w:jc w:val="both"/>
        <w:divId w:val="946734206"/>
        <w:rPr>
          <w:sz w:val="20"/>
          <w:szCs w:val="20"/>
        </w:rPr>
      </w:pPr>
      <w:r>
        <w:rPr>
          <w:sz w:val="20"/>
          <w:szCs w:val="20"/>
        </w:rPr>
        <w:t>Some leases include one or more options to renew at the Partnership’s discretion, with renewal terms that can extend the lease from one t</w:t>
      </w:r>
      <w:r>
        <w:rPr>
          <w:sz w:val="20"/>
          <w:szCs w:val="20"/>
        </w:rPr>
        <w:t>o fifteen additional years. The renewal options are included in the measurement of the right-of-use assets and lease liabilities if the Partnership is reasonably certain to exercise the renewal options</w:t>
      </w:r>
      <w:r>
        <w:rPr>
          <w:sz w:val="20"/>
          <w:szCs w:val="20"/>
        </w:rPr>
        <w:t>.</w:t>
      </w:r>
      <w:r>
        <w:rPr>
          <w:sz w:val="20"/>
          <w:szCs w:val="20"/>
        </w:rPr>
        <w:t xml:space="preserve"> Short-term leases are leases having an initial term o</w:t>
      </w:r>
      <w:r>
        <w:rPr>
          <w:sz w:val="20"/>
          <w:szCs w:val="20"/>
        </w:rPr>
        <w:t>f</w:t>
      </w:r>
      <w:r>
        <w:rPr>
          <w:sz w:val="20"/>
          <w:szCs w:val="20"/>
        </w:rPr>
        <w:t xml:space="preserve"> </w:t>
      </w:r>
      <w:r>
        <w:rPr>
          <w:sz w:val="20"/>
          <w:szCs w:val="20"/>
        </w:rPr>
        <w:t>twelve month</w:t>
      </w:r>
      <w:r>
        <w:rPr>
          <w:sz w:val="20"/>
          <w:szCs w:val="20"/>
        </w:rPr>
        <w:t>s</w:t>
      </w:r>
      <w:r>
        <w:rPr>
          <w:sz w:val="20"/>
          <w:szCs w:val="20"/>
        </w:rPr>
        <w:t xml:space="preserve"> or less. The Partnership recognizes expenses for short-term leases on a straight-line basis and does not record a lease asset or lease liability for such leases</w:t>
      </w:r>
      <w:r>
        <w:rPr>
          <w:sz w:val="20"/>
          <w:szCs w:val="20"/>
        </w:rPr>
        <w:t>.</w:t>
      </w:r>
    </w:p>
    <w:p w14:paraId="11009988" w14:textId="77777777" w:rsidR="00000000" w:rsidRDefault="00832D71">
      <w:pPr>
        <w:pStyle w:val="a3"/>
        <w:spacing w:before="240" w:beforeAutospacing="0" w:after="0" w:afterAutospacing="0"/>
        <w:jc w:val="both"/>
        <w:divId w:val="946734206"/>
        <w:rPr>
          <w:sz w:val="20"/>
          <w:szCs w:val="20"/>
        </w:rPr>
      </w:pPr>
      <w:r>
        <w:rPr>
          <w:sz w:val="20"/>
          <w:szCs w:val="20"/>
        </w:rPr>
        <w:t>When implementing Topic 842, the Partnership elected the following practical e</w:t>
      </w:r>
      <w:r>
        <w:rPr>
          <w:sz w:val="20"/>
          <w:szCs w:val="20"/>
        </w:rPr>
        <w:t>xpedients: (1) a package of practical expedients that allows the Partnership to not reassess: (a) whether expired or existing contracts contained leases; (b) the lease classification for expired or existing leases; and (c) the initial direct costs for exis</w:t>
      </w:r>
      <w:r>
        <w:rPr>
          <w:sz w:val="20"/>
          <w:szCs w:val="20"/>
        </w:rPr>
        <w:t>ting leases; (2) for all underlying asset classes, an expedient that allows the Partnership to not apply the recognition requirements to short-term leases and account for lease and associated non-lease components as a single lease component; (3) an expedie</w:t>
      </w:r>
      <w:r>
        <w:rPr>
          <w:sz w:val="20"/>
          <w:szCs w:val="20"/>
        </w:rPr>
        <w:t>nt that allows the use of hindsight to determine lease term; and (4) an expedient that allows the Partnership to not evaluate under Topic 842 land easements that existed or expired before the Partnership’s adoption of Topic 842, and that were not previousl</w:t>
      </w:r>
      <w:r>
        <w:rPr>
          <w:sz w:val="20"/>
          <w:szCs w:val="20"/>
        </w:rPr>
        <w:t>y accounted for as leases</w:t>
      </w:r>
      <w:r>
        <w:rPr>
          <w:sz w:val="20"/>
          <w:szCs w:val="20"/>
        </w:rPr>
        <w:t>.</w:t>
      </w:r>
    </w:p>
    <w:p w14:paraId="5F0EAF80" w14:textId="77777777" w:rsidR="00000000" w:rsidRDefault="00832D71">
      <w:pPr>
        <w:pStyle w:val="a3"/>
        <w:spacing w:before="240" w:beforeAutospacing="0" w:after="0" w:afterAutospacing="0"/>
        <w:jc w:val="both"/>
        <w:divId w:val="946734206"/>
        <w:rPr>
          <w:sz w:val="20"/>
          <w:szCs w:val="20"/>
        </w:rPr>
      </w:pPr>
      <w:r>
        <w:rPr>
          <w:sz w:val="20"/>
          <w:szCs w:val="20"/>
        </w:rPr>
        <w:t>The Partnership has residual value guarantees associated with certain of its operating leases, related primarily to transportation equipment. See Note 15, “Guarantees” for more information</w:t>
      </w:r>
      <w:r>
        <w:rPr>
          <w:sz w:val="20"/>
          <w:szCs w:val="20"/>
        </w:rPr>
        <w:t>.</w:t>
      </w:r>
      <w:r>
        <w:rPr>
          <w:sz w:val="20"/>
          <w:szCs w:val="20"/>
        </w:rPr>
        <w:t xml:space="preserve"> </w:t>
      </w:r>
    </w:p>
    <w:p w14:paraId="516FAB13" w14:textId="77777777" w:rsidR="00000000" w:rsidRDefault="00832D71">
      <w:pPr>
        <w:pStyle w:val="a3"/>
        <w:spacing w:before="240" w:beforeAutospacing="0" w:after="0" w:afterAutospacing="0"/>
        <w:jc w:val="both"/>
        <w:divId w:val="946734206"/>
        <w:rPr>
          <w:sz w:val="20"/>
          <w:szCs w:val="20"/>
        </w:rPr>
      </w:pPr>
      <w:r>
        <w:rPr>
          <w:sz w:val="20"/>
          <w:szCs w:val="20"/>
        </w:rPr>
        <w:t>The Partnership does not have any mate</w:t>
      </w:r>
      <w:r>
        <w:rPr>
          <w:sz w:val="20"/>
          <w:szCs w:val="20"/>
        </w:rPr>
        <w:t>rial lease obligations that were signed, but not yet commenced as of September 24, 2022</w:t>
      </w:r>
      <w:r>
        <w:rPr>
          <w:sz w:val="20"/>
          <w:szCs w:val="20"/>
        </w:rPr>
        <w:t>.</w:t>
      </w:r>
    </w:p>
    <w:p w14:paraId="4402CF1E" w14:textId="77777777" w:rsidR="00000000" w:rsidRDefault="00832D71">
      <w:pPr>
        <w:pStyle w:val="a3"/>
        <w:spacing w:before="240" w:beforeAutospacing="0" w:after="0" w:afterAutospacing="0"/>
        <w:jc w:val="both"/>
        <w:divId w:val="848955448"/>
        <w:rPr>
          <w:sz w:val="20"/>
          <w:szCs w:val="20"/>
        </w:rPr>
      </w:pPr>
      <w:r>
        <w:rPr>
          <w:sz w:val="20"/>
          <w:szCs w:val="20"/>
        </w:rPr>
        <w:t>Quantitative information on the Partnership’s lease population for fiscal 2022 is as follows</w:t>
      </w:r>
      <w:r>
        <w:rPr>
          <w:sz w:val="20"/>
          <w:szCs w:val="20"/>
        </w:rPr>
        <w:t>:</w:t>
      </w:r>
    </w:p>
    <w:p w14:paraId="3AD09C39" w14:textId="77777777" w:rsidR="00000000" w:rsidRDefault="00832D71">
      <w:pPr>
        <w:pStyle w:val="a3"/>
        <w:spacing w:before="0" w:beforeAutospacing="0" w:after="0" w:afterAutospacing="0"/>
        <w:jc w:val="both"/>
        <w:divId w:val="848955448"/>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33"/>
        <w:gridCol w:w="110"/>
        <w:gridCol w:w="161"/>
        <w:gridCol w:w="1100"/>
        <w:gridCol w:w="227"/>
        <w:gridCol w:w="115"/>
        <w:gridCol w:w="161"/>
        <w:gridCol w:w="1096"/>
        <w:gridCol w:w="242"/>
      </w:tblGrid>
      <w:tr w:rsidR="00000000" w14:paraId="7F392CA0" w14:textId="77777777">
        <w:trPr>
          <w:divId w:val="848955448"/>
          <w:tblCellSpacing w:w="15" w:type="dxa"/>
        </w:trPr>
        <w:tc>
          <w:tcPr>
            <w:tcW w:w="2732" w:type="pct"/>
            <w:vAlign w:val="center"/>
            <w:hideMark/>
          </w:tcPr>
          <w:p w14:paraId="700606E1" w14:textId="77777777" w:rsidR="00000000" w:rsidRDefault="00832D71">
            <w:pPr>
              <w:rPr>
                <w:sz w:val="20"/>
                <w:szCs w:val="20"/>
              </w:rPr>
            </w:pPr>
          </w:p>
        </w:tc>
        <w:tc>
          <w:tcPr>
            <w:tcW w:w="75" w:type="pct"/>
            <w:vAlign w:val="center"/>
            <w:hideMark/>
          </w:tcPr>
          <w:p w14:paraId="3242CD37" w14:textId="77777777" w:rsidR="00000000" w:rsidRDefault="00832D71">
            <w:pPr>
              <w:rPr>
                <w:rFonts w:eastAsia="Times New Roman"/>
                <w:sz w:val="20"/>
                <w:szCs w:val="20"/>
              </w:rPr>
            </w:pPr>
          </w:p>
        </w:tc>
        <w:tc>
          <w:tcPr>
            <w:tcW w:w="50" w:type="pct"/>
            <w:vAlign w:val="center"/>
            <w:hideMark/>
          </w:tcPr>
          <w:p w14:paraId="47C78AFA" w14:textId="77777777" w:rsidR="00000000" w:rsidRDefault="00832D71">
            <w:pPr>
              <w:rPr>
                <w:rFonts w:eastAsia="Times New Roman"/>
                <w:sz w:val="20"/>
                <w:szCs w:val="20"/>
              </w:rPr>
            </w:pPr>
          </w:p>
        </w:tc>
        <w:tc>
          <w:tcPr>
            <w:tcW w:w="957" w:type="pct"/>
            <w:vAlign w:val="center"/>
            <w:hideMark/>
          </w:tcPr>
          <w:p w14:paraId="4D2B640C" w14:textId="77777777" w:rsidR="00000000" w:rsidRDefault="00832D71">
            <w:pPr>
              <w:rPr>
                <w:rFonts w:eastAsia="Times New Roman"/>
                <w:sz w:val="20"/>
                <w:szCs w:val="20"/>
              </w:rPr>
            </w:pPr>
          </w:p>
        </w:tc>
        <w:tc>
          <w:tcPr>
            <w:tcW w:w="50" w:type="pct"/>
            <w:vAlign w:val="center"/>
            <w:hideMark/>
          </w:tcPr>
          <w:p w14:paraId="14AA084A" w14:textId="77777777" w:rsidR="00000000" w:rsidRDefault="00832D71">
            <w:pPr>
              <w:rPr>
                <w:rFonts w:eastAsia="Times New Roman"/>
                <w:sz w:val="20"/>
                <w:szCs w:val="20"/>
              </w:rPr>
            </w:pPr>
          </w:p>
        </w:tc>
        <w:tc>
          <w:tcPr>
            <w:tcW w:w="75" w:type="pct"/>
            <w:vAlign w:val="center"/>
            <w:hideMark/>
          </w:tcPr>
          <w:p w14:paraId="5A0CAFE2" w14:textId="77777777" w:rsidR="00000000" w:rsidRDefault="00832D71">
            <w:pPr>
              <w:rPr>
                <w:rFonts w:eastAsia="Times New Roman"/>
                <w:sz w:val="20"/>
                <w:szCs w:val="20"/>
              </w:rPr>
            </w:pPr>
          </w:p>
        </w:tc>
        <w:tc>
          <w:tcPr>
            <w:tcW w:w="50" w:type="pct"/>
            <w:vAlign w:val="center"/>
            <w:hideMark/>
          </w:tcPr>
          <w:p w14:paraId="33C4695D" w14:textId="77777777" w:rsidR="00000000" w:rsidRDefault="00832D71">
            <w:pPr>
              <w:rPr>
                <w:rFonts w:eastAsia="Times New Roman"/>
                <w:sz w:val="20"/>
                <w:szCs w:val="20"/>
              </w:rPr>
            </w:pPr>
          </w:p>
        </w:tc>
        <w:tc>
          <w:tcPr>
            <w:tcW w:w="957" w:type="pct"/>
            <w:vAlign w:val="center"/>
            <w:hideMark/>
          </w:tcPr>
          <w:p w14:paraId="110ADCB8" w14:textId="77777777" w:rsidR="00000000" w:rsidRDefault="00832D71">
            <w:pPr>
              <w:rPr>
                <w:rFonts w:eastAsia="Times New Roman"/>
                <w:sz w:val="20"/>
                <w:szCs w:val="20"/>
              </w:rPr>
            </w:pPr>
          </w:p>
        </w:tc>
        <w:tc>
          <w:tcPr>
            <w:tcW w:w="50" w:type="pct"/>
            <w:vAlign w:val="center"/>
            <w:hideMark/>
          </w:tcPr>
          <w:p w14:paraId="68C240B4" w14:textId="77777777" w:rsidR="00000000" w:rsidRDefault="00832D71">
            <w:pPr>
              <w:rPr>
                <w:rFonts w:eastAsia="Times New Roman"/>
                <w:sz w:val="20"/>
                <w:szCs w:val="20"/>
              </w:rPr>
            </w:pPr>
          </w:p>
        </w:tc>
      </w:tr>
      <w:tr w:rsidR="00000000" w14:paraId="2BC89218" w14:textId="77777777">
        <w:trPr>
          <w:divId w:val="848955448"/>
          <w:tblCellSpacing w:w="15" w:type="dxa"/>
        </w:trPr>
        <w:tc>
          <w:tcPr>
            <w:tcW w:w="0" w:type="auto"/>
            <w:vAlign w:val="bottom"/>
            <w:hideMark/>
          </w:tcPr>
          <w:p w14:paraId="4F72044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641A6E3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502C85C" w14:textId="77777777" w:rsidR="00000000" w:rsidRDefault="00832D71">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14:paraId="36CD5AD9"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F23001C" w14:textId="77777777" w:rsidR="00000000" w:rsidRDefault="00832D71">
            <w:pPr>
              <w:pStyle w:val="a3"/>
              <w:spacing w:before="0" w:beforeAutospacing="0" w:after="0" w:afterAutospacing="0"/>
              <w:rPr>
                <w:sz w:val="22"/>
                <w:szCs w:val="22"/>
              </w:rPr>
            </w:pPr>
            <w:r>
              <w:rPr>
                <w:sz w:val="22"/>
                <w:szCs w:val="22"/>
              </w:rPr>
              <w:t> </w:t>
            </w:r>
          </w:p>
        </w:tc>
        <w:tc>
          <w:tcPr>
            <w:tcW w:w="0" w:type="auto"/>
            <w:gridSpan w:val="2"/>
            <w:vAlign w:val="bottom"/>
            <w:hideMark/>
          </w:tcPr>
          <w:p w14:paraId="7CC824BC" w14:textId="77777777" w:rsidR="00000000" w:rsidRDefault="00832D71">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14:paraId="25363629"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9487F5D" w14:textId="77777777">
        <w:trPr>
          <w:divId w:val="848955448"/>
          <w:trHeight w:val="160"/>
          <w:tblCellSpacing w:w="15" w:type="dxa"/>
        </w:trPr>
        <w:tc>
          <w:tcPr>
            <w:tcW w:w="0" w:type="auto"/>
            <w:vAlign w:val="bottom"/>
            <w:hideMark/>
          </w:tcPr>
          <w:p w14:paraId="48997C55"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343AC0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62AAE7B" w14:textId="77777777" w:rsidR="00000000" w:rsidRDefault="00832D71">
            <w:pPr>
              <w:pStyle w:val="a3"/>
              <w:spacing w:before="0" w:beforeAutospacing="0" w:after="0" w:afterAutospacing="0"/>
              <w:jc w:val="center"/>
              <w:rPr>
                <w:sz w:val="16"/>
                <w:szCs w:val="16"/>
              </w:rPr>
            </w:pPr>
            <w:r>
              <w:rPr>
                <w:b/>
                <w:bCs/>
                <w:sz w:val="16"/>
                <w:szCs w:val="16"/>
              </w:rPr>
              <w:t>September 24, 202</w:t>
            </w:r>
            <w:r>
              <w:rPr>
                <w:b/>
                <w:bCs/>
                <w:sz w:val="16"/>
                <w:szCs w:val="16"/>
              </w:rPr>
              <w:t>2</w:t>
            </w:r>
          </w:p>
        </w:tc>
        <w:tc>
          <w:tcPr>
            <w:tcW w:w="0" w:type="auto"/>
            <w:vAlign w:val="bottom"/>
            <w:hideMark/>
          </w:tcPr>
          <w:p w14:paraId="7E7471C8"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43E0256" w14:textId="77777777" w:rsidR="00000000" w:rsidRDefault="00832D71">
            <w:pPr>
              <w:pStyle w:val="a3"/>
              <w:spacing w:before="0" w:beforeAutospacing="0" w:after="0" w:afterAutospacing="0"/>
              <w:rPr>
                <w:sz w:val="22"/>
                <w:szCs w:val="22"/>
              </w:rPr>
            </w:pPr>
            <w:r>
              <w:rPr>
                <w:sz w:val="22"/>
                <w:szCs w:val="22"/>
              </w:rPr>
              <w:t> </w:t>
            </w:r>
          </w:p>
        </w:tc>
        <w:tc>
          <w:tcPr>
            <w:tcW w:w="0" w:type="auto"/>
            <w:gridSpan w:val="2"/>
            <w:vAlign w:val="bottom"/>
            <w:hideMark/>
          </w:tcPr>
          <w:p w14:paraId="69EC80AB" w14:textId="77777777" w:rsidR="00000000" w:rsidRDefault="00832D71">
            <w:pPr>
              <w:pStyle w:val="a3"/>
              <w:spacing w:before="0" w:beforeAutospacing="0" w:after="0" w:afterAutospacing="0"/>
              <w:jc w:val="center"/>
              <w:rPr>
                <w:sz w:val="16"/>
                <w:szCs w:val="16"/>
              </w:rPr>
            </w:pPr>
            <w:r>
              <w:rPr>
                <w:b/>
                <w:bCs/>
                <w:sz w:val="16"/>
                <w:szCs w:val="16"/>
              </w:rPr>
              <w:t>September 25, 202</w:t>
            </w:r>
            <w:r>
              <w:rPr>
                <w:b/>
                <w:bCs/>
                <w:sz w:val="16"/>
                <w:szCs w:val="16"/>
              </w:rPr>
              <w:t>1</w:t>
            </w:r>
          </w:p>
        </w:tc>
        <w:tc>
          <w:tcPr>
            <w:tcW w:w="0" w:type="auto"/>
            <w:vAlign w:val="bottom"/>
            <w:hideMark/>
          </w:tcPr>
          <w:p w14:paraId="311121C0"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0A1AE75" w14:textId="77777777">
        <w:trPr>
          <w:divId w:val="848955448"/>
          <w:trHeight w:val="200"/>
          <w:tblCellSpacing w:w="15" w:type="dxa"/>
        </w:trPr>
        <w:tc>
          <w:tcPr>
            <w:tcW w:w="0" w:type="auto"/>
            <w:hideMark/>
          </w:tcPr>
          <w:p w14:paraId="6D4B10F6" w14:textId="77777777" w:rsidR="00000000" w:rsidRDefault="00832D71">
            <w:pPr>
              <w:pStyle w:val="a3"/>
              <w:spacing w:before="0" w:beforeAutospacing="0" w:after="0" w:afterAutospacing="0"/>
              <w:rPr>
                <w:sz w:val="20"/>
                <w:szCs w:val="20"/>
              </w:rPr>
            </w:pPr>
            <w:r>
              <w:rPr>
                <w:sz w:val="20"/>
                <w:szCs w:val="20"/>
              </w:rPr>
              <w:t>Lease expens</w:t>
            </w:r>
            <w:r>
              <w:rPr>
                <w:sz w:val="20"/>
                <w:szCs w:val="20"/>
              </w:rPr>
              <w:t>e</w:t>
            </w:r>
          </w:p>
        </w:tc>
        <w:tc>
          <w:tcPr>
            <w:tcW w:w="0" w:type="auto"/>
            <w:hideMark/>
          </w:tcPr>
          <w:p w14:paraId="73D6A91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center"/>
            <w:hideMark/>
          </w:tcPr>
          <w:p w14:paraId="0D21138C" w14:textId="77777777" w:rsidR="00000000" w:rsidRDefault="00832D71">
            <w:pPr>
              <w:pStyle w:val="a3"/>
              <w:spacing w:before="0" w:beforeAutospacing="0" w:after="0" w:afterAutospacing="0"/>
              <w:rPr>
                <w:sz w:val="20"/>
                <w:szCs w:val="20"/>
              </w:rPr>
            </w:pPr>
            <w:r>
              <w:rPr>
                <w:sz w:val="20"/>
                <w:szCs w:val="20"/>
              </w:rPr>
              <w:t>$</w:t>
            </w:r>
          </w:p>
        </w:tc>
        <w:tc>
          <w:tcPr>
            <w:tcW w:w="0" w:type="auto"/>
            <w:vAlign w:val="center"/>
            <w:hideMark/>
          </w:tcPr>
          <w:p w14:paraId="48F7AD03" w14:textId="77777777" w:rsidR="00000000" w:rsidRDefault="00832D71">
            <w:pPr>
              <w:pStyle w:val="a3"/>
              <w:spacing w:before="0" w:beforeAutospacing="0" w:after="0" w:afterAutospacing="0"/>
              <w:jc w:val="right"/>
              <w:rPr>
                <w:sz w:val="20"/>
                <w:szCs w:val="20"/>
              </w:rPr>
            </w:pPr>
            <w:r>
              <w:rPr>
                <w:sz w:val="20"/>
                <w:szCs w:val="20"/>
              </w:rPr>
              <w:t>41,04</w:t>
            </w:r>
            <w:r>
              <w:rPr>
                <w:sz w:val="20"/>
                <w:szCs w:val="20"/>
              </w:rPr>
              <w:t>2</w:t>
            </w:r>
          </w:p>
        </w:tc>
        <w:tc>
          <w:tcPr>
            <w:tcW w:w="0" w:type="auto"/>
            <w:noWrap/>
            <w:vAlign w:val="center"/>
            <w:hideMark/>
          </w:tcPr>
          <w:p w14:paraId="60B52D0C"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218E00D9"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center"/>
            <w:hideMark/>
          </w:tcPr>
          <w:p w14:paraId="5FC3565A" w14:textId="77777777" w:rsidR="00000000" w:rsidRDefault="00832D71">
            <w:pPr>
              <w:pStyle w:val="a3"/>
              <w:spacing w:before="0" w:beforeAutospacing="0" w:after="0" w:afterAutospacing="0"/>
              <w:rPr>
                <w:sz w:val="20"/>
                <w:szCs w:val="20"/>
              </w:rPr>
            </w:pPr>
            <w:r>
              <w:rPr>
                <w:sz w:val="20"/>
                <w:szCs w:val="20"/>
              </w:rPr>
              <w:t>$</w:t>
            </w:r>
          </w:p>
        </w:tc>
        <w:tc>
          <w:tcPr>
            <w:tcW w:w="0" w:type="auto"/>
            <w:vAlign w:val="center"/>
            <w:hideMark/>
          </w:tcPr>
          <w:p w14:paraId="63D4AC82" w14:textId="77777777" w:rsidR="00000000" w:rsidRDefault="00832D71">
            <w:pPr>
              <w:pStyle w:val="a3"/>
              <w:spacing w:before="0" w:beforeAutospacing="0" w:after="0" w:afterAutospacing="0"/>
              <w:jc w:val="right"/>
              <w:rPr>
                <w:sz w:val="20"/>
                <w:szCs w:val="20"/>
              </w:rPr>
            </w:pPr>
            <w:r>
              <w:rPr>
                <w:sz w:val="20"/>
                <w:szCs w:val="20"/>
              </w:rPr>
              <w:t>37,78</w:t>
            </w:r>
            <w:r>
              <w:rPr>
                <w:sz w:val="20"/>
                <w:szCs w:val="20"/>
              </w:rPr>
              <w:t>2</w:t>
            </w:r>
          </w:p>
        </w:tc>
        <w:tc>
          <w:tcPr>
            <w:tcW w:w="0" w:type="auto"/>
            <w:noWrap/>
            <w:vAlign w:val="center"/>
            <w:hideMark/>
          </w:tcPr>
          <w:p w14:paraId="70EAF40E" w14:textId="77777777" w:rsidR="00000000" w:rsidRDefault="00832D71">
            <w:pPr>
              <w:pStyle w:val="a3"/>
              <w:spacing w:before="0" w:beforeAutospacing="0" w:after="0" w:afterAutospacing="0"/>
              <w:rPr>
                <w:sz w:val="20"/>
                <w:szCs w:val="20"/>
              </w:rPr>
            </w:pPr>
            <w:r>
              <w:rPr>
                <w:sz w:val="20"/>
                <w:szCs w:val="20"/>
              </w:rPr>
              <w:t> </w:t>
            </w:r>
          </w:p>
        </w:tc>
      </w:tr>
      <w:tr w:rsidR="00000000" w14:paraId="48872D9A" w14:textId="77777777">
        <w:trPr>
          <w:divId w:val="848955448"/>
          <w:tblCellSpacing w:w="15" w:type="dxa"/>
        </w:trPr>
        <w:tc>
          <w:tcPr>
            <w:tcW w:w="0" w:type="auto"/>
            <w:hideMark/>
          </w:tcPr>
          <w:p w14:paraId="55AE6B3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F54C780"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center"/>
            <w:hideMark/>
          </w:tcPr>
          <w:p w14:paraId="12762B4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center"/>
            <w:hideMark/>
          </w:tcPr>
          <w:p w14:paraId="5A66277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center"/>
            <w:hideMark/>
          </w:tcPr>
          <w:p w14:paraId="1C04EBAE"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center"/>
            <w:hideMark/>
          </w:tcPr>
          <w:p w14:paraId="03D237D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center"/>
            <w:hideMark/>
          </w:tcPr>
          <w:p w14:paraId="32B44350" w14:textId="77777777" w:rsidR="00000000" w:rsidRDefault="00832D71">
            <w:pPr>
              <w:pStyle w:val="a3"/>
              <w:spacing w:before="0" w:beforeAutospacing="0" w:after="0" w:afterAutospacing="0"/>
              <w:jc w:val="right"/>
              <w:rPr>
                <w:sz w:val="20"/>
                <w:szCs w:val="20"/>
              </w:rPr>
            </w:pPr>
            <w:r>
              <w:rPr>
                <w:sz w:val="20"/>
                <w:szCs w:val="20"/>
              </w:rPr>
              <w:t> </w:t>
            </w:r>
          </w:p>
        </w:tc>
      </w:tr>
      <w:tr w:rsidR="00000000" w14:paraId="1837B91C" w14:textId="77777777">
        <w:trPr>
          <w:divId w:val="848955448"/>
          <w:trHeight w:val="200"/>
          <w:tblCellSpacing w:w="15" w:type="dxa"/>
        </w:trPr>
        <w:tc>
          <w:tcPr>
            <w:tcW w:w="0" w:type="auto"/>
            <w:hideMark/>
          </w:tcPr>
          <w:p w14:paraId="04ED491C" w14:textId="77777777" w:rsidR="00000000" w:rsidRDefault="00832D71">
            <w:pPr>
              <w:pStyle w:val="a3"/>
              <w:spacing w:before="0" w:beforeAutospacing="0" w:after="0" w:afterAutospacing="0"/>
              <w:rPr>
                <w:sz w:val="20"/>
                <w:szCs w:val="20"/>
              </w:rPr>
            </w:pPr>
            <w:r>
              <w:rPr>
                <w:b/>
                <w:bCs/>
                <w:sz w:val="20"/>
                <w:szCs w:val="20"/>
              </w:rPr>
              <w:t>Other information</w:t>
            </w:r>
            <w:r>
              <w:rPr>
                <w:b/>
                <w:bCs/>
                <w:sz w:val="20"/>
                <w:szCs w:val="20"/>
              </w:rPr>
              <w:t>:</w:t>
            </w:r>
          </w:p>
        </w:tc>
        <w:tc>
          <w:tcPr>
            <w:tcW w:w="0" w:type="auto"/>
            <w:hideMark/>
          </w:tcPr>
          <w:p w14:paraId="1E1A7AAF"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center"/>
            <w:hideMark/>
          </w:tcPr>
          <w:p w14:paraId="78E1584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center"/>
            <w:hideMark/>
          </w:tcPr>
          <w:p w14:paraId="78055BC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center"/>
            <w:hideMark/>
          </w:tcPr>
          <w:p w14:paraId="00A00C50"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center"/>
            <w:hideMark/>
          </w:tcPr>
          <w:p w14:paraId="1705132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center"/>
            <w:hideMark/>
          </w:tcPr>
          <w:p w14:paraId="38BBD06D" w14:textId="77777777" w:rsidR="00000000" w:rsidRDefault="00832D71">
            <w:pPr>
              <w:pStyle w:val="a3"/>
              <w:spacing w:before="0" w:beforeAutospacing="0" w:after="0" w:afterAutospacing="0"/>
              <w:jc w:val="right"/>
              <w:rPr>
                <w:sz w:val="20"/>
                <w:szCs w:val="20"/>
              </w:rPr>
            </w:pPr>
            <w:r>
              <w:rPr>
                <w:sz w:val="20"/>
                <w:szCs w:val="20"/>
              </w:rPr>
              <w:t> </w:t>
            </w:r>
          </w:p>
        </w:tc>
      </w:tr>
      <w:tr w:rsidR="00000000" w14:paraId="523324FE" w14:textId="77777777">
        <w:trPr>
          <w:divId w:val="848955448"/>
          <w:trHeight w:val="200"/>
          <w:tblCellSpacing w:w="15" w:type="dxa"/>
        </w:trPr>
        <w:tc>
          <w:tcPr>
            <w:tcW w:w="0" w:type="auto"/>
            <w:hideMark/>
          </w:tcPr>
          <w:p w14:paraId="2CC51854" w14:textId="77777777" w:rsidR="00000000" w:rsidRDefault="00832D71">
            <w:pPr>
              <w:pStyle w:val="a3"/>
              <w:spacing w:before="0" w:beforeAutospacing="0" w:after="0" w:afterAutospacing="0"/>
              <w:rPr>
                <w:sz w:val="20"/>
                <w:szCs w:val="20"/>
              </w:rPr>
            </w:pPr>
            <w:r>
              <w:rPr>
                <w:sz w:val="20"/>
                <w:szCs w:val="20"/>
              </w:rPr>
              <w:t>Cash payments for operating lease</w:t>
            </w:r>
            <w:r>
              <w:rPr>
                <w:sz w:val="20"/>
                <w:szCs w:val="20"/>
              </w:rPr>
              <w:t>s</w:t>
            </w:r>
          </w:p>
        </w:tc>
        <w:tc>
          <w:tcPr>
            <w:tcW w:w="0" w:type="auto"/>
            <w:hideMark/>
          </w:tcPr>
          <w:p w14:paraId="204307F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center"/>
            <w:hideMark/>
          </w:tcPr>
          <w:p w14:paraId="46963499"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0B6CBA8F" w14:textId="77777777" w:rsidR="00000000" w:rsidRDefault="00832D71">
            <w:pPr>
              <w:pStyle w:val="a3"/>
              <w:spacing w:before="0" w:beforeAutospacing="0" w:after="0" w:afterAutospacing="0"/>
              <w:jc w:val="right"/>
              <w:rPr>
                <w:sz w:val="20"/>
                <w:szCs w:val="20"/>
              </w:rPr>
            </w:pPr>
            <w:r>
              <w:rPr>
                <w:sz w:val="20"/>
                <w:szCs w:val="20"/>
              </w:rPr>
              <w:t>41,32</w:t>
            </w:r>
            <w:r>
              <w:rPr>
                <w:sz w:val="20"/>
                <w:szCs w:val="20"/>
              </w:rPr>
              <w:t>0</w:t>
            </w:r>
          </w:p>
        </w:tc>
        <w:tc>
          <w:tcPr>
            <w:tcW w:w="0" w:type="auto"/>
            <w:noWrap/>
            <w:vAlign w:val="center"/>
            <w:hideMark/>
          </w:tcPr>
          <w:p w14:paraId="653DC5C8"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0DD96E97"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center"/>
            <w:hideMark/>
          </w:tcPr>
          <w:p w14:paraId="69743DAB"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2B6EA669" w14:textId="77777777" w:rsidR="00000000" w:rsidRDefault="00832D71">
            <w:pPr>
              <w:pStyle w:val="a3"/>
              <w:spacing w:before="0" w:beforeAutospacing="0" w:after="0" w:afterAutospacing="0"/>
              <w:jc w:val="right"/>
              <w:rPr>
                <w:sz w:val="20"/>
                <w:szCs w:val="20"/>
              </w:rPr>
            </w:pPr>
            <w:r>
              <w:rPr>
                <w:sz w:val="20"/>
                <w:szCs w:val="20"/>
              </w:rPr>
              <w:t>37,91</w:t>
            </w:r>
            <w:r>
              <w:rPr>
                <w:sz w:val="20"/>
                <w:szCs w:val="20"/>
              </w:rPr>
              <w:t>9</w:t>
            </w:r>
          </w:p>
        </w:tc>
        <w:tc>
          <w:tcPr>
            <w:tcW w:w="0" w:type="auto"/>
            <w:noWrap/>
            <w:vAlign w:val="center"/>
            <w:hideMark/>
          </w:tcPr>
          <w:p w14:paraId="4EF2C317" w14:textId="77777777" w:rsidR="00000000" w:rsidRDefault="00832D71">
            <w:pPr>
              <w:pStyle w:val="a3"/>
              <w:spacing w:before="0" w:beforeAutospacing="0" w:after="0" w:afterAutospacing="0"/>
              <w:rPr>
                <w:sz w:val="20"/>
                <w:szCs w:val="20"/>
              </w:rPr>
            </w:pPr>
            <w:r>
              <w:rPr>
                <w:sz w:val="20"/>
                <w:szCs w:val="20"/>
              </w:rPr>
              <w:t> </w:t>
            </w:r>
          </w:p>
        </w:tc>
      </w:tr>
      <w:tr w:rsidR="00000000" w14:paraId="71D1D8B1" w14:textId="77777777">
        <w:trPr>
          <w:divId w:val="848955448"/>
          <w:trHeight w:val="200"/>
          <w:tblCellSpacing w:w="15" w:type="dxa"/>
        </w:trPr>
        <w:tc>
          <w:tcPr>
            <w:tcW w:w="0" w:type="auto"/>
            <w:hideMark/>
          </w:tcPr>
          <w:p w14:paraId="0F1F03BC" w14:textId="77777777" w:rsidR="00000000" w:rsidRDefault="00832D71">
            <w:pPr>
              <w:pStyle w:val="a3"/>
              <w:spacing w:before="0" w:beforeAutospacing="0" w:after="0" w:afterAutospacing="0"/>
              <w:rPr>
                <w:sz w:val="20"/>
                <w:szCs w:val="20"/>
              </w:rPr>
            </w:pPr>
            <w:r>
              <w:rPr>
                <w:sz w:val="20"/>
                <w:szCs w:val="20"/>
              </w:rPr>
              <w:t>Right-of-use assets obtained in exchange for new operating</w:t>
            </w:r>
            <w:r>
              <w:rPr>
                <w:sz w:val="20"/>
                <w:szCs w:val="20"/>
              </w:rPr>
              <w:br/>
              <w:t>   lease liabilitie</w:t>
            </w:r>
            <w:r>
              <w:rPr>
                <w:sz w:val="20"/>
                <w:szCs w:val="20"/>
              </w:rPr>
              <w:t>s</w:t>
            </w:r>
          </w:p>
        </w:tc>
        <w:tc>
          <w:tcPr>
            <w:tcW w:w="0" w:type="auto"/>
            <w:hideMark/>
          </w:tcPr>
          <w:p w14:paraId="33DF068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center"/>
            <w:hideMark/>
          </w:tcPr>
          <w:p w14:paraId="0E098072"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1D915960" w14:textId="77777777" w:rsidR="00000000" w:rsidRDefault="00832D71">
            <w:pPr>
              <w:pStyle w:val="a3"/>
              <w:spacing w:before="0" w:beforeAutospacing="0" w:after="0" w:afterAutospacing="0"/>
              <w:jc w:val="right"/>
              <w:rPr>
                <w:sz w:val="20"/>
                <w:szCs w:val="20"/>
              </w:rPr>
            </w:pPr>
            <w:r>
              <w:rPr>
                <w:sz w:val="20"/>
                <w:szCs w:val="20"/>
              </w:rPr>
              <w:t>38,74</w:t>
            </w:r>
            <w:r>
              <w:rPr>
                <w:sz w:val="20"/>
                <w:szCs w:val="20"/>
              </w:rPr>
              <w:t>5</w:t>
            </w:r>
          </w:p>
        </w:tc>
        <w:tc>
          <w:tcPr>
            <w:tcW w:w="0" w:type="auto"/>
            <w:noWrap/>
            <w:vAlign w:val="center"/>
            <w:hideMark/>
          </w:tcPr>
          <w:p w14:paraId="6C1E880C"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6A561BD5"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center"/>
            <w:hideMark/>
          </w:tcPr>
          <w:p w14:paraId="0476B4BE"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590081E3" w14:textId="77777777" w:rsidR="00000000" w:rsidRDefault="00832D71">
            <w:pPr>
              <w:pStyle w:val="a3"/>
              <w:spacing w:before="0" w:beforeAutospacing="0" w:after="0" w:afterAutospacing="0"/>
              <w:jc w:val="right"/>
              <w:rPr>
                <w:sz w:val="20"/>
                <w:szCs w:val="20"/>
              </w:rPr>
            </w:pPr>
            <w:r>
              <w:rPr>
                <w:sz w:val="20"/>
                <w:szCs w:val="20"/>
              </w:rPr>
              <w:t>40,04</w:t>
            </w:r>
            <w:r>
              <w:rPr>
                <w:sz w:val="20"/>
                <w:szCs w:val="20"/>
              </w:rPr>
              <w:t>3</w:t>
            </w:r>
          </w:p>
        </w:tc>
        <w:tc>
          <w:tcPr>
            <w:tcW w:w="0" w:type="auto"/>
            <w:noWrap/>
            <w:vAlign w:val="center"/>
            <w:hideMark/>
          </w:tcPr>
          <w:p w14:paraId="0383C965" w14:textId="77777777" w:rsidR="00000000" w:rsidRDefault="00832D71">
            <w:pPr>
              <w:pStyle w:val="a3"/>
              <w:spacing w:before="0" w:beforeAutospacing="0" w:after="0" w:afterAutospacing="0"/>
              <w:rPr>
                <w:sz w:val="20"/>
                <w:szCs w:val="20"/>
              </w:rPr>
            </w:pPr>
            <w:r>
              <w:rPr>
                <w:sz w:val="20"/>
                <w:szCs w:val="20"/>
              </w:rPr>
              <w:t> </w:t>
            </w:r>
          </w:p>
        </w:tc>
      </w:tr>
      <w:tr w:rsidR="00000000" w14:paraId="5200034B" w14:textId="77777777">
        <w:trPr>
          <w:divId w:val="848955448"/>
          <w:trHeight w:val="200"/>
          <w:tblCellSpacing w:w="15" w:type="dxa"/>
        </w:trPr>
        <w:tc>
          <w:tcPr>
            <w:tcW w:w="0" w:type="auto"/>
            <w:hideMark/>
          </w:tcPr>
          <w:p w14:paraId="1A72F690" w14:textId="77777777" w:rsidR="00000000" w:rsidRDefault="00832D71">
            <w:pPr>
              <w:pStyle w:val="a3"/>
              <w:spacing w:before="0" w:beforeAutospacing="0" w:after="0" w:afterAutospacing="0"/>
              <w:rPr>
                <w:sz w:val="20"/>
                <w:szCs w:val="20"/>
              </w:rPr>
            </w:pPr>
            <w:r>
              <w:rPr>
                <w:sz w:val="20"/>
                <w:szCs w:val="20"/>
              </w:rPr>
              <w:t>Weighted-average remaining lease ter</w:t>
            </w:r>
            <w:r>
              <w:rPr>
                <w:sz w:val="20"/>
                <w:szCs w:val="20"/>
              </w:rPr>
              <w:t>m</w:t>
            </w:r>
          </w:p>
        </w:tc>
        <w:tc>
          <w:tcPr>
            <w:tcW w:w="0" w:type="auto"/>
            <w:hideMark/>
          </w:tcPr>
          <w:p w14:paraId="4769BA5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center"/>
            <w:hideMark/>
          </w:tcPr>
          <w:p w14:paraId="3E1DA49F" w14:textId="77777777" w:rsidR="00000000" w:rsidRDefault="00832D71">
            <w:pPr>
              <w:pStyle w:val="a3"/>
              <w:spacing w:before="0" w:beforeAutospacing="0" w:after="0" w:afterAutospacing="0"/>
              <w:jc w:val="right"/>
              <w:rPr>
                <w:sz w:val="20"/>
                <w:szCs w:val="20"/>
              </w:rPr>
            </w:pPr>
            <w:r>
              <w:rPr>
                <w:sz w:val="20"/>
                <w:szCs w:val="20"/>
              </w:rPr>
              <w:t>6.</w:t>
            </w:r>
            <w:r>
              <w:rPr>
                <w:sz w:val="20"/>
                <w:szCs w:val="20"/>
              </w:rPr>
              <w:t>1</w:t>
            </w:r>
            <w:r>
              <w:rPr>
                <w:sz w:val="20"/>
                <w:szCs w:val="20"/>
              </w:rPr>
              <w:t> year</w:t>
            </w:r>
            <w:r>
              <w:rPr>
                <w:sz w:val="20"/>
                <w:szCs w:val="20"/>
              </w:rPr>
              <w:t>s</w:t>
            </w:r>
          </w:p>
        </w:tc>
        <w:tc>
          <w:tcPr>
            <w:tcW w:w="0" w:type="auto"/>
            <w:vAlign w:val="center"/>
            <w:hideMark/>
          </w:tcPr>
          <w:p w14:paraId="1241308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center"/>
            <w:hideMark/>
          </w:tcPr>
          <w:p w14:paraId="69EF201A"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center"/>
            <w:hideMark/>
          </w:tcPr>
          <w:p w14:paraId="15AF71B8" w14:textId="77777777" w:rsidR="00000000" w:rsidRDefault="00832D71">
            <w:pPr>
              <w:pStyle w:val="a3"/>
              <w:spacing w:before="0" w:beforeAutospacing="0" w:after="0" w:afterAutospacing="0"/>
              <w:jc w:val="right"/>
              <w:rPr>
                <w:sz w:val="20"/>
                <w:szCs w:val="20"/>
              </w:rPr>
            </w:pPr>
            <w:r>
              <w:rPr>
                <w:sz w:val="20"/>
                <w:szCs w:val="20"/>
              </w:rPr>
              <w:t>6.</w:t>
            </w:r>
            <w:r>
              <w:rPr>
                <w:sz w:val="20"/>
                <w:szCs w:val="20"/>
              </w:rPr>
              <w:t>2</w:t>
            </w:r>
            <w:r>
              <w:rPr>
                <w:sz w:val="20"/>
                <w:szCs w:val="20"/>
              </w:rPr>
              <w:t> year</w:t>
            </w:r>
            <w:r>
              <w:rPr>
                <w:sz w:val="20"/>
                <w:szCs w:val="20"/>
              </w:rPr>
              <w:t>s</w:t>
            </w:r>
          </w:p>
        </w:tc>
        <w:tc>
          <w:tcPr>
            <w:tcW w:w="0" w:type="auto"/>
            <w:vAlign w:val="center"/>
            <w:hideMark/>
          </w:tcPr>
          <w:p w14:paraId="06AA6562" w14:textId="77777777" w:rsidR="00000000" w:rsidRDefault="00832D71">
            <w:pPr>
              <w:pStyle w:val="a3"/>
              <w:spacing w:before="0" w:beforeAutospacing="0" w:after="0" w:afterAutospacing="0"/>
              <w:jc w:val="right"/>
              <w:rPr>
                <w:sz w:val="20"/>
                <w:szCs w:val="20"/>
              </w:rPr>
            </w:pPr>
            <w:r>
              <w:rPr>
                <w:sz w:val="20"/>
                <w:szCs w:val="20"/>
              </w:rPr>
              <w:t> </w:t>
            </w:r>
          </w:p>
        </w:tc>
      </w:tr>
      <w:tr w:rsidR="00000000" w14:paraId="7CACA1A9" w14:textId="77777777">
        <w:trPr>
          <w:divId w:val="848955448"/>
          <w:trHeight w:val="200"/>
          <w:tblCellSpacing w:w="15" w:type="dxa"/>
        </w:trPr>
        <w:tc>
          <w:tcPr>
            <w:tcW w:w="0" w:type="auto"/>
            <w:hideMark/>
          </w:tcPr>
          <w:p w14:paraId="658B31E8" w14:textId="77777777" w:rsidR="00000000" w:rsidRDefault="00832D71">
            <w:pPr>
              <w:pStyle w:val="a3"/>
              <w:spacing w:before="0" w:beforeAutospacing="0" w:after="0" w:afterAutospacing="0"/>
              <w:rPr>
                <w:sz w:val="20"/>
                <w:szCs w:val="20"/>
              </w:rPr>
            </w:pPr>
            <w:r>
              <w:rPr>
                <w:sz w:val="20"/>
                <w:szCs w:val="20"/>
              </w:rPr>
              <w:t>Weighted-average discount rat</w:t>
            </w:r>
            <w:r>
              <w:rPr>
                <w:sz w:val="20"/>
                <w:szCs w:val="20"/>
              </w:rPr>
              <w:t>e</w:t>
            </w:r>
          </w:p>
        </w:tc>
        <w:tc>
          <w:tcPr>
            <w:tcW w:w="0" w:type="auto"/>
            <w:hideMark/>
          </w:tcPr>
          <w:p w14:paraId="28066D1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center"/>
            <w:hideMark/>
          </w:tcPr>
          <w:p w14:paraId="19931293"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3A3C4C5F" w14:textId="77777777" w:rsidR="00000000" w:rsidRDefault="00832D71">
            <w:pPr>
              <w:pStyle w:val="a3"/>
              <w:spacing w:before="0" w:beforeAutospacing="0" w:after="0" w:afterAutospacing="0"/>
              <w:jc w:val="right"/>
              <w:rPr>
                <w:sz w:val="20"/>
                <w:szCs w:val="20"/>
              </w:rPr>
            </w:pPr>
            <w:r>
              <w:rPr>
                <w:sz w:val="20"/>
                <w:szCs w:val="20"/>
              </w:rPr>
              <w:t>5.</w:t>
            </w:r>
            <w:r>
              <w:rPr>
                <w:sz w:val="20"/>
                <w:szCs w:val="20"/>
              </w:rPr>
              <w:t>0</w:t>
            </w:r>
          </w:p>
        </w:tc>
        <w:tc>
          <w:tcPr>
            <w:tcW w:w="0" w:type="auto"/>
            <w:noWrap/>
            <w:vAlign w:val="center"/>
            <w:hideMark/>
          </w:tcPr>
          <w:p w14:paraId="364AB07A" w14:textId="77777777" w:rsidR="00000000" w:rsidRDefault="00832D71">
            <w:pPr>
              <w:pStyle w:val="a3"/>
              <w:spacing w:before="0" w:beforeAutospacing="0" w:after="0" w:afterAutospacing="0"/>
              <w:rPr>
                <w:sz w:val="20"/>
                <w:szCs w:val="20"/>
              </w:rPr>
            </w:pPr>
            <w:r>
              <w:rPr>
                <w:sz w:val="20"/>
                <w:szCs w:val="20"/>
              </w:rPr>
              <w:t>%</w:t>
            </w:r>
          </w:p>
        </w:tc>
        <w:tc>
          <w:tcPr>
            <w:tcW w:w="0" w:type="auto"/>
            <w:vAlign w:val="center"/>
            <w:hideMark/>
          </w:tcPr>
          <w:p w14:paraId="6A611B99"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center"/>
            <w:hideMark/>
          </w:tcPr>
          <w:p w14:paraId="2A6CB046"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26B3324A" w14:textId="77777777" w:rsidR="00000000" w:rsidRDefault="00832D71">
            <w:pPr>
              <w:pStyle w:val="a3"/>
              <w:spacing w:before="0" w:beforeAutospacing="0" w:after="0" w:afterAutospacing="0"/>
              <w:jc w:val="right"/>
              <w:rPr>
                <w:sz w:val="20"/>
                <w:szCs w:val="20"/>
              </w:rPr>
            </w:pPr>
            <w:r>
              <w:rPr>
                <w:sz w:val="20"/>
                <w:szCs w:val="20"/>
              </w:rPr>
              <w:t>5.</w:t>
            </w:r>
            <w:r>
              <w:rPr>
                <w:sz w:val="20"/>
                <w:szCs w:val="20"/>
              </w:rPr>
              <w:t>1</w:t>
            </w:r>
          </w:p>
        </w:tc>
        <w:tc>
          <w:tcPr>
            <w:tcW w:w="0" w:type="auto"/>
            <w:noWrap/>
            <w:vAlign w:val="center"/>
            <w:hideMark/>
          </w:tcPr>
          <w:p w14:paraId="439D17F3" w14:textId="77777777" w:rsidR="00000000" w:rsidRDefault="00832D71">
            <w:pPr>
              <w:pStyle w:val="a3"/>
              <w:spacing w:before="0" w:beforeAutospacing="0" w:after="0" w:afterAutospacing="0"/>
              <w:rPr>
                <w:sz w:val="20"/>
                <w:szCs w:val="20"/>
              </w:rPr>
            </w:pPr>
            <w:r>
              <w:rPr>
                <w:sz w:val="20"/>
                <w:szCs w:val="20"/>
              </w:rPr>
              <w:t>%</w:t>
            </w:r>
          </w:p>
        </w:tc>
      </w:tr>
    </w:tbl>
    <w:p w14:paraId="05C2CF2D" w14:textId="77777777" w:rsidR="00000000" w:rsidRDefault="00832D71">
      <w:pPr>
        <w:pStyle w:val="a3"/>
        <w:spacing w:before="0" w:beforeAutospacing="0" w:after="0" w:afterAutospacing="0"/>
        <w:jc w:val="both"/>
        <w:divId w:val="946734206"/>
        <w:rPr>
          <w:sz w:val="20"/>
          <w:szCs w:val="20"/>
        </w:rPr>
      </w:pPr>
      <w:r>
        <w:rPr>
          <w:sz w:val="20"/>
          <w:szCs w:val="20"/>
        </w:rPr>
        <w:t> </w:t>
      </w:r>
    </w:p>
    <w:p w14:paraId="1D92B1B7" w14:textId="77777777" w:rsidR="00000000" w:rsidRDefault="00832D71">
      <w:pPr>
        <w:pStyle w:val="a3"/>
        <w:spacing w:before="200" w:beforeAutospacing="0" w:after="0" w:afterAutospacing="0"/>
        <w:jc w:val="center"/>
        <w:divId w:val="946734206"/>
        <w:rPr>
          <w:sz w:val="20"/>
          <w:szCs w:val="20"/>
        </w:rPr>
      </w:pPr>
      <w:r>
        <w:rPr>
          <w:sz w:val="20"/>
          <w:szCs w:val="20"/>
        </w:rPr>
        <w:t>F</w:t>
      </w:r>
      <w:r>
        <w:rPr>
          <w:sz w:val="20"/>
          <w:szCs w:val="20"/>
        </w:rPr>
        <w:t>-</w:t>
      </w:r>
      <w:r>
        <w:rPr>
          <w:sz w:val="20"/>
          <w:szCs w:val="20"/>
        </w:rPr>
        <w:t>1</w:t>
      </w:r>
      <w:r>
        <w:rPr>
          <w:sz w:val="20"/>
          <w:szCs w:val="20"/>
        </w:rPr>
        <w:t>8</w:t>
      </w:r>
    </w:p>
    <w:p w14:paraId="1FB86E15" w14:textId="77777777" w:rsidR="00000000" w:rsidRDefault="00832D71">
      <w:pPr>
        <w:divId w:val="946734206"/>
        <w:rPr>
          <w:rFonts w:eastAsia="Times New Roman"/>
          <w:sz w:val="20"/>
          <w:szCs w:val="20"/>
        </w:rPr>
      </w:pPr>
      <w:r>
        <w:rPr>
          <w:rFonts w:eastAsia="Times New Roman"/>
          <w:sz w:val="20"/>
          <w:szCs w:val="20"/>
        </w:rPr>
        <w:pict w14:anchorId="6410A02A">
          <v:rect id="_x0000_i1137" style="width:0;height:1.5pt" o:hralign="center" o:hrstd="t" o:hr="t" fillcolor="#a0a0a0" stroked="f"/>
        </w:pict>
      </w:r>
    </w:p>
    <w:p w14:paraId="0163E2BD" w14:textId="77777777" w:rsidR="00000000" w:rsidRDefault="00832D71">
      <w:pPr>
        <w:pStyle w:val="a3"/>
        <w:spacing w:before="0" w:beforeAutospacing="0" w:after="0" w:afterAutospacing="0"/>
        <w:divId w:val="946734206"/>
        <w:rPr>
          <w:sz w:val="20"/>
          <w:szCs w:val="20"/>
        </w:rPr>
      </w:pPr>
      <w:r>
        <w:rPr>
          <w:sz w:val="20"/>
          <w:szCs w:val="20"/>
        </w:rPr>
        <w:t> </w:t>
      </w:r>
    </w:p>
    <w:p w14:paraId="6FFE2E98" w14:textId="77777777" w:rsidR="00000000" w:rsidRDefault="00832D71">
      <w:pPr>
        <w:pStyle w:val="a3"/>
        <w:spacing w:before="0" w:beforeAutospacing="0" w:after="0" w:afterAutospacing="0"/>
        <w:jc w:val="both"/>
        <w:divId w:val="1282303562"/>
        <w:rPr>
          <w:sz w:val="20"/>
          <w:szCs w:val="20"/>
        </w:rPr>
      </w:pPr>
      <w:r>
        <w:rPr>
          <w:sz w:val="20"/>
          <w:szCs w:val="20"/>
        </w:rPr>
        <w:t>The following table summarizes future minimum lease payments under non-cancelable operating leases as of September 24, 2022</w:t>
      </w:r>
      <w:r>
        <w:rPr>
          <w:sz w:val="20"/>
          <w:szCs w:val="20"/>
        </w:rPr>
        <w:t>:</w:t>
      </w:r>
    </w:p>
    <w:p w14:paraId="054E776F" w14:textId="77777777" w:rsidR="00000000" w:rsidRDefault="00832D71">
      <w:pPr>
        <w:pStyle w:val="a3"/>
        <w:spacing w:before="0" w:beforeAutospacing="0" w:after="0" w:afterAutospacing="0"/>
        <w:jc w:val="both"/>
        <w:divId w:val="1282303562"/>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5040"/>
        <w:gridCol w:w="137"/>
        <w:gridCol w:w="160"/>
        <w:gridCol w:w="1166"/>
        <w:gridCol w:w="142"/>
      </w:tblGrid>
      <w:tr w:rsidR="00000000" w14:paraId="0EF53DC1" w14:textId="77777777">
        <w:trPr>
          <w:divId w:val="1282303562"/>
          <w:tblCellSpacing w:w="15" w:type="dxa"/>
        </w:trPr>
        <w:tc>
          <w:tcPr>
            <w:tcW w:w="3887" w:type="pct"/>
            <w:vAlign w:val="center"/>
            <w:hideMark/>
          </w:tcPr>
          <w:p w14:paraId="2E487FDE" w14:textId="77777777" w:rsidR="00000000" w:rsidRDefault="00832D71">
            <w:pPr>
              <w:rPr>
                <w:sz w:val="20"/>
                <w:szCs w:val="20"/>
              </w:rPr>
            </w:pPr>
          </w:p>
        </w:tc>
        <w:tc>
          <w:tcPr>
            <w:tcW w:w="108" w:type="pct"/>
            <w:vAlign w:val="center"/>
            <w:hideMark/>
          </w:tcPr>
          <w:p w14:paraId="2E5E3760" w14:textId="77777777" w:rsidR="00000000" w:rsidRDefault="00832D71">
            <w:pPr>
              <w:rPr>
                <w:rFonts w:eastAsia="Times New Roman"/>
                <w:sz w:val="20"/>
                <w:szCs w:val="20"/>
              </w:rPr>
            </w:pPr>
          </w:p>
        </w:tc>
        <w:tc>
          <w:tcPr>
            <w:tcW w:w="50" w:type="pct"/>
            <w:vAlign w:val="center"/>
            <w:hideMark/>
          </w:tcPr>
          <w:p w14:paraId="6F7F1B8A" w14:textId="77777777" w:rsidR="00000000" w:rsidRDefault="00832D71">
            <w:pPr>
              <w:rPr>
                <w:rFonts w:eastAsia="Times New Roman"/>
                <w:sz w:val="20"/>
                <w:szCs w:val="20"/>
              </w:rPr>
            </w:pPr>
          </w:p>
        </w:tc>
        <w:tc>
          <w:tcPr>
            <w:tcW w:w="903" w:type="pct"/>
            <w:vAlign w:val="center"/>
            <w:hideMark/>
          </w:tcPr>
          <w:p w14:paraId="7A5069C7" w14:textId="77777777" w:rsidR="00000000" w:rsidRDefault="00832D71">
            <w:pPr>
              <w:rPr>
                <w:rFonts w:eastAsia="Times New Roman"/>
                <w:sz w:val="20"/>
                <w:szCs w:val="20"/>
              </w:rPr>
            </w:pPr>
          </w:p>
        </w:tc>
        <w:tc>
          <w:tcPr>
            <w:tcW w:w="50" w:type="pct"/>
            <w:vAlign w:val="center"/>
            <w:hideMark/>
          </w:tcPr>
          <w:p w14:paraId="79F6DFD1" w14:textId="77777777" w:rsidR="00000000" w:rsidRDefault="00832D71">
            <w:pPr>
              <w:rPr>
                <w:rFonts w:eastAsia="Times New Roman"/>
                <w:sz w:val="20"/>
                <w:szCs w:val="20"/>
              </w:rPr>
            </w:pPr>
          </w:p>
        </w:tc>
      </w:tr>
      <w:tr w:rsidR="00000000" w14:paraId="44FD00D8" w14:textId="77777777">
        <w:trPr>
          <w:divId w:val="1282303562"/>
          <w:trHeight w:val="160"/>
          <w:tblCellSpacing w:w="15" w:type="dxa"/>
        </w:trPr>
        <w:tc>
          <w:tcPr>
            <w:tcW w:w="0" w:type="auto"/>
            <w:vAlign w:val="bottom"/>
            <w:hideMark/>
          </w:tcPr>
          <w:p w14:paraId="714ECD15" w14:textId="77777777" w:rsidR="00000000" w:rsidRDefault="00832D71">
            <w:pPr>
              <w:pStyle w:val="a3"/>
              <w:spacing w:before="0" w:beforeAutospacing="0" w:after="0" w:afterAutospacing="0"/>
              <w:jc w:val="center"/>
              <w:rPr>
                <w:sz w:val="16"/>
                <w:szCs w:val="16"/>
              </w:rPr>
            </w:pPr>
            <w:r>
              <w:rPr>
                <w:b/>
                <w:bCs/>
                <w:sz w:val="16"/>
                <w:szCs w:val="16"/>
              </w:rPr>
              <w:t>Fiscal Yea</w:t>
            </w:r>
            <w:r>
              <w:rPr>
                <w:b/>
                <w:bCs/>
                <w:sz w:val="16"/>
                <w:szCs w:val="16"/>
              </w:rPr>
              <w:t>r</w:t>
            </w:r>
          </w:p>
        </w:tc>
        <w:tc>
          <w:tcPr>
            <w:tcW w:w="0" w:type="auto"/>
            <w:hideMark/>
          </w:tcPr>
          <w:p w14:paraId="771E92C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AF15805" w14:textId="77777777" w:rsidR="00000000" w:rsidRDefault="00832D71">
            <w:pPr>
              <w:pStyle w:val="a3"/>
              <w:spacing w:before="0" w:beforeAutospacing="0" w:after="0" w:afterAutospacing="0"/>
              <w:jc w:val="center"/>
              <w:rPr>
                <w:sz w:val="16"/>
                <w:szCs w:val="16"/>
              </w:rPr>
            </w:pPr>
            <w:r>
              <w:rPr>
                <w:b/>
                <w:bCs/>
                <w:sz w:val="16"/>
                <w:szCs w:val="16"/>
              </w:rPr>
              <w:t>Operating Lease</w:t>
            </w:r>
            <w:r>
              <w:rPr>
                <w:b/>
                <w:bCs/>
                <w:sz w:val="16"/>
                <w:szCs w:val="16"/>
              </w:rPr>
              <w:t>s</w:t>
            </w:r>
          </w:p>
        </w:tc>
        <w:tc>
          <w:tcPr>
            <w:tcW w:w="0" w:type="auto"/>
            <w:vAlign w:val="bottom"/>
            <w:hideMark/>
          </w:tcPr>
          <w:p w14:paraId="47CAAA88"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4FE9FAD0" w14:textId="77777777">
        <w:trPr>
          <w:divId w:val="1282303562"/>
          <w:trHeight w:val="200"/>
          <w:tblCellSpacing w:w="15" w:type="dxa"/>
        </w:trPr>
        <w:tc>
          <w:tcPr>
            <w:tcW w:w="0" w:type="auto"/>
            <w:hideMark/>
          </w:tcPr>
          <w:p w14:paraId="3916255A" w14:textId="77777777" w:rsidR="00000000" w:rsidRDefault="00832D71">
            <w:pPr>
              <w:pStyle w:val="a3"/>
              <w:spacing w:before="0" w:beforeAutospacing="0" w:after="0" w:afterAutospacing="0"/>
              <w:rPr>
                <w:sz w:val="20"/>
                <w:szCs w:val="20"/>
              </w:rPr>
            </w:pPr>
            <w:r>
              <w:rPr>
                <w:sz w:val="20"/>
                <w:szCs w:val="20"/>
              </w:rPr>
              <w:t>202</w:t>
            </w:r>
            <w:r>
              <w:rPr>
                <w:sz w:val="20"/>
                <w:szCs w:val="20"/>
              </w:rPr>
              <w:t>3</w:t>
            </w:r>
          </w:p>
        </w:tc>
        <w:tc>
          <w:tcPr>
            <w:tcW w:w="0" w:type="auto"/>
            <w:hideMark/>
          </w:tcPr>
          <w:p w14:paraId="21A3C11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center"/>
            <w:hideMark/>
          </w:tcPr>
          <w:p w14:paraId="22336F91" w14:textId="77777777" w:rsidR="00000000" w:rsidRDefault="00832D71">
            <w:pPr>
              <w:pStyle w:val="a3"/>
              <w:spacing w:before="0" w:beforeAutospacing="0" w:after="0" w:afterAutospacing="0"/>
              <w:rPr>
                <w:sz w:val="20"/>
                <w:szCs w:val="20"/>
              </w:rPr>
            </w:pPr>
            <w:r>
              <w:rPr>
                <w:sz w:val="20"/>
                <w:szCs w:val="20"/>
              </w:rPr>
              <w:t>$</w:t>
            </w:r>
          </w:p>
        </w:tc>
        <w:tc>
          <w:tcPr>
            <w:tcW w:w="0" w:type="auto"/>
            <w:vAlign w:val="center"/>
            <w:hideMark/>
          </w:tcPr>
          <w:p w14:paraId="2A4BC9D8" w14:textId="77777777" w:rsidR="00000000" w:rsidRDefault="00832D71">
            <w:pPr>
              <w:pStyle w:val="a3"/>
              <w:spacing w:before="0" w:beforeAutospacing="0" w:after="0" w:afterAutospacing="0"/>
              <w:jc w:val="right"/>
              <w:rPr>
                <w:sz w:val="20"/>
                <w:szCs w:val="20"/>
              </w:rPr>
            </w:pPr>
            <w:r>
              <w:rPr>
                <w:sz w:val="20"/>
                <w:szCs w:val="20"/>
              </w:rPr>
              <w:t>38,02</w:t>
            </w:r>
            <w:r>
              <w:rPr>
                <w:sz w:val="20"/>
                <w:szCs w:val="20"/>
              </w:rPr>
              <w:t>5</w:t>
            </w:r>
          </w:p>
        </w:tc>
        <w:tc>
          <w:tcPr>
            <w:tcW w:w="0" w:type="auto"/>
            <w:noWrap/>
            <w:vAlign w:val="center"/>
            <w:hideMark/>
          </w:tcPr>
          <w:p w14:paraId="388B37D7" w14:textId="77777777" w:rsidR="00000000" w:rsidRDefault="00832D71">
            <w:pPr>
              <w:pStyle w:val="a3"/>
              <w:spacing w:before="0" w:beforeAutospacing="0" w:after="0" w:afterAutospacing="0"/>
              <w:rPr>
                <w:sz w:val="20"/>
                <w:szCs w:val="20"/>
              </w:rPr>
            </w:pPr>
            <w:r>
              <w:rPr>
                <w:sz w:val="20"/>
                <w:szCs w:val="20"/>
              </w:rPr>
              <w:t> </w:t>
            </w:r>
          </w:p>
        </w:tc>
      </w:tr>
      <w:tr w:rsidR="00000000" w14:paraId="5C4F4680" w14:textId="77777777">
        <w:trPr>
          <w:divId w:val="1282303562"/>
          <w:trHeight w:val="200"/>
          <w:tblCellSpacing w:w="15" w:type="dxa"/>
        </w:trPr>
        <w:tc>
          <w:tcPr>
            <w:tcW w:w="0" w:type="auto"/>
            <w:hideMark/>
          </w:tcPr>
          <w:p w14:paraId="5E47D0E2" w14:textId="77777777" w:rsidR="00000000" w:rsidRDefault="00832D71">
            <w:pPr>
              <w:pStyle w:val="a3"/>
              <w:spacing w:before="0" w:beforeAutospacing="0" w:after="0" w:afterAutospacing="0"/>
              <w:rPr>
                <w:sz w:val="20"/>
                <w:szCs w:val="20"/>
              </w:rPr>
            </w:pPr>
            <w:r>
              <w:rPr>
                <w:sz w:val="20"/>
                <w:szCs w:val="20"/>
              </w:rPr>
              <w:t>202</w:t>
            </w:r>
            <w:r>
              <w:rPr>
                <w:sz w:val="20"/>
                <w:szCs w:val="20"/>
              </w:rPr>
              <w:t>4</w:t>
            </w:r>
          </w:p>
        </w:tc>
        <w:tc>
          <w:tcPr>
            <w:tcW w:w="0" w:type="auto"/>
            <w:hideMark/>
          </w:tcPr>
          <w:p w14:paraId="0425475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center"/>
            <w:hideMark/>
          </w:tcPr>
          <w:p w14:paraId="252EBB42"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0CD2A6FA" w14:textId="77777777" w:rsidR="00000000" w:rsidRDefault="00832D71">
            <w:pPr>
              <w:pStyle w:val="a3"/>
              <w:spacing w:before="0" w:beforeAutospacing="0" w:after="0" w:afterAutospacing="0"/>
              <w:jc w:val="right"/>
              <w:rPr>
                <w:sz w:val="20"/>
                <w:szCs w:val="20"/>
              </w:rPr>
            </w:pPr>
            <w:r>
              <w:rPr>
                <w:sz w:val="20"/>
                <w:szCs w:val="20"/>
              </w:rPr>
              <w:t>32,22</w:t>
            </w:r>
            <w:r>
              <w:rPr>
                <w:sz w:val="20"/>
                <w:szCs w:val="20"/>
              </w:rPr>
              <w:t>9</w:t>
            </w:r>
          </w:p>
        </w:tc>
        <w:tc>
          <w:tcPr>
            <w:tcW w:w="0" w:type="auto"/>
            <w:noWrap/>
            <w:vAlign w:val="center"/>
            <w:hideMark/>
          </w:tcPr>
          <w:p w14:paraId="085C69B0" w14:textId="77777777" w:rsidR="00000000" w:rsidRDefault="00832D71">
            <w:pPr>
              <w:pStyle w:val="a3"/>
              <w:spacing w:before="0" w:beforeAutospacing="0" w:after="0" w:afterAutospacing="0"/>
              <w:rPr>
                <w:sz w:val="20"/>
                <w:szCs w:val="20"/>
              </w:rPr>
            </w:pPr>
            <w:r>
              <w:rPr>
                <w:sz w:val="20"/>
                <w:szCs w:val="20"/>
              </w:rPr>
              <w:t> </w:t>
            </w:r>
          </w:p>
        </w:tc>
      </w:tr>
      <w:tr w:rsidR="00000000" w14:paraId="37B7A795" w14:textId="77777777">
        <w:trPr>
          <w:divId w:val="1282303562"/>
          <w:trHeight w:val="200"/>
          <w:tblCellSpacing w:w="15" w:type="dxa"/>
        </w:trPr>
        <w:tc>
          <w:tcPr>
            <w:tcW w:w="0" w:type="auto"/>
            <w:hideMark/>
          </w:tcPr>
          <w:p w14:paraId="685073DD" w14:textId="77777777" w:rsidR="00000000" w:rsidRDefault="00832D71">
            <w:pPr>
              <w:pStyle w:val="a3"/>
              <w:spacing w:before="0" w:beforeAutospacing="0" w:after="0" w:afterAutospacing="0"/>
              <w:rPr>
                <w:sz w:val="20"/>
                <w:szCs w:val="20"/>
              </w:rPr>
            </w:pPr>
            <w:r>
              <w:rPr>
                <w:sz w:val="20"/>
                <w:szCs w:val="20"/>
              </w:rPr>
              <w:t>202</w:t>
            </w:r>
            <w:r>
              <w:rPr>
                <w:sz w:val="20"/>
                <w:szCs w:val="20"/>
              </w:rPr>
              <w:t>5</w:t>
            </w:r>
          </w:p>
        </w:tc>
        <w:tc>
          <w:tcPr>
            <w:tcW w:w="0" w:type="auto"/>
            <w:hideMark/>
          </w:tcPr>
          <w:p w14:paraId="7179DD8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center"/>
            <w:hideMark/>
          </w:tcPr>
          <w:p w14:paraId="6B350BCA"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6D122C9B" w14:textId="77777777" w:rsidR="00000000" w:rsidRDefault="00832D71">
            <w:pPr>
              <w:pStyle w:val="a3"/>
              <w:spacing w:before="0" w:beforeAutospacing="0" w:after="0" w:afterAutospacing="0"/>
              <w:jc w:val="right"/>
              <w:rPr>
                <w:sz w:val="20"/>
                <w:szCs w:val="20"/>
              </w:rPr>
            </w:pPr>
            <w:r>
              <w:rPr>
                <w:sz w:val="20"/>
                <w:szCs w:val="20"/>
              </w:rPr>
              <w:t>27,83</w:t>
            </w:r>
            <w:r>
              <w:rPr>
                <w:sz w:val="20"/>
                <w:szCs w:val="20"/>
              </w:rPr>
              <w:t>1</w:t>
            </w:r>
          </w:p>
        </w:tc>
        <w:tc>
          <w:tcPr>
            <w:tcW w:w="0" w:type="auto"/>
            <w:noWrap/>
            <w:vAlign w:val="center"/>
            <w:hideMark/>
          </w:tcPr>
          <w:p w14:paraId="6D46299F" w14:textId="77777777" w:rsidR="00000000" w:rsidRDefault="00832D71">
            <w:pPr>
              <w:pStyle w:val="a3"/>
              <w:spacing w:before="0" w:beforeAutospacing="0" w:after="0" w:afterAutospacing="0"/>
              <w:rPr>
                <w:sz w:val="20"/>
                <w:szCs w:val="20"/>
              </w:rPr>
            </w:pPr>
            <w:r>
              <w:rPr>
                <w:sz w:val="20"/>
                <w:szCs w:val="20"/>
              </w:rPr>
              <w:t> </w:t>
            </w:r>
          </w:p>
        </w:tc>
      </w:tr>
      <w:tr w:rsidR="00000000" w14:paraId="0CF7E771" w14:textId="77777777">
        <w:trPr>
          <w:divId w:val="1282303562"/>
          <w:trHeight w:val="200"/>
          <w:tblCellSpacing w:w="15" w:type="dxa"/>
        </w:trPr>
        <w:tc>
          <w:tcPr>
            <w:tcW w:w="0" w:type="auto"/>
            <w:hideMark/>
          </w:tcPr>
          <w:p w14:paraId="1BA4CB7C" w14:textId="77777777" w:rsidR="00000000" w:rsidRDefault="00832D71">
            <w:pPr>
              <w:pStyle w:val="a3"/>
              <w:spacing w:before="0" w:beforeAutospacing="0" w:after="0" w:afterAutospacing="0"/>
              <w:rPr>
                <w:sz w:val="20"/>
                <w:szCs w:val="20"/>
              </w:rPr>
            </w:pPr>
            <w:r>
              <w:rPr>
                <w:sz w:val="20"/>
                <w:szCs w:val="20"/>
              </w:rPr>
              <w:t>202</w:t>
            </w:r>
            <w:r>
              <w:rPr>
                <w:sz w:val="20"/>
                <w:szCs w:val="20"/>
              </w:rPr>
              <w:t>6</w:t>
            </w:r>
          </w:p>
        </w:tc>
        <w:tc>
          <w:tcPr>
            <w:tcW w:w="0" w:type="auto"/>
            <w:hideMark/>
          </w:tcPr>
          <w:p w14:paraId="1C1F0B0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center"/>
            <w:hideMark/>
          </w:tcPr>
          <w:p w14:paraId="6DF78B45"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4CA6D3F2" w14:textId="77777777" w:rsidR="00000000" w:rsidRDefault="00832D71">
            <w:pPr>
              <w:pStyle w:val="a3"/>
              <w:spacing w:before="0" w:beforeAutospacing="0" w:after="0" w:afterAutospacing="0"/>
              <w:jc w:val="right"/>
              <w:rPr>
                <w:sz w:val="20"/>
                <w:szCs w:val="20"/>
              </w:rPr>
            </w:pPr>
            <w:r>
              <w:rPr>
                <w:sz w:val="20"/>
                <w:szCs w:val="20"/>
              </w:rPr>
              <w:t>22,86</w:t>
            </w:r>
            <w:r>
              <w:rPr>
                <w:sz w:val="20"/>
                <w:szCs w:val="20"/>
              </w:rPr>
              <w:t>3</w:t>
            </w:r>
          </w:p>
        </w:tc>
        <w:tc>
          <w:tcPr>
            <w:tcW w:w="0" w:type="auto"/>
            <w:noWrap/>
            <w:vAlign w:val="center"/>
            <w:hideMark/>
          </w:tcPr>
          <w:p w14:paraId="371DCAC0" w14:textId="77777777" w:rsidR="00000000" w:rsidRDefault="00832D71">
            <w:pPr>
              <w:pStyle w:val="a3"/>
              <w:spacing w:before="0" w:beforeAutospacing="0" w:after="0" w:afterAutospacing="0"/>
              <w:rPr>
                <w:sz w:val="20"/>
                <w:szCs w:val="20"/>
              </w:rPr>
            </w:pPr>
            <w:r>
              <w:rPr>
                <w:sz w:val="20"/>
                <w:szCs w:val="20"/>
              </w:rPr>
              <w:t> </w:t>
            </w:r>
          </w:p>
        </w:tc>
      </w:tr>
      <w:tr w:rsidR="00000000" w14:paraId="4D7EEA16" w14:textId="77777777">
        <w:trPr>
          <w:divId w:val="1282303562"/>
          <w:trHeight w:val="200"/>
          <w:tblCellSpacing w:w="15" w:type="dxa"/>
        </w:trPr>
        <w:tc>
          <w:tcPr>
            <w:tcW w:w="0" w:type="auto"/>
            <w:hideMark/>
          </w:tcPr>
          <w:p w14:paraId="1D769CAA" w14:textId="77777777" w:rsidR="00000000" w:rsidRDefault="00832D71">
            <w:pPr>
              <w:pStyle w:val="a3"/>
              <w:spacing w:before="0" w:beforeAutospacing="0" w:after="0" w:afterAutospacing="0"/>
              <w:rPr>
                <w:sz w:val="20"/>
                <w:szCs w:val="20"/>
              </w:rPr>
            </w:pPr>
            <w:r>
              <w:rPr>
                <w:sz w:val="20"/>
                <w:szCs w:val="20"/>
              </w:rPr>
              <w:t>202</w:t>
            </w:r>
            <w:r>
              <w:rPr>
                <w:sz w:val="20"/>
                <w:szCs w:val="20"/>
              </w:rPr>
              <w:t>7</w:t>
            </w:r>
          </w:p>
        </w:tc>
        <w:tc>
          <w:tcPr>
            <w:tcW w:w="0" w:type="auto"/>
            <w:hideMark/>
          </w:tcPr>
          <w:p w14:paraId="6A64EB9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center"/>
            <w:hideMark/>
          </w:tcPr>
          <w:p w14:paraId="3CAEE4C9"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1C8BC033" w14:textId="77777777" w:rsidR="00000000" w:rsidRDefault="00832D71">
            <w:pPr>
              <w:pStyle w:val="a3"/>
              <w:spacing w:before="0" w:beforeAutospacing="0" w:after="0" w:afterAutospacing="0"/>
              <w:jc w:val="right"/>
              <w:rPr>
                <w:sz w:val="20"/>
                <w:szCs w:val="20"/>
              </w:rPr>
            </w:pPr>
            <w:r>
              <w:rPr>
                <w:sz w:val="20"/>
                <w:szCs w:val="20"/>
              </w:rPr>
              <w:t>12,99</w:t>
            </w:r>
            <w:r>
              <w:rPr>
                <w:sz w:val="20"/>
                <w:szCs w:val="20"/>
              </w:rPr>
              <w:t>0</w:t>
            </w:r>
          </w:p>
        </w:tc>
        <w:tc>
          <w:tcPr>
            <w:tcW w:w="0" w:type="auto"/>
            <w:noWrap/>
            <w:vAlign w:val="center"/>
            <w:hideMark/>
          </w:tcPr>
          <w:p w14:paraId="38591B73" w14:textId="77777777" w:rsidR="00000000" w:rsidRDefault="00832D71">
            <w:pPr>
              <w:pStyle w:val="a3"/>
              <w:spacing w:before="0" w:beforeAutospacing="0" w:after="0" w:afterAutospacing="0"/>
              <w:rPr>
                <w:sz w:val="20"/>
                <w:szCs w:val="20"/>
              </w:rPr>
            </w:pPr>
            <w:r>
              <w:rPr>
                <w:sz w:val="20"/>
                <w:szCs w:val="20"/>
              </w:rPr>
              <w:t> </w:t>
            </w:r>
          </w:p>
        </w:tc>
      </w:tr>
      <w:tr w:rsidR="00000000" w14:paraId="0C3EF0D8" w14:textId="77777777">
        <w:trPr>
          <w:divId w:val="1282303562"/>
          <w:trHeight w:val="200"/>
          <w:tblCellSpacing w:w="15" w:type="dxa"/>
        </w:trPr>
        <w:tc>
          <w:tcPr>
            <w:tcW w:w="0" w:type="auto"/>
            <w:hideMark/>
          </w:tcPr>
          <w:p w14:paraId="18E729A2" w14:textId="77777777" w:rsidR="00000000" w:rsidRDefault="00832D71">
            <w:pPr>
              <w:pStyle w:val="a3"/>
              <w:spacing w:before="0" w:beforeAutospacing="0" w:after="0" w:afterAutospacing="0"/>
              <w:rPr>
                <w:sz w:val="20"/>
                <w:szCs w:val="20"/>
              </w:rPr>
            </w:pPr>
            <w:r>
              <w:rPr>
                <w:sz w:val="20"/>
                <w:szCs w:val="20"/>
              </w:rPr>
              <w:t>2028 and thereafte</w:t>
            </w:r>
            <w:r>
              <w:rPr>
                <w:sz w:val="20"/>
                <w:szCs w:val="20"/>
              </w:rPr>
              <w:t>r</w:t>
            </w:r>
          </w:p>
        </w:tc>
        <w:tc>
          <w:tcPr>
            <w:tcW w:w="0" w:type="auto"/>
            <w:vAlign w:val="bottom"/>
            <w:hideMark/>
          </w:tcPr>
          <w:p w14:paraId="7734E4F2" w14:textId="77777777" w:rsidR="00000000" w:rsidRDefault="00832D71">
            <w:pPr>
              <w:pStyle w:val="a3"/>
              <w:spacing w:before="0" w:beforeAutospacing="0" w:after="0" w:afterAutospacing="0"/>
              <w:rPr>
                <w:sz w:val="22"/>
                <w:szCs w:val="22"/>
              </w:rPr>
            </w:pPr>
            <w:r>
              <w:rPr>
                <w:sz w:val="22"/>
                <w:szCs w:val="22"/>
              </w:rPr>
              <w:t> </w:t>
            </w:r>
          </w:p>
        </w:tc>
        <w:tc>
          <w:tcPr>
            <w:tcW w:w="0" w:type="auto"/>
            <w:noWrap/>
            <w:vAlign w:val="center"/>
            <w:hideMark/>
          </w:tcPr>
          <w:p w14:paraId="4340017D"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0985EFB5" w14:textId="77777777" w:rsidR="00000000" w:rsidRDefault="00832D71">
            <w:pPr>
              <w:pStyle w:val="a3"/>
              <w:spacing w:before="0" w:beforeAutospacing="0" w:after="0" w:afterAutospacing="0"/>
              <w:jc w:val="right"/>
              <w:rPr>
                <w:sz w:val="20"/>
                <w:szCs w:val="20"/>
              </w:rPr>
            </w:pPr>
            <w:r>
              <w:rPr>
                <w:sz w:val="20"/>
                <w:szCs w:val="20"/>
              </w:rPr>
              <w:t>24,55</w:t>
            </w:r>
            <w:r>
              <w:rPr>
                <w:sz w:val="20"/>
                <w:szCs w:val="20"/>
              </w:rPr>
              <w:t>3</w:t>
            </w:r>
          </w:p>
        </w:tc>
        <w:tc>
          <w:tcPr>
            <w:tcW w:w="0" w:type="auto"/>
            <w:noWrap/>
            <w:vAlign w:val="center"/>
            <w:hideMark/>
          </w:tcPr>
          <w:p w14:paraId="72499751" w14:textId="77777777" w:rsidR="00000000" w:rsidRDefault="00832D71">
            <w:pPr>
              <w:pStyle w:val="a3"/>
              <w:spacing w:before="0" w:beforeAutospacing="0" w:after="0" w:afterAutospacing="0"/>
              <w:rPr>
                <w:sz w:val="20"/>
                <w:szCs w:val="20"/>
              </w:rPr>
            </w:pPr>
            <w:r>
              <w:rPr>
                <w:sz w:val="20"/>
                <w:szCs w:val="20"/>
              </w:rPr>
              <w:t> </w:t>
            </w:r>
          </w:p>
        </w:tc>
      </w:tr>
      <w:tr w:rsidR="00000000" w14:paraId="73FDDC87" w14:textId="77777777">
        <w:trPr>
          <w:divId w:val="1282303562"/>
          <w:trHeight w:val="200"/>
          <w:tblCellSpacing w:w="15" w:type="dxa"/>
        </w:trPr>
        <w:tc>
          <w:tcPr>
            <w:tcW w:w="0" w:type="auto"/>
            <w:hideMark/>
          </w:tcPr>
          <w:p w14:paraId="65AA5007" w14:textId="77777777" w:rsidR="00000000" w:rsidRDefault="00832D71">
            <w:pPr>
              <w:pStyle w:val="a3"/>
              <w:spacing w:before="0" w:beforeAutospacing="0" w:after="0" w:afterAutospacing="0"/>
              <w:rPr>
                <w:sz w:val="20"/>
                <w:szCs w:val="20"/>
              </w:rPr>
            </w:pPr>
            <w:r>
              <w:rPr>
                <w:sz w:val="20"/>
                <w:szCs w:val="20"/>
              </w:rPr>
              <w:t>Total future minimum lease payment</w:t>
            </w:r>
            <w:r>
              <w:rPr>
                <w:sz w:val="20"/>
                <w:szCs w:val="20"/>
              </w:rPr>
              <w:t>s</w:t>
            </w:r>
          </w:p>
        </w:tc>
        <w:tc>
          <w:tcPr>
            <w:tcW w:w="0" w:type="auto"/>
            <w:hideMark/>
          </w:tcPr>
          <w:p w14:paraId="51CD1A4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center"/>
            <w:hideMark/>
          </w:tcPr>
          <w:p w14:paraId="4475C154" w14:textId="77777777" w:rsidR="00000000" w:rsidRDefault="00832D71">
            <w:pPr>
              <w:pStyle w:val="a3"/>
              <w:spacing w:before="0" w:beforeAutospacing="0" w:after="0" w:afterAutospacing="0"/>
              <w:rPr>
                <w:sz w:val="20"/>
                <w:szCs w:val="20"/>
              </w:rPr>
            </w:pPr>
            <w:r>
              <w:rPr>
                <w:sz w:val="20"/>
                <w:szCs w:val="20"/>
              </w:rPr>
              <w:t>$</w:t>
            </w:r>
          </w:p>
        </w:tc>
        <w:tc>
          <w:tcPr>
            <w:tcW w:w="0" w:type="auto"/>
            <w:vAlign w:val="center"/>
            <w:hideMark/>
          </w:tcPr>
          <w:p w14:paraId="74867B72" w14:textId="77777777" w:rsidR="00000000" w:rsidRDefault="00832D71">
            <w:pPr>
              <w:pStyle w:val="a3"/>
              <w:spacing w:before="0" w:beforeAutospacing="0" w:after="0" w:afterAutospacing="0"/>
              <w:jc w:val="right"/>
              <w:rPr>
                <w:sz w:val="20"/>
                <w:szCs w:val="20"/>
              </w:rPr>
            </w:pPr>
            <w:r>
              <w:rPr>
                <w:sz w:val="20"/>
                <w:szCs w:val="20"/>
              </w:rPr>
              <w:t>158,49</w:t>
            </w:r>
            <w:r>
              <w:rPr>
                <w:sz w:val="20"/>
                <w:szCs w:val="20"/>
              </w:rPr>
              <w:t>1</w:t>
            </w:r>
          </w:p>
        </w:tc>
        <w:tc>
          <w:tcPr>
            <w:tcW w:w="0" w:type="auto"/>
            <w:noWrap/>
            <w:vAlign w:val="center"/>
            <w:hideMark/>
          </w:tcPr>
          <w:p w14:paraId="663AACA3" w14:textId="77777777" w:rsidR="00000000" w:rsidRDefault="00832D71">
            <w:pPr>
              <w:pStyle w:val="a3"/>
              <w:spacing w:before="0" w:beforeAutospacing="0" w:after="0" w:afterAutospacing="0"/>
              <w:rPr>
                <w:sz w:val="20"/>
                <w:szCs w:val="20"/>
              </w:rPr>
            </w:pPr>
            <w:r>
              <w:rPr>
                <w:sz w:val="20"/>
                <w:szCs w:val="20"/>
              </w:rPr>
              <w:t> </w:t>
            </w:r>
          </w:p>
        </w:tc>
      </w:tr>
      <w:tr w:rsidR="00000000" w14:paraId="3479A812" w14:textId="77777777">
        <w:trPr>
          <w:divId w:val="1282303562"/>
          <w:trHeight w:val="200"/>
          <w:tblCellSpacing w:w="15" w:type="dxa"/>
        </w:trPr>
        <w:tc>
          <w:tcPr>
            <w:tcW w:w="0" w:type="auto"/>
            <w:hideMark/>
          </w:tcPr>
          <w:p w14:paraId="6D0215C9" w14:textId="77777777" w:rsidR="00000000" w:rsidRDefault="00832D71">
            <w:pPr>
              <w:pStyle w:val="a3"/>
              <w:spacing w:before="0" w:beforeAutospacing="0" w:after="0" w:afterAutospacing="0"/>
              <w:rPr>
                <w:sz w:val="20"/>
                <w:szCs w:val="20"/>
              </w:rPr>
            </w:pPr>
            <w:r>
              <w:rPr>
                <w:sz w:val="20"/>
                <w:szCs w:val="20"/>
              </w:rPr>
              <w:t>Less: interes</w:t>
            </w:r>
            <w:r>
              <w:rPr>
                <w:sz w:val="20"/>
                <w:szCs w:val="20"/>
              </w:rPr>
              <w:t>t</w:t>
            </w:r>
          </w:p>
        </w:tc>
        <w:tc>
          <w:tcPr>
            <w:tcW w:w="0" w:type="auto"/>
            <w:vAlign w:val="bottom"/>
            <w:hideMark/>
          </w:tcPr>
          <w:p w14:paraId="040AABD8" w14:textId="77777777" w:rsidR="00000000" w:rsidRDefault="00832D71">
            <w:pPr>
              <w:pStyle w:val="a3"/>
              <w:spacing w:before="0" w:beforeAutospacing="0" w:after="0" w:afterAutospacing="0"/>
              <w:rPr>
                <w:sz w:val="22"/>
                <w:szCs w:val="22"/>
              </w:rPr>
            </w:pPr>
            <w:r>
              <w:rPr>
                <w:sz w:val="22"/>
                <w:szCs w:val="22"/>
              </w:rPr>
              <w:t> </w:t>
            </w:r>
          </w:p>
        </w:tc>
        <w:tc>
          <w:tcPr>
            <w:tcW w:w="0" w:type="auto"/>
            <w:noWrap/>
            <w:vAlign w:val="center"/>
            <w:hideMark/>
          </w:tcPr>
          <w:p w14:paraId="286F3FA2" w14:textId="77777777" w:rsidR="00000000" w:rsidRDefault="00832D71">
            <w:pPr>
              <w:pStyle w:val="a3"/>
              <w:spacing w:before="0" w:beforeAutospacing="0" w:after="0" w:afterAutospacing="0"/>
              <w:rPr>
                <w:sz w:val="20"/>
                <w:szCs w:val="20"/>
              </w:rPr>
            </w:pPr>
            <w:r>
              <w:rPr>
                <w:sz w:val="20"/>
                <w:szCs w:val="20"/>
              </w:rPr>
              <w:t> </w:t>
            </w:r>
          </w:p>
        </w:tc>
        <w:tc>
          <w:tcPr>
            <w:tcW w:w="0" w:type="auto"/>
            <w:vAlign w:val="center"/>
            <w:hideMark/>
          </w:tcPr>
          <w:p w14:paraId="4EE8EC3D" w14:textId="77777777" w:rsidR="00000000" w:rsidRDefault="00832D71">
            <w:pPr>
              <w:pStyle w:val="a3"/>
              <w:spacing w:before="0" w:beforeAutospacing="0" w:after="0" w:afterAutospacing="0"/>
              <w:jc w:val="right"/>
              <w:rPr>
                <w:sz w:val="20"/>
                <w:szCs w:val="20"/>
              </w:rPr>
            </w:pPr>
            <w:r>
              <w:rPr>
                <w:sz w:val="20"/>
                <w:szCs w:val="20"/>
              </w:rPr>
              <w:t>(</w:t>
            </w:r>
            <w:r>
              <w:rPr>
                <w:sz w:val="20"/>
                <w:szCs w:val="20"/>
              </w:rPr>
              <w:t>22,69</w:t>
            </w:r>
            <w:r>
              <w:rPr>
                <w:sz w:val="20"/>
                <w:szCs w:val="20"/>
              </w:rPr>
              <w:t>5</w:t>
            </w:r>
          </w:p>
        </w:tc>
        <w:tc>
          <w:tcPr>
            <w:tcW w:w="0" w:type="auto"/>
            <w:noWrap/>
            <w:vAlign w:val="center"/>
            <w:hideMark/>
          </w:tcPr>
          <w:p w14:paraId="58BBB773" w14:textId="77777777" w:rsidR="00000000" w:rsidRDefault="00832D71">
            <w:pPr>
              <w:pStyle w:val="a3"/>
              <w:spacing w:before="0" w:beforeAutospacing="0" w:after="0" w:afterAutospacing="0"/>
              <w:rPr>
                <w:sz w:val="20"/>
                <w:szCs w:val="20"/>
              </w:rPr>
            </w:pPr>
            <w:r>
              <w:rPr>
                <w:sz w:val="20"/>
                <w:szCs w:val="20"/>
              </w:rPr>
              <w:t>)</w:t>
            </w:r>
          </w:p>
        </w:tc>
      </w:tr>
      <w:tr w:rsidR="00000000" w14:paraId="17A77806" w14:textId="77777777">
        <w:trPr>
          <w:divId w:val="1282303562"/>
          <w:trHeight w:val="200"/>
          <w:tblCellSpacing w:w="15" w:type="dxa"/>
        </w:trPr>
        <w:tc>
          <w:tcPr>
            <w:tcW w:w="0" w:type="auto"/>
            <w:hideMark/>
          </w:tcPr>
          <w:p w14:paraId="3A318698" w14:textId="77777777" w:rsidR="00000000" w:rsidRDefault="00832D71">
            <w:pPr>
              <w:pStyle w:val="a3"/>
              <w:spacing w:before="0" w:beforeAutospacing="0" w:after="0" w:afterAutospacing="0"/>
              <w:rPr>
                <w:sz w:val="20"/>
                <w:szCs w:val="20"/>
              </w:rPr>
            </w:pPr>
            <w:r>
              <w:rPr>
                <w:sz w:val="20"/>
                <w:szCs w:val="20"/>
              </w:rPr>
              <w:t>Total lease obligation</w:t>
            </w:r>
            <w:r>
              <w:rPr>
                <w:sz w:val="20"/>
                <w:szCs w:val="20"/>
              </w:rPr>
              <w:t>s</w:t>
            </w:r>
          </w:p>
        </w:tc>
        <w:tc>
          <w:tcPr>
            <w:tcW w:w="0" w:type="auto"/>
            <w:hideMark/>
          </w:tcPr>
          <w:p w14:paraId="190536B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center"/>
            <w:hideMark/>
          </w:tcPr>
          <w:p w14:paraId="78108E26" w14:textId="77777777" w:rsidR="00000000" w:rsidRDefault="00832D71">
            <w:pPr>
              <w:pStyle w:val="a3"/>
              <w:spacing w:before="0" w:beforeAutospacing="0" w:after="0" w:afterAutospacing="0"/>
              <w:rPr>
                <w:sz w:val="20"/>
                <w:szCs w:val="20"/>
              </w:rPr>
            </w:pPr>
            <w:r>
              <w:rPr>
                <w:sz w:val="20"/>
                <w:szCs w:val="20"/>
              </w:rPr>
              <w:t>$</w:t>
            </w:r>
          </w:p>
        </w:tc>
        <w:tc>
          <w:tcPr>
            <w:tcW w:w="0" w:type="auto"/>
            <w:vAlign w:val="center"/>
            <w:hideMark/>
          </w:tcPr>
          <w:p w14:paraId="2E2A4430" w14:textId="77777777" w:rsidR="00000000" w:rsidRDefault="00832D71">
            <w:pPr>
              <w:pStyle w:val="a3"/>
              <w:spacing w:before="0" w:beforeAutospacing="0" w:after="0" w:afterAutospacing="0"/>
              <w:jc w:val="right"/>
              <w:rPr>
                <w:sz w:val="20"/>
                <w:szCs w:val="20"/>
              </w:rPr>
            </w:pPr>
            <w:r>
              <w:rPr>
                <w:sz w:val="20"/>
                <w:szCs w:val="20"/>
              </w:rPr>
              <w:t>135,79</w:t>
            </w:r>
            <w:r>
              <w:rPr>
                <w:sz w:val="20"/>
                <w:szCs w:val="20"/>
              </w:rPr>
              <w:t>6</w:t>
            </w:r>
          </w:p>
        </w:tc>
        <w:tc>
          <w:tcPr>
            <w:tcW w:w="0" w:type="auto"/>
            <w:noWrap/>
            <w:vAlign w:val="center"/>
            <w:hideMark/>
          </w:tcPr>
          <w:p w14:paraId="2686ACFF" w14:textId="77777777" w:rsidR="00000000" w:rsidRDefault="00832D71">
            <w:pPr>
              <w:pStyle w:val="a3"/>
              <w:spacing w:before="0" w:beforeAutospacing="0" w:after="0" w:afterAutospacing="0"/>
              <w:rPr>
                <w:sz w:val="20"/>
                <w:szCs w:val="20"/>
              </w:rPr>
            </w:pPr>
            <w:r>
              <w:rPr>
                <w:sz w:val="20"/>
                <w:szCs w:val="20"/>
              </w:rPr>
              <w:t> </w:t>
            </w:r>
          </w:p>
        </w:tc>
      </w:tr>
    </w:tbl>
    <w:p w14:paraId="0EB4394D" w14:textId="77777777" w:rsidR="00000000" w:rsidRDefault="00832D71">
      <w:pPr>
        <w:pStyle w:val="a3"/>
        <w:spacing w:before="0" w:beforeAutospacing="0" w:after="0" w:afterAutospacing="0"/>
        <w:jc w:val="both"/>
        <w:rPr>
          <w:sz w:val="20"/>
          <w:szCs w:val="20"/>
        </w:rPr>
      </w:pPr>
      <w:r>
        <w:rPr>
          <w:sz w:val="20"/>
          <w:szCs w:val="20"/>
        </w:rPr>
        <w:t> </w:t>
      </w:r>
    </w:p>
    <w:p w14:paraId="3306FE83" w14:textId="77777777" w:rsidR="00000000" w:rsidRDefault="00832D71">
      <w:pPr>
        <w:pStyle w:val="a3"/>
        <w:spacing w:before="180" w:beforeAutospacing="0" w:after="0" w:afterAutospacing="0"/>
        <w:jc w:val="both"/>
        <w:divId w:val="909771374"/>
        <w:rPr>
          <w:sz w:val="20"/>
          <w:szCs w:val="20"/>
        </w:rPr>
      </w:pPr>
      <w:r>
        <w:rPr>
          <w:b/>
          <w:bCs/>
          <w:sz w:val="20"/>
          <w:szCs w:val="20"/>
        </w:rPr>
        <w:t>9. Income Taxe</w:t>
      </w:r>
      <w:r>
        <w:rPr>
          <w:b/>
          <w:bCs/>
          <w:sz w:val="20"/>
          <w:szCs w:val="20"/>
        </w:rPr>
        <w:t>s</w:t>
      </w:r>
    </w:p>
    <w:p w14:paraId="2E5EC2A1" w14:textId="77777777" w:rsidR="00000000" w:rsidRDefault="00832D71">
      <w:pPr>
        <w:pStyle w:val="a3"/>
        <w:spacing w:before="120" w:beforeAutospacing="0" w:after="0" w:afterAutospacing="0"/>
        <w:jc w:val="both"/>
        <w:divId w:val="909771374"/>
        <w:rPr>
          <w:sz w:val="20"/>
          <w:szCs w:val="20"/>
        </w:rPr>
      </w:pPr>
      <w:r>
        <w:rPr>
          <w:sz w:val="20"/>
          <w:szCs w:val="20"/>
        </w:rPr>
        <w:t>For federal income tax purposes, as well as for state income tax purposes in the majority of the states in which the Partnership operates, the earnings attributable to the Partnership and the Operating Partnership are not subject to income tax at the partn</w:t>
      </w:r>
      <w:r>
        <w:rPr>
          <w:sz w:val="20"/>
          <w:szCs w:val="20"/>
        </w:rPr>
        <w:t>ership level. With the exception of those states that impose an entity-level income tax on partnerships, the taxable income or loss attributable to the Partnership and to the Operating Partnership, which may vary substantially from the income (loss) before</w:t>
      </w:r>
      <w:r>
        <w:rPr>
          <w:sz w:val="20"/>
          <w:szCs w:val="20"/>
        </w:rPr>
        <w:t xml:space="preserve"> income taxes reported by the Partnership in the consolidated statement of operations, are includable in the federal and state income tax returns of the Common Unitholders. The aggregate difference in the basis of the Partnership’s net assets for financial</w:t>
      </w:r>
      <w:r>
        <w:rPr>
          <w:sz w:val="20"/>
          <w:szCs w:val="20"/>
        </w:rPr>
        <w:t xml:space="preserve"> and tax reporting purposes cannot be readily determined as the Partnership does not have access to each Common Unitholder’s basis in the Partnership</w:t>
      </w:r>
      <w:r>
        <w:rPr>
          <w:sz w:val="20"/>
          <w:szCs w:val="20"/>
        </w:rPr>
        <w:t>.</w:t>
      </w:r>
    </w:p>
    <w:p w14:paraId="045D6891" w14:textId="77777777" w:rsidR="00000000" w:rsidRDefault="00832D71">
      <w:pPr>
        <w:pStyle w:val="a3"/>
        <w:spacing w:before="240" w:beforeAutospacing="0" w:after="0" w:afterAutospacing="0"/>
        <w:jc w:val="both"/>
        <w:divId w:val="909771374"/>
        <w:rPr>
          <w:sz w:val="20"/>
          <w:szCs w:val="20"/>
        </w:rPr>
      </w:pPr>
      <w:r>
        <w:rPr>
          <w:sz w:val="20"/>
          <w:szCs w:val="20"/>
        </w:rPr>
        <w:t xml:space="preserve">As described in Note 1, “Partnership Organization and Formation,” the earnings of the Corporate Entities </w:t>
      </w:r>
      <w:r>
        <w:rPr>
          <w:sz w:val="20"/>
          <w:szCs w:val="20"/>
        </w:rPr>
        <w:t>are subject to U.S. corporate level income tax. However, based upon past performance, the Corporate Entities are currently reporting an income tax provision composed primarily of minimum state income taxes. A full valuation allowance has been provided agai</w:t>
      </w:r>
      <w:r>
        <w:rPr>
          <w:sz w:val="20"/>
          <w:szCs w:val="20"/>
        </w:rPr>
        <w:t>nst the deferred tax assets (with the exception of certain net operating loss carryforwards (“NOLs”) that arose after 2017) based upon an analysis of all available evidence, both negative and positive at the balance sheet date, which, taken as a whole, ind</w:t>
      </w:r>
      <w:r>
        <w:rPr>
          <w:sz w:val="20"/>
          <w:szCs w:val="20"/>
        </w:rPr>
        <w:t>icates that it is more likely than not that sufficient future taxable income will not be available to utilize the assets. Management’s periodic reviews include, among other things, the nature and amount of the taxable income and expense items, the expected</w:t>
      </w:r>
      <w:r>
        <w:rPr>
          <w:sz w:val="20"/>
          <w:szCs w:val="20"/>
        </w:rPr>
        <w:t xml:space="preserve"> timing of when assets will be used or liabilities will be required to be reported and the reliability of historical profitability of businesses expected to provide future earnings. Furthermore, management considered tax-planning strategies it could use to</w:t>
      </w:r>
      <w:r>
        <w:rPr>
          <w:sz w:val="20"/>
          <w:szCs w:val="20"/>
        </w:rPr>
        <w:t xml:space="preserve"> increase the likelihood that the deferred tax assets will be realized</w:t>
      </w:r>
      <w:r>
        <w:rPr>
          <w:sz w:val="20"/>
          <w:szCs w:val="20"/>
        </w:rPr>
        <w:t>.</w:t>
      </w:r>
    </w:p>
    <w:p w14:paraId="0E81407F" w14:textId="77777777" w:rsidR="00000000" w:rsidRDefault="00832D71">
      <w:pPr>
        <w:pStyle w:val="a3"/>
        <w:spacing w:before="240" w:beforeAutospacing="0" w:after="0" w:afterAutospacing="0"/>
        <w:jc w:val="both"/>
        <w:divId w:val="909771374"/>
        <w:rPr>
          <w:sz w:val="20"/>
          <w:szCs w:val="20"/>
        </w:rPr>
      </w:pPr>
      <w:r>
        <w:rPr>
          <w:sz w:val="20"/>
          <w:szCs w:val="20"/>
        </w:rPr>
        <w:t xml:space="preserve">As a result of the Tax Cuts and Jobs Act of 2017, NOLs generated by the Corporate Entities beginning in 2018 may be carried forward indefinitely. As a result, the Partnership reversed </w:t>
      </w:r>
      <w:r>
        <w:rPr>
          <w:sz w:val="20"/>
          <w:szCs w:val="20"/>
        </w:rPr>
        <w:t xml:space="preserve">the valuation allowance on certain of these NOLs generated after the 2017 Act, which resulted in a </w:t>
      </w:r>
      <w:r>
        <w:rPr>
          <w:sz w:val="20"/>
          <w:szCs w:val="20"/>
        </w:rPr>
        <w:t>$</w:t>
      </w:r>
      <w:r>
        <w:rPr>
          <w:sz w:val="20"/>
          <w:szCs w:val="20"/>
        </w:rPr>
        <w:t>49</w:t>
      </w:r>
      <w:r>
        <w:rPr>
          <w:sz w:val="20"/>
          <w:szCs w:val="20"/>
        </w:rPr>
        <w:t>6</w:t>
      </w:r>
      <w:r>
        <w:rPr>
          <w:sz w:val="20"/>
          <w:szCs w:val="20"/>
        </w:rPr>
        <w:t xml:space="preserve"> discrete deferred tax benefit recorded during the first quarter of fiscal 2020. The Corporate Entities generated a taxable loss during the 2021 tax year</w:t>
      </w:r>
      <w:r>
        <w:rPr>
          <w:sz w:val="20"/>
          <w:szCs w:val="20"/>
        </w:rPr>
        <w:t xml:space="preserve">, which resulted in a </w:t>
      </w:r>
      <w:r>
        <w:rPr>
          <w:sz w:val="20"/>
          <w:szCs w:val="20"/>
        </w:rPr>
        <w:t>$</w:t>
      </w:r>
      <w:r>
        <w:rPr>
          <w:sz w:val="20"/>
          <w:szCs w:val="20"/>
        </w:rPr>
        <w:t>63</w:t>
      </w:r>
      <w:r>
        <w:rPr>
          <w:sz w:val="20"/>
          <w:szCs w:val="20"/>
        </w:rPr>
        <w:t>8</w:t>
      </w:r>
      <w:r>
        <w:rPr>
          <w:sz w:val="20"/>
          <w:szCs w:val="20"/>
        </w:rPr>
        <w:t xml:space="preserve"> discrete deferred tax benefit recorded during the first quarter of fiscal 2022</w:t>
      </w:r>
      <w:r>
        <w:rPr>
          <w:sz w:val="20"/>
          <w:szCs w:val="20"/>
        </w:rPr>
        <w:t>.</w:t>
      </w:r>
    </w:p>
    <w:p w14:paraId="0F93F5FF" w14:textId="77777777" w:rsidR="00000000" w:rsidRDefault="00832D71">
      <w:pPr>
        <w:pStyle w:val="a3"/>
        <w:spacing w:before="240" w:beforeAutospacing="0" w:after="0" w:afterAutospacing="0"/>
        <w:jc w:val="both"/>
        <w:divId w:val="2051028377"/>
        <w:rPr>
          <w:sz w:val="20"/>
          <w:szCs w:val="20"/>
        </w:rPr>
      </w:pPr>
      <w:r>
        <w:rPr>
          <w:sz w:val="20"/>
          <w:szCs w:val="20"/>
        </w:rPr>
        <w:t>The income tax provision of all the legal entities included in the Partnership’s consolidated statement of operations, which is composed primarily of</w:t>
      </w:r>
      <w:r>
        <w:rPr>
          <w:sz w:val="20"/>
          <w:szCs w:val="20"/>
        </w:rPr>
        <w:t xml:space="preserve"> state income taxes in the few states that impose taxes on partnerships and minimum state income taxes on the Corporate Entities, consists of the following</w:t>
      </w:r>
      <w:r>
        <w:rPr>
          <w:sz w:val="20"/>
          <w:szCs w:val="20"/>
        </w:rPr>
        <w:t>:</w:t>
      </w:r>
    </w:p>
    <w:p w14:paraId="3A50F168" w14:textId="77777777" w:rsidR="00000000" w:rsidRDefault="00832D71">
      <w:pPr>
        <w:pStyle w:val="a3"/>
        <w:spacing w:before="0" w:beforeAutospacing="0" w:after="0" w:afterAutospacing="0"/>
        <w:divId w:val="2051028377"/>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842"/>
        <w:gridCol w:w="110"/>
        <w:gridCol w:w="161"/>
        <w:gridCol w:w="885"/>
        <w:gridCol w:w="127"/>
        <w:gridCol w:w="110"/>
        <w:gridCol w:w="161"/>
        <w:gridCol w:w="840"/>
        <w:gridCol w:w="110"/>
        <w:gridCol w:w="110"/>
        <w:gridCol w:w="161"/>
        <w:gridCol w:w="886"/>
        <w:gridCol w:w="142"/>
      </w:tblGrid>
      <w:tr w:rsidR="00000000" w14:paraId="2C2AB99F" w14:textId="77777777">
        <w:trPr>
          <w:divId w:val="2051028377"/>
          <w:tblCellSpacing w:w="15" w:type="dxa"/>
        </w:trPr>
        <w:tc>
          <w:tcPr>
            <w:tcW w:w="2311" w:type="pct"/>
            <w:vAlign w:val="center"/>
            <w:hideMark/>
          </w:tcPr>
          <w:p w14:paraId="4E49FE58" w14:textId="77777777" w:rsidR="00000000" w:rsidRDefault="00832D71">
            <w:pPr>
              <w:rPr>
                <w:sz w:val="20"/>
                <w:szCs w:val="20"/>
              </w:rPr>
            </w:pPr>
          </w:p>
        </w:tc>
        <w:tc>
          <w:tcPr>
            <w:tcW w:w="56" w:type="pct"/>
            <w:vAlign w:val="center"/>
            <w:hideMark/>
          </w:tcPr>
          <w:p w14:paraId="07AF4E76" w14:textId="77777777" w:rsidR="00000000" w:rsidRDefault="00832D71">
            <w:pPr>
              <w:rPr>
                <w:rFonts w:eastAsia="Times New Roman"/>
                <w:sz w:val="20"/>
                <w:szCs w:val="20"/>
              </w:rPr>
            </w:pPr>
          </w:p>
        </w:tc>
        <w:tc>
          <w:tcPr>
            <w:tcW w:w="50" w:type="pct"/>
            <w:vAlign w:val="center"/>
            <w:hideMark/>
          </w:tcPr>
          <w:p w14:paraId="6B61CC32" w14:textId="77777777" w:rsidR="00000000" w:rsidRDefault="00832D71">
            <w:pPr>
              <w:rPr>
                <w:rFonts w:eastAsia="Times New Roman"/>
                <w:sz w:val="20"/>
                <w:szCs w:val="20"/>
              </w:rPr>
            </w:pPr>
          </w:p>
        </w:tc>
        <w:tc>
          <w:tcPr>
            <w:tcW w:w="751" w:type="pct"/>
            <w:vAlign w:val="center"/>
            <w:hideMark/>
          </w:tcPr>
          <w:p w14:paraId="21E3975F" w14:textId="77777777" w:rsidR="00000000" w:rsidRDefault="00832D71">
            <w:pPr>
              <w:rPr>
                <w:rFonts w:eastAsia="Times New Roman"/>
                <w:sz w:val="20"/>
                <w:szCs w:val="20"/>
              </w:rPr>
            </w:pPr>
          </w:p>
        </w:tc>
        <w:tc>
          <w:tcPr>
            <w:tcW w:w="50" w:type="pct"/>
            <w:vAlign w:val="center"/>
            <w:hideMark/>
          </w:tcPr>
          <w:p w14:paraId="3332DF12" w14:textId="77777777" w:rsidR="00000000" w:rsidRDefault="00832D71">
            <w:pPr>
              <w:rPr>
                <w:rFonts w:eastAsia="Times New Roman"/>
                <w:sz w:val="20"/>
                <w:szCs w:val="20"/>
              </w:rPr>
            </w:pPr>
          </w:p>
        </w:tc>
        <w:tc>
          <w:tcPr>
            <w:tcW w:w="56" w:type="pct"/>
            <w:vAlign w:val="center"/>
            <w:hideMark/>
          </w:tcPr>
          <w:p w14:paraId="41A47AEC" w14:textId="77777777" w:rsidR="00000000" w:rsidRDefault="00832D71">
            <w:pPr>
              <w:rPr>
                <w:rFonts w:eastAsia="Times New Roman"/>
                <w:sz w:val="20"/>
                <w:szCs w:val="20"/>
              </w:rPr>
            </w:pPr>
          </w:p>
        </w:tc>
        <w:tc>
          <w:tcPr>
            <w:tcW w:w="50" w:type="pct"/>
            <w:vAlign w:val="center"/>
            <w:hideMark/>
          </w:tcPr>
          <w:p w14:paraId="5E0C9137" w14:textId="77777777" w:rsidR="00000000" w:rsidRDefault="00832D71">
            <w:pPr>
              <w:rPr>
                <w:rFonts w:eastAsia="Times New Roman"/>
                <w:sz w:val="20"/>
                <w:szCs w:val="20"/>
              </w:rPr>
            </w:pPr>
          </w:p>
        </w:tc>
        <w:tc>
          <w:tcPr>
            <w:tcW w:w="715" w:type="pct"/>
            <w:vAlign w:val="center"/>
            <w:hideMark/>
          </w:tcPr>
          <w:p w14:paraId="232BD0E3" w14:textId="77777777" w:rsidR="00000000" w:rsidRDefault="00832D71">
            <w:pPr>
              <w:rPr>
                <w:rFonts w:eastAsia="Times New Roman"/>
                <w:sz w:val="20"/>
                <w:szCs w:val="20"/>
              </w:rPr>
            </w:pPr>
          </w:p>
        </w:tc>
        <w:tc>
          <w:tcPr>
            <w:tcW w:w="50" w:type="pct"/>
            <w:vAlign w:val="center"/>
            <w:hideMark/>
          </w:tcPr>
          <w:p w14:paraId="62F94923" w14:textId="77777777" w:rsidR="00000000" w:rsidRDefault="00832D71">
            <w:pPr>
              <w:rPr>
                <w:rFonts w:eastAsia="Times New Roman"/>
                <w:sz w:val="20"/>
                <w:szCs w:val="20"/>
              </w:rPr>
            </w:pPr>
          </w:p>
        </w:tc>
        <w:tc>
          <w:tcPr>
            <w:tcW w:w="56" w:type="pct"/>
            <w:vAlign w:val="center"/>
            <w:hideMark/>
          </w:tcPr>
          <w:p w14:paraId="1077B828" w14:textId="77777777" w:rsidR="00000000" w:rsidRDefault="00832D71">
            <w:pPr>
              <w:rPr>
                <w:rFonts w:eastAsia="Times New Roman"/>
                <w:sz w:val="20"/>
                <w:szCs w:val="20"/>
              </w:rPr>
            </w:pPr>
          </w:p>
        </w:tc>
        <w:tc>
          <w:tcPr>
            <w:tcW w:w="50" w:type="pct"/>
            <w:vAlign w:val="center"/>
            <w:hideMark/>
          </w:tcPr>
          <w:p w14:paraId="5BE09459" w14:textId="77777777" w:rsidR="00000000" w:rsidRDefault="00832D71">
            <w:pPr>
              <w:rPr>
                <w:rFonts w:eastAsia="Times New Roman"/>
                <w:sz w:val="20"/>
                <w:szCs w:val="20"/>
              </w:rPr>
            </w:pPr>
          </w:p>
        </w:tc>
        <w:tc>
          <w:tcPr>
            <w:tcW w:w="752" w:type="pct"/>
            <w:vAlign w:val="center"/>
            <w:hideMark/>
          </w:tcPr>
          <w:p w14:paraId="51A7EE8D" w14:textId="77777777" w:rsidR="00000000" w:rsidRDefault="00832D71">
            <w:pPr>
              <w:rPr>
                <w:rFonts w:eastAsia="Times New Roman"/>
                <w:sz w:val="20"/>
                <w:szCs w:val="20"/>
              </w:rPr>
            </w:pPr>
          </w:p>
        </w:tc>
        <w:tc>
          <w:tcPr>
            <w:tcW w:w="50" w:type="pct"/>
            <w:vAlign w:val="center"/>
            <w:hideMark/>
          </w:tcPr>
          <w:p w14:paraId="3277775B" w14:textId="77777777" w:rsidR="00000000" w:rsidRDefault="00832D71">
            <w:pPr>
              <w:rPr>
                <w:rFonts w:eastAsia="Times New Roman"/>
                <w:sz w:val="20"/>
                <w:szCs w:val="20"/>
              </w:rPr>
            </w:pPr>
          </w:p>
        </w:tc>
      </w:tr>
      <w:tr w:rsidR="00000000" w14:paraId="05791FC9" w14:textId="77777777">
        <w:trPr>
          <w:divId w:val="2051028377"/>
          <w:trHeight w:val="160"/>
          <w:tblCellSpacing w:w="15" w:type="dxa"/>
        </w:trPr>
        <w:tc>
          <w:tcPr>
            <w:tcW w:w="0" w:type="auto"/>
            <w:vAlign w:val="bottom"/>
            <w:hideMark/>
          </w:tcPr>
          <w:p w14:paraId="7E1FE140"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81141F2" w14:textId="77777777" w:rsidR="00000000" w:rsidRDefault="00832D71">
            <w:pPr>
              <w:pStyle w:val="a3"/>
              <w:spacing w:before="0" w:beforeAutospacing="0" w:after="0" w:afterAutospacing="0"/>
              <w:rPr>
                <w:sz w:val="16"/>
                <w:szCs w:val="16"/>
              </w:rPr>
            </w:pPr>
            <w:r>
              <w:rPr>
                <w:sz w:val="16"/>
                <w:szCs w:val="16"/>
              </w:rPr>
              <w:t> </w:t>
            </w:r>
          </w:p>
        </w:tc>
        <w:tc>
          <w:tcPr>
            <w:tcW w:w="0" w:type="auto"/>
            <w:gridSpan w:val="10"/>
            <w:vAlign w:val="bottom"/>
            <w:hideMark/>
          </w:tcPr>
          <w:p w14:paraId="391BB7C2" w14:textId="77777777" w:rsidR="00000000" w:rsidRDefault="00832D71">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14:paraId="776554F5"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D866BAE" w14:textId="77777777">
        <w:trPr>
          <w:divId w:val="2051028377"/>
          <w:trHeight w:val="160"/>
          <w:tblCellSpacing w:w="15" w:type="dxa"/>
        </w:trPr>
        <w:tc>
          <w:tcPr>
            <w:tcW w:w="0" w:type="auto"/>
            <w:vAlign w:val="bottom"/>
            <w:hideMark/>
          </w:tcPr>
          <w:p w14:paraId="12C52156"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F9CA66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7A78B51" w14:textId="77777777" w:rsidR="00000000" w:rsidRDefault="00832D71">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14:paraId="61985F1E"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D85E0A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4096ACD" w14:textId="77777777" w:rsidR="00000000" w:rsidRDefault="00832D71">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14:paraId="7852EA0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FE9DBAD"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99D4580" w14:textId="77777777" w:rsidR="00000000" w:rsidRDefault="00832D71">
            <w:pPr>
              <w:pStyle w:val="a3"/>
              <w:spacing w:before="0" w:beforeAutospacing="0" w:after="0" w:afterAutospacing="0"/>
              <w:jc w:val="center"/>
              <w:rPr>
                <w:sz w:val="16"/>
                <w:szCs w:val="16"/>
              </w:rPr>
            </w:pPr>
            <w:r>
              <w:rPr>
                <w:b/>
                <w:bCs/>
                <w:sz w:val="16"/>
                <w:szCs w:val="16"/>
              </w:rPr>
              <w:t>September 26</w:t>
            </w:r>
            <w:r>
              <w:rPr>
                <w:b/>
                <w:bCs/>
                <w:sz w:val="16"/>
                <w:szCs w:val="16"/>
              </w:rPr>
              <w:t>,</w:t>
            </w:r>
          </w:p>
        </w:tc>
        <w:tc>
          <w:tcPr>
            <w:tcW w:w="0" w:type="auto"/>
            <w:vAlign w:val="bottom"/>
            <w:hideMark/>
          </w:tcPr>
          <w:p w14:paraId="51802E8B"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BB1F6F3" w14:textId="77777777">
        <w:trPr>
          <w:divId w:val="2051028377"/>
          <w:trHeight w:val="160"/>
          <w:tblCellSpacing w:w="15" w:type="dxa"/>
        </w:trPr>
        <w:tc>
          <w:tcPr>
            <w:tcW w:w="0" w:type="auto"/>
            <w:vAlign w:val="bottom"/>
            <w:hideMark/>
          </w:tcPr>
          <w:p w14:paraId="68DDBC3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D8B5BA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6491528"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CBD4512"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40F9D7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61843C8"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0BED24EE"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3AE66B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4A6A941"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38B826B6"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603234D5" w14:textId="77777777">
        <w:trPr>
          <w:divId w:val="2051028377"/>
          <w:trHeight w:val="200"/>
          <w:tblCellSpacing w:w="15" w:type="dxa"/>
        </w:trPr>
        <w:tc>
          <w:tcPr>
            <w:tcW w:w="0" w:type="auto"/>
            <w:hideMark/>
          </w:tcPr>
          <w:p w14:paraId="455B9228" w14:textId="77777777" w:rsidR="00000000" w:rsidRDefault="00832D71">
            <w:pPr>
              <w:pStyle w:val="a3"/>
              <w:spacing w:before="0" w:beforeAutospacing="0" w:after="0" w:afterAutospacing="0"/>
              <w:rPr>
                <w:sz w:val="20"/>
                <w:szCs w:val="20"/>
              </w:rPr>
            </w:pPr>
            <w:r>
              <w:rPr>
                <w:sz w:val="20"/>
                <w:szCs w:val="20"/>
              </w:rPr>
              <w:t>Curren</w:t>
            </w:r>
            <w:r>
              <w:rPr>
                <w:sz w:val="20"/>
                <w:szCs w:val="20"/>
              </w:rPr>
              <w:t>t</w:t>
            </w:r>
          </w:p>
        </w:tc>
        <w:tc>
          <w:tcPr>
            <w:tcW w:w="0" w:type="auto"/>
            <w:hideMark/>
          </w:tcPr>
          <w:p w14:paraId="6502E61D"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B42E1B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FDA1B00"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3D4A899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F8D67B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ED05C47"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3A70DB3F"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697D65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A072C10" w14:textId="77777777" w:rsidR="00000000" w:rsidRDefault="00832D71">
            <w:pPr>
              <w:pStyle w:val="a3"/>
              <w:spacing w:before="0" w:beforeAutospacing="0" w:after="0" w:afterAutospacing="0"/>
              <w:jc w:val="right"/>
              <w:rPr>
                <w:sz w:val="20"/>
                <w:szCs w:val="20"/>
              </w:rPr>
            </w:pPr>
            <w:r>
              <w:rPr>
                <w:sz w:val="20"/>
                <w:szCs w:val="20"/>
              </w:rPr>
              <w:t> </w:t>
            </w:r>
          </w:p>
        </w:tc>
      </w:tr>
      <w:tr w:rsidR="00000000" w14:paraId="35BCF9BB" w14:textId="77777777">
        <w:trPr>
          <w:divId w:val="2051028377"/>
          <w:trHeight w:val="200"/>
          <w:tblCellSpacing w:w="15" w:type="dxa"/>
        </w:trPr>
        <w:tc>
          <w:tcPr>
            <w:tcW w:w="0" w:type="auto"/>
            <w:hideMark/>
          </w:tcPr>
          <w:p w14:paraId="0121B31D" w14:textId="77777777" w:rsidR="00000000" w:rsidRDefault="00832D71">
            <w:pPr>
              <w:pStyle w:val="a3"/>
              <w:spacing w:before="0" w:beforeAutospacing="0" w:after="0" w:afterAutospacing="0"/>
              <w:ind w:left="200"/>
              <w:rPr>
                <w:sz w:val="20"/>
                <w:szCs w:val="20"/>
              </w:rPr>
            </w:pPr>
            <w:r>
              <w:rPr>
                <w:sz w:val="20"/>
                <w:szCs w:val="20"/>
              </w:rPr>
              <w:t>Federa</w:t>
            </w:r>
            <w:r>
              <w:rPr>
                <w:sz w:val="20"/>
                <w:szCs w:val="20"/>
              </w:rPr>
              <w:t>l</w:t>
            </w:r>
          </w:p>
        </w:tc>
        <w:tc>
          <w:tcPr>
            <w:tcW w:w="0" w:type="auto"/>
            <w:hideMark/>
          </w:tcPr>
          <w:p w14:paraId="04E109F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8475B6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48AAFF4" w14:textId="77777777" w:rsidR="00000000" w:rsidRDefault="00832D71">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14:paraId="078D184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AEA3B2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6EB562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D55D97B" w14:textId="77777777" w:rsidR="00000000" w:rsidRDefault="00832D71">
            <w:pPr>
              <w:pStyle w:val="a3"/>
              <w:spacing w:before="0" w:beforeAutospacing="0" w:after="0" w:afterAutospacing="0"/>
              <w:jc w:val="right"/>
              <w:rPr>
                <w:sz w:val="20"/>
                <w:szCs w:val="20"/>
              </w:rPr>
            </w:pPr>
            <w:r>
              <w:rPr>
                <w:sz w:val="20"/>
                <w:szCs w:val="20"/>
              </w:rPr>
              <w:t>7</w:t>
            </w:r>
          </w:p>
        </w:tc>
        <w:tc>
          <w:tcPr>
            <w:tcW w:w="0" w:type="auto"/>
            <w:noWrap/>
            <w:vAlign w:val="bottom"/>
            <w:hideMark/>
          </w:tcPr>
          <w:p w14:paraId="41853B6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F455BC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2DDB37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E3A801F" w14:textId="77777777" w:rsidR="00000000" w:rsidRDefault="00832D71">
            <w:pPr>
              <w:pStyle w:val="a3"/>
              <w:spacing w:before="0" w:beforeAutospacing="0" w:after="0" w:afterAutospacing="0"/>
              <w:jc w:val="right"/>
              <w:rPr>
                <w:sz w:val="20"/>
                <w:szCs w:val="20"/>
              </w:rPr>
            </w:pPr>
            <w:r>
              <w:rPr>
                <w:sz w:val="20"/>
                <w:szCs w:val="20"/>
              </w:rPr>
              <w:t>4</w:t>
            </w:r>
          </w:p>
        </w:tc>
        <w:tc>
          <w:tcPr>
            <w:tcW w:w="0" w:type="auto"/>
            <w:noWrap/>
            <w:vAlign w:val="bottom"/>
            <w:hideMark/>
          </w:tcPr>
          <w:p w14:paraId="0551FF54" w14:textId="77777777" w:rsidR="00000000" w:rsidRDefault="00832D71">
            <w:pPr>
              <w:pStyle w:val="a3"/>
              <w:spacing w:before="0" w:beforeAutospacing="0" w:after="0" w:afterAutospacing="0"/>
              <w:rPr>
                <w:sz w:val="20"/>
                <w:szCs w:val="20"/>
              </w:rPr>
            </w:pPr>
            <w:r>
              <w:rPr>
                <w:sz w:val="20"/>
                <w:szCs w:val="20"/>
              </w:rPr>
              <w:t> </w:t>
            </w:r>
          </w:p>
        </w:tc>
      </w:tr>
      <w:tr w:rsidR="00000000" w14:paraId="0F92A20E" w14:textId="77777777">
        <w:trPr>
          <w:divId w:val="2051028377"/>
          <w:trHeight w:val="200"/>
          <w:tblCellSpacing w:w="15" w:type="dxa"/>
        </w:trPr>
        <w:tc>
          <w:tcPr>
            <w:tcW w:w="0" w:type="auto"/>
            <w:hideMark/>
          </w:tcPr>
          <w:p w14:paraId="2DC547F6" w14:textId="77777777" w:rsidR="00000000" w:rsidRDefault="00832D71">
            <w:pPr>
              <w:pStyle w:val="a3"/>
              <w:spacing w:before="0" w:beforeAutospacing="0" w:after="0" w:afterAutospacing="0"/>
              <w:ind w:left="200"/>
              <w:rPr>
                <w:sz w:val="20"/>
                <w:szCs w:val="20"/>
              </w:rPr>
            </w:pPr>
            <w:r>
              <w:rPr>
                <w:sz w:val="20"/>
                <w:szCs w:val="20"/>
              </w:rPr>
              <w:t>State and loca</w:t>
            </w:r>
            <w:r>
              <w:rPr>
                <w:sz w:val="20"/>
                <w:szCs w:val="20"/>
              </w:rPr>
              <w:t>l</w:t>
            </w:r>
          </w:p>
        </w:tc>
        <w:tc>
          <w:tcPr>
            <w:tcW w:w="0" w:type="auto"/>
            <w:hideMark/>
          </w:tcPr>
          <w:p w14:paraId="046677B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A0B8F0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87B00CB" w14:textId="77777777" w:rsidR="00000000" w:rsidRDefault="00832D71">
            <w:pPr>
              <w:pStyle w:val="a3"/>
              <w:spacing w:before="0" w:beforeAutospacing="0" w:after="0" w:afterAutospacing="0"/>
              <w:jc w:val="right"/>
              <w:rPr>
                <w:sz w:val="20"/>
                <w:szCs w:val="20"/>
              </w:rPr>
            </w:pPr>
            <w:r>
              <w:rPr>
                <w:sz w:val="20"/>
                <w:szCs w:val="20"/>
              </w:rPr>
              <w:t>1,05</w:t>
            </w:r>
            <w:r>
              <w:rPr>
                <w:sz w:val="20"/>
                <w:szCs w:val="20"/>
              </w:rPr>
              <w:t>7</w:t>
            </w:r>
          </w:p>
        </w:tc>
        <w:tc>
          <w:tcPr>
            <w:tcW w:w="0" w:type="auto"/>
            <w:noWrap/>
            <w:vAlign w:val="bottom"/>
            <w:hideMark/>
          </w:tcPr>
          <w:p w14:paraId="01DA524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F92274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4FAD52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5D0D0CC" w14:textId="77777777" w:rsidR="00000000" w:rsidRDefault="00832D71">
            <w:pPr>
              <w:pStyle w:val="a3"/>
              <w:spacing w:before="0" w:beforeAutospacing="0" w:after="0" w:afterAutospacing="0"/>
              <w:jc w:val="right"/>
              <w:rPr>
                <w:sz w:val="20"/>
                <w:szCs w:val="20"/>
              </w:rPr>
            </w:pPr>
            <w:r>
              <w:rPr>
                <w:sz w:val="20"/>
                <w:szCs w:val="20"/>
              </w:rPr>
              <w:t>1,00</w:t>
            </w:r>
            <w:r>
              <w:rPr>
                <w:sz w:val="20"/>
                <w:szCs w:val="20"/>
              </w:rPr>
              <w:t>1</w:t>
            </w:r>
          </w:p>
        </w:tc>
        <w:tc>
          <w:tcPr>
            <w:tcW w:w="0" w:type="auto"/>
            <w:noWrap/>
            <w:vAlign w:val="bottom"/>
            <w:hideMark/>
          </w:tcPr>
          <w:p w14:paraId="66E71DD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B6FB09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6D59C1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BD304E4" w14:textId="77777777" w:rsidR="00000000" w:rsidRDefault="00832D71">
            <w:pPr>
              <w:pStyle w:val="a3"/>
              <w:spacing w:before="0" w:beforeAutospacing="0" w:after="0" w:afterAutospacing="0"/>
              <w:jc w:val="right"/>
              <w:rPr>
                <w:sz w:val="20"/>
                <w:szCs w:val="20"/>
              </w:rPr>
            </w:pPr>
            <w:r>
              <w:rPr>
                <w:sz w:val="20"/>
                <w:szCs w:val="20"/>
              </w:rPr>
              <w:t>34</w:t>
            </w:r>
            <w:r>
              <w:rPr>
                <w:sz w:val="20"/>
                <w:szCs w:val="20"/>
              </w:rPr>
              <w:t>6</w:t>
            </w:r>
          </w:p>
        </w:tc>
        <w:tc>
          <w:tcPr>
            <w:tcW w:w="0" w:type="auto"/>
            <w:noWrap/>
            <w:vAlign w:val="bottom"/>
            <w:hideMark/>
          </w:tcPr>
          <w:p w14:paraId="096F5814" w14:textId="77777777" w:rsidR="00000000" w:rsidRDefault="00832D71">
            <w:pPr>
              <w:pStyle w:val="a3"/>
              <w:spacing w:before="0" w:beforeAutospacing="0" w:after="0" w:afterAutospacing="0"/>
              <w:rPr>
                <w:sz w:val="20"/>
                <w:szCs w:val="20"/>
              </w:rPr>
            </w:pPr>
            <w:r>
              <w:rPr>
                <w:sz w:val="20"/>
                <w:szCs w:val="20"/>
              </w:rPr>
              <w:t> </w:t>
            </w:r>
          </w:p>
        </w:tc>
      </w:tr>
      <w:tr w:rsidR="00000000" w14:paraId="72975F05" w14:textId="77777777">
        <w:trPr>
          <w:divId w:val="2051028377"/>
          <w:trHeight w:val="200"/>
          <w:tblCellSpacing w:w="15" w:type="dxa"/>
        </w:trPr>
        <w:tc>
          <w:tcPr>
            <w:tcW w:w="0" w:type="auto"/>
            <w:hideMark/>
          </w:tcPr>
          <w:p w14:paraId="075F9BB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9E4E6B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D74A9C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FA28F03" w14:textId="77777777" w:rsidR="00000000" w:rsidRDefault="00832D71">
            <w:pPr>
              <w:pStyle w:val="a3"/>
              <w:spacing w:before="0" w:beforeAutospacing="0" w:after="0" w:afterAutospacing="0"/>
              <w:jc w:val="right"/>
              <w:rPr>
                <w:sz w:val="20"/>
                <w:szCs w:val="20"/>
              </w:rPr>
            </w:pPr>
            <w:r>
              <w:rPr>
                <w:sz w:val="20"/>
                <w:szCs w:val="20"/>
              </w:rPr>
              <w:t>1,06</w:t>
            </w:r>
            <w:r>
              <w:rPr>
                <w:sz w:val="20"/>
                <w:szCs w:val="20"/>
              </w:rPr>
              <w:t>7</w:t>
            </w:r>
          </w:p>
        </w:tc>
        <w:tc>
          <w:tcPr>
            <w:tcW w:w="0" w:type="auto"/>
            <w:noWrap/>
            <w:vAlign w:val="bottom"/>
            <w:hideMark/>
          </w:tcPr>
          <w:p w14:paraId="7A553DC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32F02E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D8E75F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D51353D" w14:textId="77777777" w:rsidR="00000000" w:rsidRDefault="00832D71">
            <w:pPr>
              <w:pStyle w:val="a3"/>
              <w:spacing w:before="0" w:beforeAutospacing="0" w:after="0" w:afterAutospacing="0"/>
              <w:jc w:val="right"/>
              <w:rPr>
                <w:sz w:val="20"/>
                <w:szCs w:val="20"/>
              </w:rPr>
            </w:pPr>
            <w:r>
              <w:rPr>
                <w:sz w:val="20"/>
                <w:szCs w:val="20"/>
              </w:rPr>
              <w:t>1,00</w:t>
            </w:r>
            <w:r>
              <w:rPr>
                <w:sz w:val="20"/>
                <w:szCs w:val="20"/>
              </w:rPr>
              <w:t>8</w:t>
            </w:r>
          </w:p>
        </w:tc>
        <w:tc>
          <w:tcPr>
            <w:tcW w:w="0" w:type="auto"/>
            <w:noWrap/>
            <w:vAlign w:val="bottom"/>
            <w:hideMark/>
          </w:tcPr>
          <w:p w14:paraId="3F74463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AB5A84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604B96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E488A12" w14:textId="77777777" w:rsidR="00000000" w:rsidRDefault="00832D71">
            <w:pPr>
              <w:pStyle w:val="a3"/>
              <w:spacing w:before="0" w:beforeAutospacing="0" w:after="0" w:afterAutospacing="0"/>
              <w:jc w:val="right"/>
              <w:rPr>
                <w:sz w:val="20"/>
                <w:szCs w:val="20"/>
              </w:rPr>
            </w:pPr>
            <w:r>
              <w:rPr>
                <w:sz w:val="20"/>
                <w:szCs w:val="20"/>
              </w:rPr>
              <w:t>35</w:t>
            </w:r>
            <w:r>
              <w:rPr>
                <w:sz w:val="20"/>
                <w:szCs w:val="20"/>
              </w:rPr>
              <w:t>0</w:t>
            </w:r>
          </w:p>
        </w:tc>
        <w:tc>
          <w:tcPr>
            <w:tcW w:w="0" w:type="auto"/>
            <w:noWrap/>
            <w:vAlign w:val="bottom"/>
            <w:hideMark/>
          </w:tcPr>
          <w:p w14:paraId="0FE58120" w14:textId="77777777" w:rsidR="00000000" w:rsidRDefault="00832D71">
            <w:pPr>
              <w:pStyle w:val="a3"/>
              <w:spacing w:before="0" w:beforeAutospacing="0" w:after="0" w:afterAutospacing="0"/>
              <w:rPr>
                <w:sz w:val="20"/>
                <w:szCs w:val="20"/>
              </w:rPr>
            </w:pPr>
            <w:r>
              <w:rPr>
                <w:sz w:val="20"/>
                <w:szCs w:val="20"/>
              </w:rPr>
              <w:t> </w:t>
            </w:r>
          </w:p>
        </w:tc>
      </w:tr>
      <w:tr w:rsidR="00000000" w14:paraId="2D6EAC80" w14:textId="77777777">
        <w:trPr>
          <w:divId w:val="2051028377"/>
          <w:trHeight w:val="200"/>
          <w:tblCellSpacing w:w="15" w:type="dxa"/>
        </w:trPr>
        <w:tc>
          <w:tcPr>
            <w:tcW w:w="0" w:type="auto"/>
            <w:hideMark/>
          </w:tcPr>
          <w:p w14:paraId="34253E13" w14:textId="77777777" w:rsidR="00000000" w:rsidRDefault="00832D71">
            <w:pPr>
              <w:pStyle w:val="a3"/>
              <w:spacing w:before="0" w:beforeAutospacing="0" w:after="0" w:afterAutospacing="0"/>
              <w:rPr>
                <w:sz w:val="20"/>
                <w:szCs w:val="20"/>
              </w:rPr>
            </w:pPr>
            <w:r>
              <w:rPr>
                <w:sz w:val="20"/>
                <w:szCs w:val="20"/>
              </w:rPr>
              <w:t>Deferre</w:t>
            </w:r>
            <w:r>
              <w:rPr>
                <w:sz w:val="20"/>
                <w:szCs w:val="20"/>
              </w:rPr>
              <w:t>d</w:t>
            </w:r>
          </w:p>
        </w:tc>
        <w:tc>
          <w:tcPr>
            <w:tcW w:w="0" w:type="auto"/>
            <w:hideMark/>
          </w:tcPr>
          <w:p w14:paraId="13CB311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5276FE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4FC2F36" w14:textId="77777777" w:rsidR="00000000" w:rsidRDefault="00832D71">
            <w:pPr>
              <w:pStyle w:val="a3"/>
              <w:spacing w:before="0" w:beforeAutospacing="0" w:after="0" w:afterAutospacing="0"/>
              <w:jc w:val="right"/>
              <w:rPr>
                <w:sz w:val="20"/>
                <w:szCs w:val="20"/>
              </w:rPr>
            </w:pPr>
            <w:r>
              <w:rPr>
                <w:sz w:val="20"/>
                <w:szCs w:val="20"/>
              </w:rPr>
              <w:t>(</w:t>
            </w:r>
            <w:r>
              <w:rPr>
                <w:sz w:val="20"/>
                <w:szCs w:val="20"/>
              </w:rPr>
              <w:t>63</w:t>
            </w:r>
            <w:r>
              <w:rPr>
                <w:sz w:val="20"/>
                <w:szCs w:val="20"/>
              </w:rPr>
              <w:t>8</w:t>
            </w:r>
          </w:p>
        </w:tc>
        <w:tc>
          <w:tcPr>
            <w:tcW w:w="0" w:type="auto"/>
            <w:noWrap/>
            <w:vAlign w:val="bottom"/>
            <w:hideMark/>
          </w:tcPr>
          <w:p w14:paraId="59ABD2B4"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FBF240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2D6C65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483B340"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2</w:t>
            </w:r>
          </w:p>
        </w:tc>
        <w:tc>
          <w:tcPr>
            <w:tcW w:w="0" w:type="auto"/>
            <w:noWrap/>
            <w:vAlign w:val="bottom"/>
            <w:hideMark/>
          </w:tcPr>
          <w:p w14:paraId="1B80683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82A777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035211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442111" w14:textId="77777777" w:rsidR="00000000" w:rsidRDefault="00832D71">
            <w:pPr>
              <w:pStyle w:val="a3"/>
              <w:spacing w:before="0" w:beforeAutospacing="0" w:after="0" w:afterAutospacing="0"/>
              <w:jc w:val="right"/>
              <w:rPr>
                <w:sz w:val="20"/>
                <w:szCs w:val="20"/>
              </w:rPr>
            </w:pPr>
            <w:r>
              <w:rPr>
                <w:sz w:val="20"/>
                <w:szCs w:val="20"/>
              </w:rPr>
              <w:t>(</w:t>
            </w:r>
            <w:r>
              <w:rPr>
                <w:sz w:val="20"/>
                <w:szCs w:val="20"/>
              </w:rPr>
              <w:t>49</w:t>
            </w:r>
            <w:r>
              <w:rPr>
                <w:sz w:val="20"/>
                <w:szCs w:val="20"/>
              </w:rPr>
              <w:t>6</w:t>
            </w:r>
          </w:p>
        </w:tc>
        <w:tc>
          <w:tcPr>
            <w:tcW w:w="0" w:type="auto"/>
            <w:noWrap/>
            <w:vAlign w:val="bottom"/>
            <w:hideMark/>
          </w:tcPr>
          <w:p w14:paraId="7DB5403F" w14:textId="77777777" w:rsidR="00000000" w:rsidRDefault="00832D71">
            <w:pPr>
              <w:pStyle w:val="a3"/>
              <w:spacing w:before="0" w:beforeAutospacing="0" w:after="0" w:afterAutospacing="0"/>
              <w:rPr>
                <w:sz w:val="20"/>
                <w:szCs w:val="20"/>
              </w:rPr>
            </w:pPr>
            <w:r>
              <w:rPr>
                <w:sz w:val="20"/>
                <w:szCs w:val="20"/>
              </w:rPr>
              <w:t>)</w:t>
            </w:r>
          </w:p>
        </w:tc>
      </w:tr>
      <w:tr w:rsidR="00000000" w14:paraId="43E9C168" w14:textId="77777777">
        <w:trPr>
          <w:divId w:val="2051028377"/>
          <w:trHeight w:val="200"/>
          <w:tblCellSpacing w:w="15" w:type="dxa"/>
        </w:trPr>
        <w:tc>
          <w:tcPr>
            <w:tcW w:w="0" w:type="auto"/>
            <w:hideMark/>
          </w:tcPr>
          <w:p w14:paraId="09DC810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B4F54F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D7B7CF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5770073" w14:textId="77777777" w:rsidR="00000000" w:rsidRDefault="00832D71">
            <w:pPr>
              <w:pStyle w:val="a3"/>
              <w:spacing w:before="0" w:beforeAutospacing="0" w:after="0" w:afterAutospacing="0"/>
              <w:jc w:val="right"/>
              <w:rPr>
                <w:sz w:val="20"/>
                <w:szCs w:val="20"/>
              </w:rPr>
            </w:pPr>
            <w:r>
              <w:rPr>
                <w:sz w:val="20"/>
                <w:szCs w:val="20"/>
              </w:rPr>
              <w:t>42</w:t>
            </w:r>
            <w:r>
              <w:rPr>
                <w:sz w:val="20"/>
                <w:szCs w:val="20"/>
              </w:rPr>
              <w:t>9</w:t>
            </w:r>
          </w:p>
        </w:tc>
        <w:tc>
          <w:tcPr>
            <w:tcW w:w="0" w:type="auto"/>
            <w:noWrap/>
            <w:vAlign w:val="bottom"/>
            <w:hideMark/>
          </w:tcPr>
          <w:p w14:paraId="2159365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687478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ED0EE2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04D0071" w14:textId="77777777" w:rsidR="00000000" w:rsidRDefault="00832D71">
            <w:pPr>
              <w:pStyle w:val="a3"/>
              <w:spacing w:before="0" w:beforeAutospacing="0" w:after="0" w:afterAutospacing="0"/>
              <w:jc w:val="right"/>
              <w:rPr>
                <w:sz w:val="20"/>
                <w:szCs w:val="20"/>
              </w:rPr>
            </w:pPr>
            <w:r>
              <w:rPr>
                <w:sz w:val="20"/>
                <w:szCs w:val="20"/>
              </w:rPr>
              <w:t>1,11</w:t>
            </w:r>
            <w:r>
              <w:rPr>
                <w:sz w:val="20"/>
                <w:szCs w:val="20"/>
              </w:rPr>
              <w:t>0</w:t>
            </w:r>
          </w:p>
        </w:tc>
        <w:tc>
          <w:tcPr>
            <w:tcW w:w="0" w:type="auto"/>
            <w:noWrap/>
            <w:vAlign w:val="bottom"/>
            <w:hideMark/>
          </w:tcPr>
          <w:p w14:paraId="5516EAA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B360A5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336E85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C7B676F" w14:textId="77777777" w:rsidR="00000000" w:rsidRDefault="00832D71">
            <w:pPr>
              <w:pStyle w:val="a3"/>
              <w:spacing w:before="0" w:beforeAutospacing="0" w:after="0" w:afterAutospacing="0"/>
              <w:jc w:val="right"/>
              <w:rPr>
                <w:sz w:val="20"/>
                <w:szCs w:val="20"/>
              </w:rPr>
            </w:pPr>
            <w:r>
              <w:rPr>
                <w:sz w:val="20"/>
                <w:szCs w:val="20"/>
              </w:rPr>
              <w:t>(</w:t>
            </w:r>
            <w:r>
              <w:rPr>
                <w:sz w:val="20"/>
                <w:szCs w:val="20"/>
              </w:rPr>
              <w:t>14</w:t>
            </w:r>
            <w:r>
              <w:rPr>
                <w:sz w:val="20"/>
                <w:szCs w:val="20"/>
              </w:rPr>
              <w:t>6</w:t>
            </w:r>
          </w:p>
        </w:tc>
        <w:tc>
          <w:tcPr>
            <w:tcW w:w="0" w:type="auto"/>
            <w:noWrap/>
            <w:vAlign w:val="bottom"/>
            <w:hideMark/>
          </w:tcPr>
          <w:p w14:paraId="653BD867" w14:textId="77777777" w:rsidR="00000000" w:rsidRDefault="00832D71">
            <w:pPr>
              <w:pStyle w:val="a3"/>
              <w:spacing w:before="0" w:beforeAutospacing="0" w:after="0" w:afterAutospacing="0"/>
              <w:rPr>
                <w:sz w:val="20"/>
                <w:szCs w:val="20"/>
              </w:rPr>
            </w:pPr>
            <w:r>
              <w:rPr>
                <w:sz w:val="20"/>
                <w:szCs w:val="20"/>
              </w:rPr>
              <w:t>)</w:t>
            </w:r>
          </w:p>
        </w:tc>
      </w:tr>
    </w:tbl>
    <w:p w14:paraId="79AD9263" w14:textId="77777777" w:rsidR="00000000" w:rsidRDefault="00832D71">
      <w:pPr>
        <w:pStyle w:val="a3"/>
        <w:spacing w:before="0" w:beforeAutospacing="0" w:after="0" w:afterAutospacing="0"/>
        <w:divId w:val="909771374"/>
        <w:rPr>
          <w:sz w:val="20"/>
          <w:szCs w:val="20"/>
        </w:rPr>
      </w:pPr>
      <w:r>
        <w:rPr>
          <w:sz w:val="20"/>
          <w:szCs w:val="20"/>
        </w:rPr>
        <w:t> </w:t>
      </w:r>
    </w:p>
    <w:p w14:paraId="12D5D77B" w14:textId="77777777" w:rsidR="00000000" w:rsidRDefault="00832D71">
      <w:pPr>
        <w:pStyle w:val="a3"/>
        <w:spacing w:before="200" w:beforeAutospacing="0" w:after="0" w:afterAutospacing="0"/>
        <w:jc w:val="center"/>
        <w:divId w:val="909771374"/>
        <w:rPr>
          <w:sz w:val="20"/>
          <w:szCs w:val="20"/>
        </w:rPr>
      </w:pPr>
      <w:r>
        <w:rPr>
          <w:sz w:val="20"/>
          <w:szCs w:val="20"/>
        </w:rPr>
        <w:t>F</w:t>
      </w:r>
      <w:r>
        <w:rPr>
          <w:sz w:val="20"/>
          <w:szCs w:val="20"/>
        </w:rPr>
        <w:t>-</w:t>
      </w:r>
      <w:r>
        <w:rPr>
          <w:sz w:val="20"/>
          <w:szCs w:val="20"/>
        </w:rPr>
        <w:t>1</w:t>
      </w:r>
      <w:r>
        <w:rPr>
          <w:sz w:val="20"/>
          <w:szCs w:val="20"/>
        </w:rPr>
        <w:t>9</w:t>
      </w:r>
    </w:p>
    <w:p w14:paraId="30B8325F" w14:textId="77777777" w:rsidR="00000000" w:rsidRDefault="00832D71">
      <w:pPr>
        <w:divId w:val="909771374"/>
        <w:rPr>
          <w:rFonts w:eastAsia="Times New Roman"/>
          <w:sz w:val="20"/>
          <w:szCs w:val="20"/>
        </w:rPr>
      </w:pPr>
      <w:r>
        <w:rPr>
          <w:rFonts w:eastAsia="Times New Roman"/>
          <w:sz w:val="20"/>
          <w:szCs w:val="20"/>
        </w:rPr>
        <w:pict w14:anchorId="6CDD6803">
          <v:rect id="_x0000_i1138" style="width:0;height:1.5pt" o:hralign="center" o:hrstd="t" o:hr="t" fillcolor="#a0a0a0" stroked="f"/>
        </w:pict>
      </w:r>
    </w:p>
    <w:p w14:paraId="25713231" w14:textId="77777777" w:rsidR="00000000" w:rsidRDefault="00832D71">
      <w:pPr>
        <w:pStyle w:val="a3"/>
        <w:spacing w:before="0" w:beforeAutospacing="0" w:after="0" w:afterAutospacing="0"/>
        <w:divId w:val="909771374"/>
        <w:rPr>
          <w:sz w:val="20"/>
          <w:szCs w:val="20"/>
        </w:rPr>
      </w:pPr>
      <w:r>
        <w:rPr>
          <w:sz w:val="20"/>
          <w:szCs w:val="20"/>
        </w:rPr>
        <w:t> </w:t>
      </w:r>
    </w:p>
    <w:p w14:paraId="029F46D0" w14:textId="77777777" w:rsidR="00000000" w:rsidRDefault="00832D71">
      <w:pPr>
        <w:pStyle w:val="a3"/>
        <w:spacing w:before="40" w:beforeAutospacing="0" w:after="0" w:afterAutospacing="0"/>
        <w:jc w:val="both"/>
        <w:divId w:val="203950460"/>
        <w:rPr>
          <w:sz w:val="20"/>
          <w:szCs w:val="20"/>
        </w:rPr>
      </w:pPr>
      <w:r>
        <w:rPr>
          <w:sz w:val="20"/>
          <w:szCs w:val="20"/>
        </w:rPr>
        <w:t>The provision for income taxes differs from income taxes computed at the U.S. federal statutory rate as a result of the following</w:t>
      </w:r>
      <w:r>
        <w:rPr>
          <w:sz w:val="20"/>
          <w:szCs w:val="20"/>
        </w:rPr>
        <w:t>:</w:t>
      </w:r>
    </w:p>
    <w:p w14:paraId="336C5834" w14:textId="77777777" w:rsidR="00000000" w:rsidRDefault="00832D71">
      <w:pPr>
        <w:pStyle w:val="a3"/>
        <w:spacing w:before="0" w:beforeAutospacing="0" w:after="0" w:afterAutospacing="0"/>
        <w:divId w:val="20395046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811"/>
        <w:gridCol w:w="110"/>
        <w:gridCol w:w="160"/>
        <w:gridCol w:w="875"/>
        <w:gridCol w:w="127"/>
        <w:gridCol w:w="110"/>
        <w:gridCol w:w="160"/>
        <w:gridCol w:w="876"/>
        <w:gridCol w:w="127"/>
        <w:gridCol w:w="110"/>
        <w:gridCol w:w="160"/>
        <w:gridCol w:w="877"/>
        <w:gridCol w:w="142"/>
      </w:tblGrid>
      <w:tr w:rsidR="00000000" w14:paraId="4EA8FD55" w14:textId="77777777">
        <w:trPr>
          <w:divId w:val="203950460"/>
          <w:tblCellSpacing w:w="15" w:type="dxa"/>
        </w:trPr>
        <w:tc>
          <w:tcPr>
            <w:tcW w:w="2289" w:type="pct"/>
            <w:vAlign w:val="center"/>
            <w:hideMark/>
          </w:tcPr>
          <w:p w14:paraId="5E809709" w14:textId="77777777" w:rsidR="00000000" w:rsidRDefault="00832D71">
            <w:pPr>
              <w:rPr>
                <w:sz w:val="20"/>
                <w:szCs w:val="20"/>
              </w:rPr>
            </w:pPr>
          </w:p>
        </w:tc>
        <w:tc>
          <w:tcPr>
            <w:tcW w:w="55" w:type="pct"/>
            <w:vAlign w:val="center"/>
            <w:hideMark/>
          </w:tcPr>
          <w:p w14:paraId="062F2471" w14:textId="77777777" w:rsidR="00000000" w:rsidRDefault="00832D71">
            <w:pPr>
              <w:rPr>
                <w:rFonts w:eastAsia="Times New Roman"/>
                <w:sz w:val="20"/>
                <w:szCs w:val="20"/>
              </w:rPr>
            </w:pPr>
          </w:p>
        </w:tc>
        <w:tc>
          <w:tcPr>
            <w:tcW w:w="50" w:type="pct"/>
            <w:vAlign w:val="center"/>
            <w:hideMark/>
          </w:tcPr>
          <w:p w14:paraId="5995B34E" w14:textId="77777777" w:rsidR="00000000" w:rsidRDefault="00832D71">
            <w:pPr>
              <w:rPr>
                <w:rFonts w:eastAsia="Times New Roman"/>
                <w:sz w:val="20"/>
                <w:szCs w:val="20"/>
              </w:rPr>
            </w:pPr>
          </w:p>
        </w:tc>
        <w:tc>
          <w:tcPr>
            <w:tcW w:w="747" w:type="pct"/>
            <w:vAlign w:val="center"/>
            <w:hideMark/>
          </w:tcPr>
          <w:p w14:paraId="5F0C9046" w14:textId="77777777" w:rsidR="00000000" w:rsidRDefault="00832D71">
            <w:pPr>
              <w:rPr>
                <w:rFonts w:eastAsia="Times New Roman"/>
                <w:sz w:val="20"/>
                <w:szCs w:val="20"/>
              </w:rPr>
            </w:pPr>
          </w:p>
        </w:tc>
        <w:tc>
          <w:tcPr>
            <w:tcW w:w="50" w:type="pct"/>
            <w:vAlign w:val="center"/>
            <w:hideMark/>
          </w:tcPr>
          <w:p w14:paraId="0007BE93" w14:textId="77777777" w:rsidR="00000000" w:rsidRDefault="00832D71">
            <w:pPr>
              <w:rPr>
                <w:rFonts w:eastAsia="Times New Roman"/>
                <w:sz w:val="20"/>
                <w:szCs w:val="20"/>
              </w:rPr>
            </w:pPr>
          </w:p>
        </w:tc>
        <w:tc>
          <w:tcPr>
            <w:tcW w:w="56" w:type="pct"/>
            <w:vAlign w:val="center"/>
            <w:hideMark/>
          </w:tcPr>
          <w:p w14:paraId="4426CB85" w14:textId="77777777" w:rsidR="00000000" w:rsidRDefault="00832D71">
            <w:pPr>
              <w:rPr>
                <w:rFonts w:eastAsia="Times New Roman"/>
                <w:sz w:val="20"/>
                <w:szCs w:val="20"/>
              </w:rPr>
            </w:pPr>
          </w:p>
        </w:tc>
        <w:tc>
          <w:tcPr>
            <w:tcW w:w="50" w:type="pct"/>
            <w:vAlign w:val="center"/>
            <w:hideMark/>
          </w:tcPr>
          <w:p w14:paraId="1F5A770D" w14:textId="77777777" w:rsidR="00000000" w:rsidRDefault="00832D71">
            <w:pPr>
              <w:rPr>
                <w:rFonts w:eastAsia="Times New Roman"/>
                <w:sz w:val="20"/>
                <w:szCs w:val="20"/>
              </w:rPr>
            </w:pPr>
          </w:p>
        </w:tc>
        <w:tc>
          <w:tcPr>
            <w:tcW w:w="747" w:type="pct"/>
            <w:vAlign w:val="center"/>
            <w:hideMark/>
          </w:tcPr>
          <w:p w14:paraId="6C95E4A5" w14:textId="77777777" w:rsidR="00000000" w:rsidRDefault="00832D71">
            <w:pPr>
              <w:rPr>
                <w:rFonts w:eastAsia="Times New Roman"/>
                <w:sz w:val="20"/>
                <w:szCs w:val="20"/>
              </w:rPr>
            </w:pPr>
          </w:p>
        </w:tc>
        <w:tc>
          <w:tcPr>
            <w:tcW w:w="50" w:type="pct"/>
            <w:vAlign w:val="center"/>
            <w:hideMark/>
          </w:tcPr>
          <w:p w14:paraId="4D716D40" w14:textId="77777777" w:rsidR="00000000" w:rsidRDefault="00832D71">
            <w:pPr>
              <w:rPr>
                <w:rFonts w:eastAsia="Times New Roman"/>
                <w:sz w:val="20"/>
                <w:szCs w:val="20"/>
              </w:rPr>
            </w:pPr>
          </w:p>
        </w:tc>
        <w:tc>
          <w:tcPr>
            <w:tcW w:w="56" w:type="pct"/>
            <w:vAlign w:val="center"/>
            <w:hideMark/>
          </w:tcPr>
          <w:p w14:paraId="13790BE4" w14:textId="77777777" w:rsidR="00000000" w:rsidRDefault="00832D71">
            <w:pPr>
              <w:rPr>
                <w:rFonts w:eastAsia="Times New Roman"/>
                <w:sz w:val="20"/>
                <w:szCs w:val="20"/>
              </w:rPr>
            </w:pPr>
          </w:p>
        </w:tc>
        <w:tc>
          <w:tcPr>
            <w:tcW w:w="50" w:type="pct"/>
            <w:vAlign w:val="center"/>
            <w:hideMark/>
          </w:tcPr>
          <w:p w14:paraId="25C9E2ED" w14:textId="77777777" w:rsidR="00000000" w:rsidRDefault="00832D71">
            <w:pPr>
              <w:rPr>
                <w:rFonts w:eastAsia="Times New Roman"/>
                <w:sz w:val="20"/>
                <w:szCs w:val="20"/>
              </w:rPr>
            </w:pPr>
          </w:p>
        </w:tc>
        <w:tc>
          <w:tcPr>
            <w:tcW w:w="748" w:type="pct"/>
            <w:vAlign w:val="center"/>
            <w:hideMark/>
          </w:tcPr>
          <w:p w14:paraId="4D13614F" w14:textId="77777777" w:rsidR="00000000" w:rsidRDefault="00832D71">
            <w:pPr>
              <w:rPr>
                <w:rFonts w:eastAsia="Times New Roman"/>
                <w:sz w:val="20"/>
                <w:szCs w:val="20"/>
              </w:rPr>
            </w:pPr>
          </w:p>
        </w:tc>
        <w:tc>
          <w:tcPr>
            <w:tcW w:w="50" w:type="pct"/>
            <w:vAlign w:val="center"/>
            <w:hideMark/>
          </w:tcPr>
          <w:p w14:paraId="7B88EAEA" w14:textId="77777777" w:rsidR="00000000" w:rsidRDefault="00832D71">
            <w:pPr>
              <w:rPr>
                <w:rFonts w:eastAsia="Times New Roman"/>
                <w:sz w:val="20"/>
                <w:szCs w:val="20"/>
              </w:rPr>
            </w:pPr>
          </w:p>
        </w:tc>
      </w:tr>
      <w:tr w:rsidR="00000000" w14:paraId="10AEECB0" w14:textId="77777777">
        <w:trPr>
          <w:divId w:val="203950460"/>
          <w:trHeight w:val="160"/>
          <w:tblCellSpacing w:w="15" w:type="dxa"/>
        </w:trPr>
        <w:tc>
          <w:tcPr>
            <w:tcW w:w="0" w:type="auto"/>
            <w:vAlign w:val="bottom"/>
            <w:hideMark/>
          </w:tcPr>
          <w:p w14:paraId="440B7621"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6BF9813" w14:textId="77777777" w:rsidR="00000000" w:rsidRDefault="00832D71">
            <w:pPr>
              <w:pStyle w:val="a3"/>
              <w:spacing w:before="0" w:beforeAutospacing="0" w:after="0" w:afterAutospacing="0"/>
              <w:rPr>
                <w:sz w:val="16"/>
                <w:szCs w:val="16"/>
              </w:rPr>
            </w:pPr>
            <w:r>
              <w:rPr>
                <w:sz w:val="16"/>
                <w:szCs w:val="16"/>
              </w:rPr>
              <w:t> </w:t>
            </w:r>
          </w:p>
        </w:tc>
        <w:tc>
          <w:tcPr>
            <w:tcW w:w="0" w:type="auto"/>
            <w:gridSpan w:val="10"/>
            <w:vAlign w:val="bottom"/>
            <w:hideMark/>
          </w:tcPr>
          <w:p w14:paraId="7F39BA56" w14:textId="77777777" w:rsidR="00000000" w:rsidRDefault="00832D71">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14:paraId="64AE603D"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26351C2" w14:textId="77777777">
        <w:trPr>
          <w:divId w:val="203950460"/>
          <w:trHeight w:val="160"/>
          <w:tblCellSpacing w:w="15" w:type="dxa"/>
        </w:trPr>
        <w:tc>
          <w:tcPr>
            <w:tcW w:w="0" w:type="auto"/>
            <w:vAlign w:val="bottom"/>
            <w:hideMark/>
          </w:tcPr>
          <w:p w14:paraId="21BADE53"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8EFED7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774F958" w14:textId="77777777" w:rsidR="00000000" w:rsidRDefault="00832D71">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14:paraId="6D8E7105"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C92B4A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329D4AB" w14:textId="77777777" w:rsidR="00000000" w:rsidRDefault="00832D71">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14:paraId="26D08814"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90126B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C37A801" w14:textId="77777777" w:rsidR="00000000" w:rsidRDefault="00832D71">
            <w:pPr>
              <w:pStyle w:val="a3"/>
              <w:spacing w:before="0" w:beforeAutospacing="0" w:after="0" w:afterAutospacing="0"/>
              <w:jc w:val="center"/>
              <w:rPr>
                <w:sz w:val="16"/>
                <w:szCs w:val="16"/>
              </w:rPr>
            </w:pPr>
            <w:r>
              <w:rPr>
                <w:b/>
                <w:bCs/>
                <w:sz w:val="16"/>
                <w:szCs w:val="16"/>
              </w:rPr>
              <w:t>September 26</w:t>
            </w:r>
            <w:r>
              <w:rPr>
                <w:b/>
                <w:bCs/>
                <w:sz w:val="16"/>
                <w:szCs w:val="16"/>
              </w:rPr>
              <w:t>,</w:t>
            </w:r>
          </w:p>
        </w:tc>
        <w:tc>
          <w:tcPr>
            <w:tcW w:w="0" w:type="auto"/>
            <w:vAlign w:val="bottom"/>
            <w:hideMark/>
          </w:tcPr>
          <w:p w14:paraId="6E35008F"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65447C0B" w14:textId="77777777">
        <w:trPr>
          <w:divId w:val="203950460"/>
          <w:trHeight w:val="160"/>
          <w:tblCellSpacing w:w="15" w:type="dxa"/>
        </w:trPr>
        <w:tc>
          <w:tcPr>
            <w:tcW w:w="0" w:type="auto"/>
            <w:vAlign w:val="bottom"/>
            <w:hideMark/>
          </w:tcPr>
          <w:p w14:paraId="374430DB"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E130FE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C573484"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48868CFC"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CDB820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C172DC4"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6043841B"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92FD9B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BC066D9"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7F366819"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1D3BA6D2" w14:textId="77777777">
        <w:trPr>
          <w:divId w:val="203950460"/>
          <w:trHeight w:val="200"/>
          <w:tblCellSpacing w:w="15" w:type="dxa"/>
        </w:trPr>
        <w:tc>
          <w:tcPr>
            <w:tcW w:w="0" w:type="auto"/>
            <w:hideMark/>
          </w:tcPr>
          <w:p w14:paraId="0F57A0AB" w14:textId="77777777" w:rsidR="00000000" w:rsidRDefault="00832D71">
            <w:pPr>
              <w:pStyle w:val="a3"/>
              <w:spacing w:before="0" w:beforeAutospacing="0" w:after="0" w:afterAutospacing="0"/>
              <w:rPr>
                <w:sz w:val="20"/>
                <w:szCs w:val="20"/>
              </w:rPr>
            </w:pPr>
            <w:r>
              <w:rPr>
                <w:sz w:val="20"/>
                <w:szCs w:val="20"/>
              </w:rPr>
              <w:t>Income tax provision at federal statutory tax rat</w:t>
            </w:r>
            <w:r>
              <w:rPr>
                <w:sz w:val="20"/>
                <w:szCs w:val="20"/>
              </w:rPr>
              <w:t>e</w:t>
            </w:r>
          </w:p>
        </w:tc>
        <w:tc>
          <w:tcPr>
            <w:tcW w:w="0" w:type="auto"/>
            <w:hideMark/>
          </w:tcPr>
          <w:p w14:paraId="2FBB7E7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6EF538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6633F26" w14:textId="77777777" w:rsidR="00000000" w:rsidRDefault="00832D71">
            <w:pPr>
              <w:pStyle w:val="a3"/>
              <w:spacing w:before="0" w:beforeAutospacing="0" w:after="0" w:afterAutospacing="0"/>
              <w:jc w:val="right"/>
              <w:rPr>
                <w:sz w:val="20"/>
                <w:szCs w:val="20"/>
              </w:rPr>
            </w:pPr>
            <w:r>
              <w:rPr>
                <w:sz w:val="20"/>
                <w:szCs w:val="20"/>
              </w:rPr>
              <w:t>29,42</w:t>
            </w:r>
            <w:r>
              <w:rPr>
                <w:sz w:val="20"/>
                <w:szCs w:val="20"/>
              </w:rPr>
              <w:t>9</w:t>
            </w:r>
          </w:p>
        </w:tc>
        <w:tc>
          <w:tcPr>
            <w:tcW w:w="0" w:type="auto"/>
            <w:noWrap/>
            <w:vAlign w:val="bottom"/>
            <w:hideMark/>
          </w:tcPr>
          <w:p w14:paraId="087A72F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C9A3A1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3B43B1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44B7895" w14:textId="77777777" w:rsidR="00000000" w:rsidRDefault="00832D71">
            <w:pPr>
              <w:pStyle w:val="a3"/>
              <w:spacing w:before="0" w:beforeAutospacing="0" w:after="0" w:afterAutospacing="0"/>
              <w:jc w:val="right"/>
              <w:rPr>
                <w:sz w:val="20"/>
                <w:szCs w:val="20"/>
              </w:rPr>
            </w:pPr>
            <w:r>
              <w:rPr>
                <w:sz w:val="20"/>
                <w:szCs w:val="20"/>
              </w:rPr>
              <w:t>26,02</w:t>
            </w:r>
            <w:r>
              <w:rPr>
                <w:sz w:val="20"/>
                <w:szCs w:val="20"/>
              </w:rPr>
              <w:t>0</w:t>
            </w:r>
          </w:p>
        </w:tc>
        <w:tc>
          <w:tcPr>
            <w:tcW w:w="0" w:type="auto"/>
            <w:noWrap/>
            <w:vAlign w:val="bottom"/>
            <w:hideMark/>
          </w:tcPr>
          <w:p w14:paraId="6E5DD1C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046B85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41A6F5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52D597C" w14:textId="77777777" w:rsidR="00000000" w:rsidRDefault="00832D71">
            <w:pPr>
              <w:pStyle w:val="a3"/>
              <w:spacing w:before="0" w:beforeAutospacing="0" w:after="0" w:afterAutospacing="0"/>
              <w:jc w:val="right"/>
              <w:rPr>
                <w:sz w:val="20"/>
                <w:szCs w:val="20"/>
              </w:rPr>
            </w:pPr>
            <w:r>
              <w:rPr>
                <w:sz w:val="20"/>
                <w:szCs w:val="20"/>
              </w:rPr>
              <w:t>12,72</w:t>
            </w:r>
            <w:r>
              <w:rPr>
                <w:sz w:val="20"/>
                <w:szCs w:val="20"/>
              </w:rPr>
              <w:t>8</w:t>
            </w:r>
          </w:p>
        </w:tc>
        <w:tc>
          <w:tcPr>
            <w:tcW w:w="0" w:type="auto"/>
            <w:noWrap/>
            <w:vAlign w:val="bottom"/>
            <w:hideMark/>
          </w:tcPr>
          <w:p w14:paraId="07CEA279" w14:textId="77777777" w:rsidR="00000000" w:rsidRDefault="00832D71">
            <w:pPr>
              <w:pStyle w:val="a3"/>
              <w:spacing w:before="0" w:beforeAutospacing="0" w:after="0" w:afterAutospacing="0"/>
              <w:rPr>
                <w:sz w:val="20"/>
                <w:szCs w:val="20"/>
              </w:rPr>
            </w:pPr>
            <w:r>
              <w:rPr>
                <w:sz w:val="20"/>
                <w:szCs w:val="20"/>
              </w:rPr>
              <w:t> </w:t>
            </w:r>
          </w:p>
        </w:tc>
      </w:tr>
      <w:tr w:rsidR="00000000" w14:paraId="7942B93C" w14:textId="77777777">
        <w:trPr>
          <w:divId w:val="203950460"/>
          <w:trHeight w:val="200"/>
          <w:tblCellSpacing w:w="15" w:type="dxa"/>
        </w:trPr>
        <w:tc>
          <w:tcPr>
            <w:tcW w:w="0" w:type="auto"/>
            <w:hideMark/>
          </w:tcPr>
          <w:p w14:paraId="147B75DF" w14:textId="77777777" w:rsidR="00000000" w:rsidRDefault="00832D71">
            <w:pPr>
              <w:pStyle w:val="a3"/>
              <w:spacing w:before="0" w:beforeAutospacing="0" w:after="0" w:afterAutospacing="0"/>
              <w:rPr>
                <w:sz w:val="20"/>
                <w:szCs w:val="20"/>
              </w:rPr>
            </w:pPr>
            <w:r>
              <w:rPr>
                <w:sz w:val="20"/>
                <w:szCs w:val="20"/>
              </w:rPr>
              <w:t>Impact of Partnership income not subject to</w:t>
            </w:r>
            <w:r>
              <w:rPr>
                <w:sz w:val="20"/>
                <w:szCs w:val="20"/>
              </w:rPr>
              <w:br/>
              <w:t>   federal income taxe</w:t>
            </w:r>
            <w:r>
              <w:rPr>
                <w:sz w:val="20"/>
                <w:szCs w:val="20"/>
              </w:rPr>
              <w:t>s</w:t>
            </w:r>
          </w:p>
        </w:tc>
        <w:tc>
          <w:tcPr>
            <w:tcW w:w="0" w:type="auto"/>
            <w:hideMark/>
          </w:tcPr>
          <w:p w14:paraId="5F65AC9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A9B597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4C371E3" w14:textId="77777777" w:rsidR="00000000" w:rsidRDefault="00832D71">
            <w:pPr>
              <w:pStyle w:val="a3"/>
              <w:spacing w:before="0" w:beforeAutospacing="0" w:after="0" w:afterAutospacing="0"/>
              <w:jc w:val="right"/>
              <w:rPr>
                <w:sz w:val="20"/>
                <w:szCs w:val="20"/>
              </w:rPr>
            </w:pPr>
            <w:r>
              <w:rPr>
                <w:sz w:val="20"/>
                <w:szCs w:val="20"/>
              </w:rPr>
              <w:t>(</w:t>
            </w:r>
            <w:r>
              <w:rPr>
                <w:sz w:val="20"/>
                <w:szCs w:val="20"/>
              </w:rPr>
              <w:t>30,85</w:t>
            </w:r>
            <w:r>
              <w:rPr>
                <w:sz w:val="20"/>
                <w:szCs w:val="20"/>
              </w:rPr>
              <w:t>1</w:t>
            </w:r>
          </w:p>
        </w:tc>
        <w:tc>
          <w:tcPr>
            <w:tcW w:w="0" w:type="auto"/>
            <w:noWrap/>
            <w:vAlign w:val="bottom"/>
            <w:hideMark/>
          </w:tcPr>
          <w:p w14:paraId="28F4D487"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38A085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16E245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975867C" w14:textId="77777777" w:rsidR="00000000" w:rsidRDefault="00832D71">
            <w:pPr>
              <w:pStyle w:val="a3"/>
              <w:spacing w:before="0" w:beforeAutospacing="0" w:after="0" w:afterAutospacing="0"/>
              <w:jc w:val="right"/>
              <w:rPr>
                <w:sz w:val="20"/>
                <w:szCs w:val="20"/>
              </w:rPr>
            </w:pPr>
            <w:r>
              <w:rPr>
                <w:sz w:val="20"/>
                <w:szCs w:val="20"/>
              </w:rPr>
              <w:t>(</w:t>
            </w:r>
            <w:r>
              <w:rPr>
                <w:sz w:val="20"/>
                <w:szCs w:val="20"/>
              </w:rPr>
              <w:t>26,44</w:t>
            </w:r>
            <w:r>
              <w:rPr>
                <w:sz w:val="20"/>
                <w:szCs w:val="20"/>
              </w:rPr>
              <w:t>4</w:t>
            </w:r>
          </w:p>
        </w:tc>
        <w:tc>
          <w:tcPr>
            <w:tcW w:w="0" w:type="auto"/>
            <w:noWrap/>
            <w:vAlign w:val="bottom"/>
            <w:hideMark/>
          </w:tcPr>
          <w:p w14:paraId="1CB50B35"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687BA0A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9CF33E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D07342E" w14:textId="77777777" w:rsidR="00000000" w:rsidRDefault="00832D71">
            <w:pPr>
              <w:pStyle w:val="a3"/>
              <w:spacing w:before="0" w:beforeAutospacing="0" w:after="0" w:afterAutospacing="0"/>
              <w:jc w:val="right"/>
              <w:rPr>
                <w:sz w:val="20"/>
                <w:szCs w:val="20"/>
              </w:rPr>
            </w:pPr>
            <w:r>
              <w:rPr>
                <w:sz w:val="20"/>
                <w:szCs w:val="20"/>
              </w:rPr>
              <w:t>(</w:t>
            </w:r>
            <w:r>
              <w:rPr>
                <w:sz w:val="20"/>
                <w:szCs w:val="20"/>
              </w:rPr>
              <w:t>13,04</w:t>
            </w:r>
            <w:r>
              <w:rPr>
                <w:sz w:val="20"/>
                <w:szCs w:val="20"/>
              </w:rPr>
              <w:t>5</w:t>
            </w:r>
          </w:p>
        </w:tc>
        <w:tc>
          <w:tcPr>
            <w:tcW w:w="0" w:type="auto"/>
            <w:noWrap/>
            <w:vAlign w:val="bottom"/>
            <w:hideMark/>
          </w:tcPr>
          <w:p w14:paraId="2869ADF1" w14:textId="77777777" w:rsidR="00000000" w:rsidRDefault="00832D71">
            <w:pPr>
              <w:pStyle w:val="a3"/>
              <w:spacing w:before="0" w:beforeAutospacing="0" w:after="0" w:afterAutospacing="0"/>
              <w:rPr>
                <w:sz w:val="20"/>
                <w:szCs w:val="20"/>
              </w:rPr>
            </w:pPr>
            <w:r>
              <w:rPr>
                <w:sz w:val="20"/>
                <w:szCs w:val="20"/>
              </w:rPr>
              <w:t>)</w:t>
            </w:r>
          </w:p>
        </w:tc>
      </w:tr>
      <w:tr w:rsidR="00000000" w14:paraId="3F0BE226" w14:textId="77777777">
        <w:trPr>
          <w:divId w:val="203950460"/>
          <w:trHeight w:val="200"/>
          <w:tblCellSpacing w:w="15" w:type="dxa"/>
        </w:trPr>
        <w:tc>
          <w:tcPr>
            <w:tcW w:w="0" w:type="auto"/>
            <w:hideMark/>
          </w:tcPr>
          <w:p w14:paraId="0FC925F7" w14:textId="77777777" w:rsidR="00000000" w:rsidRDefault="00832D71">
            <w:pPr>
              <w:pStyle w:val="a3"/>
              <w:spacing w:before="0" w:beforeAutospacing="0" w:after="0" w:afterAutospacing="0"/>
              <w:rPr>
                <w:sz w:val="20"/>
                <w:szCs w:val="20"/>
              </w:rPr>
            </w:pPr>
            <w:r>
              <w:rPr>
                <w:sz w:val="20"/>
                <w:szCs w:val="20"/>
              </w:rPr>
              <w:t>Permanent difference</w:t>
            </w:r>
            <w:r>
              <w:rPr>
                <w:sz w:val="20"/>
                <w:szCs w:val="20"/>
              </w:rPr>
              <w:t>s</w:t>
            </w:r>
          </w:p>
        </w:tc>
        <w:tc>
          <w:tcPr>
            <w:tcW w:w="0" w:type="auto"/>
            <w:hideMark/>
          </w:tcPr>
          <w:p w14:paraId="32C22F4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E9B7EC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E5B2136" w14:textId="77777777" w:rsidR="00000000" w:rsidRDefault="00832D71">
            <w:pPr>
              <w:pStyle w:val="a3"/>
              <w:spacing w:before="0" w:beforeAutospacing="0" w:after="0" w:afterAutospacing="0"/>
              <w:jc w:val="right"/>
              <w:rPr>
                <w:sz w:val="20"/>
                <w:szCs w:val="20"/>
              </w:rPr>
            </w:pPr>
            <w:r>
              <w:rPr>
                <w:sz w:val="20"/>
                <w:szCs w:val="20"/>
              </w:rPr>
              <w:t>13</w:t>
            </w:r>
            <w:r>
              <w:rPr>
                <w:sz w:val="20"/>
                <w:szCs w:val="20"/>
              </w:rPr>
              <w:t>1</w:t>
            </w:r>
          </w:p>
        </w:tc>
        <w:tc>
          <w:tcPr>
            <w:tcW w:w="0" w:type="auto"/>
            <w:noWrap/>
            <w:vAlign w:val="bottom"/>
            <w:hideMark/>
          </w:tcPr>
          <w:p w14:paraId="5915DFB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73389A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F34AB4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29B93F1" w14:textId="77777777" w:rsidR="00000000" w:rsidRDefault="00832D71">
            <w:pPr>
              <w:pStyle w:val="a3"/>
              <w:spacing w:before="0" w:beforeAutospacing="0" w:after="0" w:afterAutospacing="0"/>
              <w:jc w:val="right"/>
              <w:rPr>
                <w:sz w:val="20"/>
                <w:szCs w:val="20"/>
              </w:rPr>
            </w:pPr>
            <w:r>
              <w:rPr>
                <w:sz w:val="20"/>
                <w:szCs w:val="20"/>
              </w:rPr>
              <w:t>17</w:t>
            </w:r>
            <w:r>
              <w:rPr>
                <w:sz w:val="20"/>
                <w:szCs w:val="20"/>
              </w:rPr>
              <w:t>4</w:t>
            </w:r>
          </w:p>
        </w:tc>
        <w:tc>
          <w:tcPr>
            <w:tcW w:w="0" w:type="auto"/>
            <w:noWrap/>
            <w:vAlign w:val="bottom"/>
            <w:hideMark/>
          </w:tcPr>
          <w:p w14:paraId="1587538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39C26C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887833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1C2C628" w14:textId="77777777" w:rsidR="00000000" w:rsidRDefault="00832D71">
            <w:pPr>
              <w:pStyle w:val="a3"/>
              <w:spacing w:before="0" w:beforeAutospacing="0" w:after="0" w:afterAutospacing="0"/>
              <w:jc w:val="right"/>
              <w:rPr>
                <w:sz w:val="20"/>
                <w:szCs w:val="20"/>
              </w:rPr>
            </w:pPr>
            <w:r>
              <w:rPr>
                <w:sz w:val="20"/>
                <w:szCs w:val="20"/>
              </w:rPr>
              <w:t>12</w:t>
            </w:r>
            <w:r>
              <w:rPr>
                <w:sz w:val="20"/>
                <w:szCs w:val="20"/>
              </w:rPr>
              <w:t>7</w:t>
            </w:r>
          </w:p>
        </w:tc>
        <w:tc>
          <w:tcPr>
            <w:tcW w:w="0" w:type="auto"/>
            <w:noWrap/>
            <w:vAlign w:val="bottom"/>
            <w:hideMark/>
          </w:tcPr>
          <w:p w14:paraId="48389DD5" w14:textId="77777777" w:rsidR="00000000" w:rsidRDefault="00832D71">
            <w:pPr>
              <w:pStyle w:val="a3"/>
              <w:spacing w:before="0" w:beforeAutospacing="0" w:after="0" w:afterAutospacing="0"/>
              <w:rPr>
                <w:sz w:val="20"/>
                <w:szCs w:val="20"/>
              </w:rPr>
            </w:pPr>
            <w:r>
              <w:rPr>
                <w:sz w:val="20"/>
                <w:szCs w:val="20"/>
              </w:rPr>
              <w:t> </w:t>
            </w:r>
          </w:p>
        </w:tc>
      </w:tr>
      <w:tr w:rsidR="00000000" w14:paraId="5D061962" w14:textId="77777777">
        <w:trPr>
          <w:divId w:val="203950460"/>
          <w:trHeight w:val="200"/>
          <w:tblCellSpacing w:w="15" w:type="dxa"/>
        </w:trPr>
        <w:tc>
          <w:tcPr>
            <w:tcW w:w="0" w:type="auto"/>
            <w:hideMark/>
          </w:tcPr>
          <w:p w14:paraId="45EFA99D" w14:textId="77777777" w:rsidR="00000000" w:rsidRDefault="00832D71">
            <w:pPr>
              <w:pStyle w:val="a3"/>
              <w:spacing w:before="0" w:beforeAutospacing="0" w:after="0" w:afterAutospacing="0"/>
              <w:rPr>
                <w:sz w:val="20"/>
                <w:szCs w:val="20"/>
              </w:rPr>
            </w:pPr>
            <w:r>
              <w:rPr>
                <w:sz w:val="20"/>
                <w:szCs w:val="20"/>
              </w:rPr>
              <w:t>Change in valuation allowanc</w:t>
            </w:r>
            <w:r>
              <w:rPr>
                <w:sz w:val="20"/>
                <w:szCs w:val="20"/>
              </w:rPr>
              <w:t>e</w:t>
            </w:r>
          </w:p>
        </w:tc>
        <w:tc>
          <w:tcPr>
            <w:tcW w:w="0" w:type="auto"/>
            <w:hideMark/>
          </w:tcPr>
          <w:p w14:paraId="164AD5C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FF758A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F0FFA91" w14:textId="77777777" w:rsidR="00000000" w:rsidRDefault="00832D71">
            <w:pPr>
              <w:pStyle w:val="a3"/>
              <w:spacing w:before="0" w:beforeAutospacing="0" w:after="0" w:afterAutospacing="0"/>
              <w:jc w:val="right"/>
              <w:rPr>
                <w:sz w:val="20"/>
                <w:szCs w:val="20"/>
              </w:rPr>
            </w:pPr>
            <w:r>
              <w:rPr>
                <w:sz w:val="20"/>
                <w:szCs w:val="20"/>
              </w:rPr>
              <w:t>1,17</w:t>
            </w:r>
            <w:r>
              <w:rPr>
                <w:sz w:val="20"/>
                <w:szCs w:val="20"/>
              </w:rPr>
              <w:t>4</w:t>
            </w:r>
          </w:p>
        </w:tc>
        <w:tc>
          <w:tcPr>
            <w:tcW w:w="0" w:type="auto"/>
            <w:noWrap/>
            <w:vAlign w:val="bottom"/>
            <w:hideMark/>
          </w:tcPr>
          <w:p w14:paraId="030C83F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22F54C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CD50D8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47592DE" w14:textId="77777777" w:rsidR="00000000" w:rsidRDefault="00832D71">
            <w:pPr>
              <w:pStyle w:val="a3"/>
              <w:spacing w:before="0" w:beforeAutospacing="0" w:after="0" w:afterAutospacing="0"/>
              <w:jc w:val="right"/>
              <w:rPr>
                <w:sz w:val="20"/>
                <w:szCs w:val="20"/>
              </w:rPr>
            </w:pPr>
            <w:r>
              <w:rPr>
                <w:sz w:val="20"/>
                <w:szCs w:val="20"/>
              </w:rPr>
              <w:t>57</w:t>
            </w:r>
            <w:r>
              <w:rPr>
                <w:sz w:val="20"/>
                <w:szCs w:val="20"/>
              </w:rPr>
              <w:t>0</w:t>
            </w:r>
          </w:p>
        </w:tc>
        <w:tc>
          <w:tcPr>
            <w:tcW w:w="0" w:type="auto"/>
            <w:noWrap/>
            <w:vAlign w:val="bottom"/>
            <w:hideMark/>
          </w:tcPr>
          <w:p w14:paraId="3D9034C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0457FD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547761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18A0F4D" w14:textId="77777777" w:rsidR="00000000" w:rsidRDefault="00832D71">
            <w:pPr>
              <w:pStyle w:val="a3"/>
              <w:spacing w:before="0" w:beforeAutospacing="0" w:after="0" w:afterAutospacing="0"/>
              <w:jc w:val="right"/>
              <w:rPr>
                <w:sz w:val="20"/>
                <w:szCs w:val="20"/>
              </w:rPr>
            </w:pPr>
            <w:r>
              <w:rPr>
                <w:sz w:val="20"/>
                <w:szCs w:val="20"/>
              </w:rPr>
              <w:t>(</w:t>
            </w:r>
            <w:r>
              <w:rPr>
                <w:sz w:val="20"/>
                <w:szCs w:val="20"/>
              </w:rPr>
              <w:t>29</w:t>
            </w:r>
            <w:r>
              <w:rPr>
                <w:sz w:val="20"/>
                <w:szCs w:val="20"/>
              </w:rPr>
              <w:t>8</w:t>
            </w:r>
          </w:p>
        </w:tc>
        <w:tc>
          <w:tcPr>
            <w:tcW w:w="0" w:type="auto"/>
            <w:noWrap/>
            <w:vAlign w:val="bottom"/>
            <w:hideMark/>
          </w:tcPr>
          <w:p w14:paraId="2879A044" w14:textId="77777777" w:rsidR="00000000" w:rsidRDefault="00832D71">
            <w:pPr>
              <w:pStyle w:val="a3"/>
              <w:spacing w:before="0" w:beforeAutospacing="0" w:after="0" w:afterAutospacing="0"/>
              <w:rPr>
                <w:sz w:val="20"/>
                <w:szCs w:val="20"/>
              </w:rPr>
            </w:pPr>
            <w:r>
              <w:rPr>
                <w:sz w:val="20"/>
                <w:szCs w:val="20"/>
              </w:rPr>
              <w:t>)</w:t>
            </w:r>
          </w:p>
        </w:tc>
      </w:tr>
      <w:tr w:rsidR="00000000" w14:paraId="0FA435F5" w14:textId="77777777">
        <w:trPr>
          <w:divId w:val="203950460"/>
          <w:trHeight w:val="200"/>
          <w:tblCellSpacing w:w="15" w:type="dxa"/>
        </w:trPr>
        <w:tc>
          <w:tcPr>
            <w:tcW w:w="0" w:type="auto"/>
            <w:hideMark/>
          </w:tcPr>
          <w:p w14:paraId="4E08B149" w14:textId="77777777" w:rsidR="00000000" w:rsidRDefault="00832D71">
            <w:pPr>
              <w:pStyle w:val="a3"/>
              <w:spacing w:before="0" w:beforeAutospacing="0" w:after="0" w:afterAutospacing="0"/>
              <w:rPr>
                <w:sz w:val="20"/>
                <w:szCs w:val="20"/>
              </w:rPr>
            </w:pPr>
            <w:r>
              <w:rPr>
                <w:sz w:val="20"/>
                <w:szCs w:val="20"/>
              </w:rPr>
              <w:t>State income taxe</w:t>
            </w:r>
            <w:r>
              <w:rPr>
                <w:sz w:val="20"/>
                <w:szCs w:val="20"/>
              </w:rPr>
              <w:t>s</w:t>
            </w:r>
          </w:p>
        </w:tc>
        <w:tc>
          <w:tcPr>
            <w:tcW w:w="0" w:type="auto"/>
            <w:hideMark/>
          </w:tcPr>
          <w:p w14:paraId="3E86163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90FD80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FDF9BC0" w14:textId="77777777" w:rsidR="00000000" w:rsidRDefault="00832D71">
            <w:pPr>
              <w:pStyle w:val="a3"/>
              <w:spacing w:before="0" w:beforeAutospacing="0" w:after="0" w:afterAutospacing="0"/>
              <w:jc w:val="right"/>
              <w:rPr>
                <w:sz w:val="20"/>
                <w:szCs w:val="20"/>
              </w:rPr>
            </w:pPr>
            <w:r>
              <w:rPr>
                <w:sz w:val="20"/>
                <w:szCs w:val="20"/>
              </w:rPr>
              <w:t>71</w:t>
            </w:r>
            <w:r>
              <w:rPr>
                <w:sz w:val="20"/>
                <w:szCs w:val="20"/>
              </w:rPr>
              <w:t>7</w:t>
            </w:r>
          </w:p>
        </w:tc>
        <w:tc>
          <w:tcPr>
            <w:tcW w:w="0" w:type="auto"/>
            <w:noWrap/>
            <w:vAlign w:val="bottom"/>
            <w:hideMark/>
          </w:tcPr>
          <w:p w14:paraId="3066DD5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546C64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731399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67ACDFC" w14:textId="77777777" w:rsidR="00000000" w:rsidRDefault="00832D71">
            <w:pPr>
              <w:pStyle w:val="a3"/>
              <w:spacing w:before="0" w:beforeAutospacing="0" w:after="0" w:afterAutospacing="0"/>
              <w:jc w:val="right"/>
              <w:rPr>
                <w:sz w:val="20"/>
                <w:szCs w:val="20"/>
              </w:rPr>
            </w:pPr>
            <w:r>
              <w:rPr>
                <w:sz w:val="20"/>
                <w:szCs w:val="20"/>
              </w:rPr>
              <w:t>92</w:t>
            </w:r>
            <w:r>
              <w:rPr>
                <w:sz w:val="20"/>
                <w:szCs w:val="20"/>
              </w:rPr>
              <w:t>9</w:t>
            </w:r>
          </w:p>
        </w:tc>
        <w:tc>
          <w:tcPr>
            <w:tcW w:w="0" w:type="auto"/>
            <w:noWrap/>
            <w:vAlign w:val="bottom"/>
            <w:hideMark/>
          </w:tcPr>
          <w:p w14:paraId="603D39F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7E6085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EDB716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39AA7A2" w14:textId="77777777" w:rsidR="00000000" w:rsidRDefault="00832D71">
            <w:pPr>
              <w:pStyle w:val="a3"/>
              <w:spacing w:before="0" w:beforeAutospacing="0" w:after="0" w:afterAutospacing="0"/>
              <w:jc w:val="right"/>
              <w:rPr>
                <w:sz w:val="20"/>
                <w:szCs w:val="20"/>
              </w:rPr>
            </w:pPr>
            <w:r>
              <w:rPr>
                <w:sz w:val="20"/>
                <w:szCs w:val="20"/>
              </w:rPr>
              <w:t>40</w:t>
            </w:r>
            <w:r>
              <w:rPr>
                <w:sz w:val="20"/>
                <w:szCs w:val="20"/>
              </w:rPr>
              <w:t>3</w:t>
            </w:r>
          </w:p>
        </w:tc>
        <w:tc>
          <w:tcPr>
            <w:tcW w:w="0" w:type="auto"/>
            <w:noWrap/>
            <w:vAlign w:val="bottom"/>
            <w:hideMark/>
          </w:tcPr>
          <w:p w14:paraId="5F1DA733" w14:textId="77777777" w:rsidR="00000000" w:rsidRDefault="00832D71">
            <w:pPr>
              <w:pStyle w:val="a3"/>
              <w:spacing w:before="0" w:beforeAutospacing="0" w:after="0" w:afterAutospacing="0"/>
              <w:rPr>
                <w:sz w:val="20"/>
                <w:szCs w:val="20"/>
              </w:rPr>
            </w:pPr>
            <w:r>
              <w:rPr>
                <w:sz w:val="20"/>
                <w:szCs w:val="20"/>
              </w:rPr>
              <w:t> </w:t>
            </w:r>
          </w:p>
        </w:tc>
      </w:tr>
      <w:tr w:rsidR="00000000" w14:paraId="369EAFC8" w14:textId="77777777">
        <w:trPr>
          <w:divId w:val="203950460"/>
          <w:trHeight w:val="200"/>
          <w:tblCellSpacing w:w="15" w:type="dxa"/>
        </w:trPr>
        <w:tc>
          <w:tcPr>
            <w:tcW w:w="0" w:type="auto"/>
            <w:hideMark/>
          </w:tcPr>
          <w:p w14:paraId="29B6B718" w14:textId="77777777" w:rsidR="00000000" w:rsidRDefault="00832D71">
            <w:pPr>
              <w:pStyle w:val="a3"/>
              <w:spacing w:before="0" w:beforeAutospacing="0" w:after="0" w:afterAutospacing="0"/>
              <w:rPr>
                <w:sz w:val="20"/>
                <w:szCs w:val="20"/>
              </w:rPr>
            </w:pPr>
            <w:r>
              <w:rPr>
                <w:sz w:val="20"/>
                <w:szCs w:val="20"/>
              </w:rPr>
              <w:t>Othe</w:t>
            </w:r>
            <w:r>
              <w:rPr>
                <w:sz w:val="20"/>
                <w:szCs w:val="20"/>
              </w:rPr>
              <w:t>r</w:t>
            </w:r>
          </w:p>
        </w:tc>
        <w:tc>
          <w:tcPr>
            <w:tcW w:w="0" w:type="auto"/>
            <w:hideMark/>
          </w:tcPr>
          <w:p w14:paraId="619AEB4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F421C8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64C3C6E" w14:textId="77777777" w:rsidR="00000000" w:rsidRDefault="00832D71">
            <w:pPr>
              <w:pStyle w:val="a3"/>
              <w:spacing w:before="0" w:beforeAutospacing="0" w:after="0" w:afterAutospacing="0"/>
              <w:jc w:val="right"/>
              <w:rPr>
                <w:sz w:val="20"/>
                <w:szCs w:val="20"/>
              </w:rPr>
            </w:pPr>
            <w:r>
              <w:rPr>
                <w:sz w:val="20"/>
                <w:szCs w:val="20"/>
              </w:rPr>
              <w:t>(</w:t>
            </w:r>
            <w:r>
              <w:rPr>
                <w:sz w:val="20"/>
                <w:szCs w:val="20"/>
              </w:rPr>
              <w:t>17</w:t>
            </w:r>
            <w:r>
              <w:rPr>
                <w:sz w:val="20"/>
                <w:szCs w:val="20"/>
              </w:rPr>
              <w:t>1</w:t>
            </w:r>
          </w:p>
        </w:tc>
        <w:tc>
          <w:tcPr>
            <w:tcW w:w="0" w:type="auto"/>
            <w:noWrap/>
            <w:vAlign w:val="bottom"/>
            <w:hideMark/>
          </w:tcPr>
          <w:p w14:paraId="65B7314F"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FEB8C8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A7ACEF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461BA5B" w14:textId="77777777" w:rsidR="00000000" w:rsidRDefault="00832D71">
            <w:pPr>
              <w:pStyle w:val="a3"/>
              <w:spacing w:before="0" w:beforeAutospacing="0" w:after="0" w:afterAutospacing="0"/>
              <w:jc w:val="right"/>
              <w:rPr>
                <w:sz w:val="20"/>
                <w:szCs w:val="20"/>
              </w:rPr>
            </w:pPr>
            <w:r>
              <w:rPr>
                <w:sz w:val="20"/>
                <w:szCs w:val="20"/>
              </w:rPr>
              <w:t>(</w:t>
            </w:r>
            <w:r>
              <w:rPr>
                <w:sz w:val="20"/>
                <w:szCs w:val="20"/>
              </w:rPr>
              <w:t>13</w:t>
            </w:r>
            <w:r>
              <w:rPr>
                <w:sz w:val="20"/>
                <w:szCs w:val="20"/>
              </w:rPr>
              <w:t>9</w:t>
            </w:r>
          </w:p>
        </w:tc>
        <w:tc>
          <w:tcPr>
            <w:tcW w:w="0" w:type="auto"/>
            <w:noWrap/>
            <w:vAlign w:val="bottom"/>
            <w:hideMark/>
          </w:tcPr>
          <w:p w14:paraId="143727DA"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300942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840CB0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8BA899E" w14:textId="77777777" w:rsidR="00000000" w:rsidRDefault="00832D71">
            <w:pPr>
              <w:pStyle w:val="a3"/>
              <w:spacing w:before="0" w:beforeAutospacing="0" w:after="0" w:afterAutospacing="0"/>
              <w:jc w:val="right"/>
              <w:rPr>
                <w:sz w:val="20"/>
                <w:szCs w:val="20"/>
              </w:rPr>
            </w:pPr>
            <w:r>
              <w:rPr>
                <w:sz w:val="20"/>
                <w:szCs w:val="20"/>
              </w:rPr>
              <w:t>(</w:t>
            </w:r>
            <w:r>
              <w:rPr>
                <w:sz w:val="20"/>
                <w:szCs w:val="20"/>
              </w:rPr>
              <w:t>6</w:t>
            </w:r>
            <w:r>
              <w:rPr>
                <w:sz w:val="20"/>
                <w:szCs w:val="20"/>
              </w:rPr>
              <w:t>1</w:t>
            </w:r>
          </w:p>
        </w:tc>
        <w:tc>
          <w:tcPr>
            <w:tcW w:w="0" w:type="auto"/>
            <w:noWrap/>
            <w:vAlign w:val="bottom"/>
            <w:hideMark/>
          </w:tcPr>
          <w:p w14:paraId="473E2859" w14:textId="77777777" w:rsidR="00000000" w:rsidRDefault="00832D71">
            <w:pPr>
              <w:pStyle w:val="a3"/>
              <w:spacing w:before="0" w:beforeAutospacing="0" w:after="0" w:afterAutospacing="0"/>
              <w:rPr>
                <w:sz w:val="20"/>
                <w:szCs w:val="20"/>
              </w:rPr>
            </w:pPr>
            <w:r>
              <w:rPr>
                <w:sz w:val="20"/>
                <w:szCs w:val="20"/>
              </w:rPr>
              <w:t>)</w:t>
            </w:r>
          </w:p>
        </w:tc>
      </w:tr>
      <w:tr w:rsidR="00000000" w14:paraId="31B78472" w14:textId="77777777">
        <w:trPr>
          <w:divId w:val="203950460"/>
          <w:trHeight w:val="200"/>
          <w:tblCellSpacing w:w="15" w:type="dxa"/>
        </w:trPr>
        <w:tc>
          <w:tcPr>
            <w:tcW w:w="0" w:type="auto"/>
            <w:hideMark/>
          </w:tcPr>
          <w:p w14:paraId="00CA5025" w14:textId="77777777" w:rsidR="00000000" w:rsidRDefault="00832D71">
            <w:pPr>
              <w:pStyle w:val="a3"/>
              <w:spacing w:before="0" w:beforeAutospacing="0" w:after="0" w:afterAutospacing="0"/>
              <w:rPr>
                <w:sz w:val="20"/>
                <w:szCs w:val="20"/>
              </w:rPr>
            </w:pPr>
            <w:r>
              <w:rPr>
                <w:sz w:val="20"/>
                <w:szCs w:val="20"/>
              </w:rPr>
              <w:t>Provision for income taxes - current and deferre</w:t>
            </w:r>
            <w:r>
              <w:rPr>
                <w:sz w:val="20"/>
                <w:szCs w:val="20"/>
              </w:rPr>
              <w:t>d</w:t>
            </w:r>
          </w:p>
        </w:tc>
        <w:tc>
          <w:tcPr>
            <w:tcW w:w="0" w:type="auto"/>
            <w:hideMark/>
          </w:tcPr>
          <w:p w14:paraId="6C714FA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20A1DC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92430D4" w14:textId="77777777" w:rsidR="00000000" w:rsidRDefault="00832D71">
            <w:pPr>
              <w:pStyle w:val="a3"/>
              <w:spacing w:before="0" w:beforeAutospacing="0" w:after="0" w:afterAutospacing="0"/>
              <w:jc w:val="right"/>
              <w:rPr>
                <w:sz w:val="20"/>
                <w:szCs w:val="20"/>
              </w:rPr>
            </w:pPr>
            <w:r>
              <w:rPr>
                <w:sz w:val="20"/>
                <w:szCs w:val="20"/>
              </w:rPr>
              <w:t>42</w:t>
            </w:r>
            <w:r>
              <w:rPr>
                <w:sz w:val="20"/>
                <w:szCs w:val="20"/>
              </w:rPr>
              <w:t>9</w:t>
            </w:r>
          </w:p>
        </w:tc>
        <w:tc>
          <w:tcPr>
            <w:tcW w:w="0" w:type="auto"/>
            <w:noWrap/>
            <w:vAlign w:val="bottom"/>
            <w:hideMark/>
          </w:tcPr>
          <w:p w14:paraId="2C722C4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31A666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6D774D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2AABD90" w14:textId="77777777" w:rsidR="00000000" w:rsidRDefault="00832D71">
            <w:pPr>
              <w:pStyle w:val="a3"/>
              <w:spacing w:before="0" w:beforeAutospacing="0" w:after="0" w:afterAutospacing="0"/>
              <w:jc w:val="right"/>
              <w:rPr>
                <w:sz w:val="20"/>
                <w:szCs w:val="20"/>
              </w:rPr>
            </w:pPr>
            <w:r>
              <w:rPr>
                <w:sz w:val="20"/>
                <w:szCs w:val="20"/>
              </w:rPr>
              <w:t>1,11</w:t>
            </w:r>
            <w:r>
              <w:rPr>
                <w:sz w:val="20"/>
                <w:szCs w:val="20"/>
              </w:rPr>
              <w:t>0</w:t>
            </w:r>
          </w:p>
        </w:tc>
        <w:tc>
          <w:tcPr>
            <w:tcW w:w="0" w:type="auto"/>
            <w:noWrap/>
            <w:vAlign w:val="bottom"/>
            <w:hideMark/>
          </w:tcPr>
          <w:p w14:paraId="4B372C8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EB33FF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DAA685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D717126" w14:textId="77777777" w:rsidR="00000000" w:rsidRDefault="00832D71">
            <w:pPr>
              <w:pStyle w:val="a3"/>
              <w:spacing w:before="0" w:beforeAutospacing="0" w:after="0" w:afterAutospacing="0"/>
              <w:jc w:val="right"/>
              <w:rPr>
                <w:sz w:val="20"/>
                <w:szCs w:val="20"/>
              </w:rPr>
            </w:pPr>
            <w:r>
              <w:rPr>
                <w:sz w:val="20"/>
                <w:szCs w:val="20"/>
              </w:rPr>
              <w:t>(</w:t>
            </w:r>
            <w:r>
              <w:rPr>
                <w:sz w:val="20"/>
                <w:szCs w:val="20"/>
              </w:rPr>
              <w:t>14</w:t>
            </w:r>
            <w:r>
              <w:rPr>
                <w:sz w:val="20"/>
                <w:szCs w:val="20"/>
              </w:rPr>
              <w:t>6</w:t>
            </w:r>
          </w:p>
        </w:tc>
        <w:tc>
          <w:tcPr>
            <w:tcW w:w="0" w:type="auto"/>
            <w:noWrap/>
            <w:vAlign w:val="bottom"/>
            <w:hideMark/>
          </w:tcPr>
          <w:p w14:paraId="340EAAB4" w14:textId="77777777" w:rsidR="00000000" w:rsidRDefault="00832D71">
            <w:pPr>
              <w:pStyle w:val="a3"/>
              <w:spacing w:before="0" w:beforeAutospacing="0" w:after="0" w:afterAutospacing="0"/>
              <w:rPr>
                <w:sz w:val="20"/>
                <w:szCs w:val="20"/>
              </w:rPr>
            </w:pPr>
            <w:r>
              <w:rPr>
                <w:sz w:val="20"/>
                <w:szCs w:val="20"/>
              </w:rPr>
              <w:t>)</w:t>
            </w:r>
          </w:p>
        </w:tc>
      </w:tr>
    </w:tbl>
    <w:p w14:paraId="6860E713" w14:textId="77777777" w:rsidR="00000000" w:rsidRDefault="00832D71">
      <w:pPr>
        <w:pStyle w:val="a3"/>
        <w:spacing w:before="0" w:beforeAutospacing="0" w:after="0" w:afterAutospacing="0"/>
        <w:divId w:val="909771374"/>
        <w:rPr>
          <w:sz w:val="20"/>
          <w:szCs w:val="20"/>
        </w:rPr>
      </w:pPr>
      <w:r>
        <w:rPr>
          <w:sz w:val="20"/>
          <w:szCs w:val="20"/>
        </w:rPr>
        <w:t> </w:t>
      </w:r>
    </w:p>
    <w:p w14:paraId="688D9FB0" w14:textId="77777777" w:rsidR="00000000" w:rsidRDefault="00832D71">
      <w:pPr>
        <w:pStyle w:val="a3"/>
        <w:spacing w:before="40" w:beforeAutospacing="0" w:after="0" w:afterAutospacing="0"/>
        <w:jc w:val="both"/>
        <w:divId w:val="782697080"/>
        <w:rPr>
          <w:sz w:val="20"/>
          <w:szCs w:val="20"/>
        </w:rPr>
      </w:pPr>
      <w:r>
        <w:rPr>
          <w:sz w:val="20"/>
          <w:szCs w:val="20"/>
        </w:rPr>
        <w:t>The components of net deferred taxes and the related valuation allowance using currently enacted tax rates are as follows</w:t>
      </w:r>
      <w:r>
        <w:rPr>
          <w:sz w:val="20"/>
          <w:szCs w:val="20"/>
        </w:rPr>
        <w:t>:</w:t>
      </w:r>
    </w:p>
    <w:p w14:paraId="1C341056" w14:textId="77777777" w:rsidR="00000000" w:rsidRDefault="00832D71">
      <w:pPr>
        <w:pStyle w:val="a3"/>
        <w:spacing w:before="40" w:beforeAutospacing="0" w:after="0" w:afterAutospacing="0"/>
        <w:jc w:val="both"/>
        <w:divId w:val="782697080"/>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089"/>
        <w:gridCol w:w="110"/>
        <w:gridCol w:w="160"/>
        <w:gridCol w:w="956"/>
        <w:gridCol w:w="127"/>
        <w:gridCol w:w="110"/>
        <w:gridCol w:w="160"/>
        <w:gridCol w:w="960"/>
        <w:gridCol w:w="142"/>
      </w:tblGrid>
      <w:tr w:rsidR="00000000" w14:paraId="1C0C534E" w14:textId="77777777">
        <w:trPr>
          <w:divId w:val="782697080"/>
          <w:tblCellSpacing w:w="15" w:type="dxa"/>
        </w:trPr>
        <w:tc>
          <w:tcPr>
            <w:tcW w:w="2833" w:type="pct"/>
            <w:vAlign w:val="center"/>
            <w:hideMark/>
          </w:tcPr>
          <w:p w14:paraId="14636E37" w14:textId="77777777" w:rsidR="00000000" w:rsidRDefault="00832D71">
            <w:pPr>
              <w:rPr>
                <w:sz w:val="20"/>
                <w:szCs w:val="20"/>
              </w:rPr>
            </w:pPr>
          </w:p>
        </w:tc>
        <w:tc>
          <w:tcPr>
            <w:tcW w:w="68" w:type="pct"/>
            <w:vAlign w:val="center"/>
            <w:hideMark/>
          </w:tcPr>
          <w:p w14:paraId="4587E595" w14:textId="77777777" w:rsidR="00000000" w:rsidRDefault="00832D71">
            <w:pPr>
              <w:rPr>
                <w:rFonts w:eastAsia="Times New Roman"/>
                <w:sz w:val="20"/>
                <w:szCs w:val="20"/>
              </w:rPr>
            </w:pPr>
          </w:p>
        </w:tc>
        <w:tc>
          <w:tcPr>
            <w:tcW w:w="50" w:type="pct"/>
            <w:vAlign w:val="center"/>
            <w:hideMark/>
          </w:tcPr>
          <w:p w14:paraId="097F686A" w14:textId="77777777" w:rsidR="00000000" w:rsidRDefault="00832D71">
            <w:pPr>
              <w:rPr>
                <w:rFonts w:eastAsia="Times New Roman"/>
                <w:sz w:val="20"/>
                <w:szCs w:val="20"/>
              </w:rPr>
            </w:pPr>
          </w:p>
        </w:tc>
        <w:tc>
          <w:tcPr>
            <w:tcW w:w="912" w:type="pct"/>
            <w:vAlign w:val="center"/>
            <w:hideMark/>
          </w:tcPr>
          <w:p w14:paraId="77D55178" w14:textId="77777777" w:rsidR="00000000" w:rsidRDefault="00832D71">
            <w:pPr>
              <w:rPr>
                <w:rFonts w:eastAsia="Times New Roman"/>
                <w:sz w:val="20"/>
                <w:szCs w:val="20"/>
              </w:rPr>
            </w:pPr>
          </w:p>
        </w:tc>
        <w:tc>
          <w:tcPr>
            <w:tcW w:w="50" w:type="pct"/>
            <w:vAlign w:val="center"/>
            <w:hideMark/>
          </w:tcPr>
          <w:p w14:paraId="4DA353D1" w14:textId="77777777" w:rsidR="00000000" w:rsidRDefault="00832D71">
            <w:pPr>
              <w:rPr>
                <w:rFonts w:eastAsia="Times New Roman"/>
                <w:sz w:val="20"/>
                <w:szCs w:val="20"/>
              </w:rPr>
            </w:pPr>
          </w:p>
        </w:tc>
        <w:tc>
          <w:tcPr>
            <w:tcW w:w="68" w:type="pct"/>
            <w:vAlign w:val="center"/>
            <w:hideMark/>
          </w:tcPr>
          <w:p w14:paraId="0DD35012" w14:textId="77777777" w:rsidR="00000000" w:rsidRDefault="00832D71">
            <w:pPr>
              <w:rPr>
                <w:rFonts w:eastAsia="Times New Roman"/>
                <w:sz w:val="20"/>
                <w:szCs w:val="20"/>
              </w:rPr>
            </w:pPr>
          </w:p>
        </w:tc>
        <w:tc>
          <w:tcPr>
            <w:tcW w:w="50" w:type="pct"/>
            <w:vAlign w:val="center"/>
            <w:hideMark/>
          </w:tcPr>
          <w:p w14:paraId="7EB37F87" w14:textId="77777777" w:rsidR="00000000" w:rsidRDefault="00832D71">
            <w:pPr>
              <w:rPr>
                <w:rFonts w:eastAsia="Times New Roman"/>
                <w:sz w:val="20"/>
                <w:szCs w:val="20"/>
              </w:rPr>
            </w:pPr>
          </w:p>
        </w:tc>
        <w:tc>
          <w:tcPr>
            <w:tcW w:w="916" w:type="pct"/>
            <w:vAlign w:val="center"/>
            <w:hideMark/>
          </w:tcPr>
          <w:p w14:paraId="473058B3" w14:textId="77777777" w:rsidR="00000000" w:rsidRDefault="00832D71">
            <w:pPr>
              <w:rPr>
                <w:rFonts w:eastAsia="Times New Roman"/>
                <w:sz w:val="20"/>
                <w:szCs w:val="20"/>
              </w:rPr>
            </w:pPr>
          </w:p>
        </w:tc>
        <w:tc>
          <w:tcPr>
            <w:tcW w:w="50" w:type="pct"/>
            <w:vAlign w:val="center"/>
            <w:hideMark/>
          </w:tcPr>
          <w:p w14:paraId="24C7B235" w14:textId="77777777" w:rsidR="00000000" w:rsidRDefault="00832D71">
            <w:pPr>
              <w:rPr>
                <w:rFonts w:eastAsia="Times New Roman"/>
                <w:sz w:val="20"/>
                <w:szCs w:val="20"/>
              </w:rPr>
            </w:pPr>
          </w:p>
        </w:tc>
      </w:tr>
      <w:tr w:rsidR="00000000" w14:paraId="1D0A1D6C" w14:textId="77777777">
        <w:trPr>
          <w:divId w:val="782697080"/>
          <w:trHeight w:val="160"/>
          <w:tblCellSpacing w:w="15" w:type="dxa"/>
        </w:trPr>
        <w:tc>
          <w:tcPr>
            <w:tcW w:w="0" w:type="auto"/>
            <w:vAlign w:val="bottom"/>
            <w:hideMark/>
          </w:tcPr>
          <w:p w14:paraId="1FE485B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CEAA808" w14:textId="77777777" w:rsidR="00000000" w:rsidRDefault="00832D71">
            <w:pPr>
              <w:pStyle w:val="a3"/>
              <w:spacing w:before="0" w:beforeAutospacing="0" w:after="0" w:afterAutospacing="0"/>
              <w:rPr>
                <w:sz w:val="16"/>
                <w:szCs w:val="16"/>
              </w:rPr>
            </w:pPr>
            <w:r>
              <w:rPr>
                <w:sz w:val="16"/>
                <w:szCs w:val="16"/>
              </w:rPr>
              <w:t> </w:t>
            </w:r>
          </w:p>
        </w:tc>
        <w:tc>
          <w:tcPr>
            <w:tcW w:w="0" w:type="auto"/>
            <w:gridSpan w:val="6"/>
            <w:vAlign w:val="bottom"/>
            <w:hideMark/>
          </w:tcPr>
          <w:p w14:paraId="713CF99E" w14:textId="77777777" w:rsidR="00000000" w:rsidRDefault="00832D71">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14:paraId="4B4123E0"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52E3DF4" w14:textId="77777777">
        <w:trPr>
          <w:divId w:val="782697080"/>
          <w:trHeight w:val="160"/>
          <w:tblCellSpacing w:w="15" w:type="dxa"/>
        </w:trPr>
        <w:tc>
          <w:tcPr>
            <w:tcW w:w="0" w:type="auto"/>
            <w:vAlign w:val="bottom"/>
            <w:hideMark/>
          </w:tcPr>
          <w:p w14:paraId="281771EE"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67A8C0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65BD1B2" w14:textId="77777777" w:rsidR="00000000" w:rsidRDefault="00832D71">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14:paraId="4B8886FC"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FAF4BE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30005BC" w14:textId="77777777" w:rsidR="00000000" w:rsidRDefault="00832D71">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14:paraId="02E8B9D8"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127A4A60" w14:textId="77777777">
        <w:trPr>
          <w:divId w:val="782697080"/>
          <w:trHeight w:val="160"/>
          <w:tblCellSpacing w:w="15" w:type="dxa"/>
        </w:trPr>
        <w:tc>
          <w:tcPr>
            <w:tcW w:w="0" w:type="auto"/>
            <w:vAlign w:val="bottom"/>
            <w:hideMark/>
          </w:tcPr>
          <w:p w14:paraId="4A0B931B"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9175F0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0A48E4A"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3F3A06C"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45E2C8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BDEC99F"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CE9DAC3"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74868F8" w14:textId="77777777">
        <w:trPr>
          <w:divId w:val="782697080"/>
          <w:trHeight w:val="200"/>
          <w:tblCellSpacing w:w="15" w:type="dxa"/>
        </w:trPr>
        <w:tc>
          <w:tcPr>
            <w:tcW w:w="0" w:type="auto"/>
            <w:vAlign w:val="bottom"/>
            <w:hideMark/>
          </w:tcPr>
          <w:p w14:paraId="78840F0D" w14:textId="77777777" w:rsidR="00000000" w:rsidRDefault="00832D71">
            <w:pPr>
              <w:pStyle w:val="a3"/>
              <w:spacing w:before="0" w:beforeAutospacing="0" w:after="0" w:afterAutospacing="0"/>
              <w:rPr>
                <w:sz w:val="20"/>
                <w:szCs w:val="20"/>
              </w:rPr>
            </w:pPr>
            <w:r>
              <w:rPr>
                <w:sz w:val="20"/>
                <w:szCs w:val="20"/>
              </w:rPr>
              <w:t>Deferred tax assets</w:t>
            </w:r>
            <w:r>
              <w:rPr>
                <w:sz w:val="20"/>
                <w:szCs w:val="20"/>
              </w:rPr>
              <w:t>:</w:t>
            </w:r>
          </w:p>
        </w:tc>
        <w:tc>
          <w:tcPr>
            <w:tcW w:w="0" w:type="auto"/>
            <w:hideMark/>
          </w:tcPr>
          <w:p w14:paraId="7D425F2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64A527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C4B32BF"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BE678D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3B5C2F1"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F04694D"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2B5A601" w14:textId="77777777">
        <w:trPr>
          <w:divId w:val="782697080"/>
          <w:trHeight w:val="200"/>
          <w:tblCellSpacing w:w="15" w:type="dxa"/>
        </w:trPr>
        <w:tc>
          <w:tcPr>
            <w:tcW w:w="0" w:type="auto"/>
            <w:hideMark/>
          </w:tcPr>
          <w:p w14:paraId="6FEFBC32" w14:textId="77777777" w:rsidR="00000000" w:rsidRDefault="00832D71">
            <w:pPr>
              <w:pStyle w:val="a3"/>
              <w:spacing w:before="0" w:beforeAutospacing="0" w:after="0" w:afterAutospacing="0"/>
              <w:ind w:left="200"/>
              <w:rPr>
                <w:sz w:val="20"/>
                <w:szCs w:val="20"/>
              </w:rPr>
            </w:pPr>
            <w:r>
              <w:rPr>
                <w:sz w:val="20"/>
                <w:szCs w:val="20"/>
              </w:rPr>
              <w:t>Net operating loss carryforward</w:t>
            </w:r>
            <w:r>
              <w:rPr>
                <w:sz w:val="20"/>
                <w:szCs w:val="20"/>
              </w:rPr>
              <w:t>s</w:t>
            </w:r>
          </w:p>
        </w:tc>
        <w:tc>
          <w:tcPr>
            <w:tcW w:w="0" w:type="auto"/>
            <w:hideMark/>
          </w:tcPr>
          <w:p w14:paraId="5B13BCA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F39417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29224AF" w14:textId="77777777" w:rsidR="00000000" w:rsidRDefault="00832D71">
            <w:pPr>
              <w:pStyle w:val="a3"/>
              <w:spacing w:before="0" w:beforeAutospacing="0" w:after="0" w:afterAutospacing="0"/>
              <w:jc w:val="right"/>
              <w:rPr>
                <w:sz w:val="20"/>
                <w:szCs w:val="20"/>
              </w:rPr>
            </w:pPr>
            <w:r>
              <w:rPr>
                <w:sz w:val="20"/>
                <w:szCs w:val="20"/>
              </w:rPr>
              <w:t>39,35</w:t>
            </w:r>
            <w:r>
              <w:rPr>
                <w:sz w:val="20"/>
                <w:szCs w:val="20"/>
              </w:rPr>
              <w:t>5</w:t>
            </w:r>
          </w:p>
        </w:tc>
        <w:tc>
          <w:tcPr>
            <w:tcW w:w="0" w:type="auto"/>
            <w:noWrap/>
            <w:vAlign w:val="bottom"/>
            <w:hideMark/>
          </w:tcPr>
          <w:p w14:paraId="6B964A5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FAE62F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018621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27818FF" w14:textId="77777777" w:rsidR="00000000" w:rsidRDefault="00832D71">
            <w:pPr>
              <w:pStyle w:val="a3"/>
              <w:spacing w:before="0" w:beforeAutospacing="0" w:after="0" w:afterAutospacing="0"/>
              <w:jc w:val="right"/>
              <w:rPr>
                <w:sz w:val="20"/>
                <w:szCs w:val="20"/>
              </w:rPr>
            </w:pPr>
            <w:r>
              <w:rPr>
                <w:sz w:val="20"/>
                <w:szCs w:val="20"/>
              </w:rPr>
              <w:t>37,80</w:t>
            </w:r>
            <w:r>
              <w:rPr>
                <w:sz w:val="20"/>
                <w:szCs w:val="20"/>
              </w:rPr>
              <w:t>6</w:t>
            </w:r>
          </w:p>
        </w:tc>
        <w:tc>
          <w:tcPr>
            <w:tcW w:w="0" w:type="auto"/>
            <w:noWrap/>
            <w:vAlign w:val="bottom"/>
            <w:hideMark/>
          </w:tcPr>
          <w:p w14:paraId="7463C626" w14:textId="77777777" w:rsidR="00000000" w:rsidRDefault="00832D71">
            <w:pPr>
              <w:pStyle w:val="a3"/>
              <w:spacing w:before="0" w:beforeAutospacing="0" w:after="0" w:afterAutospacing="0"/>
              <w:rPr>
                <w:sz w:val="20"/>
                <w:szCs w:val="20"/>
              </w:rPr>
            </w:pPr>
            <w:r>
              <w:rPr>
                <w:sz w:val="20"/>
                <w:szCs w:val="20"/>
              </w:rPr>
              <w:t> </w:t>
            </w:r>
          </w:p>
        </w:tc>
      </w:tr>
      <w:tr w:rsidR="00000000" w14:paraId="793AC877" w14:textId="77777777">
        <w:trPr>
          <w:divId w:val="782697080"/>
          <w:trHeight w:val="200"/>
          <w:tblCellSpacing w:w="15" w:type="dxa"/>
        </w:trPr>
        <w:tc>
          <w:tcPr>
            <w:tcW w:w="0" w:type="auto"/>
            <w:hideMark/>
          </w:tcPr>
          <w:p w14:paraId="7DAE3420" w14:textId="77777777" w:rsidR="00000000" w:rsidRDefault="00832D71">
            <w:pPr>
              <w:pStyle w:val="a3"/>
              <w:spacing w:before="0" w:beforeAutospacing="0" w:after="0" w:afterAutospacing="0"/>
              <w:ind w:left="200"/>
              <w:rPr>
                <w:sz w:val="20"/>
                <w:szCs w:val="20"/>
              </w:rPr>
            </w:pPr>
            <w:r>
              <w:rPr>
                <w:sz w:val="20"/>
                <w:szCs w:val="20"/>
              </w:rPr>
              <w:t>Allowance for doubtful account</w:t>
            </w:r>
            <w:r>
              <w:rPr>
                <w:sz w:val="20"/>
                <w:szCs w:val="20"/>
              </w:rPr>
              <w:t>s</w:t>
            </w:r>
          </w:p>
        </w:tc>
        <w:tc>
          <w:tcPr>
            <w:tcW w:w="0" w:type="auto"/>
            <w:hideMark/>
          </w:tcPr>
          <w:p w14:paraId="1F129F9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88065E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0D21BCB" w14:textId="77777777" w:rsidR="00000000" w:rsidRDefault="00832D71">
            <w:pPr>
              <w:pStyle w:val="a3"/>
              <w:spacing w:before="0" w:beforeAutospacing="0" w:after="0" w:afterAutospacing="0"/>
              <w:jc w:val="right"/>
              <w:rPr>
                <w:sz w:val="20"/>
                <w:szCs w:val="20"/>
              </w:rPr>
            </w:pPr>
            <w:r>
              <w:rPr>
                <w:sz w:val="20"/>
                <w:szCs w:val="20"/>
              </w:rPr>
              <w:t>36</w:t>
            </w:r>
            <w:r>
              <w:rPr>
                <w:sz w:val="20"/>
                <w:szCs w:val="20"/>
              </w:rPr>
              <w:t>8</w:t>
            </w:r>
          </w:p>
        </w:tc>
        <w:tc>
          <w:tcPr>
            <w:tcW w:w="0" w:type="auto"/>
            <w:noWrap/>
            <w:vAlign w:val="bottom"/>
            <w:hideMark/>
          </w:tcPr>
          <w:p w14:paraId="7781228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016381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F73644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8DC183E" w14:textId="77777777" w:rsidR="00000000" w:rsidRDefault="00832D71">
            <w:pPr>
              <w:pStyle w:val="a3"/>
              <w:spacing w:before="0" w:beforeAutospacing="0" w:after="0" w:afterAutospacing="0"/>
              <w:jc w:val="right"/>
              <w:rPr>
                <w:sz w:val="20"/>
                <w:szCs w:val="20"/>
              </w:rPr>
            </w:pPr>
            <w:r>
              <w:rPr>
                <w:sz w:val="20"/>
                <w:szCs w:val="20"/>
              </w:rPr>
              <w:t>20</w:t>
            </w:r>
            <w:r>
              <w:rPr>
                <w:sz w:val="20"/>
                <w:szCs w:val="20"/>
              </w:rPr>
              <w:t>8</w:t>
            </w:r>
          </w:p>
        </w:tc>
        <w:tc>
          <w:tcPr>
            <w:tcW w:w="0" w:type="auto"/>
            <w:noWrap/>
            <w:vAlign w:val="bottom"/>
            <w:hideMark/>
          </w:tcPr>
          <w:p w14:paraId="5E9AF1CA" w14:textId="77777777" w:rsidR="00000000" w:rsidRDefault="00832D71">
            <w:pPr>
              <w:pStyle w:val="a3"/>
              <w:spacing w:before="0" w:beforeAutospacing="0" w:after="0" w:afterAutospacing="0"/>
              <w:rPr>
                <w:sz w:val="20"/>
                <w:szCs w:val="20"/>
              </w:rPr>
            </w:pPr>
            <w:r>
              <w:rPr>
                <w:sz w:val="20"/>
                <w:szCs w:val="20"/>
              </w:rPr>
              <w:t> </w:t>
            </w:r>
          </w:p>
        </w:tc>
      </w:tr>
      <w:tr w:rsidR="00000000" w14:paraId="1B03E234" w14:textId="77777777">
        <w:trPr>
          <w:divId w:val="782697080"/>
          <w:trHeight w:val="200"/>
          <w:tblCellSpacing w:w="15" w:type="dxa"/>
        </w:trPr>
        <w:tc>
          <w:tcPr>
            <w:tcW w:w="0" w:type="auto"/>
            <w:hideMark/>
          </w:tcPr>
          <w:p w14:paraId="5F29879F" w14:textId="77777777" w:rsidR="00000000" w:rsidRDefault="00832D71">
            <w:pPr>
              <w:pStyle w:val="a3"/>
              <w:spacing w:before="0" w:beforeAutospacing="0" w:after="0" w:afterAutospacing="0"/>
              <w:ind w:left="200"/>
              <w:rPr>
                <w:sz w:val="20"/>
                <w:szCs w:val="20"/>
              </w:rPr>
            </w:pPr>
            <w:r>
              <w:rPr>
                <w:sz w:val="20"/>
                <w:szCs w:val="20"/>
              </w:rPr>
              <w:t>Inventor</w:t>
            </w:r>
            <w:r>
              <w:rPr>
                <w:sz w:val="20"/>
                <w:szCs w:val="20"/>
              </w:rPr>
              <w:t>y</w:t>
            </w:r>
          </w:p>
        </w:tc>
        <w:tc>
          <w:tcPr>
            <w:tcW w:w="0" w:type="auto"/>
            <w:hideMark/>
          </w:tcPr>
          <w:p w14:paraId="5744CB7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53F1D0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1496C3C" w14:textId="77777777" w:rsidR="00000000" w:rsidRDefault="00832D71">
            <w:pPr>
              <w:pStyle w:val="a3"/>
              <w:spacing w:before="0" w:beforeAutospacing="0" w:after="0" w:afterAutospacing="0"/>
              <w:jc w:val="right"/>
              <w:rPr>
                <w:sz w:val="20"/>
                <w:szCs w:val="20"/>
              </w:rPr>
            </w:pPr>
            <w:r>
              <w:rPr>
                <w:sz w:val="20"/>
                <w:szCs w:val="20"/>
              </w:rPr>
              <w:t>41</w:t>
            </w:r>
            <w:r>
              <w:rPr>
                <w:sz w:val="20"/>
                <w:szCs w:val="20"/>
              </w:rPr>
              <w:t>8</w:t>
            </w:r>
          </w:p>
        </w:tc>
        <w:tc>
          <w:tcPr>
            <w:tcW w:w="0" w:type="auto"/>
            <w:noWrap/>
            <w:vAlign w:val="bottom"/>
            <w:hideMark/>
          </w:tcPr>
          <w:p w14:paraId="58CA19B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C48FB6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6E1CFF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FF55635" w14:textId="77777777" w:rsidR="00000000" w:rsidRDefault="00832D71">
            <w:pPr>
              <w:pStyle w:val="a3"/>
              <w:spacing w:before="0" w:beforeAutospacing="0" w:after="0" w:afterAutospacing="0"/>
              <w:jc w:val="right"/>
              <w:rPr>
                <w:sz w:val="20"/>
                <w:szCs w:val="20"/>
              </w:rPr>
            </w:pPr>
            <w:r>
              <w:rPr>
                <w:sz w:val="20"/>
                <w:szCs w:val="20"/>
              </w:rPr>
              <w:t>26</w:t>
            </w:r>
            <w:r>
              <w:rPr>
                <w:sz w:val="20"/>
                <w:szCs w:val="20"/>
              </w:rPr>
              <w:t>4</w:t>
            </w:r>
          </w:p>
        </w:tc>
        <w:tc>
          <w:tcPr>
            <w:tcW w:w="0" w:type="auto"/>
            <w:noWrap/>
            <w:vAlign w:val="bottom"/>
            <w:hideMark/>
          </w:tcPr>
          <w:p w14:paraId="11F910BD" w14:textId="77777777" w:rsidR="00000000" w:rsidRDefault="00832D71">
            <w:pPr>
              <w:pStyle w:val="a3"/>
              <w:spacing w:before="0" w:beforeAutospacing="0" w:after="0" w:afterAutospacing="0"/>
              <w:rPr>
                <w:sz w:val="20"/>
                <w:szCs w:val="20"/>
              </w:rPr>
            </w:pPr>
            <w:r>
              <w:rPr>
                <w:sz w:val="20"/>
                <w:szCs w:val="20"/>
              </w:rPr>
              <w:t> </w:t>
            </w:r>
          </w:p>
        </w:tc>
      </w:tr>
      <w:tr w:rsidR="00000000" w14:paraId="22D90457" w14:textId="77777777">
        <w:trPr>
          <w:divId w:val="782697080"/>
          <w:trHeight w:val="200"/>
          <w:tblCellSpacing w:w="15" w:type="dxa"/>
        </w:trPr>
        <w:tc>
          <w:tcPr>
            <w:tcW w:w="0" w:type="auto"/>
            <w:hideMark/>
          </w:tcPr>
          <w:p w14:paraId="7F099990" w14:textId="77777777" w:rsidR="00000000" w:rsidRDefault="00832D71">
            <w:pPr>
              <w:pStyle w:val="a3"/>
              <w:spacing w:before="0" w:beforeAutospacing="0" w:after="0" w:afterAutospacing="0"/>
              <w:ind w:left="200"/>
              <w:rPr>
                <w:sz w:val="20"/>
                <w:szCs w:val="20"/>
              </w:rPr>
            </w:pPr>
            <w:r>
              <w:rPr>
                <w:sz w:val="20"/>
                <w:szCs w:val="20"/>
              </w:rPr>
              <w:t>Deferred revenu</w:t>
            </w:r>
            <w:r>
              <w:rPr>
                <w:sz w:val="20"/>
                <w:szCs w:val="20"/>
              </w:rPr>
              <w:t>e</w:t>
            </w:r>
          </w:p>
        </w:tc>
        <w:tc>
          <w:tcPr>
            <w:tcW w:w="0" w:type="auto"/>
            <w:hideMark/>
          </w:tcPr>
          <w:p w14:paraId="2E551DC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263331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2AB686D" w14:textId="77777777" w:rsidR="00000000" w:rsidRDefault="00832D71">
            <w:pPr>
              <w:pStyle w:val="a3"/>
              <w:spacing w:before="0" w:beforeAutospacing="0" w:after="0" w:afterAutospacing="0"/>
              <w:jc w:val="right"/>
              <w:rPr>
                <w:sz w:val="20"/>
                <w:szCs w:val="20"/>
              </w:rPr>
            </w:pPr>
            <w:r>
              <w:rPr>
                <w:sz w:val="20"/>
                <w:szCs w:val="20"/>
              </w:rPr>
              <w:t>52</w:t>
            </w:r>
            <w:r>
              <w:rPr>
                <w:sz w:val="20"/>
                <w:szCs w:val="20"/>
              </w:rPr>
              <w:t>6</w:t>
            </w:r>
          </w:p>
        </w:tc>
        <w:tc>
          <w:tcPr>
            <w:tcW w:w="0" w:type="auto"/>
            <w:noWrap/>
            <w:vAlign w:val="bottom"/>
            <w:hideMark/>
          </w:tcPr>
          <w:p w14:paraId="04D1CF2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003DAF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EF311A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DF82004" w14:textId="77777777" w:rsidR="00000000" w:rsidRDefault="00832D71">
            <w:pPr>
              <w:pStyle w:val="a3"/>
              <w:spacing w:before="0" w:beforeAutospacing="0" w:after="0" w:afterAutospacing="0"/>
              <w:jc w:val="right"/>
              <w:rPr>
                <w:sz w:val="20"/>
                <w:szCs w:val="20"/>
              </w:rPr>
            </w:pPr>
            <w:r>
              <w:rPr>
                <w:sz w:val="20"/>
                <w:szCs w:val="20"/>
              </w:rPr>
              <w:t>55</w:t>
            </w:r>
            <w:r>
              <w:rPr>
                <w:sz w:val="20"/>
                <w:szCs w:val="20"/>
              </w:rPr>
              <w:t>7</w:t>
            </w:r>
          </w:p>
        </w:tc>
        <w:tc>
          <w:tcPr>
            <w:tcW w:w="0" w:type="auto"/>
            <w:noWrap/>
            <w:vAlign w:val="bottom"/>
            <w:hideMark/>
          </w:tcPr>
          <w:p w14:paraId="72F101A5" w14:textId="77777777" w:rsidR="00000000" w:rsidRDefault="00832D71">
            <w:pPr>
              <w:pStyle w:val="a3"/>
              <w:spacing w:before="0" w:beforeAutospacing="0" w:after="0" w:afterAutospacing="0"/>
              <w:rPr>
                <w:sz w:val="20"/>
                <w:szCs w:val="20"/>
              </w:rPr>
            </w:pPr>
            <w:r>
              <w:rPr>
                <w:sz w:val="20"/>
                <w:szCs w:val="20"/>
              </w:rPr>
              <w:t> </w:t>
            </w:r>
          </w:p>
        </w:tc>
      </w:tr>
      <w:tr w:rsidR="00000000" w14:paraId="1064FD52" w14:textId="77777777">
        <w:trPr>
          <w:divId w:val="782697080"/>
          <w:trHeight w:val="200"/>
          <w:tblCellSpacing w:w="15" w:type="dxa"/>
        </w:trPr>
        <w:tc>
          <w:tcPr>
            <w:tcW w:w="0" w:type="auto"/>
            <w:hideMark/>
          </w:tcPr>
          <w:p w14:paraId="7A883892" w14:textId="77777777" w:rsidR="00000000" w:rsidRDefault="00832D71">
            <w:pPr>
              <w:pStyle w:val="a3"/>
              <w:spacing w:before="0" w:beforeAutospacing="0" w:after="0" w:afterAutospacing="0"/>
              <w:ind w:left="200"/>
              <w:rPr>
                <w:sz w:val="20"/>
                <w:szCs w:val="20"/>
              </w:rPr>
            </w:pPr>
            <w:r>
              <w:rPr>
                <w:sz w:val="20"/>
                <w:szCs w:val="20"/>
              </w:rPr>
              <w:t>Other accrual</w:t>
            </w:r>
            <w:r>
              <w:rPr>
                <w:sz w:val="20"/>
                <w:szCs w:val="20"/>
              </w:rPr>
              <w:t>s</w:t>
            </w:r>
          </w:p>
        </w:tc>
        <w:tc>
          <w:tcPr>
            <w:tcW w:w="0" w:type="auto"/>
            <w:hideMark/>
          </w:tcPr>
          <w:p w14:paraId="56EF375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22BF49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B52AD07" w14:textId="77777777" w:rsidR="00000000" w:rsidRDefault="00832D71">
            <w:pPr>
              <w:pStyle w:val="a3"/>
              <w:spacing w:before="0" w:beforeAutospacing="0" w:after="0" w:afterAutospacing="0"/>
              <w:jc w:val="right"/>
              <w:rPr>
                <w:sz w:val="20"/>
                <w:szCs w:val="20"/>
              </w:rPr>
            </w:pPr>
            <w:r>
              <w:rPr>
                <w:sz w:val="20"/>
                <w:szCs w:val="20"/>
              </w:rPr>
              <w:t>2,39</w:t>
            </w:r>
            <w:r>
              <w:rPr>
                <w:sz w:val="20"/>
                <w:szCs w:val="20"/>
              </w:rPr>
              <w:t>1</w:t>
            </w:r>
          </w:p>
        </w:tc>
        <w:tc>
          <w:tcPr>
            <w:tcW w:w="0" w:type="auto"/>
            <w:noWrap/>
            <w:vAlign w:val="bottom"/>
            <w:hideMark/>
          </w:tcPr>
          <w:p w14:paraId="0DC4C88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14D947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846A17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8ADC141" w14:textId="77777777" w:rsidR="00000000" w:rsidRDefault="00832D71">
            <w:pPr>
              <w:pStyle w:val="a3"/>
              <w:spacing w:before="0" w:beforeAutospacing="0" w:after="0" w:afterAutospacing="0"/>
              <w:jc w:val="right"/>
              <w:rPr>
                <w:sz w:val="20"/>
                <w:szCs w:val="20"/>
              </w:rPr>
            </w:pPr>
            <w:r>
              <w:rPr>
                <w:sz w:val="20"/>
                <w:szCs w:val="20"/>
              </w:rPr>
              <w:t>2,67</w:t>
            </w:r>
            <w:r>
              <w:rPr>
                <w:sz w:val="20"/>
                <w:szCs w:val="20"/>
              </w:rPr>
              <w:t>1</w:t>
            </w:r>
          </w:p>
        </w:tc>
        <w:tc>
          <w:tcPr>
            <w:tcW w:w="0" w:type="auto"/>
            <w:noWrap/>
            <w:vAlign w:val="bottom"/>
            <w:hideMark/>
          </w:tcPr>
          <w:p w14:paraId="7CDB9EB8" w14:textId="77777777" w:rsidR="00000000" w:rsidRDefault="00832D71">
            <w:pPr>
              <w:pStyle w:val="a3"/>
              <w:spacing w:before="0" w:beforeAutospacing="0" w:after="0" w:afterAutospacing="0"/>
              <w:rPr>
                <w:sz w:val="20"/>
                <w:szCs w:val="20"/>
              </w:rPr>
            </w:pPr>
            <w:r>
              <w:rPr>
                <w:sz w:val="20"/>
                <w:szCs w:val="20"/>
              </w:rPr>
              <w:t> </w:t>
            </w:r>
          </w:p>
        </w:tc>
      </w:tr>
      <w:tr w:rsidR="00000000" w14:paraId="1C02A61C" w14:textId="77777777">
        <w:trPr>
          <w:divId w:val="782697080"/>
          <w:trHeight w:val="200"/>
          <w:tblCellSpacing w:w="15" w:type="dxa"/>
        </w:trPr>
        <w:tc>
          <w:tcPr>
            <w:tcW w:w="0" w:type="auto"/>
            <w:hideMark/>
          </w:tcPr>
          <w:p w14:paraId="0D56EBAA" w14:textId="77777777" w:rsidR="00000000" w:rsidRDefault="00832D71">
            <w:pPr>
              <w:pStyle w:val="a3"/>
              <w:spacing w:before="0" w:beforeAutospacing="0" w:after="0" w:afterAutospacing="0"/>
              <w:ind w:left="400"/>
              <w:rPr>
                <w:sz w:val="20"/>
                <w:szCs w:val="20"/>
              </w:rPr>
            </w:pPr>
            <w:r>
              <w:rPr>
                <w:sz w:val="20"/>
                <w:szCs w:val="20"/>
              </w:rPr>
              <w:t>Total deferred tax asset</w:t>
            </w:r>
            <w:r>
              <w:rPr>
                <w:sz w:val="20"/>
                <w:szCs w:val="20"/>
              </w:rPr>
              <w:t>s</w:t>
            </w:r>
          </w:p>
        </w:tc>
        <w:tc>
          <w:tcPr>
            <w:tcW w:w="0" w:type="auto"/>
            <w:hideMark/>
          </w:tcPr>
          <w:p w14:paraId="5A9B871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B99546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4476987" w14:textId="77777777" w:rsidR="00000000" w:rsidRDefault="00832D71">
            <w:pPr>
              <w:pStyle w:val="a3"/>
              <w:spacing w:before="0" w:beforeAutospacing="0" w:after="0" w:afterAutospacing="0"/>
              <w:jc w:val="right"/>
              <w:rPr>
                <w:sz w:val="20"/>
                <w:szCs w:val="20"/>
              </w:rPr>
            </w:pPr>
            <w:r>
              <w:rPr>
                <w:sz w:val="20"/>
                <w:szCs w:val="20"/>
              </w:rPr>
              <w:t>43,05</w:t>
            </w:r>
            <w:r>
              <w:rPr>
                <w:sz w:val="20"/>
                <w:szCs w:val="20"/>
              </w:rPr>
              <w:t>8</w:t>
            </w:r>
          </w:p>
        </w:tc>
        <w:tc>
          <w:tcPr>
            <w:tcW w:w="0" w:type="auto"/>
            <w:noWrap/>
            <w:vAlign w:val="bottom"/>
            <w:hideMark/>
          </w:tcPr>
          <w:p w14:paraId="22A83AC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AE3E33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390D00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588AF72" w14:textId="77777777" w:rsidR="00000000" w:rsidRDefault="00832D71">
            <w:pPr>
              <w:pStyle w:val="a3"/>
              <w:spacing w:before="0" w:beforeAutospacing="0" w:after="0" w:afterAutospacing="0"/>
              <w:jc w:val="right"/>
              <w:rPr>
                <w:sz w:val="20"/>
                <w:szCs w:val="20"/>
              </w:rPr>
            </w:pPr>
            <w:r>
              <w:rPr>
                <w:sz w:val="20"/>
                <w:szCs w:val="20"/>
              </w:rPr>
              <w:t>41,50</w:t>
            </w:r>
            <w:r>
              <w:rPr>
                <w:sz w:val="20"/>
                <w:szCs w:val="20"/>
              </w:rPr>
              <w:t>6</w:t>
            </w:r>
          </w:p>
        </w:tc>
        <w:tc>
          <w:tcPr>
            <w:tcW w:w="0" w:type="auto"/>
            <w:noWrap/>
            <w:vAlign w:val="bottom"/>
            <w:hideMark/>
          </w:tcPr>
          <w:p w14:paraId="47BF96A2" w14:textId="77777777" w:rsidR="00000000" w:rsidRDefault="00832D71">
            <w:pPr>
              <w:pStyle w:val="a3"/>
              <w:spacing w:before="0" w:beforeAutospacing="0" w:after="0" w:afterAutospacing="0"/>
              <w:rPr>
                <w:sz w:val="20"/>
                <w:szCs w:val="20"/>
              </w:rPr>
            </w:pPr>
            <w:r>
              <w:rPr>
                <w:sz w:val="20"/>
                <w:szCs w:val="20"/>
              </w:rPr>
              <w:t> </w:t>
            </w:r>
          </w:p>
        </w:tc>
      </w:tr>
      <w:tr w:rsidR="00000000" w14:paraId="480BC7BA" w14:textId="77777777">
        <w:trPr>
          <w:divId w:val="782697080"/>
          <w:trHeight w:val="200"/>
          <w:tblCellSpacing w:w="15" w:type="dxa"/>
        </w:trPr>
        <w:tc>
          <w:tcPr>
            <w:tcW w:w="0" w:type="auto"/>
            <w:hideMark/>
          </w:tcPr>
          <w:p w14:paraId="2CAB512C" w14:textId="77777777" w:rsidR="00000000" w:rsidRDefault="00832D71">
            <w:pPr>
              <w:pStyle w:val="a3"/>
              <w:spacing w:before="0" w:beforeAutospacing="0" w:after="0" w:afterAutospacing="0"/>
              <w:rPr>
                <w:sz w:val="20"/>
                <w:szCs w:val="20"/>
              </w:rPr>
            </w:pPr>
            <w:r>
              <w:rPr>
                <w:sz w:val="20"/>
                <w:szCs w:val="20"/>
              </w:rPr>
              <w:t>Deferred tax liabilities</w:t>
            </w:r>
            <w:r>
              <w:rPr>
                <w:sz w:val="20"/>
                <w:szCs w:val="20"/>
              </w:rPr>
              <w:t>:</w:t>
            </w:r>
          </w:p>
        </w:tc>
        <w:tc>
          <w:tcPr>
            <w:tcW w:w="0" w:type="auto"/>
            <w:hideMark/>
          </w:tcPr>
          <w:p w14:paraId="4355C606"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C9AA12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3245DBB"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052CBA9C"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FFFA6D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DAFB050" w14:textId="77777777" w:rsidR="00000000" w:rsidRDefault="00832D71">
            <w:pPr>
              <w:pStyle w:val="a3"/>
              <w:spacing w:before="0" w:beforeAutospacing="0" w:after="0" w:afterAutospacing="0"/>
              <w:jc w:val="right"/>
              <w:rPr>
                <w:sz w:val="20"/>
                <w:szCs w:val="20"/>
              </w:rPr>
            </w:pPr>
            <w:r>
              <w:rPr>
                <w:sz w:val="20"/>
                <w:szCs w:val="20"/>
              </w:rPr>
              <w:t> </w:t>
            </w:r>
          </w:p>
        </w:tc>
      </w:tr>
      <w:tr w:rsidR="00000000" w14:paraId="0742CF06" w14:textId="77777777">
        <w:trPr>
          <w:divId w:val="782697080"/>
          <w:trHeight w:val="200"/>
          <w:tblCellSpacing w:w="15" w:type="dxa"/>
        </w:trPr>
        <w:tc>
          <w:tcPr>
            <w:tcW w:w="0" w:type="auto"/>
            <w:hideMark/>
          </w:tcPr>
          <w:p w14:paraId="06F9FC2C" w14:textId="77777777" w:rsidR="00000000" w:rsidRDefault="00832D71">
            <w:pPr>
              <w:pStyle w:val="a3"/>
              <w:spacing w:before="0" w:beforeAutospacing="0" w:after="0" w:afterAutospacing="0"/>
              <w:ind w:left="200"/>
              <w:rPr>
                <w:sz w:val="20"/>
                <w:szCs w:val="20"/>
              </w:rPr>
            </w:pPr>
            <w:r>
              <w:rPr>
                <w:sz w:val="20"/>
                <w:szCs w:val="20"/>
              </w:rPr>
              <w:t>Intangible asset</w:t>
            </w:r>
            <w:r>
              <w:rPr>
                <w:sz w:val="20"/>
                <w:szCs w:val="20"/>
              </w:rPr>
              <w:t>s</w:t>
            </w:r>
          </w:p>
        </w:tc>
        <w:tc>
          <w:tcPr>
            <w:tcW w:w="0" w:type="auto"/>
            <w:hideMark/>
          </w:tcPr>
          <w:p w14:paraId="3F4BD00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A79085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041E358" w14:textId="77777777" w:rsidR="00000000" w:rsidRDefault="00832D71">
            <w:pPr>
              <w:pStyle w:val="a3"/>
              <w:spacing w:before="0" w:beforeAutospacing="0" w:after="0" w:afterAutospacing="0"/>
              <w:jc w:val="right"/>
              <w:rPr>
                <w:sz w:val="20"/>
                <w:szCs w:val="20"/>
              </w:rPr>
            </w:pPr>
            <w:r>
              <w:rPr>
                <w:sz w:val="20"/>
                <w:szCs w:val="20"/>
              </w:rPr>
              <w:t>1,19</w:t>
            </w:r>
            <w:r>
              <w:rPr>
                <w:sz w:val="20"/>
                <w:szCs w:val="20"/>
              </w:rPr>
              <w:t>1</w:t>
            </w:r>
          </w:p>
        </w:tc>
        <w:tc>
          <w:tcPr>
            <w:tcW w:w="0" w:type="auto"/>
            <w:noWrap/>
            <w:vAlign w:val="bottom"/>
            <w:hideMark/>
          </w:tcPr>
          <w:p w14:paraId="2ABB9CD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A7C669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178156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6D90D5E" w14:textId="77777777" w:rsidR="00000000" w:rsidRDefault="00832D71">
            <w:pPr>
              <w:pStyle w:val="a3"/>
              <w:spacing w:before="0" w:beforeAutospacing="0" w:after="0" w:afterAutospacing="0"/>
              <w:jc w:val="right"/>
              <w:rPr>
                <w:sz w:val="20"/>
                <w:szCs w:val="20"/>
              </w:rPr>
            </w:pPr>
            <w:r>
              <w:rPr>
                <w:sz w:val="20"/>
                <w:szCs w:val="20"/>
              </w:rPr>
              <w:t>1,18</w:t>
            </w:r>
            <w:r>
              <w:rPr>
                <w:sz w:val="20"/>
                <w:szCs w:val="20"/>
              </w:rPr>
              <w:t>9</w:t>
            </w:r>
          </w:p>
        </w:tc>
        <w:tc>
          <w:tcPr>
            <w:tcW w:w="0" w:type="auto"/>
            <w:noWrap/>
            <w:vAlign w:val="bottom"/>
            <w:hideMark/>
          </w:tcPr>
          <w:p w14:paraId="0FE2B4E8" w14:textId="77777777" w:rsidR="00000000" w:rsidRDefault="00832D71">
            <w:pPr>
              <w:pStyle w:val="a3"/>
              <w:spacing w:before="0" w:beforeAutospacing="0" w:after="0" w:afterAutospacing="0"/>
              <w:rPr>
                <w:sz w:val="20"/>
                <w:szCs w:val="20"/>
              </w:rPr>
            </w:pPr>
            <w:r>
              <w:rPr>
                <w:sz w:val="20"/>
                <w:szCs w:val="20"/>
              </w:rPr>
              <w:t> </w:t>
            </w:r>
          </w:p>
        </w:tc>
      </w:tr>
      <w:tr w:rsidR="00000000" w14:paraId="6EBF785C" w14:textId="77777777">
        <w:trPr>
          <w:divId w:val="782697080"/>
          <w:trHeight w:val="200"/>
          <w:tblCellSpacing w:w="15" w:type="dxa"/>
        </w:trPr>
        <w:tc>
          <w:tcPr>
            <w:tcW w:w="0" w:type="auto"/>
            <w:hideMark/>
          </w:tcPr>
          <w:p w14:paraId="290CC923" w14:textId="77777777" w:rsidR="00000000" w:rsidRDefault="00832D71">
            <w:pPr>
              <w:pStyle w:val="a3"/>
              <w:spacing w:before="0" w:beforeAutospacing="0" w:after="0" w:afterAutospacing="0"/>
              <w:ind w:left="200"/>
              <w:rPr>
                <w:sz w:val="20"/>
                <w:szCs w:val="20"/>
              </w:rPr>
            </w:pPr>
            <w:r>
              <w:rPr>
                <w:sz w:val="20"/>
                <w:szCs w:val="20"/>
              </w:rPr>
              <w:t>Property, plant and equipmen</w:t>
            </w:r>
            <w:r>
              <w:rPr>
                <w:sz w:val="20"/>
                <w:szCs w:val="20"/>
              </w:rPr>
              <w:t>t</w:t>
            </w:r>
          </w:p>
        </w:tc>
        <w:tc>
          <w:tcPr>
            <w:tcW w:w="0" w:type="auto"/>
            <w:hideMark/>
          </w:tcPr>
          <w:p w14:paraId="6A8D00C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E63D3E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6C5C15B" w14:textId="77777777" w:rsidR="00000000" w:rsidRDefault="00832D71">
            <w:pPr>
              <w:pStyle w:val="a3"/>
              <w:spacing w:before="0" w:beforeAutospacing="0" w:after="0" w:afterAutospacing="0"/>
              <w:jc w:val="right"/>
              <w:rPr>
                <w:sz w:val="20"/>
                <w:szCs w:val="20"/>
              </w:rPr>
            </w:pPr>
            <w:r>
              <w:rPr>
                <w:sz w:val="20"/>
                <w:szCs w:val="20"/>
              </w:rPr>
              <w:t>1,39</w:t>
            </w:r>
            <w:r>
              <w:rPr>
                <w:sz w:val="20"/>
                <w:szCs w:val="20"/>
              </w:rPr>
              <w:t>3</w:t>
            </w:r>
          </w:p>
        </w:tc>
        <w:tc>
          <w:tcPr>
            <w:tcW w:w="0" w:type="auto"/>
            <w:noWrap/>
            <w:vAlign w:val="bottom"/>
            <w:hideMark/>
          </w:tcPr>
          <w:p w14:paraId="3B97718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BEA83E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ED43D6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F440FCE" w14:textId="77777777" w:rsidR="00000000" w:rsidRDefault="00832D71">
            <w:pPr>
              <w:pStyle w:val="a3"/>
              <w:spacing w:before="0" w:beforeAutospacing="0" w:after="0" w:afterAutospacing="0"/>
              <w:jc w:val="right"/>
              <w:rPr>
                <w:sz w:val="20"/>
                <w:szCs w:val="20"/>
              </w:rPr>
            </w:pPr>
            <w:r>
              <w:rPr>
                <w:sz w:val="20"/>
                <w:szCs w:val="20"/>
              </w:rPr>
              <w:t>1,65</w:t>
            </w:r>
            <w:r>
              <w:rPr>
                <w:sz w:val="20"/>
                <w:szCs w:val="20"/>
              </w:rPr>
              <w:t>5</w:t>
            </w:r>
          </w:p>
        </w:tc>
        <w:tc>
          <w:tcPr>
            <w:tcW w:w="0" w:type="auto"/>
            <w:noWrap/>
            <w:vAlign w:val="bottom"/>
            <w:hideMark/>
          </w:tcPr>
          <w:p w14:paraId="111F0996" w14:textId="77777777" w:rsidR="00000000" w:rsidRDefault="00832D71">
            <w:pPr>
              <w:pStyle w:val="a3"/>
              <w:spacing w:before="0" w:beforeAutospacing="0" w:after="0" w:afterAutospacing="0"/>
              <w:rPr>
                <w:sz w:val="20"/>
                <w:szCs w:val="20"/>
              </w:rPr>
            </w:pPr>
            <w:r>
              <w:rPr>
                <w:sz w:val="20"/>
                <w:szCs w:val="20"/>
              </w:rPr>
              <w:t> </w:t>
            </w:r>
          </w:p>
        </w:tc>
      </w:tr>
      <w:tr w:rsidR="00000000" w14:paraId="4901FEDF" w14:textId="77777777">
        <w:trPr>
          <w:divId w:val="782697080"/>
          <w:trHeight w:val="200"/>
          <w:tblCellSpacing w:w="15" w:type="dxa"/>
        </w:trPr>
        <w:tc>
          <w:tcPr>
            <w:tcW w:w="0" w:type="auto"/>
            <w:hideMark/>
          </w:tcPr>
          <w:p w14:paraId="42795C74" w14:textId="77777777" w:rsidR="00000000" w:rsidRDefault="00832D71">
            <w:pPr>
              <w:pStyle w:val="a3"/>
              <w:spacing w:before="0" w:beforeAutospacing="0" w:after="0" w:afterAutospacing="0"/>
              <w:ind w:left="400"/>
              <w:rPr>
                <w:sz w:val="20"/>
                <w:szCs w:val="20"/>
              </w:rPr>
            </w:pPr>
            <w:r>
              <w:rPr>
                <w:sz w:val="20"/>
                <w:szCs w:val="20"/>
              </w:rPr>
              <w:t>Total deferred tax liabilitie</w:t>
            </w:r>
            <w:r>
              <w:rPr>
                <w:sz w:val="20"/>
                <w:szCs w:val="20"/>
              </w:rPr>
              <w:t>s</w:t>
            </w:r>
          </w:p>
        </w:tc>
        <w:tc>
          <w:tcPr>
            <w:tcW w:w="0" w:type="auto"/>
            <w:hideMark/>
          </w:tcPr>
          <w:p w14:paraId="44DCB1D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1A088C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6AC5983" w14:textId="77777777" w:rsidR="00000000" w:rsidRDefault="00832D71">
            <w:pPr>
              <w:pStyle w:val="a3"/>
              <w:spacing w:before="0" w:beforeAutospacing="0" w:after="0" w:afterAutospacing="0"/>
              <w:jc w:val="right"/>
              <w:rPr>
                <w:sz w:val="20"/>
                <w:szCs w:val="20"/>
              </w:rPr>
            </w:pPr>
            <w:r>
              <w:rPr>
                <w:sz w:val="20"/>
                <w:szCs w:val="20"/>
              </w:rPr>
              <w:t>2,58</w:t>
            </w:r>
            <w:r>
              <w:rPr>
                <w:sz w:val="20"/>
                <w:szCs w:val="20"/>
              </w:rPr>
              <w:t>4</w:t>
            </w:r>
          </w:p>
        </w:tc>
        <w:tc>
          <w:tcPr>
            <w:tcW w:w="0" w:type="auto"/>
            <w:noWrap/>
            <w:vAlign w:val="bottom"/>
            <w:hideMark/>
          </w:tcPr>
          <w:p w14:paraId="7CF2F64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FDE7C5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5544C1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DF85404" w14:textId="77777777" w:rsidR="00000000" w:rsidRDefault="00832D71">
            <w:pPr>
              <w:pStyle w:val="a3"/>
              <w:spacing w:before="0" w:beforeAutospacing="0" w:after="0" w:afterAutospacing="0"/>
              <w:jc w:val="right"/>
              <w:rPr>
                <w:sz w:val="20"/>
                <w:szCs w:val="20"/>
              </w:rPr>
            </w:pPr>
            <w:r>
              <w:rPr>
                <w:sz w:val="20"/>
                <w:szCs w:val="20"/>
              </w:rPr>
              <w:t>2,84</w:t>
            </w:r>
            <w:r>
              <w:rPr>
                <w:sz w:val="20"/>
                <w:szCs w:val="20"/>
              </w:rPr>
              <w:t>4</w:t>
            </w:r>
          </w:p>
        </w:tc>
        <w:tc>
          <w:tcPr>
            <w:tcW w:w="0" w:type="auto"/>
            <w:noWrap/>
            <w:vAlign w:val="bottom"/>
            <w:hideMark/>
          </w:tcPr>
          <w:p w14:paraId="6ABBFDBC" w14:textId="77777777" w:rsidR="00000000" w:rsidRDefault="00832D71">
            <w:pPr>
              <w:pStyle w:val="a3"/>
              <w:spacing w:before="0" w:beforeAutospacing="0" w:after="0" w:afterAutospacing="0"/>
              <w:rPr>
                <w:sz w:val="20"/>
                <w:szCs w:val="20"/>
              </w:rPr>
            </w:pPr>
            <w:r>
              <w:rPr>
                <w:sz w:val="20"/>
                <w:szCs w:val="20"/>
              </w:rPr>
              <w:t> </w:t>
            </w:r>
          </w:p>
        </w:tc>
      </w:tr>
      <w:tr w:rsidR="00000000" w14:paraId="07A9B34D" w14:textId="77777777">
        <w:trPr>
          <w:divId w:val="782697080"/>
          <w:trHeight w:val="200"/>
          <w:tblCellSpacing w:w="15" w:type="dxa"/>
        </w:trPr>
        <w:tc>
          <w:tcPr>
            <w:tcW w:w="0" w:type="auto"/>
            <w:hideMark/>
          </w:tcPr>
          <w:p w14:paraId="6C9B883A" w14:textId="77777777" w:rsidR="00000000" w:rsidRDefault="00832D71">
            <w:pPr>
              <w:pStyle w:val="a3"/>
              <w:spacing w:before="0" w:beforeAutospacing="0" w:after="0" w:afterAutospacing="0"/>
              <w:ind w:left="600"/>
              <w:rPr>
                <w:sz w:val="20"/>
                <w:szCs w:val="20"/>
              </w:rPr>
            </w:pPr>
            <w:r>
              <w:rPr>
                <w:sz w:val="20"/>
                <w:szCs w:val="20"/>
              </w:rPr>
              <w:t>Net deferred tax asset</w:t>
            </w:r>
            <w:r>
              <w:rPr>
                <w:sz w:val="20"/>
                <w:szCs w:val="20"/>
              </w:rPr>
              <w:t>s</w:t>
            </w:r>
          </w:p>
        </w:tc>
        <w:tc>
          <w:tcPr>
            <w:tcW w:w="0" w:type="auto"/>
            <w:hideMark/>
          </w:tcPr>
          <w:p w14:paraId="25C6036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87D09F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FF32AA2" w14:textId="77777777" w:rsidR="00000000" w:rsidRDefault="00832D71">
            <w:pPr>
              <w:pStyle w:val="a3"/>
              <w:spacing w:before="0" w:beforeAutospacing="0" w:after="0" w:afterAutospacing="0"/>
              <w:jc w:val="right"/>
              <w:rPr>
                <w:sz w:val="20"/>
                <w:szCs w:val="20"/>
              </w:rPr>
            </w:pPr>
            <w:r>
              <w:rPr>
                <w:sz w:val="20"/>
                <w:szCs w:val="20"/>
              </w:rPr>
              <w:t>40,47</w:t>
            </w:r>
            <w:r>
              <w:rPr>
                <w:sz w:val="20"/>
                <w:szCs w:val="20"/>
              </w:rPr>
              <w:t>4</w:t>
            </w:r>
          </w:p>
        </w:tc>
        <w:tc>
          <w:tcPr>
            <w:tcW w:w="0" w:type="auto"/>
            <w:noWrap/>
            <w:vAlign w:val="bottom"/>
            <w:hideMark/>
          </w:tcPr>
          <w:p w14:paraId="1EB758A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AD0C34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5E1498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ECD75F7" w14:textId="77777777" w:rsidR="00000000" w:rsidRDefault="00832D71">
            <w:pPr>
              <w:pStyle w:val="a3"/>
              <w:spacing w:before="0" w:beforeAutospacing="0" w:after="0" w:afterAutospacing="0"/>
              <w:jc w:val="right"/>
              <w:rPr>
                <w:sz w:val="20"/>
                <w:szCs w:val="20"/>
              </w:rPr>
            </w:pPr>
            <w:r>
              <w:rPr>
                <w:sz w:val="20"/>
                <w:szCs w:val="20"/>
              </w:rPr>
              <w:t>38,66</w:t>
            </w:r>
            <w:r>
              <w:rPr>
                <w:sz w:val="20"/>
                <w:szCs w:val="20"/>
              </w:rPr>
              <w:t>2</w:t>
            </w:r>
          </w:p>
        </w:tc>
        <w:tc>
          <w:tcPr>
            <w:tcW w:w="0" w:type="auto"/>
            <w:noWrap/>
            <w:vAlign w:val="bottom"/>
            <w:hideMark/>
          </w:tcPr>
          <w:p w14:paraId="4B333CA0" w14:textId="77777777" w:rsidR="00000000" w:rsidRDefault="00832D71">
            <w:pPr>
              <w:pStyle w:val="a3"/>
              <w:spacing w:before="0" w:beforeAutospacing="0" w:after="0" w:afterAutospacing="0"/>
              <w:rPr>
                <w:sz w:val="20"/>
                <w:szCs w:val="20"/>
              </w:rPr>
            </w:pPr>
            <w:r>
              <w:rPr>
                <w:sz w:val="20"/>
                <w:szCs w:val="20"/>
              </w:rPr>
              <w:t> </w:t>
            </w:r>
          </w:p>
        </w:tc>
      </w:tr>
      <w:tr w:rsidR="00000000" w14:paraId="14C16003" w14:textId="77777777">
        <w:trPr>
          <w:divId w:val="782697080"/>
          <w:trHeight w:val="200"/>
          <w:tblCellSpacing w:w="15" w:type="dxa"/>
        </w:trPr>
        <w:tc>
          <w:tcPr>
            <w:tcW w:w="0" w:type="auto"/>
            <w:hideMark/>
          </w:tcPr>
          <w:p w14:paraId="1450370A" w14:textId="77777777" w:rsidR="00000000" w:rsidRDefault="00832D71">
            <w:pPr>
              <w:pStyle w:val="a3"/>
              <w:spacing w:before="0" w:beforeAutospacing="0" w:after="0" w:afterAutospacing="0"/>
              <w:rPr>
                <w:sz w:val="20"/>
                <w:szCs w:val="20"/>
              </w:rPr>
            </w:pPr>
            <w:r>
              <w:rPr>
                <w:sz w:val="20"/>
                <w:szCs w:val="20"/>
              </w:rPr>
              <w:t>Valuation allowanc</w:t>
            </w:r>
            <w:r>
              <w:rPr>
                <w:sz w:val="20"/>
                <w:szCs w:val="20"/>
              </w:rPr>
              <w:t>e</w:t>
            </w:r>
          </w:p>
        </w:tc>
        <w:tc>
          <w:tcPr>
            <w:tcW w:w="0" w:type="auto"/>
            <w:hideMark/>
          </w:tcPr>
          <w:p w14:paraId="645C389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0F427B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1A5558C" w14:textId="77777777" w:rsidR="00000000" w:rsidRDefault="00832D71">
            <w:pPr>
              <w:pStyle w:val="a3"/>
              <w:spacing w:before="0" w:beforeAutospacing="0" w:after="0" w:afterAutospacing="0"/>
              <w:jc w:val="right"/>
              <w:rPr>
                <w:sz w:val="20"/>
                <w:szCs w:val="20"/>
              </w:rPr>
            </w:pPr>
            <w:r>
              <w:rPr>
                <w:sz w:val="20"/>
                <w:szCs w:val="20"/>
              </w:rPr>
              <w:t>(</w:t>
            </w:r>
            <w:r>
              <w:rPr>
                <w:sz w:val="20"/>
                <w:szCs w:val="20"/>
              </w:rPr>
              <w:t>39,44</w:t>
            </w:r>
            <w:r>
              <w:rPr>
                <w:sz w:val="20"/>
                <w:szCs w:val="20"/>
              </w:rPr>
              <w:t>2</w:t>
            </w:r>
          </w:p>
        </w:tc>
        <w:tc>
          <w:tcPr>
            <w:tcW w:w="0" w:type="auto"/>
            <w:noWrap/>
            <w:vAlign w:val="bottom"/>
            <w:hideMark/>
          </w:tcPr>
          <w:p w14:paraId="6ECFDE88"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798FF3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383CBE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2323E79" w14:textId="77777777" w:rsidR="00000000" w:rsidRDefault="00832D71">
            <w:pPr>
              <w:pStyle w:val="a3"/>
              <w:spacing w:before="0" w:beforeAutospacing="0" w:after="0" w:afterAutospacing="0"/>
              <w:jc w:val="right"/>
              <w:rPr>
                <w:sz w:val="20"/>
                <w:szCs w:val="20"/>
              </w:rPr>
            </w:pPr>
            <w:r>
              <w:rPr>
                <w:sz w:val="20"/>
                <w:szCs w:val="20"/>
              </w:rPr>
              <w:t>(</w:t>
            </w:r>
            <w:r>
              <w:rPr>
                <w:sz w:val="20"/>
                <w:szCs w:val="20"/>
              </w:rPr>
              <w:t>38,26</w:t>
            </w:r>
            <w:r>
              <w:rPr>
                <w:sz w:val="20"/>
                <w:szCs w:val="20"/>
              </w:rPr>
              <w:t>8</w:t>
            </w:r>
          </w:p>
        </w:tc>
        <w:tc>
          <w:tcPr>
            <w:tcW w:w="0" w:type="auto"/>
            <w:noWrap/>
            <w:vAlign w:val="bottom"/>
            <w:hideMark/>
          </w:tcPr>
          <w:p w14:paraId="0C9394D5" w14:textId="77777777" w:rsidR="00000000" w:rsidRDefault="00832D71">
            <w:pPr>
              <w:pStyle w:val="a3"/>
              <w:spacing w:before="0" w:beforeAutospacing="0" w:after="0" w:afterAutospacing="0"/>
              <w:rPr>
                <w:sz w:val="20"/>
                <w:szCs w:val="20"/>
              </w:rPr>
            </w:pPr>
            <w:r>
              <w:rPr>
                <w:sz w:val="20"/>
                <w:szCs w:val="20"/>
              </w:rPr>
              <w:t>)</w:t>
            </w:r>
          </w:p>
        </w:tc>
      </w:tr>
      <w:tr w:rsidR="00000000" w14:paraId="3AC0555C" w14:textId="77777777">
        <w:trPr>
          <w:divId w:val="782697080"/>
          <w:trHeight w:val="200"/>
          <w:tblCellSpacing w:w="15" w:type="dxa"/>
        </w:trPr>
        <w:tc>
          <w:tcPr>
            <w:tcW w:w="0" w:type="auto"/>
            <w:hideMark/>
          </w:tcPr>
          <w:p w14:paraId="598D0225" w14:textId="77777777" w:rsidR="00000000" w:rsidRDefault="00832D71">
            <w:pPr>
              <w:pStyle w:val="a3"/>
              <w:spacing w:before="0" w:beforeAutospacing="0" w:after="0" w:afterAutospacing="0"/>
              <w:rPr>
                <w:sz w:val="20"/>
                <w:szCs w:val="20"/>
              </w:rPr>
            </w:pPr>
            <w:r>
              <w:rPr>
                <w:sz w:val="20"/>
                <w:szCs w:val="20"/>
              </w:rPr>
              <w:t>Net deferred tax asset</w:t>
            </w:r>
            <w:r>
              <w:rPr>
                <w:sz w:val="20"/>
                <w:szCs w:val="20"/>
              </w:rPr>
              <w:t>s</w:t>
            </w:r>
          </w:p>
        </w:tc>
        <w:tc>
          <w:tcPr>
            <w:tcW w:w="0" w:type="auto"/>
            <w:hideMark/>
          </w:tcPr>
          <w:p w14:paraId="119821F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45C5A2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5FC2878" w14:textId="77777777" w:rsidR="00000000" w:rsidRDefault="00832D71">
            <w:pPr>
              <w:pStyle w:val="a3"/>
              <w:spacing w:before="0" w:beforeAutospacing="0" w:after="0" w:afterAutospacing="0"/>
              <w:jc w:val="right"/>
              <w:rPr>
                <w:sz w:val="20"/>
                <w:szCs w:val="20"/>
              </w:rPr>
            </w:pPr>
            <w:r>
              <w:rPr>
                <w:sz w:val="20"/>
                <w:szCs w:val="20"/>
              </w:rPr>
              <w:t>1,03</w:t>
            </w:r>
            <w:r>
              <w:rPr>
                <w:sz w:val="20"/>
                <w:szCs w:val="20"/>
              </w:rPr>
              <w:t>2</w:t>
            </w:r>
          </w:p>
        </w:tc>
        <w:tc>
          <w:tcPr>
            <w:tcW w:w="0" w:type="auto"/>
            <w:noWrap/>
            <w:vAlign w:val="bottom"/>
            <w:hideMark/>
          </w:tcPr>
          <w:p w14:paraId="25A95F4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DBA19C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77B334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C6B9BFC" w14:textId="77777777" w:rsidR="00000000" w:rsidRDefault="00832D71">
            <w:pPr>
              <w:pStyle w:val="a3"/>
              <w:spacing w:before="0" w:beforeAutospacing="0" w:after="0" w:afterAutospacing="0"/>
              <w:jc w:val="right"/>
              <w:rPr>
                <w:sz w:val="20"/>
                <w:szCs w:val="20"/>
              </w:rPr>
            </w:pPr>
            <w:r>
              <w:rPr>
                <w:sz w:val="20"/>
                <w:szCs w:val="20"/>
              </w:rPr>
              <w:t>39</w:t>
            </w:r>
            <w:r>
              <w:rPr>
                <w:sz w:val="20"/>
                <w:szCs w:val="20"/>
              </w:rPr>
              <w:t>4</w:t>
            </w:r>
          </w:p>
        </w:tc>
        <w:tc>
          <w:tcPr>
            <w:tcW w:w="0" w:type="auto"/>
            <w:noWrap/>
            <w:vAlign w:val="bottom"/>
            <w:hideMark/>
          </w:tcPr>
          <w:p w14:paraId="774C0748" w14:textId="77777777" w:rsidR="00000000" w:rsidRDefault="00832D71">
            <w:pPr>
              <w:pStyle w:val="a3"/>
              <w:spacing w:before="0" w:beforeAutospacing="0" w:after="0" w:afterAutospacing="0"/>
              <w:rPr>
                <w:sz w:val="20"/>
                <w:szCs w:val="20"/>
              </w:rPr>
            </w:pPr>
            <w:r>
              <w:rPr>
                <w:sz w:val="20"/>
                <w:szCs w:val="20"/>
              </w:rPr>
              <w:t> </w:t>
            </w:r>
          </w:p>
        </w:tc>
      </w:tr>
    </w:tbl>
    <w:p w14:paraId="7F977C2A" w14:textId="77777777" w:rsidR="00000000" w:rsidRDefault="00832D71">
      <w:pPr>
        <w:pStyle w:val="a3"/>
        <w:spacing w:before="0" w:beforeAutospacing="0" w:after="0" w:afterAutospacing="0"/>
        <w:rPr>
          <w:sz w:val="20"/>
          <w:szCs w:val="20"/>
        </w:rPr>
      </w:pPr>
      <w:r>
        <w:rPr>
          <w:sz w:val="20"/>
          <w:szCs w:val="20"/>
        </w:rPr>
        <w:t> </w:t>
      </w:r>
    </w:p>
    <w:p w14:paraId="71835DFA" w14:textId="77777777" w:rsidR="00000000" w:rsidRDefault="00832D71">
      <w:pPr>
        <w:pStyle w:val="a3"/>
        <w:spacing w:before="0" w:beforeAutospacing="0" w:after="0" w:afterAutospacing="0"/>
        <w:ind w:hanging="581"/>
        <w:jc w:val="both"/>
        <w:divId w:val="1954552574"/>
        <w:rPr>
          <w:sz w:val="20"/>
          <w:szCs w:val="20"/>
        </w:rPr>
      </w:pPr>
      <w:r>
        <w:rPr>
          <w:b/>
          <w:bCs/>
          <w:sz w:val="20"/>
          <w:szCs w:val="20"/>
        </w:rPr>
        <w:t>10. Long-Term Borrowing</w:t>
      </w:r>
      <w:r>
        <w:rPr>
          <w:b/>
          <w:bCs/>
          <w:sz w:val="20"/>
          <w:szCs w:val="20"/>
        </w:rPr>
        <w:t>s</w:t>
      </w:r>
    </w:p>
    <w:p w14:paraId="57B93070" w14:textId="77777777" w:rsidR="00000000" w:rsidRDefault="00832D71">
      <w:pPr>
        <w:pStyle w:val="a3"/>
        <w:spacing w:before="120" w:beforeAutospacing="0" w:after="0" w:afterAutospacing="0"/>
        <w:jc w:val="both"/>
        <w:divId w:val="1494174886"/>
        <w:rPr>
          <w:sz w:val="20"/>
          <w:szCs w:val="20"/>
        </w:rPr>
      </w:pPr>
      <w:r>
        <w:rPr>
          <w:sz w:val="20"/>
          <w:szCs w:val="20"/>
        </w:rPr>
        <w:t>Long-term borrowings consist of the following</w:t>
      </w:r>
      <w:r>
        <w:rPr>
          <w:sz w:val="20"/>
          <w:szCs w:val="20"/>
        </w:rPr>
        <w:t>:</w:t>
      </w:r>
    </w:p>
    <w:p w14:paraId="768412D3" w14:textId="77777777" w:rsidR="00000000" w:rsidRDefault="00832D71">
      <w:pPr>
        <w:pStyle w:val="a3"/>
        <w:spacing w:before="0" w:beforeAutospacing="0" w:after="0" w:afterAutospacing="0"/>
        <w:divId w:val="1494174886"/>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85"/>
        <w:gridCol w:w="110"/>
        <w:gridCol w:w="160"/>
        <w:gridCol w:w="860"/>
        <w:gridCol w:w="127"/>
        <w:gridCol w:w="110"/>
        <w:gridCol w:w="160"/>
        <w:gridCol w:w="860"/>
        <w:gridCol w:w="142"/>
      </w:tblGrid>
      <w:tr w:rsidR="00000000" w14:paraId="6D7A7BBB" w14:textId="77777777">
        <w:trPr>
          <w:divId w:val="1494174886"/>
          <w:tblCellSpacing w:w="15" w:type="dxa"/>
        </w:trPr>
        <w:tc>
          <w:tcPr>
            <w:tcW w:w="3331" w:type="pct"/>
            <w:vAlign w:val="center"/>
            <w:hideMark/>
          </w:tcPr>
          <w:p w14:paraId="43D31633" w14:textId="77777777" w:rsidR="00000000" w:rsidRDefault="00832D71">
            <w:pPr>
              <w:rPr>
                <w:sz w:val="20"/>
                <w:szCs w:val="20"/>
              </w:rPr>
            </w:pPr>
          </w:p>
        </w:tc>
        <w:tc>
          <w:tcPr>
            <w:tcW w:w="80" w:type="pct"/>
            <w:vAlign w:val="center"/>
            <w:hideMark/>
          </w:tcPr>
          <w:p w14:paraId="14076B96" w14:textId="77777777" w:rsidR="00000000" w:rsidRDefault="00832D71">
            <w:pPr>
              <w:rPr>
                <w:rFonts w:eastAsia="Times New Roman"/>
                <w:sz w:val="20"/>
                <w:szCs w:val="20"/>
              </w:rPr>
            </w:pPr>
          </w:p>
        </w:tc>
        <w:tc>
          <w:tcPr>
            <w:tcW w:w="50" w:type="pct"/>
            <w:vAlign w:val="center"/>
            <w:hideMark/>
          </w:tcPr>
          <w:p w14:paraId="7BB710C9" w14:textId="77777777" w:rsidR="00000000" w:rsidRDefault="00832D71">
            <w:pPr>
              <w:rPr>
                <w:rFonts w:eastAsia="Times New Roman"/>
                <w:sz w:val="20"/>
                <w:szCs w:val="20"/>
              </w:rPr>
            </w:pPr>
          </w:p>
        </w:tc>
        <w:tc>
          <w:tcPr>
            <w:tcW w:w="647" w:type="pct"/>
            <w:vAlign w:val="center"/>
            <w:hideMark/>
          </w:tcPr>
          <w:p w14:paraId="390BF12C" w14:textId="77777777" w:rsidR="00000000" w:rsidRDefault="00832D71">
            <w:pPr>
              <w:rPr>
                <w:rFonts w:eastAsia="Times New Roman"/>
                <w:sz w:val="20"/>
                <w:szCs w:val="20"/>
              </w:rPr>
            </w:pPr>
          </w:p>
        </w:tc>
        <w:tc>
          <w:tcPr>
            <w:tcW w:w="50" w:type="pct"/>
            <w:vAlign w:val="center"/>
            <w:hideMark/>
          </w:tcPr>
          <w:p w14:paraId="1A2FEC18" w14:textId="77777777" w:rsidR="00000000" w:rsidRDefault="00832D71">
            <w:pPr>
              <w:rPr>
                <w:rFonts w:eastAsia="Times New Roman"/>
                <w:sz w:val="20"/>
                <w:szCs w:val="20"/>
              </w:rPr>
            </w:pPr>
          </w:p>
        </w:tc>
        <w:tc>
          <w:tcPr>
            <w:tcW w:w="80" w:type="pct"/>
            <w:vAlign w:val="center"/>
            <w:hideMark/>
          </w:tcPr>
          <w:p w14:paraId="3B8116A8" w14:textId="77777777" w:rsidR="00000000" w:rsidRDefault="00832D71">
            <w:pPr>
              <w:rPr>
                <w:rFonts w:eastAsia="Times New Roman"/>
                <w:sz w:val="20"/>
                <w:szCs w:val="20"/>
              </w:rPr>
            </w:pPr>
          </w:p>
        </w:tc>
        <w:tc>
          <w:tcPr>
            <w:tcW w:w="50" w:type="pct"/>
            <w:vAlign w:val="center"/>
            <w:hideMark/>
          </w:tcPr>
          <w:p w14:paraId="624EFEE0" w14:textId="77777777" w:rsidR="00000000" w:rsidRDefault="00832D71">
            <w:pPr>
              <w:rPr>
                <w:rFonts w:eastAsia="Times New Roman"/>
                <w:sz w:val="20"/>
                <w:szCs w:val="20"/>
              </w:rPr>
            </w:pPr>
          </w:p>
        </w:tc>
        <w:tc>
          <w:tcPr>
            <w:tcW w:w="659" w:type="pct"/>
            <w:vAlign w:val="center"/>
            <w:hideMark/>
          </w:tcPr>
          <w:p w14:paraId="0B94BB08" w14:textId="77777777" w:rsidR="00000000" w:rsidRDefault="00832D71">
            <w:pPr>
              <w:rPr>
                <w:rFonts w:eastAsia="Times New Roman"/>
                <w:sz w:val="20"/>
                <w:szCs w:val="20"/>
              </w:rPr>
            </w:pPr>
          </w:p>
        </w:tc>
        <w:tc>
          <w:tcPr>
            <w:tcW w:w="50" w:type="pct"/>
            <w:vAlign w:val="center"/>
            <w:hideMark/>
          </w:tcPr>
          <w:p w14:paraId="63D7EBB5" w14:textId="77777777" w:rsidR="00000000" w:rsidRDefault="00832D71">
            <w:pPr>
              <w:rPr>
                <w:rFonts w:eastAsia="Times New Roman"/>
                <w:sz w:val="20"/>
                <w:szCs w:val="20"/>
              </w:rPr>
            </w:pPr>
          </w:p>
        </w:tc>
      </w:tr>
      <w:tr w:rsidR="00000000" w14:paraId="06A47D0D" w14:textId="77777777">
        <w:trPr>
          <w:divId w:val="1494174886"/>
          <w:trHeight w:val="160"/>
          <w:tblCellSpacing w:w="15" w:type="dxa"/>
        </w:trPr>
        <w:tc>
          <w:tcPr>
            <w:tcW w:w="0" w:type="auto"/>
            <w:vAlign w:val="bottom"/>
            <w:hideMark/>
          </w:tcPr>
          <w:p w14:paraId="0EE9B43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6B45304" w14:textId="77777777" w:rsidR="00000000" w:rsidRDefault="00832D71">
            <w:pPr>
              <w:pStyle w:val="a3"/>
              <w:spacing w:before="0" w:beforeAutospacing="0" w:after="0" w:afterAutospacing="0"/>
              <w:rPr>
                <w:sz w:val="16"/>
                <w:szCs w:val="16"/>
              </w:rPr>
            </w:pPr>
            <w:r>
              <w:rPr>
                <w:sz w:val="16"/>
                <w:szCs w:val="16"/>
              </w:rPr>
              <w:t> </w:t>
            </w:r>
          </w:p>
        </w:tc>
        <w:tc>
          <w:tcPr>
            <w:tcW w:w="0" w:type="auto"/>
            <w:gridSpan w:val="6"/>
            <w:vAlign w:val="bottom"/>
            <w:hideMark/>
          </w:tcPr>
          <w:p w14:paraId="3EE1858A" w14:textId="77777777" w:rsidR="00000000" w:rsidRDefault="00832D71">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14:paraId="6CCCC4BD"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C65FBB6" w14:textId="77777777">
        <w:trPr>
          <w:divId w:val="1494174886"/>
          <w:trHeight w:val="160"/>
          <w:tblCellSpacing w:w="15" w:type="dxa"/>
        </w:trPr>
        <w:tc>
          <w:tcPr>
            <w:tcW w:w="0" w:type="auto"/>
            <w:vAlign w:val="bottom"/>
            <w:hideMark/>
          </w:tcPr>
          <w:p w14:paraId="6F5E0EE5"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66E69B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4DA7B81" w14:textId="77777777" w:rsidR="00000000" w:rsidRDefault="00832D71">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14:paraId="5CC0DE86"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E25B2A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7431000" w14:textId="77777777" w:rsidR="00000000" w:rsidRDefault="00832D71">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14:paraId="22C9A259"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20F0B30" w14:textId="77777777">
        <w:trPr>
          <w:divId w:val="1494174886"/>
          <w:trHeight w:val="160"/>
          <w:tblCellSpacing w:w="15" w:type="dxa"/>
        </w:trPr>
        <w:tc>
          <w:tcPr>
            <w:tcW w:w="0" w:type="auto"/>
            <w:vAlign w:val="bottom"/>
            <w:hideMark/>
          </w:tcPr>
          <w:p w14:paraId="5F76449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733308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1D95753"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69F7F267"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81B3EC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844E8BB"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06A138DC"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12E55C6" w14:textId="77777777">
        <w:trPr>
          <w:divId w:val="1494174886"/>
          <w:trHeight w:val="200"/>
          <w:tblCellSpacing w:w="15" w:type="dxa"/>
        </w:trPr>
        <w:tc>
          <w:tcPr>
            <w:tcW w:w="0" w:type="auto"/>
            <w:hideMark/>
          </w:tcPr>
          <w:p w14:paraId="462D2447" w14:textId="77777777" w:rsidR="00000000" w:rsidRDefault="00832D71">
            <w:pPr>
              <w:pStyle w:val="a3"/>
              <w:spacing w:before="0" w:beforeAutospacing="0" w:after="0" w:afterAutospacing="0"/>
              <w:rPr>
                <w:sz w:val="20"/>
                <w:szCs w:val="20"/>
              </w:rPr>
            </w:pPr>
            <w:r>
              <w:rPr>
                <w:sz w:val="20"/>
                <w:szCs w:val="20"/>
              </w:rPr>
              <w:t>5.87</w:t>
            </w:r>
            <w:r>
              <w:rPr>
                <w:sz w:val="20"/>
                <w:szCs w:val="20"/>
              </w:rPr>
              <w:t>5</w:t>
            </w:r>
            <w:r>
              <w:rPr>
                <w:sz w:val="20"/>
                <w:szCs w:val="20"/>
              </w:rPr>
              <w:t>% senior notes, due</w:t>
            </w:r>
            <w:r>
              <w:rPr>
                <w:sz w:val="20"/>
                <w:szCs w:val="20"/>
              </w:rPr>
              <w:t xml:space="preserve"> </w:t>
            </w:r>
            <w:r>
              <w:rPr>
                <w:sz w:val="20"/>
                <w:szCs w:val="20"/>
              </w:rPr>
              <w:t>March 1, 202</w:t>
            </w:r>
            <w:r>
              <w:rPr>
                <w:sz w:val="20"/>
                <w:szCs w:val="20"/>
              </w:rPr>
              <w:t>7</w:t>
            </w:r>
          </w:p>
        </w:tc>
        <w:tc>
          <w:tcPr>
            <w:tcW w:w="0" w:type="auto"/>
            <w:hideMark/>
          </w:tcPr>
          <w:p w14:paraId="4CD58AB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738516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6987122" w14:textId="77777777" w:rsidR="00000000" w:rsidRDefault="00832D71">
            <w:pPr>
              <w:pStyle w:val="a3"/>
              <w:spacing w:before="0" w:beforeAutospacing="0" w:after="0" w:afterAutospacing="0"/>
              <w:jc w:val="right"/>
              <w:rPr>
                <w:sz w:val="20"/>
                <w:szCs w:val="20"/>
              </w:rPr>
            </w:pPr>
            <w:r>
              <w:rPr>
                <w:sz w:val="20"/>
                <w:szCs w:val="20"/>
              </w:rPr>
              <w:t>350,00</w:t>
            </w:r>
            <w:r>
              <w:rPr>
                <w:sz w:val="20"/>
                <w:szCs w:val="20"/>
              </w:rPr>
              <w:t>0</w:t>
            </w:r>
          </w:p>
        </w:tc>
        <w:tc>
          <w:tcPr>
            <w:tcW w:w="0" w:type="auto"/>
            <w:noWrap/>
            <w:vAlign w:val="bottom"/>
            <w:hideMark/>
          </w:tcPr>
          <w:p w14:paraId="2138D11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BBAFC0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F62B49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8B6D2DB" w14:textId="77777777" w:rsidR="00000000" w:rsidRDefault="00832D71">
            <w:pPr>
              <w:pStyle w:val="a3"/>
              <w:spacing w:before="0" w:beforeAutospacing="0" w:after="0" w:afterAutospacing="0"/>
              <w:jc w:val="right"/>
              <w:rPr>
                <w:sz w:val="20"/>
                <w:szCs w:val="20"/>
              </w:rPr>
            </w:pPr>
            <w:r>
              <w:rPr>
                <w:sz w:val="20"/>
                <w:szCs w:val="20"/>
              </w:rPr>
              <w:t>350,00</w:t>
            </w:r>
            <w:r>
              <w:rPr>
                <w:sz w:val="20"/>
                <w:szCs w:val="20"/>
              </w:rPr>
              <w:t>0</w:t>
            </w:r>
          </w:p>
        </w:tc>
        <w:tc>
          <w:tcPr>
            <w:tcW w:w="0" w:type="auto"/>
            <w:noWrap/>
            <w:vAlign w:val="bottom"/>
            <w:hideMark/>
          </w:tcPr>
          <w:p w14:paraId="58C3F8D8" w14:textId="77777777" w:rsidR="00000000" w:rsidRDefault="00832D71">
            <w:pPr>
              <w:pStyle w:val="a3"/>
              <w:spacing w:before="0" w:beforeAutospacing="0" w:after="0" w:afterAutospacing="0"/>
              <w:rPr>
                <w:sz w:val="20"/>
                <w:szCs w:val="20"/>
              </w:rPr>
            </w:pPr>
            <w:r>
              <w:rPr>
                <w:sz w:val="20"/>
                <w:szCs w:val="20"/>
              </w:rPr>
              <w:t> </w:t>
            </w:r>
          </w:p>
        </w:tc>
      </w:tr>
      <w:tr w:rsidR="00000000" w14:paraId="30188F6E" w14:textId="77777777">
        <w:trPr>
          <w:divId w:val="1494174886"/>
          <w:trHeight w:val="200"/>
          <w:tblCellSpacing w:w="15" w:type="dxa"/>
        </w:trPr>
        <w:tc>
          <w:tcPr>
            <w:tcW w:w="0" w:type="auto"/>
            <w:hideMark/>
          </w:tcPr>
          <w:p w14:paraId="199D8EEF" w14:textId="77777777" w:rsidR="00000000" w:rsidRDefault="00832D71">
            <w:pPr>
              <w:pStyle w:val="a3"/>
              <w:spacing w:before="0" w:beforeAutospacing="0" w:after="0" w:afterAutospacing="0"/>
              <w:rPr>
                <w:sz w:val="20"/>
                <w:szCs w:val="20"/>
              </w:rPr>
            </w:pPr>
            <w:r>
              <w:rPr>
                <w:sz w:val="20"/>
                <w:szCs w:val="20"/>
              </w:rPr>
              <w:t>5.</w:t>
            </w:r>
            <w:r>
              <w:rPr>
                <w:sz w:val="20"/>
                <w:szCs w:val="20"/>
              </w:rPr>
              <w:t>0</w:t>
            </w:r>
            <w:r>
              <w:rPr>
                <w:sz w:val="20"/>
                <w:szCs w:val="20"/>
              </w:rPr>
              <w:t>% senior notes, due</w:t>
            </w:r>
            <w:r>
              <w:rPr>
                <w:sz w:val="20"/>
                <w:szCs w:val="20"/>
              </w:rPr>
              <w:t xml:space="preserve"> </w:t>
            </w:r>
            <w:r>
              <w:rPr>
                <w:sz w:val="20"/>
                <w:szCs w:val="20"/>
              </w:rPr>
              <w:t>June 1, 203</w:t>
            </w:r>
            <w:r>
              <w:rPr>
                <w:sz w:val="20"/>
                <w:szCs w:val="20"/>
              </w:rPr>
              <w:t>1</w:t>
            </w:r>
          </w:p>
        </w:tc>
        <w:tc>
          <w:tcPr>
            <w:tcW w:w="0" w:type="auto"/>
            <w:hideMark/>
          </w:tcPr>
          <w:p w14:paraId="4C811FF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0B543D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4F77C06" w14:textId="77777777" w:rsidR="00000000" w:rsidRDefault="00832D71">
            <w:pPr>
              <w:pStyle w:val="a3"/>
              <w:spacing w:before="0" w:beforeAutospacing="0" w:after="0" w:afterAutospacing="0"/>
              <w:jc w:val="right"/>
              <w:rPr>
                <w:sz w:val="20"/>
                <w:szCs w:val="20"/>
              </w:rPr>
            </w:pPr>
            <w:r>
              <w:rPr>
                <w:sz w:val="20"/>
                <w:szCs w:val="20"/>
              </w:rPr>
              <w:t>650,00</w:t>
            </w:r>
            <w:r>
              <w:rPr>
                <w:sz w:val="20"/>
                <w:szCs w:val="20"/>
              </w:rPr>
              <w:t>0</w:t>
            </w:r>
          </w:p>
        </w:tc>
        <w:tc>
          <w:tcPr>
            <w:tcW w:w="0" w:type="auto"/>
            <w:noWrap/>
            <w:vAlign w:val="bottom"/>
            <w:hideMark/>
          </w:tcPr>
          <w:p w14:paraId="755DB68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72FB29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BE3B74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9FA1561" w14:textId="77777777" w:rsidR="00000000" w:rsidRDefault="00832D71">
            <w:pPr>
              <w:pStyle w:val="a3"/>
              <w:spacing w:before="0" w:beforeAutospacing="0" w:after="0" w:afterAutospacing="0"/>
              <w:jc w:val="right"/>
              <w:rPr>
                <w:sz w:val="20"/>
                <w:szCs w:val="20"/>
              </w:rPr>
            </w:pPr>
            <w:r>
              <w:rPr>
                <w:sz w:val="20"/>
                <w:szCs w:val="20"/>
              </w:rPr>
              <w:t>650,00</w:t>
            </w:r>
            <w:r>
              <w:rPr>
                <w:sz w:val="20"/>
                <w:szCs w:val="20"/>
              </w:rPr>
              <w:t>0</w:t>
            </w:r>
          </w:p>
        </w:tc>
        <w:tc>
          <w:tcPr>
            <w:tcW w:w="0" w:type="auto"/>
            <w:noWrap/>
            <w:vAlign w:val="bottom"/>
            <w:hideMark/>
          </w:tcPr>
          <w:p w14:paraId="2A12D8EC" w14:textId="77777777" w:rsidR="00000000" w:rsidRDefault="00832D71">
            <w:pPr>
              <w:pStyle w:val="a3"/>
              <w:spacing w:before="0" w:beforeAutospacing="0" w:after="0" w:afterAutospacing="0"/>
              <w:rPr>
                <w:sz w:val="20"/>
                <w:szCs w:val="20"/>
              </w:rPr>
            </w:pPr>
            <w:r>
              <w:rPr>
                <w:sz w:val="20"/>
                <w:szCs w:val="20"/>
              </w:rPr>
              <w:t> </w:t>
            </w:r>
          </w:p>
        </w:tc>
      </w:tr>
      <w:tr w:rsidR="00000000" w14:paraId="28AD6F3D" w14:textId="77777777">
        <w:trPr>
          <w:divId w:val="1494174886"/>
          <w:trHeight w:val="200"/>
          <w:tblCellSpacing w:w="15" w:type="dxa"/>
        </w:trPr>
        <w:tc>
          <w:tcPr>
            <w:tcW w:w="0" w:type="auto"/>
            <w:hideMark/>
          </w:tcPr>
          <w:p w14:paraId="3943438E" w14:textId="77777777" w:rsidR="00000000" w:rsidRDefault="00832D71">
            <w:pPr>
              <w:pStyle w:val="a3"/>
              <w:spacing w:before="0" w:beforeAutospacing="0" w:after="0" w:afterAutospacing="0"/>
              <w:rPr>
                <w:sz w:val="20"/>
                <w:szCs w:val="20"/>
              </w:rPr>
            </w:pPr>
            <w:r>
              <w:rPr>
                <w:sz w:val="20"/>
                <w:szCs w:val="20"/>
              </w:rPr>
              <w:t>Revolving Credit Facility, due</w:t>
            </w:r>
            <w:r>
              <w:rPr>
                <w:sz w:val="20"/>
                <w:szCs w:val="20"/>
              </w:rPr>
              <w:t xml:space="preserve"> </w:t>
            </w:r>
            <w:r>
              <w:rPr>
                <w:sz w:val="20"/>
                <w:szCs w:val="20"/>
              </w:rPr>
              <w:t>March 5, 202</w:t>
            </w:r>
            <w:r>
              <w:rPr>
                <w:sz w:val="20"/>
                <w:szCs w:val="20"/>
              </w:rPr>
              <w:t>5</w:t>
            </w:r>
          </w:p>
        </w:tc>
        <w:tc>
          <w:tcPr>
            <w:tcW w:w="0" w:type="auto"/>
            <w:hideMark/>
          </w:tcPr>
          <w:p w14:paraId="64837B3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31A1A7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B76E169" w14:textId="77777777" w:rsidR="00000000" w:rsidRDefault="00832D71">
            <w:pPr>
              <w:pStyle w:val="a3"/>
              <w:spacing w:before="0" w:beforeAutospacing="0" w:after="0" w:afterAutospacing="0"/>
              <w:jc w:val="right"/>
              <w:rPr>
                <w:sz w:val="20"/>
                <w:szCs w:val="20"/>
              </w:rPr>
            </w:pPr>
            <w:r>
              <w:rPr>
                <w:sz w:val="20"/>
                <w:szCs w:val="20"/>
              </w:rPr>
              <w:t>89,60</w:t>
            </w:r>
            <w:r>
              <w:rPr>
                <w:sz w:val="20"/>
                <w:szCs w:val="20"/>
              </w:rPr>
              <w:t>0</w:t>
            </w:r>
          </w:p>
        </w:tc>
        <w:tc>
          <w:tcPr>
            <w:tcW w:w="0" w:type="auto"/>
            <w:noWrap/>
            <w:vAlign w:val="bottom"/>
            <w:hideMark/>
          </w:tcPr>
          <w:p w14:paraId="5AB2553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67C9B5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560297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523209C" w14:textId="77777777" w:rsidR="00000000" w:rsidRDefault="00832D71">
            <w:pPr>
              <w:pStyle w:val="a3"/>
              <w:spacing w:before="0" w:beforeAutospacing="0" w:after="0" w:afterAutospacing="0"/>
              <w:jc w:val="right"/>
              <w:rPr>
                <w:sz w:val="20"/>
                <w:szCs w:val="20"/>
              </w:rPr>
            </w:pPr>
            <w:r>
              <w:rPr>
                <w:sz w:val="20"/>
                <w:szCs w:val="20"/>
              </w:rPr>
              <w:t>132,00</w:t>
            </w:r>
            <w:r>
              <w:rPr>
                <w:sz w:val="20"/>
                <w:szCs w:val="20"/>
              </w:rPr>
              <w:t>0</w:t>
            </w:r>
          </w:p>
        </w:tc>
        <w:tc>
          <w:tcPr>
            <w:tcW w:w="0" w:type="auto"/>
            <w:noWrap/>
            <w:vAlign w:val="bottom"/>
            <w:hideMark/>
          </w:tcPr>
          <w:p w14:paraId="2FA6AFA7" w14:textId="77777777" w:rsidR="00000000" w:rsidRDefault="00832D71">
            <w:pPr>
              <w:pStyle w:val="a3"/>
              <w:spacing w:before="0" w:beforeAutospacing="0" w:after="0" w:afterAutospacing="0"/>
              <w:rPr>
                <w:sz w:val="20"/>
                <w:szCs w:val="20"/>
              </w:rPr>
            </w:pPr>
            <w:r>
              <w:rPr>
                <w:sz w:val="20"/>
                <w:szCs w:val="20"/>
              </w:rPr>
              <w:t> </w:t>
            </w:r>
          </w:p>
        </w:tc>
      </w:tr>
      <w:tr w:rsidR="00000000" w14:paraId="7441FFF5" w14:textId="77777777">
        <w:trPr>
          <w:divId w:val="1494174886"/>
          <w:trHeight w:val="200"/>
          <w:tblCellSpacing w:w="15" w:type="dxa"/>
        </w:trPr>
        <w:tc>
          <w:tcPr>
            <w:tcW w:w="0" w:type="auto"/>
            <w:hideMark/>
          </w:tcPr>
          <w:p w14:paraId="20913B46" w14:textId="77777777" w:rsidR="00000000" w:rsidRDefault="00832D71">
            <w:pPr>
              <w:pStyle w:val="a3"/>
              <w:spacing w:before="0" w:beforeAutospacing="0" w:after="0" w:afterAutospacing="0"/>
              <w:rPr>
                <w:sz w:val="20"/>
                <w:szCs w:val="20"/>
              </w:rPr>
            </w:pPr>
            <w:r>
              <w:rPr>
                <w:sz w:val="20"/>
                <w:szCs w:val="20"/>
              </w:rPr>
              <w:t>     Subtota</w:t>
            </w:r>
            <w:r>
              <w:rPr>
                <w:sz w:val="20"/>
                <w:szCs w:val="20"/>
              </w:rPr>
              <w:t>l</w:t>
            </w:r>
          </w:p>
        </w:tc>
        <w:tc>
          <w:tcPr>
            <w:tcW w:w="0" w:type="auto"/>
            <w:hideMark/>
          </w:tcPr>
          <w:p w14:paraId="7E9BA42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3F6319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6D8F5E0" w14:textId="77777777" w:rsidR="00000000" w:rsidRDefault="00832D71">
            <w:pPr>
              <w:pStyle w:val="a3"/>
              <w:spacing w:before="0" w:beforeAutospacing="0" w:after="0" w:afterAutospacing="0"/>
              <w:jc w:val="right"/>
              <w:rPr>
                <w:sz w:val="20"/>
                <w:szCs w:val="20"/>
              </w:rPr>
            </w:pPr>
            <w:r>
              <w:rPr>
                <w:sz w:val="20"/>
                <w:szCs w:val="20"/>
              </w:rPr>
              <w:t>1,089,60</w:t>
            </w:r>
            <w:r>
              <w:rPr>
                <w:sz w:val="20"/>
                <w:szCs w:val="20"/>
              </w:rPr>
              <w:t>0</w:t>
            </w:r>
          </w:p>
        </w:tc>
        <w:tc>
          <w:tcPr>
            <w:tcW w:w="0" w:type="auto"/>
            <w:noWrap/>
            <w:vAlign w:val="bottom"/>
            <w:hideMark/>
          </w:tcPr>
          <w:p w14:paraId="4C5D568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3CE910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69E94A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CB9C613" w14:textId="77777777" w:rsidR="00000000" w:rsidRDefault="00832D71">
            <w:pPr>
              <w:pStyle w:val="a3"/>
              <w:spacing w:before="0" w:beforeAutospacing="0" w:after="0" w:afterAutospacing="0"/>
              <w:jc w:val="right"/>
              <w:rPr>
                <w:sz w:val="20"/>
                <w:szCs w:val="20"/>
              </w:rPr>
            </w:pPr>
            <w:r>
              <w:rPr>
                <w:sz w:val="20"/>
                <w:szCs w:val="20"/>
              </w:rPr>
              <w:t>1,132,00</w:t>
            </w:r>
            <w:r>
              <w:rPr>
                <w:sz w:val="20"/>
                <w:szCs w:val="20"/>
              </w:rPr>
              <w:t>0</w:t>
            </w:r>
          </w:p>
        </w:tc>
        <w:tc>
          <w:tcPr>
            <w:tcW w:w="0" w:type="auto"/>
            <w:noWrap/>
            <w:vAlign w:val="bottom"/>
            <w:hideMark/>
          </w:tcPr>
          <w:p w14:paraId="5DF0A6F5" w14:textId="77777777" w:rsidR="00000000" w:rsidRDefault="00832D71">
            <w:pPr>
              <w:pStyle w:val="a3"/>
              <w:spacing w:before="0" w:beforeAutospacing="0" w:after="0" w:afterAutospacing="0"/>
              <w:rPr>
                <w:sz w:val="20"/>
                <w:szCs w:val="20"/>
              </w:rPr>
            </w:pPr>
            <w:r>
              <w:rPr>
                <w:sz w:val="20"/>
                <w:szCs w:val="20"/>
              </w:rPr>
              <w:t> </w:t>
            </w:r>
          </w:p>
        </w:tc>
      </w:tr>
      <w:tr w:rsidR="00000000" w14:paraId="50FAED0F" w14:textId="77777777">
        <w:trPr>
          <w:divId w:val="1494174886"/>
          <w:tblCellSpacing w:w="15" w:type="dxa"/>
        </w:trPr>
        <w:tc>
          <w:tcPr>
            <w:tcW w:w="0" w:type="auto"/>
            <w:hideMark/>
          </w:tcPr>
          <w:p w14:paraId="23055CF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FCCD025"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F59CF7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377FE24"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2D5D679F"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35D0F9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42CAD23" w14:textId="77777777" w:rsidR="00000000" w:rsidRDefault="00832D71">
            <w:pPr>
              <w:pStyle w:val="a3"/>
              <w:spacing w:before="0" w:beforeAutospacing="0" w:after="0" w:afterAutospacing="0"/>
              <w:jc w:val="right"/>
              <w:rPr>
                <w:sz w:val="20"/>
                <w:szCs w:val="20"/>
              </w:rPr>
            </w:pPr>
            <w:r>
              <w:rPr>
                <w:sz w:val="20"/>
                <w:szCs w:val="20"/>
              </w:rPr>
              <w:t> </w:t>
            </w:r>
          </w:p>
        </w:tc>
      </w:tr>
      <w:tr w:rsidR="00000000" w14:paraId="542865FC" w14:textId="77777777">
        <w:trPr>
          <w:divId w:val="1494174886"/>
          <w:trHeight w:val="200"/>
          <w:tblCellSpacing w:w="15" w:type="dxa"/>
        </w:trPr>
        <w:tc>
          <w:tcPr>
            <w:tcW w:w="0" w:type="auto"/>
            <w:hideMark/>
          </w:tcPr>
          <w:p w14:paraId="45652E04" w14:textId="77777777" w:rsidR="00000000" w:rsidRDefault="00832D71">
            <w:pPr>
              <w:pStyle w:val="a3"/>
              <w:spacing w:before="0" w:beforeAutospacing="0" w:after="0" w:afterAutospacing="0"/>
              <w:rPr>
                <w:sz w:val="20"/>
                <w:szCs w:val="20"/>
              </w:rPr>
            </w:pPr>
            <w:r>
              <w:rPr>
                <w:sz w:val="20"/>
                <w:szCs w:val="20"/>
              </w:rPr>
              <w:t>Less: unamortized debt issuance cost</w:t>
            </w:r>
            <w:r>
              <w:rPr>
                <w:sz w:val="20"/>
                <w:szCs w:val="20"/>
              </w:rPr>
              <w:t>s</w:t>
            </w:r>
          </w:p>
        </w:tc>
        <w:tc>
          <w:tcPr>
            <w:tcW w:w="0" w:type="auto"/>
            <w:hideMark/>
          </w:tcPr>
          <w:p w14:paraId="55A339E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1F2173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F712B7C" w14:textId="77777777" w:rsidR="00000000" w:rsidRDefault="00832D71">
            <w:pPr>
              <w:pStyle w:val="a3"/>
              <w:spacing w:before="0" w:beforeAutospacing="0" w:after="0" w:afterAutospacing="0"/>
              <w:jc w:val="right"/>
              <w:rPr>
                <w:sz w:val="20"/>
                <w:szCs w:val="20"/>
              </w:rPr>
            </w:pPr>
            <w:r>
              <w:rPr>
                <w:sz w:val="20"/>
                <w:szCs w:val="20"/>
              </w:rPr>
              <w:t>(</w:t>
            </w:r>
            <w:r>
              <w:rPr>
                <w:sz w:val="20"/>
                <w:szCs w:val="20"/>
              </w:rPr>
              <w:t>12,27</w:t>
            </w:r>
            <w:r>
              <w:rPr>
                <w:sz w:val="20"/>
                <w:szCs w:val="20"/>
              </w:rPr>
              <w:t>1</w:t>
            </w:r>
          </w:p>
        </w:tc>
        <w:tc>
          <w:tcPr>
            <w:tcW w:w="0" w:type="auto"/>
            <w:noWrap/>
            <w:vAlign w:val="bottom"/>
            <w:hideMark/>
          </w:tcPr>
          <w:p w14:paraId="639E2F27"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683D5C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AAD926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FD75CF3" w14:textId="77777777" w:rsidR="00000000" w:rsidRDefault="00832D71">
            <w:pPr>
              <w:pStyle w:val="a3"/>
              <w:spacing w:before="0" w:beforeAutospacing="0" w:after="0" w:afterAutospacing="0"/>
              <w:jc w:val="right"/>
              <w:rPr>
                <w:sz w:val="20"/>
                <w:szCs w:val="20"/>
              </w:rPr>
            </w:pPr>
            <w:r>
              <w:rPr>
                <w:sz w:val="20"/>
                <w:szCs w:val="20"/>
              </w:rPr>
              <w:t>(</w:t>
            </w:r>
            <w:r>
              <w:rPr>
                <w:sz w:val="20"/>
                <w:szCs w:val="20"/>
              </w:rPr>
              <w:t>13,98</w:t>
            </w:r>
            <w:r>
              <w:rPr>
                <w:sz w:val="20"/>
                <w:szCs w:val="20"/>
              </w:rPr>
              <w:t>6</w:t>
            </w:r>
          </w:p>
        </w:tc>
        <w:tc>
          <w:tcPr>
            <w:tcW w:w="0" w:type="auto"/>
            <w:noWrap/>
            <w:vAlign w:val="bottom"/>
            <w:hideMark/>
          </w:tcPr>
          <w:p w14:paraId="0415D210" w14:textId="77777777" w:rsidR="00000000" w:rsidRDefault="00832D71">
            <w:pPr>
              <w:pStyle w:val="a3"/>
              <w:spacing w:before="0" w:beforeAutospacing="0" w:after="0" w:afterAutospacing="0"/>
              <w:rPr>
                <w:sz w:val="20"/>
                <w:szCs w:val="20"/>
              </w:rPr>
            </w:pPr>
            <w:r>
              <w:rPr>
                <w:sz w:val="20"/>
                <w:szCs w:val="20"/>
              </w:rPr>
              <w:t>)</w:t>
            </w:r>
          </w:p>
        </w:tc>
      </w:tr>
      <w:tr w:rsidR="00000000" w14:paraId="091FF4AA" w14:textId="77777777">
        <w:trPr>
          <w:divId w:val="1494174886"/>
          <w:trHeight w:val="200"/>
          <w:tblCellSpacing w:w="15" w:type="dxa"/>
        </w:trPr>
        <w:tc>
          <w:tcPr>
            <w:tcW w:w="0" w:type="auto"/>
            <w:hideMark/>
          </w:tcPr>
          <w:p w14:paraId="2CDD5AE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2F5080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D42435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21E6D66" w14:textId="77777777" w:rsidR="00000000" w:rsidRDefault="00832D71">
            <w:pPr>
              <w:pStyle w:val="a3"/>
              <w:spacing w:before="0" w:beforeAutospacing="0" w:after="0" w:afterAutospacing="0"/>
              <w:jc w:val="right"/>
              <w:rPr>
                <w:sz w:val="20"/>
                <w:szCs w:val="20"/>
              </w:rPr>
            </w:pPr>
            <w:r>
              <w:rPr>
                <w:sz w:val="20"/>
                <w:szCs w:val="20"/>
              </w:rPr>
              <w:t>1,077,32</w:t>
            </w:r>
            <w:r>
              <w:rPr>
                <w:sz w:val="20"/>
                <w:szCs w:val="20"/>
              </w:rPr>
              <w:t>9</w:t>
            </w:r>
          </w:p>
        </w:tc>
        <w:tc>
          <w:tcPr>
            <w:tcW w:w="0" w:type="auto"/>
            <w:noWrap/>
            <w:vAlign w:val="bottom"/>
            <w:hideMark/>
          </w:tcPr>
          <w:p w14:paraId="6457A12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0CDE00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51890B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A746EFB" w14:textId="77777777" w:rsidR="00000000" w:rsidRDefault="00832D71">
            <w:pPr>
              <w:pStyle w:val="a3"/>
              <w:spacing w:before="0" w:beforeAutospacing="0" w:after="0" w:afterAutospacing="0"/>
              <w:jc w:val="right"/>
              <w:rPr>
                <w:sz w:val="20"/>
                <w:szCs w:val="20"/>
              </w:rPr>
            </w:pPr>
            <w:r>
              <w:rPr>
                <w:sz w:val="20"/>
                <w:szCs w:val="20"/>
              </w:rPr>
              <w:t>1,118,01</w:t>
            </w:r>
            <w:r>
              <w:rPr>
                <w:sz w:val="20"/>
                <w:szCs w:val="20"/>
              </w:rPr>
              <w:t>4</w:t>
            </w:r>
          </w:p>
        </w:tc>
        <w:tc>
          <w:tcPr>
            <w:tcW w:w="0" w:type="auto"/>
            <w:noWrap/>
            <w:vAlign w:val="bottom"/>
            <w:hideMark/>
          </w:tcPr>
          <w:p w14:paraId="3FD27D5B" w14:textId="77777777" w:rsidR="00000000" w:rsidRDefault="00832D71">
            <w:pPr>
              <w:pStyle w:val="a3"/>
              <w:spacing w:before="0" w:beforeAutospacing="0" w:after="0" w:afterAutospacing="0"/>
              <w:rPr>
                <w:sz w:val="20"/>
                <w:szCs w:val="20"/>
              </w:rPr>
            </w:pPr>
            <w:r>
              <w:rPr>
                <w:sz w:val="20"/>
                <w:szCs w:val="20"/>
              </w:rPr>
              <w:t> </w:t>
            </w:r>
          </w:p>
        </w:tc>
      </w:tr>
    </w:tbl>
    <w:p w14:paraId="29F9C0C0" w14:textId="77777777" w:rsidR="00000000" w:rsidRDefault="00832D71">
      <w:pPr>
        <w:pStyle w:val="a3"/>
        <w:spacing w:before="0" w:beforeAutospacing="0" w:after="0" w:afterAutospacing="0"/>
        <w:jc w:val="both"/>
        <w:divId w:val="1494174886"/>
        <w:rPr>
          <w:sz w:val="20"/>
          <w:szCs w:val="20"/>
        </w:rPr>
      </w:pPr>
      <w:r>
        <w:rPr>
          <w:sz w:val="20"/>
          <w:szCs w:val="20"/>
        </w:rPr>
        <w:t> </w:t>
      </w:r>
    </w:p>
    <w:p w14:paraId="6D6458EB" w14:textId="77777777" w:rsidR="00000000" w:rsidRDefault="00832D71">
      <w:pPr>
        <w:pStyle w:val="a3"/>
        <w:spacing w:before="0" w:beforeAutospacing="0" w:after="0" w:afterAutospacing="0"/>
        <w:jc w:val="both"/>
        <w:divId w:val="1954552574"/>
        <w:rPr>
          <w:sz w:val="20"/>
          <w:szCs w:val="20"/>
        </w:rPr>
      </w:pPr>
      <w:r>
        <w:rPr>
          <w:b/>
          <w:bCs/>
          <w:sz w:val="20"/>
          <w:szCs w:val="20"/>
        </w:rPr>
        <w:t>Senior Note</w:t>
      </w:r>
      <w:r>
        <w:rPr>
          <w:b/>
          <w:bCs/>
          <w:sz w:val="20"/>
          <w:szCs w:val="20"/>
        </w:rPr>
        <w:t>s</w:t>
      </w:r>
    </w:p>
    <w:p w14:paraId="3DB4210A" w14:textId="77777777" w:rsidR="00000000" w:rsidRDefault="00832D71">
      <w:pPr>
        <w:pStyle w:val="a3"/>
        <w:spacing w:before="160" w:beforeAutospacing="0" w:after="0" w:afterAutospacing="0"/>
        <w:jc w:val="both"/>
        <w:divId w:val="1954552574"/>
        <w:rPr>
          <w:sz w:val="20"/>
          <w:szCs w:val="20"/>
        </w:rPr>
      </w:pPr>
      <w:r>
        <w:rPr>
          <w:i/>
          <w:iCs/>
          <w:sz w:val="20"/>
          <w:szCs w:val="20"/>
        </w:rPr>
        <w:t>2027 Senior Note</w:t>
      </w:r>
      <w:r>
        <w:rPr>
          <w:i/>
          <w:iCs/>
          <w:sz w:val="20"/>
          <w:szCs w:val="20"/>
        </w:rPr>
        <w:t>s</w:t>
      </w:r>
    </w:p>
    <w:p w14:paraId="4264453D" w14:textId="77777777" w:rsidR="00000000" w:rsidRDefault="00832D71">
      <w:pPr>
        <w:pStyle w:val="a3"/>
        <w:spacing w:before="120" w:beforeAutospacing="0" w:after="0" w:afterAutospacing="0"/>
        <w:jc w:val="both"/>
        <w:divId w:val="1954552574"/>
        <w:rPr>
          <w:sz w:val="20"/>
          <w:szCs w:val="20"/>
        </w:rPr>
      </w:pPr>
      <w:r>
        <w:rPr>
          <w:sz w:val="20"/>
          <w:szCs w:val="20"/>
        </w:rPr>
        <w:t>On</w:t>
      </w:r>
      <w:r>
        <w:rPr>
          <w:sz w:val="20"/>
          <w:szCs w:val="20"/>
        </w:rPr>
        <w:t xml:space="preserve"> </w:t>
      </w:r>
      <w:r>
        <w:rPr>
          <w:sz w:val="20"/>
          <w:szCs w:val="20"/>
        </w:rPr>
        <w:t>February 14, 201</w:t>
      </w:r>
      <w:r>
        <w:rPr>
          <w:sz w:val="20"/>
          <w:szCs w:val="20"/>
        </w:rPr>
        <w:t>7</w:t>
      </w:r>
      <w:r>
        <w:rPr>
          <w:sz w:val="20"/>
          <w:szCs w:val="20"/>
        </w:rPr>
        <w:t>, the Partnership and its</w:t>
      </w:r>
      <w:r>
        <w:rPr>
          <w:sz w:val="20"/>
          <w:szCs w:val="20"/>
        </w:rPr>
        <w:t xml:space="preserve"> </w:t>
      </w:r>
      <w:r>
        <w:rPr>
          <w:sz w:val="20"/>
          <w:szCs w:val="20"/>
        </w:rPr>
        <w:t>10</w:t>
      </w:r>
      <w:r>
        <w:rPr>
          <w:sz w:val="20"/>
          <w:szCs w:val="20"/>
        </w:rPr>
        <w:t>0</w:t>
      </w:r>
      <w:r>
        <w:rPr>
          <w:sz w:val="20"/>
          <w:szCs w:val="20"/>
        </w:rPr>
        <w:t xml:space="preserve">%-owned subsidiary, Suburban Energy Finance Corp., completed a public offering of </w:t>
      </w:r>
      <w:r>
        <w:rPr>
          <w:sz w:val="20"/>
          <w:szCs w:val="20"/>
        </w:rPr>
        <w:t>$</w:t>
      </w:r>
      <w:r>
        <w:rPr>
          <w:sz w:val="20"/>
          <w:szCs w:val="20"/>
        </w:rPr>
        <w:t>350,00</w:t>
      </w:r>
      <w:r>
        <w:rPr>
          <w:sz w:val="20"/>
          <w:szCs w:val="20"/>
        </w:rPr>
        <w:t>0</w:t>
      </w:r>
      <w:r>
        <w:rPr>
          <w:sz w:val="20"/>
          <w:szCs w:val="20"/>
        </w:rPr>
        <w:t xml:space="preserve"> in aggregate principal amount of</w:t>
      </w:r>
      <w:r>
        <w:rPr>
          <w:sz w:val="20"/>
          <w:szCs w:val="20"/>
        </w:rPr>
        <w:t xml:space="preserve"> </w:t>
      </w:r>
      <w:r>
        <w:rPr>
          <w:sz w:val="20"/>
          <w:szCs w:val="20"/>
        </w:rPr>
        <w:t>5.87</w:t>
      </w:r>
      <w:r>
        <w:rPr>
          <w:sz w:val="20"/>
          <w:szCs w:val="20"/>
        </w:rPr>
        <w:t>5</w:t>
      </w:r>
      <w:r>
        <w:rPr>
          <w:sz w:val="20"/>
          <w:szCs w:val="20"/>
        </w:rPr>
        <w:t>% senior notes due</w:t>
      </w:r>
      <w:r>
        <w:rPr>
          <w:sz w:val="20"/>
          <w:szCs w:val="20"/>
        </w:rPr>
        <w:t xml:space="preserve"> </w:t>
      </w:r>
      <w:r>
        <w:rPr>
          <w:sz w:val="20"/>
          <w:szCs w:val="20"/>
        </w:rPr>
        <w:t>March 1, 202</w:t>
      </w:r>
      <w:r>
        <w:rPr>
          <w:sz w:val="20"/>
          <w:szCs w:val="20"/>
        </w:rPr>
        <w:t>7</w:t>
      </w:r>
      <w:r>
        <w:rPr>
          <w:sz w:val="20"/>
          <w:szCs w:val="20"/>
        </w:rPr>
        <w:t xml:space="preserve"> (the “2027 Senior Notes”). The 2027 Senior Notes were issued at</w:t>
      </w:r>
      <w:r>
        <w:rPr>
          <w:sz w:val="20"/>
          <w:szCs w:val="20"/>
        </w:rPr>
        <w:t xml:space="preserve"> </w:t>
      </w:r>
      <w:r>
        <w:rPr>
          <w:sz w:val="20"/>
          <w:szCs w:val="20"/>
        </w:rPr>
        <w:t>10</w:t>
      </w:r>
      <w:r>
        <w:rPr>
          <w:sz w:val="20"/>
          <w:szCs w:val="20"/>
        </w:rPr>
        <w:t>0</w:t>
      </w:r>
      <w:r>
        <w:rPr>
          <w:sz w:val="20"/>
          <w:szCs w:val="20"/>
        </w:rPr>
        <w:t>% of the principal amount a</w:t>
      </w:r>
      <w:r>
        <w:rPr>
          <w:sz w:val="20"/>
          <w:szCs w:val="20"/>
        </w:rPr>
        <w:t>nd require semi-annual interest payments in March and September. The net proceeds from the issuance of the 2027 Senior Notes, along with borrowings under the Revolving Credit Facility, were used to repurchase, satisfy and discharge all of the Partnership’s</w:t>
      </w:r>
      <w:r>
        <w:rPr>
          <w:sz w:val="20"/>
          <w:szCs w:val="20"/>
        </w:rPr>
        <w:t xml:space="preserve"> then outstanding</w:t>
      </w:r>
      <w:r>
        <w:rPr>
          <w:sz w:val="20"/>
          <w:szCs w:val="20"/>
        </w:rPr>
        <w:t xml:space="preserve"> </w:t>
      </w:r>
      <w:r>
        <w:rPr>
          <w:sz w:val="20"/>
          <w:szCs w:val="20"/>
        </w:rPr>
        <w:t>7.37</w:t>
      </w:r>
      <w:r>
        <w:rPr>
          <w:sz w:val="20"/>
          <w:szCs w:val="20"/>
        </w:rPr>
        <w:t>5</w:t>
      </w:r>
      <w:r>
        <w:rPr>
          <w:sz w:val="20"/>
          <w:szCs w:val="20"/>
        </w:rPr>
        <w:t>% senior notes due in 2021</w:t>
      </w:r>
      <w:r>
        <w:rPr>
          <w:sz w:val="20"/>
          <w:szCs w:val="20"/>
        </w:rPr>
        <w:t>.</w:t>
      </w:r>
    </w:p>
    <w:p w14:paraId="1BC10F60" w14:textId="77777777" w:rsidR="00000000" w:rsidRDefault="00832D71">
      <w:pPr>
        <w:pStyle w:val="a3"/>
        <w:spacing w:before="200" w:beforeAutospacing="0" w:after="0" w:afterAutospacing="0"/>
        <w:jc w:val="center"/>
        <w:divId w:val="1954552574"/>
        <w:rPr>
          <w:sz w:val="20"/>
          <w:szCs w:val="20"/>
        </w:rPr>
      </w:pPr>
      <w:r>
        <w:rPr>
          <w:sz w:val="20"/>
          <w:szCs w:val="20"/>
        </w:rPr>
        <w:t>F</w:t>
      </w:r>
      <w:r>
        <w:rPr>
          <w:sz w:val="20"/>
          <w:szCs w:val="20"/>
        </w:rPr>
        <w:t>-</w:t>
      </w:r>
      <w:r>
        <w:rPr>
          <w:sz w:val="20"/>
          <w:szCs w:val="20"/>
        </w:rPr>
        <w:t>2</w:t>
      </w:r>
      <w:r>
        <w:rPr>
          <w:sz w:val="20"/>
          <w:szCs w:val="20"/>
        </w:rPr>
        <w:t>0</w:t>
      </w:r>
    </w:p>
    <w:p w14:paraId="5877A406" w14:textId="77777777" w:rsidR="00000000" w:rsidRDefault="00832D71">
      <w:pPr>
        <w:divId w:val="1954552574"/>
        <w:rPr>
          <w:rFonts w:eastAsia="Times New Roman"/>
        </w:rPr>
      </w:pPr>
      <w:r>
        <w:rPr>
          <w:rFonts w:eastAsia="Times New Roman"/>
        </w:rPr>
        <w:pict w14:anchorId="04EC257E">
          <v:rect id="_x0000_i1139" style="width:0;height:1.5pt" o:hralign="center" o:hrstd="t" o:hr="t" fillcolor="#a0a0a0" stroked="f"/>
        </w:pict>
      </w:r>
    </w:p>
    <w:p w14:paraId="00DC6555" w14:textId="77777777" w:rsidR="00000000" w:rsidRDefault="00832D71">
      <w:pPr>
        <w:pStyle w:val="a3"/>
        <w:spacing w:before="0" w:beforeAutospacing="0" w:after="0" w:afterAutospacing="0"/>
        <w:divId w:val="1954552574"/>
        <w:rPr>
          <w:sz w:val="20"/>
          <w:szCs w:val="20"/>
        </w:rPr>
      </w:pPr>
      <w:r>
        <w:rPr>
          <w:sz w:val="20"/>
          <w:szCs w:val="20"/>
        </w:rPr>
        <w:t> </w:t>
      </w:r>
    </w:p>
    <w:p w14:paraId="2228179E" w14:textId="77777777" w:rsidR="00000000" w:rsidRDefault="00832D71">
      <w:pPr>
        <w:pStyle w:val="a3"/>
        <w:spacing w:before="240" w:beforeAutospacing="0" w:after="0" w:afterAutospacing="0"/>
        <w:jc w:val="both"/>
        <w:divId w:val="1633049168"/>
        <w:rPr>
          <w:sz w:val="20"/>
          <w:szCs w:val="20"/>
        </w:rPr>
      </w:pPr>
      <w:r>
        <w:rPr>
          <w:sz w:val="20"/>
          <w:szCs w:val="20"/>
        </w:rPr>
        <w:t>The 2027 Senior Notes are redeemable, at the Partnership’</w:t>
      </w:r>
      <w:r>
        <w:rPr>
          <w:sz w:val="20"/>
          <w:szCs w:val="20"/>
        </w:rPr>
        <w:t>s option, in whole or in part, at any time on or afte</w:t>
      </w:r>
      <w:r>
        <w:rPr>
          <w:sz w:val="20"/>
          <w:szCs w:val="20"/>
        </w:rPr>
        <w:t>r</w:t>
      </w:r>
      <w:r>
        <w:rPr>
          <w:sz w:val="20"/>
          <w:szCs w:val="20"/>
        </w:rPr>
        <w:t xml:space="preserve"> March 1, 202</w:t>
      </w:r>
      <w:r>
        <w:rPr>
          <w:sz w:val="20"/>
          <w:szCs w:val="20"/>
        </w:rPr>
        <w:t>2</w:t>
      </w:r>
      <w:r>
        <w:rPr>
          <w:sz w:val="20"/>
          <w:szCs w:val="20"/>
        </w:rPr>
        <w:t>, in each case at the redemption prices described in the table below, together with any accrued and unpaid interest to the date of the redemption</w:t>
      </w:r>
      <w:r>
        <w:rPr>
          <w:sz w:val="20"/>
          <w:szCs w:val="20"/>
        </w:rPr>
        <w:t>.</w:t>
      </w:r>
    </w:p>
    <w:p w14:paraId="771EC28A" w14:textId="77777777" w:rsidR="00000000" w:rsidRDefault="00832D71">
      <w:pPr>
        <w:pStyle w:val="a3"/>
        <w:spacing w:before="0" w:beforeAutospacing="0" w:after="0" w:afterAutospacing="0"/>
        <w:jc w:val="both"/>
        <w:divId w:val="1633049168"/>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666"/>
        <w:gridCol w:w="152"/>
        <w:gridCol w:w="1166"/>
      </w:tblGrid>
      <w:tr w:rsidR="00000000" w14:paraId="579C4652" w14:textId="77777777">
        <w:trPr>
          <w:divId w:val="1633049168"/>
          <w:tblCellSpacing w:w="15" w:type="dxa"/>
        </w:trPr>
        <w:tc>
          <w:tcPr>
            <w:tcW w:w="3721" w:type="pct"/>
            <w:vAlign w:val="center"/>
            <w:hideMark/>
          </w:tcPr>
          <w:p w14:paraId="721A3209" w14:textId="77777777" w:rsidR="00000000" w:rsidRDefault="00832D71">
            <w:pPr>
              <w:rPr>
                <w:sz w:val="20"/>
                <w:szCs w:val="20"/>
              </w:rPr>
            </w:pPr>
          </w:p>
        </w:tc>
        <w:tc>
          <w:tcPr>
            <w:tcW w:w="125" w:type="pct"/>
            <w:vAlign w:val="center"/>
            <w:hideMark/>
          </w:tcPr>
          <w:p w14:paraId="71FE7C47" w14:textId="77777777" w:rsidR="00000000" w:rsidRDefault="00832D71">
            <w:pPr>
              <w:rPr>
                <w:rFonts w:eastAsia="Times New Roman"/>
                <w:sz w:val="20"/>
                <w:szCs w:val="20"/>
              </w:rPr>
            </w:pPr>
          </w:p>
        </w:tc>
        <w:tc>
          <w:tcPr>
            <w:tcW w:w="1152" w:type="pct"/>
            <w:vAlign w:val="center"/>
            <w:hideMark/>
          </w:tcPr>
          <w:p w14:paraId="4AF2971E" w14:textId="77777777" w:rsidR="00000000" w:rsidRDefault="00832D71">
            <w:pPr>
              <w:rPr>
                <w:rFonts w:eastAsia="Times New Roman"/>
                <w:sz w:val="20"/>
                <w:szCs w:val="20"/>
              </w:rPr>
            </w:pPr>
          </w:p>
        </w:tc>
      </w:tr>
      <w:tr w:rsidR="00000000" w14:paraId="799C3A82" w14:textId="77777777">
        <w:trPr>
          <w:divId w:val="1633049168"/>
          <w:trHeight w:val="160"/>
          <w:tblCellSpacing w:w="15" w:type="dxa"/>
        </w:trPr>
        <w:tc>
          <w:tcPr>
            <w:tcW w:w="0" w:type="auto"/>
            <w:vAlign w:val="bottom"/>
            <w:hideMark/>
          </w:tcPr>
          <w:p w14:paraId="21428B43" w14:textId="77777777" w:rsidR="00000000" w:rsidRDefault="00832D71">
            <w:pPr>
              <w:pStyle w:val="a3"/>
              <w:spacing w:before="0" w:beforeAutospacing="0" w:after="0" w:afterAutospacing="0"/>
              <w:jc w:val="center"/>
              <w:rPr>
                <w:sz w:val="16"/>
                <w:szCs w:val="16"/>
              </w:rPr>
            </w:pPr>
            <w:r>
              <w:rPr>
                <w:b/>
                <w:bCs/>
                <w:sz w:val="16"/>
                <w:szCs w:val="16"/>
              </w:rPr>
              <w:t>Yea</w:t>
            </w:r>
            <w:r>
              <w:rPr>
                <w:b/>
                <w:bCs/>
                <w:sz w:val="16"/>
                <w:szCs w:val="16"/>
              </w:rPr>
              <w:t>r</w:t>
            </w:r>
          </w:p>
        </w:tc>
        <w:tc>
          <w:tcPr>
            <w:tcW w:w="0" w:type="auto"/>
            <w:hideMark/>
          </w:tcPr>
          <w:p w14:paraId="10E54A28"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75A9894" w14:textId="77777777" w:rsidR="00000000" w:rsidRDefault="00832D71">
            <w:pPr>
              <w:pStyle w:val="a3"/>
              <w:spacing w:before="0" w:beforeAutospacing="0" w:after="0" w:afterAutospacing="0"/>
              <w:jc w:val="center"/>
              <w:rPr>
                <w:sz w:val="16"/>
                <w:szCs w:val="16"/>
              </w:rPr>
            </w:pPr>
            <w:r>
              <w:rPr>
                <w:b/>
                <w:bCs/>
                <w:sz w:val="16"/>
                <w:szCs w:val="16"/>
              </w:rPr>
              <w:t>Percentag</w:t>
            </w:r>
            <w:r>
              <w:rPr>
                <w:b/>
                <w:bCs/>
                <w:sz w:val="16"/>
                <w:szCs w:val="16"/>
              </w:rPr>
              <w:t>e</w:t>
            </w:r>
          </w:p>
        </w:tc>
      </w:tr>
      <w:tr w:rsidR="00000000" w14:paraId="293217CE" w14:textId="77777777">
        <w:trPr>
          <w:divId w:val="1633049168"/>
          <w:trHeight w:val="200"/>
          <w:tblCellSpacing w:w="15" w:type="dxa"/>
        </w:trPr>
        <w:tc>
          <w:tcPr>
            <w:tcW w:w="0" w:type="auto"/>
            <w:hideMark/>
          </w:tcPr>
          <w:p w14:paraId="797D77C5" w14:textId="77777777" w:rsidR="00000000" w:rsidRDefault="00832D71">
            <w:pPr>
              <w:pStyle w:val="a3"/>
              <w:spacing w:before="0" w:beforeAutospacing="0" w:after="0" w:afterAutospacing="0"/>
              <w:rPr>
                <w:sz w:val="20"/>
                <w:szCs w:val="20"/>
              </w:rPr>
            </w:pPr>
            <w:r>
              <w:rPr>
                <w:sz w:val="20"/>
                <w:szCs w:val="20"/>
              </w:rPr>
              <w:t>202</w:t>
            </w:r>
            <w:r>
              <w:rPr>
                <w:sz w:val="20"/>
                <w:szCs w:val="20"/>
              </w:rPr>
              <w:t>2</w:t>
            </w:r>
          </w:p>
        </w:tc>
        <w:tc>
          <w:tcPr>
            <w:tcW w:w="0" w:type="auto"/>
            <w:hideMark/>
          </w:tcPr>
          <w:p w14:paraId="5D68CC2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86D03A9" w14:textId="77777777" w:rsidR="00000000" w:rsidRDefault="00832D71">
            <w:pPr>
              <w:pStyle w:val="a3"/>
              <w:spacing w:before="0" w:beforeAutospacing="0" w:after="0" w:afterAutospacing="0"/>
              <w:jc w:val="center"/>
              <w:rPr>
                <w:sz w:val="20"/>
                <w:szCs w:val="20"/>
              </w:rPr>
            </w:pPr>
            <w:r>
              <w:rPr>
                <w:sz w:val="20"/>
                <w:szCs w:val="20"/>
              </w:rPr>
              <w:t>102.93</w:t>
            </w:r>
            <w:r>
              <w:rPr>
                <w:sz w:val="20"/>
                <w:szCs w:val="20"/>
              </w:rPr>
              <w:t>8</w:t>
            </w:r>
            <w:r>
              <w:rPr>
                <w:sz w:val="20"/>
                <w:szCs w:val="20"/>
              </w:rPr>
              <w:t>%</w:t>
            </w:r>
          </w:p>
        </w:tc>
      </w:tr>
      <w:tr w:rsidR="00000000" w14:paraId="66BF5CDE" w14:textId="77777777">
        <w:trPr>
          <w:divId w:val="1633049168"/>
          <w:trHeight w:val="200"/>
          <w:tblCellSpacing w:w="15" w:type="dxa"/>
        </w:trPr>
        <w:tc>
          <w:tcPr>
            <w:tcW w:w="0" w:type="auto"/>
            <w:hideMark/>
          </w:tcPr>
          <w:p w14:paraId="01C7F02A" w14:textId="77777777" w:rsidR="00000000" w:rsidRDefault="00832D71">
            <w:pPr>
              <w:pStyle w:val="a3"/>
              <w:spacing w:before="0" w:beforeAutospacing="0" w:after="0" w:afterAutospacing="0"/>
              <w:rPr>
                <w:sz w:val="20"/>
                <w:szCs w:val="20"/>
              </w:rPr>
            </w:pPr>
            <w:r>
              <w:rPr>
                <w:sz w:val="20"/>
                <w:szCs w:val="20"/>
              </w:rPr>
              <w:t>202</w:t>
            </w:r>
            <w:r>
              <w:rPr>
                <w:sz w:val="20"/>
                <w:szCs w:val="20"/>
              </w:rPr>
              <w:t>3</w:t>
            </w:r>
          </w:p>
        </w:tc>
        <w:tc>
          <w:tcPr>
            <w:tcW w:w="0" w:type="auto"/>
            <w:hideMark/>
          </w:tcPr>
          <w:p w14:paraId="6E5522D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325A888" w14:textId="77777777" w:rsidR="00000000" w:rsidRDefault="00832D71">
            <w:pPr>
              <w:pStyle w:val="a3"/>
              <w:spacing w:before="0" w:beforeAutospacing="0" w:after="0" w:afterAutospacing="0"/>
              <w:jc w:val="center"/>
              <w:rPr>
                <w:sz w:val="20"/>
                <w:szCs w:val="20"/>
              </w:rPr>
            </w:pPr>
            <w:r>
              <w:rPr>
                <w:sz w:val="20"/>
                <w:szCs w:val="20"/>
              </w:rPr>
              <w:t>101.95</w:t>
            </w:r>
            <w:r>
              <w:rPr>
                <w:sz w:val="20"/>
                <w:szCs w:val="20"/>
              </w:rPr>
              <w:t>8</w:t>
            </w:r>
            <w:r>
              <w:rPr>
                <w:sz w:val="20"/>
                <w:szCs w:val="20"/>
              </w:rPr>
              <w:t>%</w:t>
            </w:r>
          </w:p>
        </w:tc>
      </w:tr>
      <w:tr w:rsidR="00000000" w14:paraId="40C8467A" w14:textId="77777777">
        <w:trPr>
          <w:divId w:val="1633049168"/>
          <w:trHeight w:val="200"/>
          <w:tblCellSpacing w:w="15" w:type="dxa"/>
        </w:trPr>
        <w:tc>
          <w:tcPr>
            <w:tcW w:w="0" w:type="auto"/>
            <w:hideMark/>
          </w:tcPr>
          <w:p w14:paraId="565AAD54" w14:textId="77777777" w:rsidR="00000000" w:rsidRDefault="00832D71">
            <w:pPr>
              <w:pStyle w:val="a3"/>
              <w:spacing w:before="0" w:beforeAutospacing="0" w:after="0" w:afterAutospacing="0"/>
              <w:rPr>
                <w:sz w:val="20"/>
                <w:szCs w:val="20"/>
              </w:rPr>
            </w:pPr>
            <w:r>
              <w:rPr>
                <w:sz w:val="20"/>
                <w:szCs w:val="20"/>
              </w:rPr>
              <w:t>202</w:t>
            </w:r>
            <w:r>
              <w:rPr>
                <w:sz w:val="20"/>
                <w:szCs w:val="20"/>
              </w:rPr>
              <w:t>4</w:t>
            </w:r>
          </w:p>
        </w:tc>
        <w:tc>
          <w:tcPr>
            <w:tcW w:w="0" w:type="auto"/>
            <w:hideMark/>
          </w:tcPr>
          <w:p w14:paraId="6FB852F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D52E92E" w14:textId="77777777" w:rsidR="00000000" w:rsidRDefault="00832D71">
            <w:pPr>
              <w:pStyle w:val="a3"/>
              <w:spacing w:before="0" w:beforeAutospacing="0" w:after="0" w:afterAutospacing="0"/>
              <w:jc w:val="center"/>
              <w:rPr>
                <w:sz w:val="20"/>
                <w:szCs w:val="20"/>
              </w:rPr>
            </w:pPr>
            <w:r>
              <w:rPr>
                <w:sz w:val="20"/>
                <w:szCs w:val="20"/>
              </w:rPr>
              <w:t>100.97</w:t>
            </w:r>
            <w:r>
              <w:rPr>
                <w:sz w:val="20"/>
                <w:szCs w:val="20"/>
              </w:rPr>
              <w:t>9</w:t>
            </w:r>
            <w:r>
              <w:rPr>
                <w:sz w:val="20"/>
                <w:szCs w:val="20"/>
              </w:rPr>
              <w:t>%</w:t>
            </w:r>
          </w:p>
        </w:tc>
      </w:tr>
      <w:tr w:rsidR="00000000" w14:paraId="0854E4A5" w14:textId="77777777">
        <w:trPr>
          <w:divId w:val="1633049168"/>
          <w:trHeight w:val="200"/>
          <w:tblCellSpacing w:w="15" w:type="dxa"/>
        </w:trPr>
        <w:tc>
          <w:tcPr>
            <w:tcW w:w="0" w:type="auto"/>
            <w:hideMark/>
          </w:tcPr>
          <w:p w14:paraId="5E449C12" w14:textId="77777777" w:rsidR="00000000" w:rsidRDefault="00832D71">
            <w:pPr>
              <w:pStyle w:val="a3"/>
              <w:spacing w:before="0" w:beforeAutospacing="0" w:after="0" w:afterAutospacing="0"/>
              <w:rPr>
                <w:sz w:val="20"/>
                <w:szCs w:val="20"/>
              </w:rPr>
            </w:pPr>
            <w:r>
              <w:rPr>
                <w:sz w:val="20"/>
                <w:szCs w:val="20"/>
              </w:rPr>
              <w:t>2025 and thereafte</w:t>
            </w:r>
            <w:r>
              <w:rPr>
                <w:sz w:val="20"/>
                <w:szCs w:val="20"/>
              </w:rPr>
              <w:t>r</w:t>
            </w:r>
          </w:p>
        </w:tc>
        <w:tc>
          <w:tcPr>
            <w:tcW w:w="0" w:type="auto"/>
            <w:hideMark/>
          </w:tcPr>
          <w:p w14:paraId="0924520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16AC6AE" w14:textId="77777777" w:rsidR="00000000" w:rsidRDefault="00832D71">
            <w:pPr>
              <w:pStyle w:val="a3"/>
              <w:spacing w:before="0" w:beforeAutospacing="0" w:after="0" w:afterAutospacing="0"/>
              <w:jc w:val="center"/>
              <w:rPr>
                <w:sz w:val="20"/>
                <w:szCs w:val="20"/>
              </w:rPr>
            </w:pPr>
            <w:r>
              <w:rPr>
                <w:sz w:val="20"/>
                <w:szCs w:val="20"/>
              </w:rPr>
              <w:t>100.00</w:t>
            </w:r>
            <w:r>
              <w:rPr>
                <w:sz w:val="20"/>
                <w:szCs w:val="20"/>
              </w:rPr>
              <w:t>0</w:t>
            </w:r>
            <w:r>
              <w:rPr>
                <w:sz w:val="20"/>
                <w:szCs w:val="20"/>
              </w:rPr>
              <w:t>%</w:t>
            </w:r>
          </w:p>
        </w:tc>
      </w:tr>
    </w:tbl>
    <w:p w14:paraId="3BD442D7" w14:textId="77777777" w:rsidR="00000000" w:rsidRDefault="00832D71">
      <w:pPr>
        <w:pStyle w:val="a3"/>
        <w:spacing w:before="0" w:beforeAutospacing="0" w:after="0" w:afterAutospacing="0"/>
        <w:jc w:val="both"/>
        <w:divId w:val="1954552574"/>
        <w:rPr>
          <w:sz w:val="20"/>
          <w:szCs w:val="20"/>
        </w:rPr>
      </w:pPr>
      <w:r>
        <w:rPr>
          <w:sz w:val="20"/>
          <w:szCs w:val="20"/>
        </w:rPr>
        <w:t> </w:t>
      </w:r>
    </w:p>
    <w:p w14:paraId="59151516" w14:textId="77777777" w:rsidR="00000000" w:rsidRDefault="00832D71">
      <w:pPr>
        <w:pStyle w:val="a3"/>
        <w:spacing w:before="160" w:beforeAutospacing="0" w:after="0" w:afterAutospacing="0"/>
        <w:jc w:val="both"/>
        <w:divId w:val="1954552574"/>
        <w:rPr>
          <w:sz w:val="20"/>
          <w:szCs w:val="20"/>
        </w:rPr>
      </w:pPr>
      <w:r>
        <w:rPr>
          <w:i/>
          <w:iCs/>
          <w:sz w:val="20"/>
          <w:szCs w:val="20"/>
        </w:rPr>
        <w:t>2031 Senior Note</w:t>
      </w:r>
      <w:r>
        <w:rPr>
          <w:i/>
          <w:iCs/>
          <w:sz w:val="20"/>
          <w:szCs w:val="20"/>
        </w:rPr>
        <w:t>s</w:t>
      </w:r>
    </w:p>
    <w:p w14:paraId="18D6C4D0" w14:textId="77777777" w:rsidR="00000000" w:rsidRDefault="00832D71">
      <w:pPr>
        <w:pStyle w:val="a3"/>
        <w:spacing w:before="120" w:beforeAutospacing="0" w:after="0" w:afterAutospacing="0"/>
        <w:jc w:val="both"/>
        <w:divId w:val="1954552574"/>
        <w:rPr>
          <w:sz w:val="20"/>
          <w:szCs w:val="20"/>
        </w:rPr>
      </w:pPr>
      <w:r>
        <w:rPr>
          <w:sz w:val="20"/>
          <w:szCs w:val="20"/>
        </w:rPr>
        <w:t>On</w:t>
      </w:r>
      <w:r>
        <w:rPr>
          <w:sz w:val="20"/>
          <w:szCs w:val="20"/>
        </w:rPr>
        <w:t xml:space="preserve"> </w:t>
      </w:r>
      <w:r>
        <w:rPr>
          <w:sz w:val="20"/>
          <w:szCs w:val="20"/>
        </w:rPr>
        <w:t>May 24, 202</w:t>
      </w:r>
      <w:r>
        <w:rPr>
          <w:sz w:val="20"/>
          <w:szCs w:val="20"/>
        </w:rPr>
        <w:t>1</w:t>
      </w:r>
      <w:r>
        <w:rPr>
          <w:sz w:val="20"/>
          <w:szCs w:val="20"/>
        </w:rPr>
        <w:t xml:space="preserve">, the Partnership and its 100%-owned subsidiary, Suburban Energy Finance Corp., completed a private offering of </w:t>
      </w:r>
      <w:r>
        <w:rPr>
          <w:sz w:val="20"/>
          <w:szCs w:val="20"/>
        </w:rPr>
        <w:t>$</w:t>
      </w:r>
      <w:r>
        <w:rPr>
          <w:sz w:val="20"/>
          <w:szCs w:val="20"/>
        </w:rPr>
        <w:t>650,00</w:t>
      </w:r>
      <w:r>
        <w:rPr>
          <w:sz w:val="20"/>
          <w:szCs w:val="20"/>
        </w:rPr>
        <w:t>0</w:t>
      </w:r>
      <w:r>
        <w:rPr>
          <w:sz w:val="20"/>
          <w:szCs w:val="20"/>
        </w:rPr>
        <w:t xml:space="preserve"> in aggregate principal amount of</w:t>
      </w:r>
      <w:r>
        <w:rPr>
          <w:sz w:val="20"/>
          <w:szCs w:val="20"/>
        </w:rPr>
        <w:t xml:space="preserve"> </w:t>
      </w:r>
      <w:r>
        <w:rPr>
          <w:sz w:val="20"/>
          <w:szCs w:val="20"/>
        </w:rPr>
        <w:t>5.</w:t>
      </w:r>
      <w:r>
        <w:rPr>
          <w:sz w:val="20"/>
          <w:szCs w:val="20"/>
        </w:rPr>
        <w:t>0</w:t>
      </w:r>
      <w:r>
        <w:rPr>
          <w:sz w:val="20"/>
          <w:szCs w:val="20"/>
        </w:rPr>
        <w:t>% senior notes due</w:t>
      </w:r>
      <w:r>
        <w:rPr>
          <w:sz w:val="20"/>
          <w:szCs w:val="20"/>
        </w:rPr>
        <w:t xml:space="preserve"> </w:t>
      </w:r>
      <w:r>
        <w:rPr>
          <w:sz w:val="20"/>
          <w:szCs w:val="20"/>
        </w:rPr>
        <w:t>June 1, 203</w:t>
      </w:r>
      <w:r>
        <w:rPr>
          <w:sz w:val="20"/>
          <w:szCs w:val="20"/>
        </w:rPr>
        <w:t>1</w:t>
      </w:r>
      <w:r>
        <w:rPr>
          <w:sz w:val="20"/>
          <w:szCs w:val="20"/>
        </w:rPr>
        <w:t xml:space="preserve"> (the “2031 Senior Notes”) to “qualified institutional buyers,” as d</w:t>
      </w:r>
      <w:r>
        <w:rPr>
          <w:sz w:val="20"/>
          <w:szCs w:val="20"/>
        </w:rPr>
        <w:t>efined in Rule 144A under the Securities Act of 1933, as amended (the “Securities Act”), and non-U.S. persons outside the United States under Regulation S under the Securities Act. The 2031 Senior Notes were issued at</w:t>
      </w:r>
      <w:r>
        <w:rPr>
          <w:sz w:val="20"/>
          <w:szCs w:val="20"/>
        </w:rPr>
        <w:t xml:space="preserve"> </w:t>
      </w:r>
      <w:r>
        <w:rPr>
          <w:sz w:val="20"/>
          <w:szCs w:val="20"/>
        </w:rPr>
        <w:t>10</w:t>
      </w:r>
      <w:r>
        <w:rPr>
          <w:sz w:val="20"/>
          <w:szCs w:val="20"/>
        </w:rPr>
        <w:t>0</w:t>
      </w:r>
      <w:r>
        <w:rPr>
          <w:sz w:val="20"/>
          <w:szCs w:val="20"/>
        </w:rPr>
        <w:t>% of the principal amount and requi</w:t>
      </w:r>
      <w:r>
        <w:rPr>
          <w:sz w:val="20"/>
          <w:szCs w:val="20"/>
        </w:rPr>
        <w:t>re semi-annual interest payments in June and December. The net proceeds from the issuance of the 2031 Senior Notes, along with borrowings under the Revolving Credit Facility, were used to repurchase, satisfy and discharge all of the then outstanding senior</w:t>
      </w:r>
      <w:r>
        <w:rPr>
          <w:sz w:val="20"/>
          <w:szCs w:val="20"/>
        </w:rPr>
        <w:t xml:space="preserve"> notes due in 2024 and 2025</w:t>
      </w:r>
      <w:r>
        <w:rPr>
          <w:sz w:val="20"/>
          <w:szCs w:val="20"/>
        </w:rPr>
        <w:t>.</w:t>
      </w:r>
    </w:p>
    <w:p w14:paraId="02490E8C" w14:textId="77777777" w:rsidR="00000000" w:rsidRDefault="00832D71">
      <w:pPr>
        <w:pStyle w:val="a3"/>
        <w:spacing w:before="240" w:beforeAutospacing="0" w:after="0" w:afterAutospacing="0"/>
        <w:jc w:val="both"/>
        <w:divId w:val="1954552574"/>
        <w:rPr>
          <w:sz w:val="20"/>
          <w:szCs w:val="20"/>
        </w:rPr>
      </w:pPr>
      <w:r>
        <w:rPr>
          <w:sz w:val="20"/>
          <w:szCs w:val="20"/>
        </w:rPr>
        <w:t>At any time prior to June 1, 2024, the Partnership may on any one or more occasions redeem up to</w:t>
      </w:r>
      <w:r>
        <w:rPr>
          <w:sz w:val="20"/>
          <w:szCs w:val="20"/>
        </w:rPr>
        <w:t xml:space="preserve"> </w:t>
      </w:r>
      <w:r>
        <w:rPr>
          <w:sz w:val="20"/>
          <w:szCs w:val="20"/>
        </w:rPr>
        <w:t>3</w:t>
      </w:r>
      <w:r>
        <w:rPr>
          <w:sz w:val="20"/>
          <w:szCs w:val="20"/>
        </w:rPr>
        <w:t>5</w:t>
      </w:r>
      <w:r>
        <w:rPr>
          <w:sz w:val="20"/>
          <w:szCs w:val="20"/>
        </w:rPr>
        <w:t>% of the aggregate principal amount of 2031 Senior Notes at a redemption price of</w:t>
      </w:r>
      <w:r>
        <w:rPr>
          <w:sz w:val="20"/>
          <w:szCs w:val="20"/>
        </w:rPr>
        <w:t xml:space="preserve"> </w:t>
      </w:r>
      <w:r>
        <w:rPr>
          <w:sz w:val="20"/>
          <w:szCs w:val="20"/>
        </w:rPr>
        <w:t>105.00</w:t>
      </w:r>
      <w:r>
        <w:rPr>
          <w:sz w:val="20"/>
          <w:szCs w:val="20"/>
        </w:rPr>
        <w:t>0</w:t>
      </w:r>
      <w:r>
        <w:rPr>
          <w:sz w:val="20"/>
          <w:szCs w:val="20"/>
        </w:rPr>
        <w:t>% of the principal amount thereof, plus</w:t>
      </w:r>
      <w:r>
        <w:rPr>
          <w:sz w:val="20"/>
          <w:szCs w:val="20"/>
        </w:rPr>
        <w:t xml:space="preserve"> accrued and unpaid interest, if any, with the net cash proceeds of one or more equity offerings, subject to the conditions described more fully in the indenture for the 2031 Senior Notes.</w:t>
      </w:r>
      <w:r>
        <w:rPr>
          <w:sz w:val="20"/>
          <w:szCs w:val="20"/>
        </w:rPr>
        <w:t xml:space="preserve"> </w:t>
      </w:r>
      <w:r>
        <w:rPr>
          <w:sz w:val="20"/>
          <w:szCs w:val="20"/>
        </w:rPr>
        <w:t xml:space="preserve">The 2031 Senior Notes are redeemable, at the Partnership’s option, </w:t>
      </w:r>
      <w:r>
        <w:rPr>
          <w:sz w:val="20"/>
          <w:szCs w:val="20"/>
        </w:rPr>
        <w:t>in whole or in part, at any time on or after June 1, 2026, in each case at the redemption prices described below, together with any accrued and unpaid interest to the date of the redemption</w:t>
      </w:r>
      <w:r>
        <w:rPr>
          <w:sz w:val="20"/>
          <w:szCs w:val="20"/>
        </w:rPr>
        <w:t>.</w:t>
      </w:r>
    </w:p>
    <w:p w14:paraId="47BFC010" w14:textId="77777777" w:rsidR="00000000" w:rsidRDefault="00832D71">
      <w:pPr>
        <w:pStyle w:val="a3"/>
        <w:spacing w:before="0" w:beforeAutospacing="0" w:after="0" w:afterAutospacing="0"/>
        <w:jc w:val="both"/>
        <w:divId w:val="1676028207"/>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666"/>
        <w:gridCol w:w="152"/>
        <w:gridCol w:w="1166"/>
      </w:tblGrid>
      <w:tr w:rsidR="00000000" w14:paraId="66433B4F" w14:textId="77777777">
        <w:trPr>
          <w:divId w:val="1676028207"/>
          <w:tblCellSpacing w:w="15" w:type="dxa"/>
        </w:trPr>
        <w:tc>
          <w:tcPr>
            <w:tcW w:w="3721" w:type="pct"/>
            <w:vAlign w:val="center"/>
            <w:hideMark/>
          </w:tcPr>
          <w:p w14:paraId="2238104A" w14:textId="77777777" w:rsidR="00000000" w:rsidRDefault="00832D71">
            <w:pPr>
              <w:rPr>
                <w:sz w:val="20"/>
                <w:szCs w:val="20"/>
              </w:rPr>
            </w:pPr>
          </w:p>
        </w:tc>
        <w:tc>
          <w:tcPr>
            <w:tcW w:w="125" w:type="pct"/>
            <w:vAlign w:val="center"/>
            <w:hideMark/>
          </w:tcPr>
          <w:p w14:paraId="5BD5B5A2" w14:textId="77777777" w:rsidR="00000000" w:rsidRDefault="00832D71">
            <w:pPr>
              <w:rPr>
                <w:rFonts w:eastAsia="Times New Roman"/>
                <w:sz w:val="20"/>
                <w:szCs w:val="20"/>
              </w:rPr>
            </w:pPr>
          </w:p>
        </w:tc>
        <w:tc>
          <w:tcPr>
            <w:tcW w:w="1152" w:type="pct"/>
            <w:vAlign w:val="center"/>
            <w:hideMark/>
          </w:tcPr>
          <w:p w14:paraId="30A5DE05" w14:textId="77777777" w:rsidR="00000000" w:rsidRDefault="00832D71">
            <w:pPr>
              <w:rPr>
                <w:rFonts w:eastAsia="Times New Roman"/>
                <w:sz w:val="20"/>
                <w:szCs w:val="20"/>
              </w:rPr>
            </w:pPr>
          </w:p>
        </w:tc>
      </w:tr>
      <w:tr w:rsidR="00000000" w14:paraId="34671374" w14:textId="77777777">
        <w:trPr>
          <w:divId w:val="1676028207"/>
          <w:trHeight w:val="160"/>
          <w:tblCellSpacing w:w="15" w:type="dxa"/>
        </w:trPr>
        <w:tc>
          <w:tcPr>
            <w:tcW w:w="0" w:type="auto"/>
            <w:vAlign w:val="bottom"/>
            <w:hideMark/>
          </w:tcPr>
          <w:p w14:paraId="3C472934" w14:textId="77777777" w:rsidR="00000000" w:rsidRDefault="00832D71">
            <w:pPr>
              <w:pStyle w:val="a3"/>
              <w:spacing w:before="0" w:beforeAutospacing="0" w:after="0" w:afterAutospacing="0"/>
              <w:jc w:val="center"/>
              <w:rPr>
                <w:sz w:val="16"/>
                <w:szCs w:val="16"/>
              </w:rPr>
            </w:pPr>
            <w:r>
              <w:rPr>
                <w:b/>
                <w:bCs/>
                <w:sz w:val="16"/>
                <w:szCs w:val="16"/>
              </w:rPr>
              <w:t>Yea</w:t>
            </w:r>
            <w:r>
              <w:rPr>
                <w:b/>
                <w:bCs/>
                <w:sz w:val="16"/>
                <w:szCs w:val="16"/>
              </w:rPr>
              <w:t>r</w:t>
            </w:r>
          </w:p>
        </w:tc>
        <w:tc>
          <w:tcPr>
            <w:tcW w:w="0" w:type="auto"/>
            <w:hideMark/>
          </w:tcPr>
          <w:p w14:paraId="11049220"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7668E1E" w14:textId="77777777" w:rsidR="00000000" w:rsidRDefault="00832D71">
            <w:pPr>
              <w:pStyle w:val="a3"/>
              <w:spacing w:before="0" w:beforeAutospacing="0" w:after="0" w:afterAutospacing="0"/>
              <w:jc w:val="center"/>
              <w:rPr>
                <w:sz w:val="16"/>
                <w:szCs w:val="16"/>
              </w:rPr>
            </w:pPr>
            <w:r>
              <w:rPr>
                <w:b/>
                <w:bCs/>
                <w:sz w:val="16"/>
                <w:szCs w:val="16"/>
              </w:rPr>
              <w:t>Percentag</w:t>
            </w:r>
            <w:r>
              <w:rPr>
                <w:b/>
                <w:bCs/>
                <w:sz w:val="16"/>
                <w:szCs w:val="16"/>
              </w:rPr>
              <w:t>e</w:t>
            </w:r>
          </w:p>
        </w:tc>
      </w:tr>
      <w:tr w:rsidR="00000000" w14:paraId="73B3CD02" w14:textId="77777777">
        <w:trPr>
          <w:divId w:val="1676028207"/>
          <w:trHeight w:val="200"/>
          <w:tblCellSpacing w:w="15" w:type="dxa"/>
        </w:trPr>
        <w:tc>
          <w:tcPr>
            <w:tcW w:w="0" w:type="auto"/>
            <w:hideMark/>
          </w:tcPr>
          <w:p w14:paraId="71621B09" w14:textId="77777777" w:rsidR="00000000" w:rsidRDefault="00832D71">
            <w:pPr>
              <w:pStyle w:val="a3"/>
              <w:spacing w:before="0" w:beforeAutospacing="0" w:after="0" w:afterAutospacing="0"/>
              <w:rPr>
                <w:sz w:val="20"/>
                <w:szCs w:val="20"/>
              </w:rPr>
            </w:pPr>
            <w:r>
              <w:rPr>
                <w:sz w:val="20"/>
                <w:szCs w:val="20"/>
              </w:rPr>
              <w:t>202</w:t>
            </w:r>
            <w:r>
              <w:rPr>
                <w:sz w:val="20"/>
                <w:szCs w:val="20"/>
              </w:rPr>
              <w:t>6</w:t>
            </w:r>
          </w:p>
        </w:tc>
        <w:tc>
          <w:tcPr>
            <w:tcW w:w="0" w:type="auto"/>
            <w:hideMark/>
          </w:tcPr>
          <w:p w14:paraId="5BB4169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6D27A8A" w14:textId="77777777" w:rsidR="00000000" w:rsidRDefault="00832D71">
            <w:pPr>
              <w:pStyle w:val="a3"/>
              <w:spacing w:before="0" w:beforeAutospacing="0" w:after="0" w:afterAutospacing="0"/>
              <w:jc w:val="center"/>
              <w:rPr>
                <w:sz w:val="20"/>
                <w:szCs w:val="20"/>
              </w:rPr>
            </w:pPr>
            <w:r>
              <w:rPr>
                <w:sz w:val="20"/>
                <w:szCs w:val="20"/>
              </w:rPr>
              <w:t>102.50</w:t>
            </w:r>
            <w:r>
              <w:rPr>
                <w:sz w:val="20"/>
                <w:szCs w:val="20"/>
              </w:rPr>
              <w:t>0</w:t>
            </w:r>
            <w:r>
              <w:rPr>
                <w:sz w:val="20"/>
                <w:szCs w:val="20"/>
              </w:rPr>
              <w:t>%</w:t>
            </w:r>
          </w:p>
        </w:tc>
      </w:tr>
      <w:tr w:rsidR="00000000" w14:paraId="7A115109" w14:textId="77777777">
        <w:trPr>
          <w:divId w:val="1676028207"/>
          <w:trHeight w:val="200"/>
          <w:tblCellSpacing w:w="15" w:type="dxa"/>
        </w:trPr>
        <w:tc>
          <w:tcPr>
            <w:tcW w:w="0" w:type="auto"/>
            <w:hideMark/>
          </w:tcPr>
          <w:p w14:paraId="53CCAD80" w14:textId="77777777" w:rsidR="00000000" w:rsidRDefault="00832D71">
            <w:pPr>
              <w:pStyle w:val="a3"/>
              <w:spacing w:before="0" w:beforeAutospacing="0" w:after="0" w:afterAutospacing="0"/>
              <w:rPr>
                <w:sz w:val="20"/>
                <w:szCs w:val="20"/>
              </w:rPr>
            </w:pPr>
            <w:r>
              <w:rPr>
                <w:sz w:val="20"/>
                <w:szCs w:val="20"/>
              </w:rPr>
              <w:t>202</w:t>
            </w:r>
            <w:r>
              <w:rPr>
                <w:sz w:val="20"/>
                <w:szCs w:val="20"/>
              </w:rPr>
              <w:t>7</w:t>
            </w:r>
          </w:p>
        </w:tc>
        <w:tc>
          <w:tcPr>
            <w:tcW w:w="0" w:type="auto"/>
            <w:hideMark/>
          </w:tcPr>
          <w:p w14:paraId="6E28F75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4A6B242" w14:textId="77777777" w:rsidR="00000000" w:rsidRDefault="00832D71">
            <w:pPr>
              <w:pStyle w:val="a3"/>
              <w:spacing w:before="0" w:beforeAutospacing="0" w:after="0" w:afterAutospacing="0"/>
              <w:jc w:val="center"/>
              <w:rPr>
                <w:sz w:val="20"/>
                <w:szCs w:val="20"/>
              </w:rPr>
            </w:pPr>
            <w:r>
              <w:rPr>
                <w:sz w:val="20"/>
                <w:szCs w:val="20"/>
              </w:rPr>
              <w:t>101.66</w:t>
            </w:r>
            <w:r>
              <w:rPr>
                <w:sz w:val="20"/>
                <w:szCs w:val="20"/>
              </w:rPr>
              <w:t>7</w:t>
            </w:r>
            <w:r>
              <w:rPr>
                <w:sz w:val="20"/>
                <w:szCs w:val="20"/>
              </w:rPr>
              <w:t>%</w:t>
            </w:r>
          </w:p>
        </w:tc>
      </w:tr>
      <w:tr w:rsidR="00000000" w14:paraId="417C3AEF" w14:textId="77777777">
        <w:trPr>
          <w:divId w:val="1676028207"/>
          <w:trHeight w:val="200"/>
          <w:tblCellSpacing w:w="15" w:type="dxa"/>
        </w:trPr>
        <w:tc>
          <w:tcPr>
            <w:tcW w:w="0" w:type="auto"/>
            <w:hideMark/>
          </w:tcPr>
          <w:p w14:paraId="055EB5EB" w14:textId="77777777" w:rsidR="00000000" w:rsidRDefault="00832D71">
            <w:pPr>
              <w:pStyle w:val="a3"/>
              <w:spacing w:before="0" w:beforeAutospacing="0" w:after="0" w:afterAutospacing="0"/>
              <w:rPr>
                <w:sz w:val="20"/>
                <w:szCs w:val="20"/>
              </w:rPr>
            </w:pPr>
            <w:r>
              <w:rPr>
                <w:sz w:val="20"/>
                <w:szCs w:val="20"/>
              </w:rPr>
              <w:t>202</w:t>
            </w:r>
            <w:r>
              <w:rPr>
                <w:sz w:val="20"/>
                <w:szCs w:val="20"/>
              </w:rPr>
              <w:t>8</w:t>
            </w:r>
          </w:p>
        </w:tc>
        <w:tc>
          <w:tcPr>
            <w:tcW w:w="0" w:type="auto"/>
            <w:hideMark/>
          </w:tcPr>
          <w:p w14:paraId="1D759E5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4490CC8" w14:textId="77777777" w:rsidR="00000000" w:rsidRDefault="00832D71">
            <w:pPr>
              <w:pStyle w:val="a3"/>
              <w:spacing w:before="0" w:beforeAutospacing="0" w:after="0" w:afterAutospacing="0"/>
              <w:jc w:val="center"/>
              <w:rPr>
                <w:sz w:val="20"/>
                <w:szCs w:val="20"/>
              </w:rPr>
            </w:pPr>
            <w:r>
              <w:rPr>
                <w:sz w:val="20"/>
                <w:szCs w:val="20"/>
              </w:rPr>
              <w:t>100.83</w:t>
            </w:r>
            <w:r>
              <w:rPr>
                <w:sz w:val="20"/>
                <w:szCs w:val="20"/>
              </w:rPr>
              <w:t>3</w:t>
            </w:r>
            <w:r>
              <w:rPr>
                <w:sz w:val="20"/>
                <w:szCs w:val="20"/>
              </w:rPr>
              <w:t>%</w:t>
            </w:r>
          </w:p>
        </w:tc>
      </w:tr>
      <w:tr w:rsidR="00000000" w14:paraId="511704A2" w14:textId="77777777">
        <w:trPr>
          <w:divId w:val="1676028207"/>
          <w:trHeight w:val="200"/>
          <w:tblCellSpacing w:w="15" w:type="dxa"/>
        </w:trPr>
        <w:tc>
          <w:tcPr>
            <w:tcW w:w="0" w:type="auto"/>
            <w:hideMark/>
          </w:tcPr>
          <w:p w14:paraId="55EDBA57" w14:textId="77777777" w:rsidR="00000000" w:rsidRDefault="00832D71">
            <w:pPr>
              <w:pStyle w:val="a3"/>
              <w:spacing w:before="0" w:beforeAutospacing="0" w:after="0" w:afterAutospacing="0"/>
              <w:rPr>
                <w:sz w:val="20"/>
                <w:szCs w:val="20"/>
              </w:rPr>
            </w:pPr>
            <w:r>
              <w:rPr>
                <w:sz w:val="20"/>
                <w:szCs w:val="20"/>
              </w:rPr>
              <w:t>2029 and thereafte</w:t>
            </w:r>
            <w:r>
              <w:rPr>
                <w:sz w:val="20"/>
                <w:szCs w:val="20"/>
              </w:rPr>
              <w:t>r</w:t>
            </w:r>
          </w:p>
        </w:tc>
        <w:tc>
          <w:tcPr>
            <w:tcW w:w="0" w:type="auto"/>
            <w:hideMark/>
          </w:tcPr>
          <w:p w14:paraId="1C127B7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C165DBE" w14:textId="77777777" w:rsidR="00000000" w:rsidRDefault="00832D71">
            <w:pPr>
              <w:pStyle w:val="a3"/>
              <w:spacing w:before="0" w:beforeAutospacing="0" w:after="0" w:afterAutospacing="0"/>
              <w:jc w:val="center"/>
              <w:rPr>
                <w:sz w:val="20"/>
                <w:szCs w:val="20"/>
              </w:rPr>
            </w:pPr>
            <w:r>
              <w:rPr>
                <w:sz w:val="20"/>
                <w:szCs w:val="20"/>
              </w:rPr>
              <w:t>100.00</w:t>
            </w:r>
            <w:r>
              <w:rPr>
                <w:sz w:val="20"/>
                <w:szCs w:val="20"/>
              </w:rPr>
              <w:t>0</w:t>
            </w:r>
            <w:r>
              <w:rPr>
                <w:sz w:val="20"/>
                <w:szCs w:val="20"/>
              </w:rPr>
              <w:t>%</w:t>
            </w:r>
          </w:p>
        </w:tc>
      </w:tr>
    </w:tbl>
    <w:p w14:paraId="7B19A70B" w14:textId="77777777" w:rsidR="00000000" w:rsidRDefault="00832D71">
      <w:pPr>
        <w:pStyle w:val="a3"/>
        <w:spacing w:before="0" w:beforeAutospacing="0" w:after="0" w:afterAutospacing="0"/>
        <w:jc w:val="both"/>
        <w:divId w:val="1954552574"/>
        <w:rPr>
          <w:sz w:val="20"/>
          <w:szCs w:val="20"/>
        </w:rPr>
      </w:pPr>
      <w:r>
        <w:rPr>
          <w:sz w:val="20"/>
          <w:szCs w:val="20"/>
        </w:rPr>
        <w:t> </w:t>
      </w:r>
    </w:p>
    <w:p w14:paraId="222A5C4A" w14:textId="77777777" w:rsidR="00000000" w:rsidRDefault="00832D71">
      <w:pPr>
        <w:pStyle w:val="a3"/>
        <w:spacing w:before="40" w:beforeAutospacing="0" w:after="0" w:afterAutospacing="0"/>
        <w:jc w:val="both"/>
        <w:divId w:val="1954552574"/>
        <w:rPr>
          <w:sz w:val="20"/>
          <w:szCs w:val="20"/>
        </w:rPr>
      </w:pPr>
      <w:r>
        <w:rPr>
          <w:sz w:val="20"/>
          <w:szCs w:val="20"/>
        </w:rPr>
        <w:t>The Partnership’s obligations under the 2027 Senior Notes and 2031 Senior Notes (collectively, the “Senior Notes”</w:t>
      </w:r>
      <w:r>
        <w:rPr>
          <w:sz w:val="20"/>
          <w:szCs w:val="20"/>
        </w:rPr>
        <w:t>) are unsecured and rank senior in right of payment to any future subordinated indebtedness and equally in right of payment with any future senior indebtedness. The Senior Notes are structurally subordinated to, which means they rank effectively behind, an</w:t>
      </w:r>
      <w:r>
        <w:rPr>
          <w:sz w:val="20"/>
          <w:szCs w:val="20"/>
        </w:rPr>
        <w:t xml:space="preserve">y debt and other liabilities of the Operating Partnership. The Partnership is permitted to redeem some or all of the Senior Notes at redemption prices and times as specified in the indentures governing the Senior Notes. The Senior Notes each have a change </w:t>
      </w:r>
      <w:r>
        <w:rPr>
          <w:sz w:val="20"/>
          <w:szCs w:val="20"/>
        </w:rPr>
        <w:t>of control provision that would require the Partnership to offer to repurchase the notes at</w:t>
      </w:r>
      <w:r>
        <w:rPr>
          <w:sz w:val="20"/>
          <w:szCs w:val="20"/>
        </w:rPr>
        <w:t xml:space="preserve"> </w:t>
      </w:r>
      <w:r>
        <w:rPr>
          <w:sz w:val="20"/>
          <w:szCs w:val="20"/>
        </w:rPr>
        <w:t>10</w:t>
      </w:r>
      <w:r>
        <w:rPr>
          <w:sz w:val="20"/>
          <w:szCs w:val="20"/>
        </w:rPr>
        <w:t>1</w:t>
      </w:r>
      <w:r>
        <w:rPr>
          <w:sz w:val="20"/>
          <w:szCs w:val="20"/>
        </w:rPr>
        <w:t xml:space="preserve">% of the principal amount repurchased, if a change of control, as defined in the indenture, occurs and is followed by a rating decline (a decrease in the rating </w:t>
      </w:r>
      <w:r>
        <w:rPr>
          <w:sz w:val="20"/>
          <w:szCs w:val="20"/>
        </w:rPr>
        <w:t>of the notes by either Moody’s Investors Service or Standard and Poor’s Rating Group by one or more gradations) within</w:t>
      </w:r>
      <w:r>
        <w:rPr>
          <w:sz w:val="20"/>
          <w:szCs w:val="20"/>
        </w:rPr>
        <w:t xml:space="preserve"> </w:t>
      </w:r>
      <w:r>
        <w:rPr>
          <w:sz w:val="20"/>
          <w:szCs w:val="20"/>
        </w:rPr>
        <w:t>9</w:t>
      </w:r>
      <w:r>
        <w:rPr>
          <w:sz w:val="20"/>
          <w:szCs w:val="20"/>
        </w:rPr>
        <w:t>0</w:t>
      </w:r>
      <w:r>
        <w:rPr>
          <w:sz w:val="20"/>
          <w:szCs w:val="20"/>
        </w:rPr>
        <w:t xml:space="preserve"> days of the consummation of the change of control</w:t>
      </w:r>
      <w:r>
        <w:rPr>
          <w:sz w:val="20"/>
          <w:szCs w:val="20"/>
        </w:rPr>
        <w:t>.</w:t>
      </w:r>
    </w:p>
    <w:p w14:paraId="4E235022" w14:textId="77777777" w:rsidR="00000000" w:rsidRDefault="00832D71">
      <w:pPr>
        <w:pStyle w:val="a3"/>
        <w:spacing w:before="240" w:beforeAutospacing="0" w:after="0" w:afterAutospacing="0"/>
        <w:jc w:val="both"/>
        <w:divId w:val="1954552574"/>
        <w:rPr>
          <w:sz w:val="20"/>
          <w:szCs w:val="20"/>
        </w:rPr>
      </w:pPr>
      <w:r>
        <w:rPr>
          <w:b/>
          <w:bCs/>
          <w:sz w:val="20"/>
          <w:szCs w:val="20"/>
        </w:rPr>
        <w:t>Credit Agreemen</w:t>
      </w:r>
      <w:r>
        <w:rPr>
          <w:b/>
          <w:bCs/>
          <w:sz w:val="20"/>
          <w:szCs w:val="20"/>
        </w:rPr>
        <w:t>t</w:t>
      </w:r>
      <w:r>
        <w:rPr>
          <w:b/>
          <w:bCs/>
          <w:sz w:val="20"/>
          <w:szCs w:val="20"/>
        </w:rPr>
        <w:t xml:space="preserve"> </w:t>
      </w:r>
    </w:p>
    <w:p w14:paraId="3BC60C9B" w14:textId="77777777" w:rsidR="00000000" w:rsidRDefault="00832D71">
      <w:pPr>
        <w:pStyle w:val="a3"/>
        <w:spacing w:before="120" w:beforeAutospacing="0" w:after="0" w:afterAutospacing="0"/>
        <w:jc w:val="both"/>
        <w:divId w:val="1954552574"/>
        <w:rPr>
          <w:sz w:val="20"/>
          <w:szCs w:val="20"/>
        </w:rPr>
      </w:pPr>
      <w:r>
        <w:rPr>
          <w:sz w:val="20"/>
          <w:szCs w:val="20"/>
        </w:rPr>
        <w:t>The Operating Partnership has an amended and restated credit agre</w:t>
      </w:r>
      <w:r>
        <w:rPr>
          <w:sz w:val="20"/>
          <w:szCs w:val="20"/>
        </w:rPr>
        <w:t xml:space="preserve">ement dated March 5, 2020 (the “Credit Agreement”) that provides for a </w:t>
      </w:r>
      <w:r>
        <w:rPr>
          <w:sz w:val="20"/>
          <w:szCs w:val="20"/>
        </w:rPr>
        <w:t>$</w:t>
      </w:r>
      <w:r>
        <w:rPr>
          <w:sz w:val="20"/>
          <w:szCs w:val="20"/>
        </w:rPr>
        <w:t>500,00</w:t>
      </w:r>
      <w:r>
        <w:rPr>
          <w:sz w:val="20"/>
          <w:szCs w:val="20"/>
        </w:rPr>
        <w:t>0</w:t>
      </w:r>
      <w:r>
        <w:rPr>
          <w:sz w:val="20"/>
          <w:szCs w:val="20"/>
        </w:rPr>
        <w:t xml:space="preserve"> revolving credit facility (the “Revolving Credit Facility”), of which </w:t>
      </w:r>
      <w:r>
        <w:rPr>
          <w:sz w:val="20"/>
          <w:szCs w:val="20"/>
        </w:rPr>
        <w:t>$</w:t>
      </w:r>
      <w:r>
        <w:rPr>
          <w:sz w:val="20"/>
          <w:szCs w:val="20"/>
        </w:rPr>
        <w:t>89,60</w:t>
      </w:r>
      <w:r>
        <w:rPr>
          <w:sz w:val="20"/>
          <w:szCs w:val="20"/>
        </w:rPr>
        <w:t>0</w:t>
      </w:r>
      <w:r>
        <w:rPr>
          <w:sz w:val="20"/>
          <w:szCs w:val="20"/>
        </w:rPr>
        <w:t xml:space="preserve"> and </w:t>
      </w:r>
      <w:r>
        <w:rPr>
          <w:sz w:val="20"/>
          <w:szCs w:val="20"/>
        </w:rPr>
        <w:t>$</w:t>
      </w:r>
      <w:r>
        <w:rPr>
          <w:sz w:val="20"/>
          <w:szCs w:val="20"/>
        </w:rPr>
        <w:t>132,00</w:t>
      </w:r>
      <w:r>
        <w:rPr>
          <w:sz w:val="20"/>
          <w:szCs w:val="20"/>
        </w:rPr>
        <w:t>0</w:t>
      </w:r>
      <w:r>
        <w:rPr>
          <w:sz w:val="20"/>
          <w:szCs w:val="20"/>
        </w:rPr>
        <w:t xml:space="preserve"> was outstanding as of September 24, 2022 and September 25, 2021, respectively. The Re</w:t>
      </w:r>
      <w:r>
        <w:rPr>
          <w:sz w:val="20"/>
          <w:szCs w:val="20"/>
        </w:rPr>
        <w:t>volving Credit Facility matures on</w:t>
      </w:r>
      <w:r>
        <w:rPr>
          <w:sz w:val="20"/>
          <w:szCs w:val="20"/>
        </w:rPr>
        <w:t xml:space="preserve"> </w:t>
      </w:r>
      <w:r>
        <w:rPr>
          <w:sz w:val="20"/>
          <w:szCs w:val="20"/>
        </w:rPr>
        <w:t>March 5, 202</w:t>
      </w:r>
      <w:r>
        <w:rPr>
          <w:sz w:val="20"/>
          <w:szCs w:val="20"/>
        </w:rPr>
        <w:t>5</w:t>
      </w:r>
      <w:r>
        <w:rPr>
          <w:sz w:val="20"/>
          <w:szCs w:val="20"/>
        </w:rPr>
        <w:t>. Borrowings under the Revolving Credit Facility may be used for general corporate purposes, including working capital, capital expenditures and acquisitions. The Operating Partnership has the right to prepay</w:t>
      </w:r>
      <w:r>
        <w:rPr>
          <w:sz w:val="20"/>
          <w:szCs w:val="20"/>
        </w:rPr>
        <w:t xml:space="preserve"> any borrowings under the Revolving Credit Facility, in whole or in part, without penalty at any time prior to maturity</w:t>
      </w:r>
      <w:r>
        <w:rPr>
          <w:sz w:val="20"/>
          <w:szCs w:val="20"/>
        </w:rPr>
        <w:t>.</w:t>
      </w:r>
      <w:r>
        <w:rPr>
          <w:sz w:val="20"/>
          <w:szCs w:val="20"/>
        </w:rPr>
        <w:t xml:space="preserve"> </w:t>
      </w:r>
    </w:p>
    <w:p w14:paraId="37DE717F" w14:textId="77777777" w:rsidR="00000000" w:rsidRDefault="00832D71">
      <w:pPr>
        <w:pStyle w:val="a3"/>
        <w:spacing w:before="240" w:beforeAutospacing="0" w:after="0" w:afterAutospacing="0"/>
        <w:jc w:val="both"/>
        <w:divId w:val="1954552574"/>
        <w:rPr>
          <w:sz w:val="20"/>
          <w:szCs w:val="20"/>
        </w:rPr>
      </w:pPr>
      <w:r>
        <w:rPr>
          <w:sz w:val="20"/>
          <w:szCs w:val="20"/>
        </w:rPr>
        <w:t xml:space="preserve">The Credit Agreement contains certain restrictive and affirmative covenants applicable to the Operating Partnership, its subsidiaries </w:t>
      </w:r>
      <w:r>
        <w:rPr>
          <w:sz w:val="20"/>
          <w:szCs w:val="20"/>
        </w:rPr>
        <w:t>and the Partnership, as well as certain financial covenants, including (a) requiring the Partnership’s Consolidated Interest Coverage Ratio, as defined in the Credit Agreement, to be not less than</w:t>
      </w:r>
      <w:r>
        <w:rPr>
          <w:sz w:val="20"/>
          <w:szCs w:val="20"/>
        </w:rPr>
        <w:t xml:space="preserve"> </w:t>
      </w:r>
      <w:r>
        <w:rPr>
          <w:sz w:val="20"/>
          <w:szCs w:val="20"/>
        </w:rPr>
        <w:t>2.</w:t>
      </w:r>
      <w:r>
        <w:rPr>
          <w:sz w:val="20"/>
          <w:szCs w:val="20"/>
        </w:rPr>
        <w:t>5</w:t>
      </w:r>
      <w:r>
        <w:rPr>
          <w:sz w:val="20"/>
          <w:szCs w:val="20"/>
        </w:rPr>
        <w:t xml:space="preserve"> to 1.0 as of the end of any fiscal quarter, (b) prohibi</w:t>
      </w:r>
      <w:r>
        <w:rPr>
          <w:sz w:val="20"/>
          <w:szCs w:val="20"/>
        </w:rPr>
        <w:t>ting the Total Consolidated Leverage Ratio, as defined in the Credit Agreement, of the Partnership from being greater than</w:t>
      </w:r>
      <w:r>
        <w:rPr>
          <w:sz w:val="20"/>
          <w:szCs w:val="20"/>
        </w:rPr>
        <w:t xml:space="preserve"> </w:t>
      </w:r>
      <w:r>
        <w:rPr>
          <w:sz w:val="20"/>
          <w:szCs w:val="20"/>
        </w:rPr>
        <w:t>5.7</w:t>
      </w:r>
      <w:r>
        <w:rPr>
          <w:sz w:val="20"/>
          <w:szCs w:val="20"/>
        </w:rPr>
        <w:t>5</w:t>
      </w:r>
      <w:r>
        <w:rPr>
          <w:sz w:val="20"/>
          <w:szCs w:val="20"/>
        </w:rPr>
        <w:t xml:space="preserve"> to 1.0, and (c) prohibiting the Senior Secured Consolidated Leverage Ratio, as defined in the Credit Agreement, of the Operating</w:t>
      </w:r>
      <w:r>
        <w:rPr>
          <w:sz w:val="20"/>
          <w:szCs w:val="20"/>
        </w:rPr>
        <w:t xml:space="preserve"> Partnership from being greater than</w:t>
      </w:r>
      <w:r>
        <w:rPr>
          <w:sz w:val="20"/>
          <w:szCs w:val="20"/>
        </w:rPr>
        <w:t xml:space="preserve"> </w:t>
      </w:r>
      <w:r>
        <w:rPr>
          <w:sz w:val="20"/>
          <w:szCs w:val="20"/>
        </w:rPr>
        <w:t>3.2</w:t>
      </w:r>
      <w:r>
        <w:rPr>
          <w:sz w:val="20"/>
          <w:szCs w:val="20"/>
        </w:rPr>
        <w:t>5</w:t>
      </w:r>
      <w:r>
        <w:rPr>
          <w:sz w:val="20"/>
          <w:szCs w:val="20"/>
        </w:rPr>
        <w:t xml:space="preserve"> to 1.0 as of the end of any fiscal quarter</w:t>
      </w:r>
      <w:r>
        <w:rPr>
          <w:sz w:val="20"/>
          <w:szCs w:val="20"/>
        </w:rPr>
        <w:t>.</w:t>
      </w:r>
      <w:r>
        <w:rPr>
          <w:sz w:val="20"/>
          <w:szCs w:val="20"/>
        </w:rPr>
        <w:t xml:space="preserve"> </w:t>
      </w:r>
    </w:p>
    <w:p w14:paraId="6BB4F125" w14:textId="77777777" w:rsidR="00000000" w:rsidRDefault="00832D71">
      <w:pPr>
        <w:pStyle w:val="a3"/>
        <w:spacing w:before="200" w:beforeAutospacing="0" w:after="0" w:afterAutospacing="0"/>
        <w:jc w:val="center"/>
        <w:divId w:val="1954552574"/>
        <w:rPr>
          <w:sz w:val="20"/>
          <w:szCs w:val="20"/>
        </w:rPr>
      </w:pPr>
      <w:r>
        <w:rPr>
          <w:sz w:val="20"/>
          <w:szCs w:val="20"/>
        </w:rPr>
        <w:t>F</w:t>
      </w:r>
      <w:r>
        <w:rPr>
          <w:sz w:val="20"/>
          <w:szCs w:val="20"/>
        </w:rPr>
        <w:t>-</w:t>
      </w:r>
      <w:r>
        <w:rPr>
          <w:sz w:val="20"/>
          <w:szCs w:val="20"/>
        </w:rPr>
        <w:t>2</w:t>
      </w:r>
      <w:r>
        <w:rPr>
          <w:sz w:val="20"/>
          <w:szCs w:val="20"/>
        </w:rPr>
        <w:t>1</w:t>
      </w:r>
    </w:p>
    <w:p w14:paraId="17941ABF" w14:textId="77777777" w:rsidR="00000000" w:rsidRDefault="00832D71">
      <w:pPr>
        <w:divId w:val="1954552574"/>
        <w:rPr>
          <w:rFonts w:eastAsia="Times New Roman"/>
        </w:rPr>
      </w:pPr>
      <w:r>
        <w:rPr>
          <w:rFonts w:eastAsia="Times New Roman"/>
        </w:rPr>
        <w:pict w14:anchorId="7267038D">
          <v:rect id="_x0000_i1140" style="width:0;height:1.5pt" o:hralign="center" o:hrstd="t" o:hr="t" fillcolor="#a0a0a0" stroked="f"/>
        </w:pict>
      </w:r>
    </w:p>
    <w:p w14:paraId="27D2C012" w14:textId="77777777" w:rsidR="00000000" w:rsidRDefault="00832D71">
      <w:pPr>
        <w:pStyle w:val="a3"/>
        <w:spacing w:before="0" w:beforeAutospacing="0" w:after="0" w:afterAutospacing="0"/>
        <w:divId w:val="1954552574"/>
        <w:rPr>
          <w:sz w:val="20"/>
          <w:szCs w:val="20"/>
        </w:rPr>
      </w:pPr>
      <w:r>
        <w:rPr>
          <w:sz w:val="20"/>
          <w:szCs w:val="20"/>
        </w:rPr>
        <w:t> </w:t>
      </w:r>
    </w:p>
    <w:p w14:paraId="5B1F2C3C" w14:textId="77777777" w:rsidR="00000000" w:rsidRDefault="00832D71">
      <w:pPr>
        <w:pStyle w:val="a3"/>
        <w:spacing w:before="240" w:beforeAutospacing="0" w:after="0" w:afterAutospacing="0"/>
        <w:jc w:val="both"/>
        <w:divId w:val="1954552574"/>
        <w:rPr>
          <w:sz w:val="20"/>
          <w:szCs w:val="20"/>
        </w:rPr>
      </w:pPr>
      <w:r>
        <w:rPr>
          <w:sz w:val="20"/>
          <w:szCs w:val="20"/>
        </w:rPr>
        <w:t>The Partnership and certain subsidiaries of the Operating Partnership act as guarantors with respect to the obligations of the</w:t>
      </w:r>
      <w:r>
        <w:rPr>
          <w:sz w:val="20"/>
          <w:szCs w:val="20"/>
        </w:rPr>
        <w:t xml:space="preserve"> Operating Partnership under the Credit Agreement pursuant to the terms and conditions set forth therein. The obligations under the Credit Agreement are secured by liens on substantially all of the personal property of the Partnership, the Operating Partne</w:t>
      </w:r>
      <w:r>
        <w:rPr>
          <w:sz w:val="20"/>
          <w:szCs w:val="20"/>
        </w:rPr>
        <w:t>rship and their subsidiaries, as well as mortgages on certain real property</w:t>
      </w:r>
      <w:r>
        <w:rPr>
          <w:sz w:val="20"/>
          <w:szCs w:val="20"/>
        </w:rPr>
        <w:t>.</w:t>
      </w:r>
    </w:p>
    <w:p w14:paraId="55F0CE64" w14:textId="77777777" w:rsidR="00000000" w:rsidRDefault="00832D71">
      <w:pPr>
        <w:pStyle w:val="a3"/>
        <w:spacing w:before="240" w:beforeAutospacing="0" w:after="0" w:afterAutospacing="0"/>
        <w:jc w:val="both"/>
        <w:divId w:val="1954552574"/>
        <w:rPr>
          <w:sz w:val="20"/>
          <w:szCs w:val="20"/>
        </w:rPr>
      </w:pPr>
      <w:r>
        <w:rPr>
          <w:sz w:val="20"/>
          <w:szCs w:val="20"/>
        </w:rPr>
        <w:t>Borrowings under the Revolving Credit Facility bear interest at prevailing interest rates based upon, at the Operating Partnership’s option, LIBOR plus the Applicable Rate, or the</w:t>
      </w:r>
      <w:r>
        <w:rPr>
          <w:sz w:val="20"/>
          <w:szCs w:val="20"/>
        </w:rPr>
        <w:t xml:space="preserve"> base rate, defined as the higher of the</w:t>
      </w:r>
      <w:r>
        <w:rPr>
          <w:sz w:val="20"/>
          <w:szCs w:val="20"/>
        </w:rPr>
        <w:t xml:space="preserve"> </w:t>
      </w:r>
      <w:r>
        <w:rPr>
          <w:sz w:val="20"/>
          <w:szCs w:val="20"/>
        </w:rPr>
        <w:t>Federal Funds Rat</w:t>
      </w:r>
      <w:r>
        <w:rPr>
          <w:sz w:val="20"/>
          <w:szCs w:val="20"/>
        </w:rPr>
        <w:t>e</w:t>
      </w:r>
      <w:r>
        <w:rPr>
          <w:sz w:val="20"/>
          <w:szCs w:val="20"/>
        </w:rPr>
        <w:t xml:space="preserve"> plus</w:t>
      </w:r>
      <w:r>
        <w:rPr>
          <w:sz w:val="20"/>
          <w:szCs w:val="20"/>
        </w:rPr>
        <w:t xml:space="preserve"> </w:t>
      </w:r>
      <w:r>
        <w:rPr>
          <w:sz w:val="20"/>
          <w:szCs w:val="20"/>
        </w:rPr>
        <w:t>½ of 1</w:t>
      </w:r>
      <w:r>
        <w:rPr>
          <w:sz w:val="20"/>
          <w:szCs w:val="20"/>
        </w:rPr>
        <w:t>%</w:t>
      </w:r>
      <w:r>
        <w:rPr>
          <w:sz w:val="20"/>
          <w:szCs w:val="20"/>
        </w:rPr>
        <w:t>, the administrative agent bank’s prime rate, or</w:t>
      </w:r>
      <w:r>
        <w:rPr>
          <w:sz w:val="20"/>
          <w:szCs w:val="20"/>
        </w:rPr>
        <w:t xml:space="preserve"> </w:t>
      </w:r>
      <w:r>
        <w:rPr>
          <w:sz w:val="20"/>
          <w:szCs w:val="20"/>
        </w:rPr>
        <w:t>LIBO</w:t>
      </w:r>
      <w:r>
        <w:rPr>
          <w:sz w:val="20"/>
          <w:szCs w:val="20"/>
        </w:rPr>
        <w:t>R</w:t>
      </w:r>
      <w:r>
        <w:rPr>
          <w:sz w:val="20"/>
          <w:szCs w:val="20"/>
        </w:rPr>
        <w:t xml:space="preserve"> plus</w:t>
      </w:r>
      <w:r>
        <w:rPr>
          <w:sz w:val="20"/>
          <w:szCs w:val="20"/>
        </w:rPr>
        <w:t xml:space="preserve"> </w:t>
      </w:r>
      <w:r>
        <w:rPr>
          <w:sz w:val="20"/>
          <w:szCs w:val="20"/>
        </w:rPr>
        <w:t>1</w:t>
      </w:r>
      <w:r>
        <w:rPr>
          <w:sz w:val="20"/>
          <w:szCs w:val="20"/>
        </w:rPr>
        <w:t>%, plus in each case the Applicable Rate. The Applicable Rate is dependent upon the Partnership’s Total Consolidated Levera</w:t>
      </w:r>
      <w:r>
        <w:rPr>
          <w:sz w:val="20"/>
          <w:szCs w:val="20"/>
        </w:rPr>
        <w:t>ge Ratio. As of</w:t>
      </w:r>
      <w:r>
        <w:rPr>
          <w:sz w:val="20"/>
          <w:szCs w:val="20"/>
        </w:rPr>
        <w:t xml:space="preserve"> </w:t>
      </w:r>
      <w:r>
        <w:rPr>
          <w:sz w:val="20"/>
          <w:szCs w:val="20"/>
        </w:rPr>
        <w:t>September 24, 2022, the interest rate for borrowings under the Revolving Credit Facility was approximate</w:t>
      </w:r>
      <w:r>
        <w:rPr>
          <w:sz w:val="20"/>
          <w:szCs w:val="20"/>
        </w:rPr>
        <w:t>l</w:t>
      </w:r>
      <w:r>
        <w:rPr>
          <w:sz w:val="20"/>
          <w:szCs w:val="20"/>
        </w:rPr>
        <w:t>y</w:t>
      </w:r>
      <w:r>
        <w:rPr>
          <w:sz w:val="20"/>
          <w:szCs w:val="20"/>
        </w:rPr>
        <w:t xml:space="preserve"> </w:t>
      </w:r>
      <w:r>
        <w:rPr>
          <w:sz w:val="20"/>
          <w:szCs w:val="20"/>
        </w:rPr>
        <w:t>5.</w:t>
      </w:r>
      <w:r>
        <w:rPr>
          <w:sz w:val="20"/>
          <w:szCs w:val="20"/>
        </w:rPr>
        <w:t>7</w:t>
      </w:r>
      <w:r>
        <w:rPr>
          <w:sz w:val="20"/>
          <w:szCs w:val="20"/>
        </w:rPr>
        <w:t xml:space="preserve">%. </w:t>
      </w:r>
      <w:r>
        <w:rPr>
          <w:sz w:val="20"/>
          <w:szCs w:val="20"/>
        </w:rPr>
        <w:t>T</w:t>
      </w:r>
      <w:r>
        <w:rPr>
          <w:sz w:val="20"/>
          <w:szCs w:val="20"/>
        </w:rPr>
        <w:t>he interest rate and the Applicable Rate will be reset following the end of each calendar quarter</w:t>
      </w:r>
      <w:r>
        <w:rPr>
          <w:sz w:val="20"/>
          <w:szCs w:val="20"/>
        </w:rPr>
        <w:t>.</w:t>
      </w:r>
    </w:p>
    <w:p w14:paraId="122AAEF1" w14:textId="77777777" w:rsidR="00000000" w:rsidRDefault="00832D71">
      <w:pPr>
        <w:pStyle w:val="a3"/>
        <w:spacing w:before="240" w:beforeAutospacing="0" w:after="0" w:afterAutospacing="0"/>
        <w:jc w:val="both"/>
        <w:divId w:val="1954552574"/>
        <w:rPr>
          <w:sz w:val="20"/>
          <w:szCs w:val="20"/>
        </w:rPr>
      </w:pPr>
      <w:r>
        <w:rPr>
          <w:sz w:val="20"/>
          <w:szCs w:val="20"/>
        </w:rPr>
        <w:t>As of September 24, 2022, t</w:t>
      </w:r>
      <w:r>
        <w:rPr>
          <w:sz w:val="20"/>
          <w:szCs w:val="20"/>
        </w:rPr>
        <w:t xml:space="preserve">he Partnership had standby letters of credit issued under the Revolving Credit Facility of </w:t>
      </w:r>
      <w:r>
        <w:rPr>
          <w:sz w:val="20"/>
          <w:szCs w:val="20"/>
        </w:rPr>
        <w:t>$</w:t>
      </w:r>
      <w:r>
        <w:rPr>
          <w:sz w:val="20"/>
          <w:szCs w:val="20"/>
        </w:rPr>
        <w:t>48,86</w:t>
      </w:r>
      <w:r>
        <w:rPr>
          <w:sz w:val="20"/>
          <w:szCs w:val="20"/>
        </w:rPr>
        <w:t>2</w:t>
      </w:r>
      <w:r>
        <w:rPr>
          <w:sz w:val="20"/>
          <w:szCs w:val="20"/>
        </w:rPr>
        <w:t xml:space="preserve"> which expire periodically through</w:t>
      </w:r>
      <w:r>
        <w:rPr>
          <w:sz w:val="20"/>
          <w:szCs w:val="20"/>
        </w:rPr>
        <w:t xml:space="preserve"> </w:t>
      </w:r>
      <w:r>
        <w:rPr>
          <w:sz w:val="20"/>
          <w:szCs w:val="20"/>
        </w:rPr>
        <w:t>April 30, 202</w:t>
      </w:r>
      <w:r>
        <w:rPr>
          <w:sz w:val="20"/>
          <w:szCs w:val="20"/>
        </w:rPr>
        <w:t>3</w:t>
      </w:r>
      <w:r>
        <w:rPr>
          <w:sz w:val="20"/>
          <w:szCs w:val="20"/>
        </w:rPr>
        <w:t>.</w:t>
      </w:r>
    </w:p>
    <w:p w14:paraId="0A861A83" w14:textId="77777777" w:rsidR="00000000" w:rsidRDefault="00832D71">
      <w:pPr>
        <w:pStyle w:val="a3"/>
        <w:spacing w:before="240" w:beforeAutospacing="0" w:after="0" w:afterAutospacing="0"/>
        <w:jc w:val="both"/>
        <w:divId w:val="1954552574"/>
        <w:rPr>
          <w:sz w:val="20"/>
          <w:szCs w:val="20"/>
        </w:rPr>
      </w:pPr>
      <w:r>
        <w:rPr>
          <w:sz w:val="20"/>
          <w:szCs w:val="20"/>
        </w:rPr>
        <w:t>The Credit Agreement and the Senior Notes both contain various restrictive and affirmative covenants applicable to the Operating Partnership, its subsidiaries and the Partnership, respectively, including (i) restrictions on the incurrence of additional ind</w:t>
      </w:r>
      <w:r>
        <w:rPr>
          <w:sz w:val="20"/>
          <w:szCs w:val="20"/>
        </w:rPr>
        <w:t>ebtedness, and (ii) restrictions on certain liens, investments, guarantees, loans, advances, payments, mergers, consolidations, distributions, sales of assets and other transactions. Under the Credit Agreement and the indentures governing the Senior Notes,</w:t>
      </w:r>
      <w:r>
        <w:rPr>
          <w:sz w:val="20"/>
          <w:szCs w:val="20"/>
        </w:rPr>
        <w:t xml:space="preserve"> the Operating Partnership and the Partnership are generally permitted to make cash distributions equal to available cash, as defined, as of the end of the immediately preceding quarter, if no event of default exists or would exist upon making such distrib</w:t>
      </w:r>
      <w:r>
        <w:rPr>
          <w:sz w:val="20"/>
          <w:szCs w:val="20"/>
        </w:rPr>
        <w:t>utions, and with respect to the indentures governing the Senior Notes, the Partnership’s Consolidated Fixed Charge Coverage Ratio, as defined, is greater than</w:t>
      </w:r>
      <w:r>
        <w:rPr>
          <w:sz w:val="20"/>
          <w:szCs w:val="20"/>
        </w:rPr>
        <w:t xml:space="preserve"> </w:t>
      </w:r>
      <w:r>
        <w:rPr>
          <w:sz w:val="20"/>
          <w:szCs w:val="20"/>
        </w:rPr>
        <w:t>1.7</w:t>
      </w:r>
      <w:r>
        <w:rPr>
          <w:sz w:val="20"/>
          <w:szCs w:val="20"/>
        </w:rPr>
        <w:t>5</w:t>
      </w:r>
      <w:r>
        <w:rPr>
          <w:sz w:val="20"/>
          <w:szCs w:val="20"/>
        </w:rPr>
        <w:t xml:space="preserve"> to 1. The Partnership and the Operating Partnership were in compliance with all covenants an</w:t>
      </w:r>
      <w:r>
        <w:rPr>
          <w:sz w:val="20"/>
          <w:szCs w:val="20"/>
        </w:rPr>
        <w:t>d terms of the Senior Notes and the Credit Agreement as of</w:t>
      </w:r>
      <w:r>
        <w:rPr>
          <w:sz w:val="20"/>
          <w:szCs w:val="20"/>
        </w:rPr>
        <w:t xml:space="preserve"> </w:t>
      </w:r>
      <w:r>
        <w:rPr>
          <w:sz w:val="20"/>
          <w:szCs w:val="20"/>
        </w:rPr>
        <w:t>September 24, 2022</w:t>
      </w:r>
      <w:r>
        <w:rPr>
          <w:sz w:val="20"/>
          <w:szCs w:val="20"/>
        </w:rPr>
        <w:t>.</w:t>
      </w:r>
    </w:p>
    <w:p w14:paraId="55B3C797" w14:textId="77777777" w:rsidR="00000000" w:rsidRDefault="00832D71">
      <w:pPr>
        <w:pStyle w:val="a3"/>
        <w:spacing w:before="240" w:beforeAutospacing="0" w:after="0" w:afterAutospacing="0"/>
        <w:jc w:val="both"/>
        <w:divId w:val="1954552574"/>
        <w:rPr>
          <w:sz w:val="20"/>
          <w:szCs w:val="20"/>
        </w:rPr>
      </w:pPr>
      <w:r>
        <w:rPr>
          <w:sz w:val="20"/>
          <w:szCs w:val="20"/>
        </w:rPr>
        <w:t>Debt origination costs representing the costs incurred in connection with the placement of, and the subsequent amendment to, the Credit Agreement are capitalized within other as</w:t>
      </w:r>
      <w:r>
        <w:rPr>
          <w:sz w:val="20"/>
          <w:szCs w:val="20"/>
        </w:rPr>
        <w:t xml:space="preserve">sets and amortized on a straight-line basis over the term of the Credit Agreement. During fiscal 2020, the Partnership recognized a charge of </w:t>
      </w:r>
      <w:r>
        <w:rPr>
          <w:sz w:val="20"/>
          <w:szCs w:val="20"/>
        </w:rPr>
        <w:t>$</w:t>
      </w:r>
      <w:r>
        <w:rPr>
          <w:sz w:val="20"/>
          <w:szCs w:val="20"/>
        </w:rPr>
        <w:t>10</w:t>
      </w:r>
      <w:r>
        <w:rPr>
          <w:sz w:val="20"/>
          <w:szCs w:val="20"/>
        </w:rPr>
        <w:t>9</w:t>
      </w:r>
      <w:r>
        <w:rPr>
          <w:sz w:val="20"/>
          <w:szCs w:val="20"/>
        </w:rPr>
        <w:t xml:space="preserve"> to write-off unamortized debt origination costs and capitalized </w:t>
      </w:r>
      <w:r>
        <w:rPr>
          <w:sz w:val="20"/>
          <w:szCs w:val="20"/>
        </w:rPr>
        <w:t>$</w:t>
      </w:r>
      <w:r>
        <w:rPr>
          <w:sz w:val="20"/>
          <w:szCs w:val="20"/>
        </w:rPr>
        <w:t>2,71</w:t>
      </w:r>
      <w:r>
        <w:rPr>
          <w:sz w:val="20"/>
          <w:szCs w:val="20"/>
        </w:rPr>
        <w:t>7</w:t>
      </w:r>
      <w:r>
        <w:rPr>
          <w:sz w:val="20"/>
          <w:szCs w:val="20"/>
        </w:rPr>
        <w:t xml:space="preserve"> in costs incurred in connection with t</w:t>
      </w:r>
      <w:r>
        <w:rPr>
          <w:sz w:val="20"/>
          <w:szCs w:val="20"/>
        </w:rPr>
        <w:t>he amendment to the Credit Agreement. Debt origination costs associated with the Partnership’s Senior Notes are reflected as a direct deduction from the carrying amount of such debt and amortized on a straight-line basis over the terms of the respective Se</w:t>
      </w:r>
      <w:r>
        <w:rPr>
          <w:sz w:val="20"/>
          <w:szCs w:val="20"/>
        </w:rPr>
        <w:t xml:space="preserve">nior Notes. Other assets at September 24, 2022 and September 25, 2021 include debt origination costs associated with the Credit Agreement with a net carrying amount of </w:t>
      </w:r>
      <w:r>
        <w:rPr>
          <w:sz w:val="20"/>
          <w:szCs w:val="20"/>
        </w:rPr>
        <w:t>$</w:t>
      </w:r>
      <w:r>
        <w:rPr>
          <w:sz w:val="20"/>
          <w:szCs w:val="20"/>
        </w:rPr>
        <w:t>1,31</w:t>
      </w:r>
      <w:r>
        <w:rPr>
          <w:sz w:val="20"/>
          <w:szCs w:val="20"/>
        </w:rPr>
        <w:t>2</w:t>
      </w:r>
      <w:r>
        <w:rPr>
          <w:sz w:val="20"/>
          <w:szCs w:val="20"/>
        </w:rPr>
        <w:t xml:space="preserve"> and </w:t>
      </w:r>
      <w:r>
        <w:rPr>
          <w:sz w:val="20"/>
          <w:szCs w:val="20"/>
        </w:rPr>
        <w:t>$</w:t>
      </w:r>
      <w:r>
        <w:rPr>
          <w:sz w:val="20"/>
          <w:szCs w:val="20"/>
        </w:rPr>
        <w:t>2,23</w:t>
      </w:r>
      <w:r>
        <w:rPr>
          <w:sz w:val="20"/>
          <w:szCs w:val="20"/>
        </w:rPr>
        <w:t>8</w:t>
      </w:r>
      <w:r>
        <w:rPr>
          <w:sz w:val="20"/>
          <w:szCs w:val="20"/>
        </w:rPr>
        <w:t>, respectively</w:t>
      </w:r>
      <w:r>
        <w:rPr>
          <w:sz w:val="20"/>
          <w:szCs w:val="20"/>
        </w:rPr>
        <w:t>.</w:t>
      </w:r>
    </w:p>
    <w:p w14:paraId="6CFCC7F1" w14:textId="77777777" w:rsidR="00000000" w:rsidRDefault="00832D71">
      <w:pPr>
        <w:pStyle w:val="a3"/>
        <w:spacing w:before="240" w:beforeAutospacing="0" w:after="0" w:afterAutospacing="0"/>
        <w:jc w:val="both"/>
        <w:divId w:val="1954552574"/>
        <w:rPr>
          <w:sz w:val="20"/>
          <w:szCs w:val="20"/>
        </w:rPr>
      </w:pPr>
      <w:r>
        <w:rPr>
          <w:sz w:val="20"/>
          <w:szCs w:val="20"/>
        </w:rPr>
        <w:t>The aggregate amounts of long-term debt maturities subs</w:t>
      </w:r>
      <w:r>
        <w:rPr>
          <w:sz w:val="20"/>
          <w:szCs w:val="20"/>
        </w:rPr>
        <w:t>equent to September 24, 202</w:t>
      </w:r>
      <w:r>
        <w:rPr>
          <w:sz w:val="20"/>
          <w:szCs w:val="20"/>
        </w:rPr>
        <w:t>2</w:t>
      </w:r>
      <w:r>
        <w:rPr>
          <w:sz w:val="20"/>
          <w:szCs w:val="20"/>
        </w:rPr>
        <w:t xml:space="preserve"> are as follows: fiscal 2023: $</w:t>
      </w:r>
      <w:r>
        <w:rPr>
          <w:sz w:val="20"/>
          <w:szCs w:val="20"/>
        </w:rPr>
        <w:t>-</w:t>
      </w:r>
      <w:r>
        <w:rPr>
          <w:sz w:val="20"/>
          <w:szCs w:val="20"/>
        </w:rPr>
        <w:t>0</w:t>
      </w:r>
      <w:r>
        <w:rPr>
          <w:sz w:val="20"/>
          <w:szCs w:val="20"/>
        </w:rPr>
        <w:t>-; fiscal 2024: $</w:t>
      </w:r>
      <w:r>
        <w:rPr>
          <w:sz w:val="20"/>
          <w:szCs w:val="20"/>
        </w:rPr>
        <w:t>-</w:t>
      </w:r>
      <w:r>
        <w:rPr>
          <w:sz w:val="20"/>
          <w:szCs w:val="20"/>
        </w:rPr>
        <w:t>0</w:t>
      </w:r>
      <w:r>
        <w:rPr>
          <w:sz w:val="20"/>
          <w:szCs w:val="20"/>
        </w:rPr>
        <w:t xml:space="preserve">-; fiscal 2025: </w:t>
      </w:r>
      <w:r>
        <w:rPr>
          <w:sz w:val="20"/>
          <w:szCs w:val="20"/>
        </w:rPr>
        <w:t>$</w:t>
      </w:r>
      <w:r>
        <w:rPr>
          <w:sz w:val="20"/>
          <w:szCs w:val="20"/>
        </w:rPr>
        <w:t>89,60</w:t>
      </w:r>
      <w:r>
        <w:rPr>
          <w:sz w:val="20"/>
          <w:szCs w:val="20"/>
        </w:rPr>
        <w:t>0</w:t>
      </w:r>
      <w:r>
        <w:rPr>
          <w:sz w:val="20"/>
          <w:szCs w:val="20"/>
        </w:rPr>
        <w:t>; fiscal 2026: $</w:t>
      </w:r>
      <w:r>
        <w:rPr>
          <w:sz w:val="20"/>
          <w:szCs w:val="20"/>
        </w:rPr>
        <w:t>-</w:t>
      </w:r>
      <w:r>
        <w:rPr>
          <w:sz w:val="20"/>
          <w:szCs w:val="20"/>
        </w:rPr>
        <w:t>0</w:t>
      </w:r>
      <w:r>
        <w:rPr>
          <w:sz w:val="20"/>
          <w:szCs w:val="20"/>
        </w:rPr>
        <w:t xml:space="preserve">-; fiscal 2027: </w:t>
      </w:r>
      <w:r>
        <w:rPr>
          <w:sz w:val="20"/>
          <w:szCs w:val="20"/>
        </w:rPr>
        <w:t>$</w:t>
      </w:r>
      <w:r>
        <w:rPr>
          <w:sz w:val="20"/>
          <w:szCs w:val="20"/>
        </w:rPr>
        <w:t>350,00</w:t>
      </w:r>
      <w:r>
        <w:rPr>
          <w:sz w:val="20"/>
          <w:szCs w:val="20"/>
        </w:rPr>
        <w:t>0</w:t>
      </w:r>
      <w:r>
        <w:rPr>
          <w:sz w:val="20"/>
          <w:szCs w:val="20"/>
        </w:rPr>
        <w:t xml:space="preserve">; and thereafter: </w:t>
      </w:r>
      <w:r>
        <w:rPr>
          <w:sz w:val="20"/>
          <w:szCs w:val="20"/>
        </w:rPr>
        <w:t>$</w:t>
      </w:r>
      <w:r>
        <w:rPr>
          <w:sz w:val="20"/>
          <w:szCs w:val="20"/>
        </w:rPr>
        <w:t>650,00</w:t>
      </w:r>
      <w:r>
        <w:rPr>
          <w:sz w:val="20"/>
          <w:szCs w:val="20"/>
        </w:rPr>
        <w:t>0</w:t>
      </w:r>
      <w:r>
        <w:rPr>
          <w:sz w:val="20"/>
          <w:szCs w:val="20"/>
        </w:rPr>
        <w:t>.</w:t>
      </w:r>
    </w:p>
    <w:p w14:paraId="388F4B75" w14:textId="77777777" w:rsidR="00000000" w:rsidRDefault="00832D71">
      <w:pPr>
        <w:pStyle w:val="a3"/>
        <w:spacing w:before="0" w:beforeAutospacing="0" w:after="0" w:afterAutospacing="0"/>
        <w:rPr>
          <w:sz w:val="20"/>
          <w:szCs w:val="20"/>
        </w:rPr>
      </w:pPr>
      <w:r>
        <w:rPr>
          <w:sz w:val="20"/>
          <w:szCs w:val="20"/>
        </w:rPr>
        <w:t> </w:t>
      </w:r>
    </w:p>
    <w:p w14:paraId="6C4E9859" w14:textId="77777777" w:rsidR="00000000" w:rsidRDefault="00832D71">
      <w:pPr>
        <w:pStyle w:val="a3"/>
        <w:spacing w:before="160" w:beforeAutospacing="0" w:after="0" w:afterAutospacing="0"/>
        <w:ind w:hanging="581"/>
        <w:divId w:val="1435860872"/>
        <w:rPr>
          <w:sz w:val="20"/>
          <w:szCs w:val="20"/>
        </w:rPr>
      </w:pPr>
      <w:r>
        <w:rPr>
          <w:b/>
          <w:bCs/>
          <w:sz w:val="20"/>
          <w:szCs w:val="20"/>
        </w:rPr>
        <w:t>11. Unit-Based Compensation Arrangement</w:t>
      </w:r>
      <w:r>
        <w:rPr>
          <w:b/>
          <w:bCs/>
          <w:sz w:val="20"/>
          <w:szCs w:val="20"/>
        </w:rPr>
        <w:t>s</w:t>
      </w:r>
    </w:p>
    <w:p w14:paraId="1E378E29" w14:textId="77777777" w:rsidR="00000000" w:rsidRDefault="00832D71">
      <w:pPr>
        <w:pStyle w:val="a3"/>
        <w:spacing w:before="120" w:beforeAutospacing="0" w:after="0" w:afterAutospacing="0"/>
        <w:jc w:val="both"/>
        <w:divId w:val="1435860872"/>
        <w:rPr>
          <w:sz w:val="20"/>
          <w:szCs w:val="20"/>
        </w:rPr>
      </w:pPr>
      <w:r>
        <w:rPr>
          <w:sz w:val="20"/>
          <w:szCs w:val="20"/>
        </w:rPr>
        <w:t xml:space="preserve">As described in Note 2, the Partnership </w:t>
      </w:r>
      <w:r>
        <w:rPr>
          <w:sz w:val="20"/>
          <w:szCs w:val="20"/>
        </w:rPr>
        <w:t>recognizes compensation cost over the respective service period for employee services received in exchange for an award of equity, or equity-based compensation, based on the grant date fair value of the award. The Partnership measures liability awards unde</w:t>
      </w:r>
      <w:r>
        <w:rPr>
          <w:sz w:val="20"/>
          <w:szCs w:val="20"/>
        </w:rPr>
        <w:t>r an equity-based payment arrangement based on remeasurement of the award’s fair value at the conclusion of each interim and annual reporting period until the date of settlement, taking into consideration the probability that the performance conditions wil</w:t>
      </w:r>
      <w:r>
        <w:rPr>
          <w:sz w:val="20"/>
          <w:szCs w:val="20"/>
        </w:rPr>
        <w:t>l be satisfied</w:t>
      </w:r>
      <w:r>
        <w:rPr>
          <w:sz w:val="20"/>
          <w:szCs w:val="20"/>
        </w:rPr>
        <w:t>.</w:t>
      </w:r>
    </w:p>
    <w:p w14:paraId="5455903D" w14:textId="77777777" w:rsidR="00000000" w:rsidRDefault="00832D71">
      <w:pPr>
        <w:pStyle w:val="a3"/>
        <w:spacing w:before="240" w:beforeAutospacing="0" w:after="0" w:afterAutospacing="0"/>
        <w:jc w:val="both"/>
        <w:divId w:val="1435860872"/>
        <w:rPr>
          <w:sz w:val="20"/>
          <w:szCs w:val="20"/>
        </w:rPr>
      </w:pPr>
      <w:r>
        <w:rPr>
          <w:b/>
          <w:bCs/>
          <w:sz w:val="20"/>
          <w:szCs w:val="20"/>
        </w:rPr>
        <w:t>Restricted Unit Plans</w:t>
      </w:r>
      <w:r>
        <w:rPr>
          <w:b/>
          <w:bCs/>
          <w:sz w:val="20"/>
          <w:szCs w:val="20"/>
        </w:rPr>
        <w:t>.</w:t>
      </w:r>
      <w:r>
        <w:rPr>
          <w:sz w:val="20"/>
          <w:szCs w:val="20"/>
        </w:rPr>
        <w:t xml:space="preserve"> On July 22, 2009, the Partnership adopted the Suburban Propane Partners, L.P. 2009 Restricted Unit Plan, as amended (the “2009 Restricted Unit Plan”), which authorizes the issuance of Common Units to executives, manag</w:t>
      </w:r>
      <w:r>
        <w:rPr>
          <w:sz w:val="20"/>
          <w:szCs w:val="20"/>
        </w:rPr>
        <w:t>ers and other employees and members of the Board of Supervisors of the Partnership. The total number of Common Units authorized for issuance under the 2009 Restricted Unit Plan was</w:t>
      </w:r>
      <w:r>
        <w:rPr>
          <w:sz w:val="20"/>
          <w:szCs w:val="20"/>
        </w:rPr>
        <w:t xml:space="preserve"> </w:t>
      </w:r>
      <w:r>
        <w:rPr>
          <w:sz w:val="20"/>
          <w:szCs w:val="20"/>
        </w:rPr>
        <w:t>2,400,00</w:t>
      </w:r>
      <w:r>
        <w:rPr>
          <w:sz w:val="20"/>
          <w:szCs w:val="20"/>
        </w:rPr>
        <w:t>0</w:t>
      </w:r>
      <w:r>
        <w:rPr>
          <w:sz w:val="20"/>
          <w:szCs w:val="20"/>
        </w:rPr>
        <w:t xml:space="preserve"> as of July 31, 2019, the date on which this plan expired. At the </w:t>
      </w:r>
      <w:r>
        <w:rPr>
          <w:sz w:val="20"/>
          <w:szCs w:val="20"/>
        </w:rPr>
        <w:t>Partnership’s Tri-Annual Meeting held on May 15, 2018, the Unitholders approved the Partnership’s 2018 Restricted Unit Plan authorizing the issuance of up to</w:t>
      </w:r>
      <w:r>
        <w:rPr>
          <w:sz w:val="20"/>
          <w:szCs w:val="20"/>
        </w:rPr>
        <w:t xml:space="preserve"> </w:t>
      </w:r>
      <w:r>
        <w:rPr>
          <w:sz w:val="20"/>
          <w:szCs w:val="20"/>
        </w:rPr>
        <w:t>1,800,00</w:t>
      </w:r>
      <w:r>
        <w:rPr>
          <w:sz w:val="20"/>
          <w:szCs w:val="20"/>
        </w:rPr>
        <w:t>0</w:t>
      </w:r>
      <w:r>
        <w:rPr>
          <w:sz w:val="20"/>
          <w:szCs w:val="20"/>
        </w:rPr>
        <w:t xml:space="preserve"> Common Units, which was amended and restated to authorize the issuance of an additional</w:t>
      </w:r>
      <w:r>
        <w:rPr>
          <w:sz w:val="20"/>
          <w:szCs w:val="20"/>
        </w:rPr>
        <w:t xml:space="preserve"> </w:t>
      </w:r>
      <w:r>
        <w:rPr>
          <w:sz w:val="20"/>
          <w:szCs w:val="20"/>
        </w:rPr>
        <w:t>1,725,00</w:t>
      </w:r>
      <w:r>
        <w:rPr>
          <w:sz w:val="20"/>
          <w:szCs w:val="20"/>
        </w:rPr>
        <w:t>0</w:t>
      </w:r>
      <w:r>
        <w:rPr>
          <w:sz w:val="20"/>
          <w:szCs w:val="20"/>
        </w:rPr>
        <w:t xml:space="preserve"> Common Units for a total of</w:t>
      </w:r>
      <w:r>
        <w:rPr>
          <w:sz w:val="20"/>
          <w:szCs w:val="20"/>
        </w:rPr>
        <w:t xml:space="preserve"> </w:t>
      </w:r>
      <w:r>
        <w:rPr>
          <w:sz w:val="20"/>
          <w:szCs w:val="20"/>
        </w:rPr>
        <w:t>3,525,00</w:t>
      </w:r>
      <w:r>
        <w:rPr>
          <w:sz w:val="20"/>
          <w:szCs w:val="20"/>
        </w:rPr>
        <w:t>0</w:t>
      </w:r>
      <w:r>
        <w:rPr>
          <w:sz w:val="20"/>
          <w:szCs w:val="20"/>
        </w:rPr>
        <w:t xml:space="preserve"> Common Units by approval of the Unitholders at the Partnership’s Tri-Annual Meeting held on May 18, 2021 (the “2018 Restricted Unit Plan” and together with the 2009 Restricted Unit Plan, from which there are </w:t>
      </w:r>
      <w:r>
        <w:rPr>
          <w:sz w:val="20"/>
          <w:szCs w:val="20"/>
        </w:rPr>
        <w:t>still unvested awards outstanding, the “Restricted Unit Plans”).</w:t>
      </w:r>
      <w:r>
        <w:rPr>
          <w:sz w:val="20"/>
          <w:szCs w:val="20"/>
        </w:rPr>
        <w:t xml:space="preserve"> </w:t>
      </w:r>
      <w:r>
        <w:rPr>
          <w:sz w:val="20"/>
          <w:szCs w:val="20"/>
        </w:rPr>
        <w:t>Unless otherwise stipulated by the Compensation Committee of the Partnership’s Board of Supervisors on or before the grant date,</w:t>
      </w:r>
      <w:r>
        <w:rPr>
          <w:sz w:val="20"/>
          <w:szCs w:val="20"/>
        </w:rPr>
        <w:t xml:space="preserve"> </w:t>
      </w:r>
      <w:r>
        <w:rPr>
          <w:sz w:val="20"/>
          <w:szCs w:val="20"/>
        </w:rPr>
        <w:t>33.3</w:t>
      </w:r>
      <w:r>
        <w:rPr>
          <w:sz w:val="20"/>
          <w:szCs w:val="20"/>
        </w:rPr>
        <w:t>3</w:t>
      </w:r>
      <w:r>
        <w:rPr>
          <w:sz w:val="20"/>
          <w:szCs w:val="20"/>
        </w:rPr>
        <w:t>% of all outstanding awards under the Restricted Unit Pla</w:t>
      </w:r>
      <w:r>
        <w:rPr>
          <w:sz w:val="20"/>
          <w:szCs w:val="20"/>
        </w:rPr>
        <w:t>ns will vest on each of the first three anniversaries of the award grant date. Participants in the Restricted Unit Plans are not eligible to receive quarterly distributions on, or vote, their respective restricted units until vested. Restricted units canno</w:t>
      </w:r>
      <w:r>
        <w:rPr>
          <w:sz w:val="20"/>
          <w:szCs w:val="20"/>
        </w:rPr>
        <w:t>t be sold or transferred prior to vesting. The value of each restricted unit is established by the market price of the Common Unit on the date of grant, net of estimated future distributions during the vesting period. Restricted units are subject to forfei</w:t>
      </w:r>
      <w:r>
        <w:rPr>
          <w:sz w:val="20"/>
          <w:szCs w:val="20"/>
        </w:rPr>
        <w:t>ture in certain circumstances as defined in the Restricted Unit Plans. Compensation expense for the unvested awards is recognized ratably over the vesting periods and is net of estimated forfeitures</w:t>
      </w:r>
      <w:r>
        <w:rPr>
          <w:sz w:val="20"/>
          <w:szCs w:val="20"/>
        </w:rPr>
        <w:t>.</w:t>
      </w:r>
    </w:p>
    <w:p w14:paraId="718B49BA" w14:textId="77777777" w:rsidR="00000000" w:rsidRDefault="00832D71">
      <w:pPr>
        <w:pStyle w:val="a3"/>
        <w:spacing w:before="200" w:beforeAutospacing="0" w:after="0" w:afterAutospacing="0"/>
        <w:jc w:val="center"/>
        <w:divId w:val="1435860872"/>
        <w:rPr>
          <w:sz w:val="20"/>
          <w:szCs w:val="20"/>
        </w:rPr>
      </w:pPr>
      <w:r>
        <w:rPr>
          <w:sz w:val="20"/>
          <w:szCs w:val="20"/>
        </w:rPr>
        <w:t>F</w:t>
      </w:r>
      <w:r>
        <w:rPr>
          <w:sz w:val="20"/>
          <w:szCs w:val="20"/>
        </w:rPr>
        <w:t>-</w:t>
      </w:r>
      <w:r>
        <w:rPr>
          <w:sz w:val="20"/>
          <w:szCs w:val="20"/>
        </w:rPr>
        <w:t>2</w:t>
      </w:r>
      <w:r>
        <w:rPr>
          <w:sz w:val="20"/>
          <w:szCs w:val="20"/>
        </w:rPr>
        <w:t>2</w:t>
      </w:r>
    </w:p>
    <w:p w14:paraId="07984F0C" w14:textId="77777777" w:rsidR="00000000" w:rsidRDefault="00832D71">
      <w:pPr>
        <w:divId w:val="1435860872"/>
        <w:rPr>
          <w:rFonts w:eastAsia="Times New Roman"/>
          <w:sz w:val="20"/>
          <w:szCs w:val="20"/>
        </w:rPr>
      </w:pPr>
      <w:r>
        <w:rPr>
          <w:rFonts w:eastAsia="Times New Roman"/>
          <w:sz w:val="20"/>
          <w:szCs w:val="20"/>
        </w:rPr>
        <w:pict w14:anchorId="75001B93">
          <v:rect id="_x0000_i1141" style="width:0;height:1.5pt" o:hralign="center" o:hrstd="t" o:hr="t" fillcolor="#a0a0a0" stroked="f"/>
        </w:pict>
      </w:r>
    </w:p>
    <w:p w14:paraId="791D372E" w14:textId="77777777" w:rsidR="00000000" w:rsidRDefault="00832D71">
      <w:pPr>
        <w:pStyle w:val="a3"/>
        <w:spacing w:before="0" w:beforeAutospacing="0" w:after="0" w:afterAutospacing="0"/>
        <w:divId w:val="1435860872"/>
        <w:rPr>
          <w:sz w:val="20"/>
          <w:szCs w:val="20"/>
        </w:rPr>
      </w:pPr>
      <w:r>
        <w:rPr>
          <w:sz w:val="20"/>
          <w:szCs w:val="20"/>
        </w:rPr>
        <w:t> </w:t>
      </w:r>
    </w:p>
    <w:p w14:paraId="70DAC5E9" w14:textId="77777777" w:rsidR="00000000" w:rsidRDefault="00832D71">
      <w:pPr>
        <w:pStyle w:val="a3"/>
        <w:spacing w:before="240" w:beforeAutospacing="0" w:after="0" w:afterAutospacing="0"/>
        <w:jc w:val="both"/>
        <w:divId w:val="1386947572"/>
        <w:rPr>
          <w:sz w:val="20"/>
          <w:szCs w:val="20"/>
        </w:rPr>
      </w:pPr>
      <w:r>
        <w:rPr>
          <w:sz w:val="20"/>
          <w:szCs w:val="20"/>
        </w:rPr>
        <w:t>The followin</w:t>
      </w:r>
      <w:r>
        <w:rPr>
          <w:sz w:val="20"/>
          <w:szCs w:val="20"/>
        </w:rPr>
        <w:t>g is a summary of activity in the Restricted Unit Plans</w:t>
      </w:r>
      <w:r>
        <w:rPr>
          <w:sz w:val="20"/>
          <w:szCs w:val="20"/>
        </w:rPr>
        <w:t>:</w:t>
      </w:r>
    </w:p>
    <w:p w14:paraId="13E7728F" w14:textId="77777777" w:rsidR="00000000" w:rsidRDefault="00832D71">
      <w:pPr>
        <w:pStyle w:val="a3"/>
        <w:spacing w:before="0" w:beforeAutospacing="0" w:after="0" w:afterAutospacing="0"/>
        <w:divId w:val="1386947572"/>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838"/>
        <w:gridCol w:w="110"/>
        <w:gridCol w:w="110"/>
        <w:gridCol w:w="860"/>
        <w:gridCol w:w="127"/>
        <w:gridCol w:w="110"/>
        <w:gridCol w:w="160"/>
        <w:gridCol w:w="1357"/>
        <w:gridCol w:w="142"/>
      </w:tblGrid>
      <w:tr w:rsidR="00000000" w14:paraId="0FF8C18F" w14:textId="77777777">
        <w:trPr>
          <w:divId w:val="1386947572"/>
          <w:tblCellSpacing w:w="15" w:type="dxa"/>
        </w:trPr>
        <w:tc>
          <w:tcPr>
            <w:tcW w:w="2673" w:type="pct"/>
            <w:vAlign w:val="center"/>
            <w:hideMark/>
          </w:tcPr>
          <w:p w14:paraId="3122959E" w14:textId="77777777" w:rsidR="00000000" w:rsidRDefault="00832D71">
            <w:pPr>
              <w:rPr>
                <w:sz w:val="20"/>
                <w:szCs w:val="20"/>
              </w:rPr>
            </w:pPr>
          </w:p>
        </w:tc>
        <w:tc>
          <w:tcPr>
            <w:tcW w:w="63" w:type="pct"/>
            <w:vAlign w:val="center"/>
            <w:hideMark/>
          </w:tcPr>
          <w:p w14:paraId="16D294AF" w14:textId="77777777" w:rsidR="00000000" w:rsidRDefault="00832D71">
            <w:pPr>
              <w:rPr>
                <w:rFonts w:eastAsia="Times New Roman"/>
                <w:sz w:val="20"/>
                <w:szCs w:val="20"/>
              </w:rPr>
            </w:pPr>
          </w:p>
        </w:tc>
        <w:tc>
          <w:tcPr>
            <w:tcW w:w="50" w:type="pct"/>
            <w:vAlign w:val="center"/>
            <w:hideMark/>
          </w:tcPr>
          <w:p w14:paraId="279EBF96" w14:textId="77777777" w:rsidR="00000000" w:rsidRDefault="00832D71">
            <w:pPr>
              <w:rPr>
                <w:rFonts w:eastAsia="Times New Roman"/>
                <w:sz w:val="20"/>
                <w:szCs w:val="20"/>
              </w:rPr>
            </w:pPr>
          </w:p>
        </w:tc>
        <w:tc>
          <w:tcPr>
            <w:tcW w:w="654" w:type="pct"/>
            <w:vAlign w:val="center"/>
            <w:hideMark/>
          </w:tcPr>
          <w:p w14:paraId="1028B84F" w14:textId="77777777" w:rsidR="00000000" w:rsidRDefault="00832D71">
            <w:pPr>
              <w:rPr>
                <w:rFonts w:eastAsia="Times New Roman"/>
                <w:sz w:val="20"/>
                <w:szCs w:val="20"/>
              </w:rPr>
            </w:pPr>
          </w:p>
        </w:tc>
        <w:tc>
          <w:tcPr>
            <w:tcW w:w="50" w:type="pct"/>
            <w:vAlign w:val="center"/>
            <w:hideMark/>
          </w:tcPr>
          <w:p w14:paraId="053367E0" w14:textId="77777777" w:rsidR="00000000" w:rsidRDefault="00832D71">
            <w:pPr>
              <w:rPr>
                <w:rFonts w:eastAsia="Times New Roman"/>
                <w:sz w:val="20"/>
                <w:szCs w:val="20"/>
              </w:rPr>
            </w:pPr>
          </w:p>
        </w:tc>
        <w:tc>
          <w:tcPr>
            <w:tcW w:w="62" w:type="pct"/>
            <w:vAlign w:val="center"/>
            <w:hideMark/>
          </w:tcPr>
          <w:p w14:paraId="2024A031" w14:textId="77777777" w:rsidR="00000000" w:rsidRDefault="00832D71">
            <w:pPr>
              <w:rPr>
                <w:rFonts w:eastAsia="Times New Roman"/>
                <w:sz w:val="20"/>
                <w:szCs w:val="20"/>
              </w:rPr>
            </w:pPr>
          </w:p>
        </w:tc>
        <w:tc>
          <w:tcPr>
            <w:tcW w:w="50" w:type="pct"/>
            <w:vAlign w:val="center"/>
            <w:hideMark/>
          </w:tcPr>
          <w:p w14:paraId="38224AE6" w14:textId="77777777" w:rsidR="00000000" w:rsidRDefault="00832D71">
            <w:pPr>
              <w:rPr>
                <w:rFonts w:eastAsia="Times New Roman"/>
                <w:sz w:val="20"/>
                <w:szCs w:val="20"/>
              </w:rPr>
            </w:pPr>
          </w:p>
        </w:tc>
        <w:tc>
          <w:tcPr>
            <w:tcW w:w="1345" w:type="pct"/>
            <w:vAlign w:val="center"/>
            <w:hideMark/>
          </w:tcPr>
          <w:p w14:paraId="16A01DE4" w14:textId="77777777" w:rsidR="00000000" w:rsidRDefault="00832D71">
            <w:pPr>
              <w:rPr>
                <w:rFonts w:eastAsia="Times New Roman"/>
                <w:sz w:val="20"/>
                <w:szCs w:val="20"/>
              </w:rPr>
            </w:pPr>
          </w:p>
        </w:tc>
        <w:tc>
          <w:tcPr>
            <w:tcW w:w="50" w:type="pct"/>
            <w:vAlign w:val="center"/>
            <w:hideMark/>
          </w:tcPr>
          <w:p w14:paraId="17A7807C" w14:textId="77777777" w:rsidR="00000000" w:rsidRDefault="00832D71">
            <w:pPr>
              <w:rPr>
                <w:rFonts w:eastAsia="Times New Roman"/>
                <w:sz w:val="20"/>
                <w:szCs w:val="20"/>
              </w:rPr>
            </w:pPr>
          </w:p>
        </w:tc>
      </w:tr>
      <w:tr w:rsidR="00000000" w14:paraId="7988757F" w14:textId="77777777">
        <w:trPr>
          <w:divId w:val="1386947572"/>
          <w:trHeight w:val="160"/>
          <w:tblCellSpacing w:w="15" w:type="dxa"/>
        </w:trPr>
        <w:tc>
          <w:tcPr>
            <w:tcW w:w="0" w:type="auto"/>
            <w:vAlign w:val="bottom"/>
            <w:hideMark/>
          </w:tcPr>
          <w:p w14:paraId="55263A61"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69A744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E6AB35C"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E6FB0C8"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DDDB2C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D1FAEF8" w14:textId="77777777" w:rsidR="00000000" w:rsidRDefault="00832D71">
            <w:pPr>
              <w:pStyle w:val="a3"/>
              <w:spacing w:before="0" w:beforeAutospacing="0" w:after="0" w:afterAutospacing="0"/>
              <w:jc w:val="center"/>
              <w:rPr>
                <w:sz w:val="16"/>
                <w:szCs w:val="16"/>
              </w:rPr>
            </w:pPr>
            <w:r>
              <w:rPr>
                <w:b/>
                <w:bCs/>
                <w:sz w:val="16"/>
                <w:szCs w:val="16"/>
              </w:rPr>
              <w:t>Weighte</w:t>
            </w:r>
            <w:r>
              <w:rPr>
                <w:b/>
                <w:bCs/>
                <w:sz w:val="16"/>
                <w:szCs w:val="16"/>
              </w:rPr>
              <w:t>d</w:t>
            </w:r>
            <w:r>
              <w:rPr>
                <w:rFonts w:ascii="Calibri" w:hAnsi="Calibri" w:cs="Calibri"/>
                <w:b/>
                <w:bCs/>
                <w:sz w:val="16"/>
                <w:szCs w:val="16"/>
              </w:rPr>
              <w:t xml:space="preserve"> </w:t>
            </w:r>
            <w:r>
              <w:rPr>
                <w:b/>
                <w:bCs/>
                <w:sz w:val="16"/>
                <w:szCs w:val="16"/>
              </w:rPr>
              <w:t>Averag</w:t>
            </w:r>
            <w:r>
              <w:rPr>
                <w:b/>
                <w:bCs/>
                <w:sz w:val="16"/>
                <w:szCs w:val="16"/>
              </w:rPr>
              <w:t>e</w:t>
            </w:r>
          </w:p>
        </w:tc>
        <w:tc>
          <w:tcPr>
            <w:tcW w:w="0" w:type="auto"/>
            <w:vAlign w:val="bottom"/>
            <w:hideMark/>
          </w:tcPr>
          <w:p w14:paraId="6388288C"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E99A868" w14:textId="77777777">
        <w:trPr>
          <w:divId w:val="1386947572"/>
          <w:trHeight w:val="160"/>
          <w:tblCellSpacing w:w="15" w:type="dxa"/>
        </w:trPr>
        <w:tc>
          <w:tcPr>
            <w:tcW w:w="0" w:type="auto"/>
            <w:vAlign w:val="bottom"/>
            <w:hideMark/>
          </w:tcPr>
          <w:p w14:paraId="031085E5"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BED664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D7A761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E10F9D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C4E854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B5ACCBB" w14:textId="77777777" w:rsidR="00000000" w:rsidRDefault="00832D71">
            <w:pPr>
              <w:pStyle w:val="a3"/>
              <w:spacing w:before="0" w:beforeAutospacing="0" w:after="0" w:afterAutospacing="0"/>
              <w:jc w:val="center"/>
              <w:rPr>
                <w:sz w:val="16"/>
                <w:szCs w:val="16"/>
              </w:rPr>
            </w:pPr>
            <w:r>
              <w:rPr>
                <w:b/>
                <w:bCs/>
                <w:sz w:val="16"/>
                <w:szCs w:val="16"/>
              </w:rPr>
              <w:t>Grant Date Fai</w:t>
            </w:r>
            <w:r>
              <w:rPr>
                <w:b/>
                <w:bCs/>
                <w:sz w:val="16"/>
                <w:szCs w:val="16"/>
              </w:rPr>
              <w:t>r</w:t>
            </w:r>
          </w:p>
        </w:tc>
        <w:tc>
          <w:tcPr>
            <w:tcW w:w="0" w:type="auto"/>
            <w:vAlign w:val="bottom"/>
            <w:hideMark/>
          </w:tcPr>
          <w:p w14:paraId="356CEBAA"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9CED464" w14:textId="77777777">
        <w:trPr>
          <w:divId w:val="1386947572"/>
          <w:trHeight w:val="160"/>
          <w:tblCellSpacing w:w="15" w:type="dxa"/>
        </w:trPr>
        <w:tc>
          <w:tcPr>
            <w:tcW w:w="0" w:type="auto"/>
            <w:vAlign w:val="bottom"/>
            <w:hideMark/>
          </w:tcPr>
          <w:p w14:paraId="57DE7AD7"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D1B7AE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245A502" w14:textId="77777777" w:rsidR="00000000" w:rsidRDefault="00832D71">
            <w:pPr>
              <w:pStyle w:val="a3"/>
              <w:spacing w:before="0" w:beforeAutospacing="0" w:after="0" w:afterAutospacing="0"/>
              <w:jc w:val="center"/>
              <w:rPr>
                <w:sz w:val="16"/>
                <w:szCs w:val="16"/>
              </w:rPr>
            </w:pPr>
            <w:r>
              <w:rPr>
                <w:b/>
                <w:bCs/>
                <w:sz w:val="16"/>
                <w:szCs w:val="16"/>
              </w:rPr>
              <w:t>Unit</w:t>
            </w:r>
            <w:r>
              <w:rPr>
                <w:b/>
                <w:bCs/>
                <w:sz w:val="16"/>
                <w:szCs w:val="16"/>
              </w:rPr>
              <w:t>s</w:t>
            </w:r>
          </w:p>
        </w:tc>
        <w:tc>
          <w:tcPr>
            <w:tcW w:w="0" w:type="auto"/>
            <w:vAlign w:val="bottom"/>
            <w:hideMark/>
          </w:tcPr>
          <w:p w14:paraId="74D8426C"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7791D7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C6B9420" w14:textId="77777777" w:rsidR="00000000" w:rsidRDefault="00832D71">
            <w:pPr>
              <w:pStyle w:val="a3"/>
              <w:spacing w:before="0" w:beforeAutospacing="0" w:after="0" w:afterAutospacing="0"/>
              <w:jc w:val="center"/>
              <w:rPr>
                <w:sz w:val="16"/>
                <w:szCs w:val="16"/>
              </w:rPr>
            </w:pPr>
            <w:r>
              <w:rPr>
                <w:b/>
                <w:bCs/>
                <w:sz w:val="16"/>
                <w:szCs w:val="16"/>
              </w:rPr>
              <w:t>Value Per Uni</w:t>
            </w:r>
            <w:r>
              <w:rPr>
                <w:b/>
                <w:bCs/>
                <w:sz w:val="16"/>
                <w:szCs w:val="16"/>
              </w:rPr>
              <w:t>t</w:t>
            </w:r>
          </w:p>
        </w:tc>
        <w:tc>
          <w:tcPr>
            <w:tcW w:w="0" w:type="auto"/>
            <w:vAlign w:val="bottom"/>
            <w:hideMark/>
          </w:tcPr>
          <w:p w14:paraId="761E772C"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07FD61A" w14:textId="77777777">
        <w:trPr>
          <w:divId w:val="1386947572"/>
          <w:trHeight w:val="200"/>
          <w:tblCellSpacing w:w="15" w:type="dxa"/>
        </w:trPr>
        <w:tc>
          <w:tcPr>
            <w:tcW w:w="0" w:type="auto"/>
            <w:hideMark/>
          </w:tcPr>
          <w:p w14:paraId="5EB6A81D" w14:textId="77777777" w:rsidR="00000000" w:rsidRDefault="00832D71">
            <w:pPr>
              <w:pStyle w:val="a3"/>
              <w:spacing w:before="0" w:beforeAutospacing="0" w:after="0" w:afterAutospacing="0"/>
              <w:rPr>
                <w:sz w:val="20"/>
                <w:szCs w:val="20"/>
              </w:rPr>
            </w:pPr>
            <w:r>
              <w:rPr>
                <w:b/>
                <w:bCs/>
                <w:sz w:val="20"/>
                <w:szCs w:val="20"/>
              </w:rPr>
              <w:t>Outstanding September 28, 201</w:t>
            </w:r>
            <w:r>
              <w:rPr>
                <w:b/>
                <w:bCs/>
                <w:sz w:val="20"/>
                <w:szCs w:val="20"/>
              </w:rPr>
              <w:t>9</w:t>
            </w:r>
          </w:p>
        </w:tc>
        <w:tc>
          <w:tcPr>
            <w:tcW w:w="0" w:type="auto"/>
            <w:hideMark/>
          </w:tcPr>
          <w:p w14:paraId="205C4BA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FD048A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480CEFE" w14:textId="77777777" w:rsidR="00000000" w:rsidRDefault="00832D71">
            <w:pPr>
              <w:pStyle w:val="a3"/>
              <w:spacing w:before="0" w:beforeAutospacing="0" w:after="0" w:afterAutospacing="0"/>
              <w:jc w:val="right"/>
              <w:rPr>
                <w:sz w:val="20"/>
                <w:szCs w:val="20"/>
              </w:rPr>
            </w:pPr>
            <w:r>
              <w:rPr>
                <w:sz w:val="20"/>
                <w:szCs w:val="20"/>
              </w:rPr>
              <w:t>988,33</w:t>
            </w:r>
            <w:r>
              <w:rPr>
                <w:sz w:val="20"/>
                <w:szCs w:val="20"/>
              </w:rPr>
              <w:t>9</w:t>
            </w:r>
          </w:p>
        </w:tc>
        <w:tc>
          <w:tcPr>
            <w:tcW w:w="0" w:type="auto"/>
            <w:noWrap/>
            <w:vAlign w:val="bottom"/>
            <w:hideMark/>
          </w:tcPr>
          <w:p w14:paraId="1C91BE5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E3EED5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F22DF4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7DC1F4D" w14:textId="77777777" w:rsidR="00000000" w:rsidRDefault="00832D71">
            <w:pPr>
              <w:pStyle w:val="a3"/>
              <w:spacing w:before="0" w:beforeAutospacing="0" w:after="0" w:afterAutospacing="0"/>
              <w:jc w:val="right"/>
              <w:rPr>
                <w:sz w:val="20"/>
                <w:szCs w:val="20"/>
              </w:rPr>
            </w:pPr>
            <w:r>
              <w:rPr>
                <w:sz w:val="20"/>
                <w:szCs w:val="20"/>
              </w:rPr>
              <w:t>18.1</w:t>
            </w:r>
            <w:r>
              <w:rPr>
                <w:sz w:val="20"/>
                <w:szCs w:val="20"/>
              </w:rPr>
              <w:t>2</w:t>
            </w:r>
          </w:p>
        </w:tc>
        <w:tc>
          <w:tcPr>
            <w:tcW w:w="0" w:type="auto"/>
            <w:noWrap/>
            <w:vAlign w:val="bottom"/>
            <w:hideMark/>
          </w:tcPr>
          <w:p w14:paraId="42A9A085" w14:textId="77777777" w:rsidR="00000000" w:rsidRDefault="00832D71">
            <w:pPr>
              <w:pStyle w:val="a3"/>
              <w:spacing w:before="0" w:beforeAutospacing="0" w:after="0" w:afterAutospacing="0"/>
              <w:rPr>
                <w:sz w:val="20"/>
                <w:szCs w:val="20"/>
              </w:rPr>
            </w:pPr>
            <w:r>
              <w:rPr>
                <w:sz w:val="20"/>
                <w:szCs w:val="20"/>
              </w:rPr>
              <w:t> </w:t>
            </w:r>
          </w:p>
        </w:tc>
      </w:tr>
      <w:tr w:rsidR="00000000" w14:paraId="628B5A33" w14:textId="77777777">
        <w:trPr>
          <w:divId w:val="1386947572"/>
          <w:trHeight w:val="200"/>
          <w:tblCellSpacing w:w="15" w:type="dxa"/>
        </w:trPr>
        <w:tc>
          <w:tcPr>
            <w:tcW w:w="0" w:type="auto"/>
            <w:hideMark/>
          </w:tcPr>
          <w:p w14:paraId="4345575F" w14:textId="77777777" w:rsidR="00000000" w:rsidRDefault="00832D71">
            <w:pPr>
              <w:pStyle w:val="a3"/>
              <w:spacing w:before="0" w:beforeAutospacing="0" w:after="0" w:afterAutospacing="0"/>
              <w:rPr>
                <w:sz w:val="20"/>
                <w:szCs w:val="20"/>
              </w:rPr>
            </w:pPr>
            <w:r>
              <w:rPr>
                <w:sz w:val="20"/>
                <w:szCs w:val="20"/>
              </w:rPr>
              <w:t>Awarde</w:t>
            </w:r>
            <w:r>
              <w:rPr>
                <w:sz w:val="20"/>
                <w:szCs w:val="20"/>
              </w:rPr>
              <w:t>d</w:t>
            </w:r>
          </w:p>
        </w:tc>
        <w:tc>
          <w:tcPr>
            <w:tcW w:w="0" w:type="auto"/>
            <w:hideMark/>
          </w:tcPr>
          <w:p w14:paraId="5635ACA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42C8EF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C75FBA4" w14:textId="77777777" w:rsidR="00000000" w:rsidRDefault="00832D71">
            <w:pPr>
              <w:pStyle w:val="a3"/>
              <w:spacing w:before="0" w:beforeAutospacing="0" w:after="0" w:afterAutospacing="0"/>
              <w:jc w:val="right"/>
              <w:rPr>
                <w:sz w:val="20"/>
                <w:szCs w:val="20"/>
              </w:rPr>
            </w:pPr>
            <w:r>
              <w:rPr>
                <w:sz w:val="20"/>
                <w:szCs w:val="20"/>
              </w:rPr>
              <w:t>471,11</w:t>
            </w:r>
            <w:r>
              <w:rPr>
                <w:sz w:val="20"/>
                <w:szCs w:val="20"/>
              </w:rPr>
              <w:t>1</w:t>
            </w:r>
          </w:p>
        </w:tc>
        <w:tc>
          <w:tcPr>
            <w:tcW w:w="0" w:type="auto"/>
            <w:noWrap/>
            <w:vAlign w:val="bottom"/>
            <w:hideMark/>
          </w:tcPr>
          <w:p w14:paraId="75438ED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BCC3DF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5717DC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DF20CDD" w14:textId="77777777" w:rsidR="00000000" w:rsidRDefault="00832D71">
            <w:pPr>
              <w:pStyle w:val="a3"/>
              <w:spacing w:before="0" w:beforeAutospacing="0" w:after="0" w:afterAutospacing="0"/>
              <w:jc w:val="right"/>
              <w:rPr>
                <w:sz w:val="20"/>
                <w:szCs w:val="20"/>
              </w:rPr>
            </w:pPr>
            <w:r>
              <w:rPr>
                <w:sz w:val="20"/>
                <w:szCs w:val="20"/>
              </w:rPr>
              <w:t>18.1</w:t>
            </w:r>
            <w:r>
              <w:rPr>
                <w:sz w:val="20"/>
                <w:szCs w:val="20"/>
              </w:rPr>
              <w:t>9</w:t>
            </w:r>
          </w:p>
        </w:tc>
        <w:tc>
          <w:tcPr>
            <w:tcW w:w="0" w:type="auto"/>
            <w:noWrap/>
            <w:vAlign w:val="bottom"/>
            <w:hideMark/>
          </w:tcPr>
          <w:p w14:paraId="19E43329" w14:textId="77777777" w:rsidR="00000000" w:rsidRDefault="00832D71">
            <w:pPr>
              <w:pStyle w:val="a3"/>
              <w:spacing w:before="0" w:beforeAutospacing="0" w:after="0" w:afterAutospacing="0"/>
              <w:rPr>
                <w:sz w:val="20"/>
                <w:szCs w:val="20"/>
              </w:rPr>
            </w:pPr>
            <w:r>
              <w:rPr>
                <w:sz w:val="20"/>
                <w:szCs w:val="20"/>
              </w:rPr>
              <w:t> </w:t>
            </w:r>
          </w:p>
        </w:tc>
      </w:tr>
      <w:tr w:rsidR="00000000" w14:paraId="0BE59862" w14:textId="77777777">
        <w:trPr>
          <w:divId w:val="1386947572"/>
          <w:trHeight w:val="200"/>
          <w:tblCellSpacing w:w="15" w:type="dxa"/>
        </w:trPr>
        <w:tc>
          <w:tcPr>
            <w:tcW w:w="0" w:type="auto"/>
            <w:hideMark/>
          </w:tcPr>
          <w:p w14:paraId="17103A1C" w14:textId="77777777" w:rsidR="00000000" w:rsidRDefault="00832D71">
            <w:pPr>
              <w:pStyle w:val="a3"/>
              <w:spacing w:before="0" w:beforeAutospacing="0" w:after="0" w:afterAutospacing="0"/>
              <w:rPr>
                <w:sz w:val="20"/>
                <w:szCs w:val="20"/>
              </w:rPr>
            </w:pPr>
            <w:r>
              <w:rPr>
                <w:sz w:val="20"/>
                <w:szCs w:val="20"/>
              </w:rPr>
              <w:t>Forfeite</w:t>
            </w:r>
            <w:r>
              <w:rPr>
                <w:sz w:val="20"/>
                <w:szCs w:val="20"/>
              </w:rPr>
              <w:t>d</w:t>
            </w:r>
          </w:p>
        </w:tc>
        <w:tc>
          <w:tcPr>
            <w:tcW w:w="0" w:type="auto"/>
            <w:hideMark/>
          </w:tcPr>
          <w:p w14:paraId="6492070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123B27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18257CB" w14:textId="77777777" w:rsidR="00000000" w:rsidRDefault="00832D71">
            <w:pPr>
              <w:pStyle w:val="a3"/>
              <w:spacing w:before="0" w:beforeAutospacing="0" w:after="0" w:afterAutospacing="0"/>
              <w:jc w:val="right"/>
              <w:rPr>
                <w:sz w:val="20"/>
                <w:szCs w:val="20"/>
              </w:rPr>
            </w:pPr>
            <w:r>
              <w:rPr>
                <w:sz w:val="20"/>
                <w:szCs w:val="20"/>
              </w:rPr>
              <w:t>(</w:t>
            </w:r>
            <w:r>
              <w:rPr>
                <w:sz w:val="20"/>
                <w:szCs w:val="20"/>
              </w:rPr>
              <w:t>9,97</w:t>
            </w:r>
            <w:r>
              <w:rPr>
                <w:sz w:val="20"/>
                <w:szCs w:val="20"/>
              </w:rPr>
              <w:t>5</w:t>
            </w:r>
          </w:p>
        </w:tc>
        <w:tc>
          <w:tcPr>
            <w:tcW w:w="0" w:type="auto"/>
            <w:noWrap/>
            <w:vAlign w:val="bottom"/>
            <w:hideMark/>
          </w:tcPr>
          <w:p w14:paraId="606EFB68"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1CAFBDD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D13B58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826F71F" w14:textId="77777777" w:rsidR="00000000" w:rsidRDefault="00832D71">
            <w:pPr>
              <w:pStyle w:val="a3"/>
              <w:spacing w:before="0" w:beforeAutospacing="0" w:after="0" w:afterAutospacing="0"/>
              <w:jc w:val="right"/>
              <w:rPr>
                <w:sz w:val="20"/>
                <w:szCs w:val="20"/>
              </w:rPr>
            </w:pPr>
            <w:r>
              <w:rPr>
                <w:sz w:val="20"/>
                <w:szCs w:val="20"/>
              </w:rPr>
              <w:t>(</w:t>
            </w:r>
            <w:r>
              <w:rPr>
                <w:sz w:val="20"/>
                <w:szCs w:val="20"/>
              </w:rPr>
              <w:t>18.0</w:t>
            </w:r>
            <w:r>
              <w:rPr>
                <w:sz w:val="20"/>
                <w:szCs w:val="20"/>
              </w:rPr>
              <w:t>1</w:t>
            </w:r>
          </w:p>
        </w:tc>
        <w:tc>
          <w:tcPr>
            <w:tcW w:w="0" w:type="auto"/>
            <w:noWrap/>
            <w:vAlign w:val="bottom"/>
            <w:hideMark/>
          </w:tcPr>
          <w:p w14:paraId="29E33143" w14:textId="77777777" w:rsidR="00000000" w:rsidRDefault="00832D71">
            <w:pPr>
              <w:pStyle w:val="a3"/>
              <w:spacing w:before="0" w:beforeAutospacing="0" w:after="0" w:afterAutospacing="0"/>
              <w:rPr>
                <w:sz w:val="20"/>
                <w:szCs w:val="20"/>
              </w:rPr>
            </w:pPr>
            <w:r>
              <w:rPr>
                <w:sz w:val="20"/>
                <w:szCs w:val="20"/>
              </w:rPr>
              <w:t>)</w:t>
            </w:r>
          </w:p>
        </w:tc>
      </w:tr>
      <w:tr w:rsidR="00000000" w14:paraId="0D3C3E00" w14:textId="77777777">
        <w:trPr>
          <w:divId w:val="1386947572"/>
          <w:trHeight w:val="200"/>
          <w:tblCellSpacing w:w="15" w:type="dxa"/>
        </w:trPr>
        <w:tc>
          <w:tcPr>
            <w:tcW w:w="0" w:type="auto"/>
            <w:hideMark/>
          </w:tcPr>
          <w:p w14:paraId="02138E32" w14:textId="77777777" w:rsidR="00000000" w:rsidRDefault="00832D71">
            <w:pPr>
              <w:pStyle w:val="a3"/>
              <w:spacing w:before="0" w:beforeAutospacing="0" w:after="0" w:afterAutospacing="0"/>
              <w:rPr>
                <w:sz w:val="20"/>
                <w:szCs w:val="20"/>
              </w:rPr>
            </w:pPr>
            <w:r>
              <w:rPr>
                <w:sz w:val="20"/>
                <w:szCs w:val="20"/>
              </w:rPr>
              <w:t>Vested</w:t>
            </w:r>
            <w:r>
              <w:rPr>
                <w:sz w:val="20"/>
                <w:szCs w:val="20"/>
              </w:rPr>
              <w:t xml:space="preserve"> </w:t>
            </w:r>
            <w:r>
              <w:rPr>
                <w:sz w:val="16"/>
                <w:szCs w:val="16"/>
              </w:rPr>
              <w:t>(1</w:t>
            </w:r>
            <w:r>
              <w:rPr>
                <w:sz w:val="16"/>
                <w:szCs w:val="16"/>
              </w:rPr>
              <w:t>)</w:t>
            </w:r>
          </w:p>
        </w:tc>
        <w:tc>
          <w:tcPr>
            <w:tcW w:w="0" w:type="auto"/>
            <w:hideMark/>
          </w:tcPr>
          <w:p w14:paraId="4342B62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153EE6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BED171E" w14:textId="77777777" w:rsidR="00000000" w:rsidRDefault="00832D71">
            <w:pPr>
              <w:pStyle w:val="a3"/>
              <w:spacing w:before="0" w:beforeAutospacing="0" w:after="0" w:afterAutospacing="0"/>
              <w:jc w:val="right"/>
              <w:rPr>
                <w:sz w:val="20"/>
                <w:szCs w:val="20"/>
              </w:rPr>
            </w:pPr>
            <w:r>
              <w:rPr>
                <w:sz w:val="20"/>
                <w:szCs w:val="20"/>
              </w:rPr>
              <w:t>(</w:t>
            </w:r>
            <w:r>
              <w:rPr>
                <w:sz w:val="20"/>
                <w:szCs w:val="20"/>
              </w:rPr>
              <w:t>487,65</w:t>
            </w:r>
            <w:r>
              <w:rPr>
                <w:sz w:val="20"/>
                <w:szCs w:val="20"/>
              </w:rPr>
              <w:t>9</w:t>
            </w:r>
          </w:p>
        </w:tc>
        <w:tc>
          <w:tcPr>
            <w:tcW w:w="0" w:type="auto"/>
            <w:noWrap/>
            <w:vAlign w:val="bottom"/>
            <w:hideMark/>
          </w:tcPr>
          <w:p w14:paraId="119CBAEF"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4BC1EE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FFAEAC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80D79C2" w14:textId="77777777" w:rsidR="00000000" w:rsidRDefault="00832D71">
            <w:pPr>
              <w:pStyle w:val="a3"/>
              <w:spacing w:before="0" w:beforeAutospacing="0" w:after="0" w:afterAutospacing="0"/>
              <w:jc w:val="right"/>
              <w:rPr>
                <w:sz w:val="20"/>
                <w:szCs w:val="20"/>
              </w:rPr>
            </w:pPr>
            <w:r>
              <w:rPr>
                <w:sz w:val="20"/>
                <w:szCs w:val="20"/>
              </w:rPr>
              <w:t>(</w:t>
            </w:r>
            <w:r>
              <w:rPr>
                <w:sz w:val="20"/>
                <w:szCs w:val="20"/>
              </w:rPr>
              <w:t>19.2</w:t>
            </w:r>
            <w:r>
              <w:rPr>
                <w:sz w:val="20"/>
                <w:szCs w:val="20"/>
              </w:rPr>
              <w:t>2</w:t>
            </w:r>
          </w:p>
        </w:tc>
        <w:tc>
          <w:tcPr>
            <w:tcW w:w="0" w:type="auto"/>
            <w:noWrap/>
            <w:vAlign w:val="bottom"/>
            <w:hideMark/>
          </w:tcPr>
          <w:p w14:paraId="1804DA6D" w14:textId="77777777" w:rsidR="00000000" w:rsidRDefault="00832D71">
            <w:pPr>
              <w:pStyle w:val="a3"/>
              <w:spacing w:before="0" w:beforeAutospacing="0" w:after="0" w:afterAutospacing="0"/>
              <w:rPr>
                <w:sz w:val="20"/>
                <w:szCs w:val="20"/>
              </w:rPr>
            </w:pPr>
            <w:r>
              <w:rPr>
                <w:sz w:val="20"/>
                <w:szCs w:val="20"/>
              </w:rPr>
              <w:t>)</w:t>
            </w:r>
          </w:p>
        </w:tc>
      </w:tr>
      <w:tr w:rsidR="00000000" w14:paraId="1299DE07" w14:textId="77777777">
        <w:trPr>
          <w:divId w:val="1386947572"/>
          <w:trHeight w:val="200"/>
          <w:tblCellSpacing w:w="15" w:type="dxa"/>
        </w:trPr>
        <w:tc>
          <w:tcPr>
            <w:tcW w:w="0" w:type="auto"/>
            <w:hideMark/>
          </w:tcPr>
          <w:p w14:paraId="5B233487" w14:textId="77777777" w:rsidR="00000000" w:rsidRDefault="00832D71">
            <w:pPr>
              <w:pStyle w:val="a3"/>
              <w:spacing w:before="0" w:beforeAutospacing="0" w:after="0" w:afterAutospacing="0"/>
              <w:rPr>
                <w:sz w:val="20"/>
                <w:szCs w:val="20"/>
              </w:rPr>
            </w:pPr>
            <w:r>
              <w:rPr>
                <w:b/>
                <w:bCs/>
                <w:sz w:val="20"/>
                <w:szCs w:val="20"/>
              </w:rPr>
              <w:t>Outstanding September 26, 202</w:t>
            </w:r>
            <w:r>
              <w:rPr>
                <w:b/>
                <w:bCs/>
                <w:sz w:val="20"/>
                <w:szCs w:val="20"/>
              </w:rPr>
              <w:t>0</w:t>
            </w:r>
          </w:p>
        </w:tc>
        <w:tc>
          <w:tcPr>
            <w:tcW w:w="0" w:type="auto"/>
            <w:hideMark/>
          </w:tcPr>
          <w:p w14:paraId="70A3178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BCA72E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0A5FDAC" w14:textId="77777777" w:rsidR="00000000" w:rsidRDefault="00832D71">
            <w:pPr>
              <w:pStyle w:val="a3"/>
              <w:spacing w:before="0" w:beforeAutospacing="0" w:after="0" w:afterAutospacing="0"/>
              <w:jc w:val="right"/>
              <w:rPr>
                <w:sz w:val="20"/>
                <w:szCs w:val="20"/>
              </w:rPr>
            </w:pPr>
            <w:r>
              <w:rPr>
                <w:sz w:val="20"/>
                <w:szCs w:val="20"/>
              </w:rPr>
              <w:t>961,81</w:t>
            </w:r>
            <w:r>
              <w:rPr>
                <w:sz w:val="20"/>
                <w:szCs w:val="20"/>
              </w:rPr>
              <w:t>6</w:t>
            </w:r>
          </w:p>
        </w:tc>
        <w:tc>
          <w:tcPr>
            <w:tcW w:w="0" w:type="auto"/>
            <w:noWrap/>
            <w:vAlign w:val="bottom"/>
            <w:hideMark/>
          </w:tcPr>
          <w:p w14:paraId="5B01AAD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A02ED0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D4B8B2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626CCDC" w14:textId="77777777" w:rsidR="00000000" w:rsidRDefault="00832D71">
            <w:pPr>
              <w:pStyle w:val="a3"/>
              <w:spacing w:before="0" w:beforeAutospacing="0" w:after="0" w:afterAutospacing="0"/>
              <w:jc w:val="right"/>
              <w:rPr>
                <w:sz w:val="20"/>
                <w:szCs w:val="20"/>
              </w:rPr>
            </w:pPr>
            <w:r>
              <w:rPr>
                <w:sz w:val="20"/>
                <w:szCs w:val="20"/>
              </w:rPr>
              <w:t>17.6</w:t>
            </w:r>
            <w:r>
              <w:rPr>
                <w:sz w:val="20"/>
                <w:szCs w:val="20"/>
              </w:rPr>
              <w:t>0</w:t>
            </w:r>
          </w:p>
        </w:tc>
        <w:tc>
          <w:tcPr>
            <w:tcW w:w="0" w:type="auto"/>
            <w:noWrap/>
            <w:vAlign w:val="bottom"/>
            <w:hideMark/>
          </w:tcPr>
          <w:p w14:paraId="398DDE67" w14:textId="77777777" w:rsidR="00000000" w:rsidRDefault="00832D71">
            <w:pPr>
              <w:pStyle w:val="a3"/>
              <w:spacing w:before="0" w:beforeAutospacing="0" w:after="0" w:afterAutospacing="0"/>
              <w:rPr>
                <w:sz w:val="20"/>
                <w:szCs w:val="20"/>
              </w:rPr>
            </w:pPr>
            <w:r>
              <w:rPr>
                <w:sz w:val="20"/>
                <w:szCs w:val="20"/>
              </w:rPr>
              <w:t> </w:t>
            </w:r>
          </w:p>
        </w:tc>
      </w:tr>
      <w:tr w:rsidR="00000000" w14:paraId="243C6BB3" w14:textId="77777777">
        <w:trPr>
          <w:divId w:val="1386947572"/>
          <w:trHeight w:val="200"/>
          <w:tblCellSpacing w:w="15" w:type="dxa"/>
        </w:trPr>
        <w:tc>
          <w:tcPr>
            <w:tcW w:w="0" w:type="auto"/>
            <w:hideMark/>
          </w:tcPr>
          <w:p w14:paraId="33E76665" w14:textId="77777777" w:rsidR="00000000" w:rsidRDefault="00832D71">
            <w:pPr>
              <w:pStyle w:val="a3"/>
              <w:spacing w:before="0" w:beforeAutospacing="0" w:after="0" w:afterAutospacing="0"/>
              <w:rPr>
                <w:sz w:val="20"/>
                <w:szCs w:val="20"/>
              </w:rPr>
            </w:pPr>
            <w:r>
              <w:rPr>
                <w:sz w:val="20"/>
                <w:szCs w:val="20"/>
              </w:rPr>
              <w:t>Awarde</w:t>
            </w:r>
            <w:r>
              <w:rPr>
                <w:sz w:val="20"/>
                <w:szCs w:val="20"/>
              </w:rPr>
              <w:t>d</w:t>
            </w:r>
          </w:p>
        </w:tc>
        <w:tc>
          <w:tcPr>
            <w:tcW w:w="0" w:type="auto"/>
            <w:hideMark/>
          </w:tcPr>
          <w:p w14:paraId="4F4FFED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AF0694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402B2B7" w14:textId="77777777" w:rsidR="00000000" w:rsidRDefault="00832D71">
            <w:pPr>
              <w:pStyle w:val="a3"/>
              <w:spacing w:before="0" w:beforeAutospacing="0" w:after="0" w:afterAutospacing="0"/>
              <w:jc w:val="right"/>
              <w:rPr>
                <w:sz w:val="20"/>
                <w:szCs w:val="20"/>
              </w:rPr>
            </w:pPr>
            <w:r>
              <w:rPr>
                <w:sz w:val="20"/>
                <w:szCs w:val="20"/>
              </w:rPr>
              <w:t>779,83</w:t>
            </w:r>
            <w:r>
              <w:rPr>
                <w:sz w:val="20"/>
                <w:szCs w:val="20"/>
              </w:rPr>
              <w:t>7</w:t>
            </w:r>
          </w:p>
        </w:tc>
        <w:tc>
          <w:tcPr>
            <w:tcW w:w="0" w:type="auto"/>
            <w:noWrap/>
            <w:vAlign w:val="bottom"/>
            <w:hideMark/>
          </w:tcPr>
          <w:p w14:paraId="768ED09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FE6622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450CF9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B38574D" w14:textId="77777777" w:rsidR="00000000" w:rsidRDefault="00832D71">
            <w:pPr>
              <w:pStyle w:val="a3"/>
              <w:spacing w:before="0" w:beforeAutospacing="0" w:after="0" w:afterAutospacing="0"/>
              <w:jc w:val="right"/>
              <w:rPr>
                <w:sz w:val="20"/>
                <w:szCs w:val="20"/>
              </w:rPr>
            </w:pPr>
            <w:r>
              <w:rPr>
                <w:sz w:val="20"/>
                <w:szCs w:val="20"/>
              </w:rPr>
              <w:t>14.4</w:t>
            </w:r>
            <w:r>
              <w:rPr>
                <w:sz w:val="20"/>
                <w:szCs w:val="20"/>
              </w:rPr>
              <w:t>3</w:t>
            </w:r>
          </w:p>
        </w:tc>
        <w:tc>
          <w:tcPr>
            <w:tcW w:w="0" w:type="auto"/>
            <w:noWrap/>
            <w:vAlign w:val="bottom"/>
            <w:hideMark/>
          </w:tcPr>
          <w:p w14:paraId="4B7A0C73" w14:textId="77777777" w:rsidR="00000000" w:rsidRDefault="00832D71">
            <w:pPr>
              <w:pStyle w:val="a3"/>
              <w:spacing w:before="0" w:beforeAutospacing="0" w:after="0" w:afterAutospacing="0"/>
              <w:rPr>
                <w:sz w:val="20"/>
                <w:szCs w:val="20"/>
              </w:rPr>
            </w:pPr>
            <w:r>
              <w:rPr>
                <w:sz w:val="20"/>
                <w:szCs w:val="20"/>
              </w:rPr>
              <w:t> </w:t>
            </w:r>
          </w:p>
        </w:tc>
      </w:tr>
      <w:tr w:rsidR="00000000" w14:paraId="683E6727" w14:textId="77777777">
        <w:trPr>
          <w:divId w:val="1386947572"/>
          <w:trHeight w:val="200"/>
          <w:tblCellSpacing w:w="15" w:type="dxa"/>
        </w:trPr>
        <w:tc>
          <w:tcPr>
            <w:tcW w:w="0" w:type="auto"/>
            <w:hideMark/>
          </w:tcPr>
          <w:p w14:paraId="3CFC764A" w14:textId="77777777" w:rsidR="00000000" w:rsidRDefault="00832D71">
            <w:pPr>
              <w:pStyle w:val="a3"/>
              <w:spacing w:before="0" w:beforeAutospacing="0" w:after="0" w:afterAutospacing="0"/>
              <w:rPr>
                <w:sz w:val="20"/>
                <w:szCs w:val="20"/>
              </w:rPr>
            </w:pPr>
            <w:r>
              <w:rPr>
                <w:sz w:val="20"/>
                <w:szCs w:val="20"/>
              </w:rPr>
              <w:t>Forfeite</w:t>
            </w:r>
            <w:r>
              <w:rPr>
                <w:sz w:val="20"/>
                <w:szCs w:val="20"/>
              </w:rPr>
              <w:t>d</w:t>
            </w:r>
          </w:p>
        </w:tc>
        <w:tc>
          <w:tcPr>
            <w:tcW w:w="0" w:type="auto"/>
            <w:hideMark/>
          </w:tcPr>
          <w:p w14:paraId="3C52BA9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CCC23A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E812C8A" w14:textId="77777777" w:rsidR="00000000" w:rsidRDefault="00832D71">
            <w:pPr>
              <w:pStyle w:val="a3"/>
              <w:spacing w:before="0" w:beforeAutospacing="0" w:after="0" w:afterAutospacing="0"/>
              <w:jc w:val="right"/>
              <w:rPr>
                <w:sz w:val="20"/>
                <w:szCs w:val="20"/>
              </w:rPr>
            </w:pPr>
            <w:r>
              <w:rPr>
                <w:sz w:val="20"/>
                <w:szCs w:val="20"/>
              </w:rPr>
              <w:t>(</w:t>
            </w:r>
            <w:r>
              <w:rPr>
                <w:sz w:val="20"/>
                <w:szCs w:val="20"/>
              </w:rPr>
              <w:t>26,07</w:t>
            </w:r>
            <w:r>
              <w:rPr>
                <w:sz w:val="20"/>
                <w:szCs w:val="20"/>
              </w:rPr>
              <w:t>0</w:t>
            </w:r>
          </w:p>
        </w:tc>
        <w:tc>
          <w:tcPr>
            <w:tcW w:w="0" w:type="auto"/>
            <w:noWrap/>
            <w:vAlign w:val="bottom"/>
            <w:hideMark/>
          </w:tcPr>
          <w:p w14:paraId="4C9686AB"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5B9347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D1EE47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52E9EC3" w14:textId="77777777" w:rsidR="00000000" w:rsidRDefault="00832D71">
            <w:pPr>
              <w:pStyle w:val="a3"/>
              <w:spacing w:before="0" w:beforeAutospacing="0" w:after="0" w:afterAutospacing="0"/>
              <w:jc w:val="right"/>
              <w:rPr>
                <w:sz w:val="20"/>
                <w:szCs w:val="20"/>
              </w:rPr>
            </w:pPr>
            <w:r>
              <w:rPr>
                <w:sz w:val="20"/>
                <w:szCs w:val="20"/>
              </w:rPr>
              <w:t>(</w:t>
            </w:r>
            <w:r>
              <w:rPr>
                <w:sz w:val="20"/>
                <w:szCs w:val="20"/>
              </w:rPr>
              <w:t>15.2</w:t>
            </w:r>
            <w:r>
              <w:rPr>
                <w:sz w:val="20"/>
                <w:szCs w:val="20"/>
              </w:rPr>
              <w:t>9</w:t>
            </w:r>
          </w:p>
        </w:tc>
        <w:tc>
          <w:tcPr>
            <w:tcW w:w="0" w:type="auto"/>
            <w:noWrap/>
            <w:vAlign w:val="bottom"/>
            <w:hideMark/>
          </w:tcPr>
          <w:p w14:paraId="788D8544" w14:textId="77777777" w:rsidR="00000000" w:rsidRDefault="00832D71">
            <w:pPr>
              <w:pStyle w:val="a3"/>
              <w:spacing w:before="0" w:beforeAutospacing="0" w:after="0" w:afterAutospacing="0"/>
              <w:rPr>
                <w:sz w:val="20"/>
                <w:szCs w:val="20"/>
              </w:rPr>
            </w:pPr>
            <w:r>
              <w:rPr>
                <w:sz w:val="20"/>
                <w:szCs w:val="20"/>
              </w:rPr>
              <w:t>)</w:t>
            </w:r>
          </w:p>
        </w:tc>
      </w:tr>
      <w:tr w:rsidR="00000000" w14:paraId="2C1FF517" w14:textId="77777777">
        <w:trPr>
          <w:divId w:val="1386947572"/>
          <w:trHeight w:val="200"/>
          <w:tblCellSpacing w:w="15" w:type="dxa"/>
        </w:trPr>
        <w:tc>
          <w:tcPr>
            <w:tcW w:w="0" w:type="auto"/>
            <w:hideMark/>
          </w:tcPr>
          <w:p w14:paraId="3D084146" w14:textId="77777777" w:rsidR="00000000" w:rsidRDefault="00832D71">
            <w:pPr>
              <w:pStyle w:val="a3"/>
              <w:spacing w:before="0" w:beforeAutospacing="0" w:after="0" w:afterAutospacing="0"/>
              <w:rPr>
                <w:sz w:val="20"/>
                <w:szCs w:val="20"/>
              </w:rPr>
            </w:pPr>
            <w:r>
              <w:rPr>
                <w:sz w:val="20"/>
                <w:szCs w:val="20"/>
              </w:rPr>
              <w:t>Vested</w:t>
            </w:r>
            <w:r>
              <w:rPr>
                <w:sz w:val="20"/>
                <w:szCs w:val="20"/>
              </w:rPr>
              <w:t xml:space="preserve"> </w:t>
            </w:r>
            <w:r>
              <w:rPr>
                <w:sz w:val="16"/>
                <w:szCs w:val="16"/>
              </w:rPr>
              <w:t>(1</w:t>
            </w:r>
            <w:r>
              <w:rPr>
                <w:sz w:val="16"/>
                <w:szCs w:val="16"/>
              </w:rPr>
              <w:t>)</w:t>
            </w:r>
          </w:p>
        </w:tc>
        <w:tc>
          <w:tcPr>
            <w:tcW w:w="0" w:type="auto"/>
            <w:hideMark/>
          </w:tcPr>
          <w:p w14:paraId="00BCE8C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A3C008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AECFEC8" w14:textId="77777777" w:rsidR="00000000" w:rsidRDefault="00832D71">
            <w:pPr>
              <w:pStyle w:val="a3"/>
              <w:spacing w:before="0" w:beforeAutospacing="0" w:after="0" w:afterAutospacing="0"/>
              <w:jc w:val="right"/>
              <w:rPr>
                <w:sz w:val="20"/>
                <w:szCs w:val="20"/>
              </w:rPr>
            </w:pPr>
            <w:r>
              <w:rPr>
                <w:sz w:val="20"/>
                <w:szCs w:val="20"/>
              </w:rPr>
              <w:t>(</w:t>
            </w:r>
            <w:r>
              <w:rPr>
                <w:sz w:val="20"/>
                <w:szCs w:val="20"/>
              </w:rPr>
              <w:t>483,72</w:t>
            </w:r>
            <w:r>
              <w:rPr>
                <w:sz w:val="20"/>
                <w:szCs w:val="20"/>
              </w:rPr>
              <w:t>0</w:t>
            </w:r>
          </w:p>
        </w:tc>
        <w:tc>
          <w:tcPr>
            <w:tcW w:w="0" w:type="auto"/>
            <w:noWrap/>
            <w:vAlign w:val="bottom"/>
            <w:hideMark/>
          </w:tcPr>
          <w:p w14:paraId="10F70564"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6F9692C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E8A117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CD0A87" w14:textId="77777777" w:rsidR="00000000" w:rsidRDefault="00832D71">
            <w:pPr>
              <w:pStyle w:val="a3"/>
              <w:spacing w:before="0" w:beforeAutospacing="0" w:after="0" w:afterAutospacing="0"/>
              <w:jc w:val="right"/>
              <w:rPr>
                <w:sz w:val="20"/>
                <w:szCs w:val="20"/>
              </w:rPr>
            </w:pPr>
            <w:r>
              <w:rPr>
                <w:sz w:val="20"/>
                <w:szCs w:val="20"/>
              </w:rPr>
              <w:t>(</w:t>
            </w:r>
            <w:r>
              <w:rPr>
                <w:sz w:val="20"/>
                <w:szCs w:val="20"/>
              </w:rPr>
              <w:t>18.5</w:t>
            </w:r>
            <w:r>
              <w:rPr>
                <w:sz w:val="20"/>
                <w:szCs w:val="20"/>
              </w:rPr>
              <w:t>8</w:t>
            </w:r>
          </w:p>
        </w:tc>
        <w:tc>
          <w:tcPr>
            <w:tcW w:w="0" w:type="auto"/>
            <w:noWrap/>
            <w:vAlign w:val="bottom"/>
            <w:hideMark/>
          </w:tcPr>
          <w:p w14:paraId="0219A01C" w14:textId="77777777" w:rsidR="00000000" w:rsidRDefault="00832D71">
            <w:pPr>
              <w:pStyle w:val="a3"/>
              <w:spacing w:before="0" w:beforeAutospacing="0" w:after="0" w:afterAutospacing="0"/>
              <w:rPr>
                <w:sz w:val="20"/>
                <w:szCs w:val="20"/>
              </w:rPr>
            </w:pPr>
            <w:r>
              <w:rPr>
                <w:sz w:val="20"/>
                <w:szCs w:val="20"/>
              </w:rPr>
              <w:t>)</w:t>
            </w:r>
          </w:p>
        </w:tc>
      </w:tr>
      <w:tr w:rsidR="00000000" w14:paraId="3FC5EB80" w14:textId="77777777">
        <w:trPr>
          <w:divId w:val="1386947572"/>
          <w:trHeight w:val="200"/>
          <w:tblCellSpacing w:w="15" w:type="dxa"/>
        </w:trPr>
        <w:tc>
          <w:tcPr>
            <w:tcW w:w="0" w:type="auto"/>
            <w:hideMark/>
          </w:tcPr>
          <w:p w14:paraId="610A3F8F" w14:textId="77777777" w:rsidR="00000000" w:rsidRDefault="00832D71">
            <w:pPr>
              <w:pStyle w:val="a3"/>
              <w:spacing w:before="0" w:beforeAutospacing="0" w:after="0" w:afterAutospacing="0"/>
              <w:rPr>
                <w:sz w:val="20"/>
                <w:szCs w:val="20"/>
              </w:rPr>
            </w:pPr>
            <w:r>
              <w:rPr>
                <w:b/>
                <w:bCs/>
                <w:sz w:val="20"/>
                <w:szCs w:val="20"/>
              </w:rPr>
              <w:t>Outstanding September 25, 202</w:t>
            </w:r>
            <w:r>
              <w:rPr>
                <w:b/>
                <w:bCs/>
                <w:sz w:val="20"/>
                <w:szCs w:val="20"/>
              </w:rPr>
              <w:t>1</w:t>
            </w:r>
          </w:p>
        </w:tc>
        <w:tc>
          <w:tcPr>
            <w:tcW w:w="0" w:type="auto"/>
            <w:hideMark/>
          </w:tcPr>
          <w:p w14:paraId="6135376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19A435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615C51C" w14:textId="77777777" w:rsidR="00000000" w:rsidRDefault="00832D71">
            <w:pPr>
              <w:pStyle w:val="a3"/>
              <w:spacing w:before="0" w:beforeAutospacing="0" w:after="0" w:afterAutospacing="0"/>
              <w:jc w:val="right"/>
              <w:rPr>
                <w:sz w:val="20"/>
                <w:szCs w:val="20"/>
              </w:rPr>
            </w:pPr>
            <w:r>
              <w:rPr>
                <w:sz w:val="20"/>
                <w:szCs w:val="20"/>
              </w:rPr>
              <w:t>1,231,86</w:t>
            </w:r>
            <w:r>
              <w:rPr>
                <w:sz w:val="20"/>
                <w:szCs w:val="20"/>
              </w:rPr>
              <w:t>3</w:t>
            </w:r>
          </w:p>
        </w:tc>
        <w:tc>
          <w:tcPr>
            <w:tcW w:w="0" w:type="auto"/>
            <w:noWrap/>
            <w:vAlign w:val="bottom"/>
            <w:hideMark/>
          </w:tcPr>
          <w:p w14:paraId="2C37839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8C0D99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968D24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5586FEC" w14:textId="77777777" w:rsidR="00000000" w:rsidRDefault="00832D71">
            <w:pPr>
              <w:pStyle w:val="a3"/>
              <w:spacing w:before="0" w:beforeAutospacing="0" w:after="0" w:afterAutospacing="0"/>
              <w:jc w:val="right"/>
              <w:rPr>
                <w:sz w:val="20"/>
                <w:szCs w:val="20"/>
              </w:rPr>
            </w:pPr>
            <w:r>
              <w:rPr>
                <w:sz w:val="20"/>
                <w:szCs w:val="20"/>
              </w:rPr>
              <w:t>15.2</w:t>
            </w:r>
            <w:r>
              <w:rPr>
                <w:sz w:val="20"/>
                <w:szCs w:val="20"/>
              </w:rPr>
              <w:t>6</w:t>
            </w:r>
          </w:p>
        </w:tc>
        <w:tc>
          <w:tcPr>
            <w:tcW w:w="0" w:type="auto"/>
            <w:noWrap/>
            <w:vAlign w:val="bottom"/>
            <w:hideMark/>
          </w:tcPr>
          <w:p w14:paraId="3CCA810F" w14:textId="77777777" w:rsidR="00000000" w:rsidRDefault="00832D71">
            <w:pPr>
              <w:pStyle w:val="a3"/>
              <w:spacing w:before="0" w:beforeAutospacing="0" w:after="0" w:afterAutospacing="0"/>
              <w:rPr>
                <w:sz w:val="20"/>
                <w:szCs w:val="20"/>
              </w:rPr>
            </w:pPr>
            <w:r>
              <w:rPr>
                <w:sz w:val="20"/>
                <w:szCs w:val="20"/>
              </w:rPr>
              <w:t> </w:t>
            </w:r>
          </w:p>
        </w:tc>
      </w:tr>
      <w:tr w:rsidR="00000000" w14:paraId="6C7CDEB1" w14:textId="77777777">
        <w:trPr>
          <w:divId w:val="1386947572"/>
          <w:trHeight w:val="200"/>
          <w:tblCellSpacing w:w="15" w:type="dxa"/>
        </w:trPr>
        <w:tc>
          <w:tcPr>
            <w:tcW w:w="0" w:type="auto"/>
            <w:hideMark/>
          </w:tcPr>
          <w:p w14:paraId="26E8592E" w14:textId="77777777" w:rsidR="00000000" w:rsidRDefault="00832D71">
            <w:pPr>
              <w:pStyle w:val="a3"/>
              <w:spacing w:before="0" w:beforeAutospacing="0" w:after="0" w:afterAutospacing="0"/>
              <w:rPr>
                <w:sz w:val="20"/>
                <w:szCs w:val="20"/>
              </w:rPr>
            </w:pPr>
            <w:r>
              <w:rPr>
                <w:sz w:val="20"/>
                <w:szCs w:val="20"/>
              </w:rPr>
              <w:t>Awarde</w:t>
            </w:r>
            <w:r>
              <w:rPr>
                <w:sz w:val="20"/>
                <w:szCs w:val="20"/>
              </w:rPr>
              <w:t>d</w:t>
            </w:r>
          </w:p>
        </w:tc>
        <w:tc>
          <w:tcPr>
            <w:tcW w:w="0" w:type="auto"/>
            <w:hideMark/>
          </w:tcPr>
          <w:p w14:paraId="3AB1FEB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985BDD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AD101F9" w14:textId="77777777" w:rsidR="00000000" w:rsidRDefault="00832D71">
            <w:pPr>
              <w:pStyle w:val="a3"/>
              <w:spacing w:before="0" w:beforeAutospacing="0" w:after="0" w:afterAutospacing="0"/>
              <w:jc w:val="right"/>
              <w:rPr>
                <w:sz w:val="20"/>
                <w:szCs w:val="20"/>
              </w:rPr>
            </w:pPr>
            <w:r>
              <w:rPr>
                <w:sz w:val="20"/>
                <w:szCs w:val="20"/>
              </w:rPr>
              <w:t>884,65</w:t>
            </w:r>
            <w:r>
              <w:rPr>
                <w:sz w:val="20"/>
                <w:szCs w:val="20"/>
              </w:rPr>
              <w:t>8</w:t>
            </w:r>
          </w:p>
        </w:tc>
        <w:tc>
          <w:tcPr>
            <w:tcW w:w="0" w:type="auto"/>
            <w:noWrap/>
            <w:vAlign w:val="bottom"/>
            <w:hideMark/>
          </w:tcPr>
          <w:p w14:paraId="3F45ACF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F0A1F6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262B24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F5EAA02" w14:textId="77777777" w:rsidR="00000000" w:rsidRDefault="00832D71">
            <w:pPr>
              <w:pStyle w:val="a3"/>
              <w:spacing w:before="0" w:beforeAutospacing="0" w:after="0" w:afterAutospacing="0"/>
              <w:jc w:val="right"/>
              <w:rPr>
                <w:sz w:val="20"/>
                <w:szCs w:val="20"/>
              </w:rPr>
            </w:pPr>
            <w:r>
              <w:rPr>
                <w:sz w:val="20"/>
                <w:szCs w:val="20"/>
              </w:rPr>
              <w:t>12.9</w:t>
            </w:r>
            <w:r>
              <w:rPr>
                <w:sz w:val="20"/>
                <w:szCs w:val="20"/>
              </w:rPr>
              <w:t>7</w:t>
            </w:r>
          </w:p>
        </w:tc>
        <w:tc>
          <w:tcPr>
            <w:tcW w:w="0" w:type="auto"/>
            <w:noWrap/>
            <w:vAlign w:val="bottom"/>
            <w:hideMark/>
          </w:tcPr>
          <w:p w14:paraId="7DACE291" w14:textId="77777777" w:rsidR="00000000" w:rsidRDefault="00832D71">
            <w:pPr>
              <w:pStyle w:val="a3"/>
              <w:spacing w:before="0" w:beforeAutospacing="0" w:after="0" w:afterAutospacing="0"/>
              <w:rPr>
                <w:sz w:val="20"/>
                <w:szCs w:val="20"/>
              </w:rPr>
            </w:pPr>
            <w:r>
              <w:rPr>
                <w:sz w:val="20"/>
                <w:szCs w:val="20"/>
              </w:rPr>
              <w:t> </w:t>
            </w:r>
          </w:p>
        </w:tc>
      </w:tr>
      <w:tr w:rsidR="00000000" w14:paraId="05DB38AE" w14:textId="77777777">
        <w:trPr>
          <w:divId w:val="1386947572"/>
          <w:trHeight w:val="200"/>
          <w:tblCellSpacing w:w="15" w:type="dxa"/>
        </w:trPr>
        <w:tc>
          <w:tcPr>
            <w:tcW w:w="0" w:type="auto"/>
            <w:hideMark/>
          </w:tcPr>
          <w:p w14:paraId="0D781C9F" w14:textId="77777777" w:rsidR="00000000" w:rsidRDefault="00832D71">
            <w:pPr>
              <w:pStyle w:val="a3"/>
              <w:spacing w:before="0" w:beforeAutospacing="0" w:after="0" w:afterAutospacing="0"/>
              <w:rPr>
                <w:sz w:val="20"/>
                <w:szCs w:val="20"/>
              </w:rPr>
            </w:pPr>
            <w:r>
              <w:rPr>
                <w:sz w:val="20"/>
                <w:szCs w:val="20"/>
              </w:rPr>
              <w:t>Forfeite</w:t>
            </w:r>
            <w:r>
              <w:rPr>
                <w:sz w:val="20"/>
                <w:szCs w:val="20"/>
              </w:rPr>
              <w:t>d</w:t>
            </w:r>
          </w:p>
        </w:tc>
        <w:tc>
          <w:tcPr>
            <w:tcW w:w="0" w:type="auto"/>
            <w:hideMark/>
          </w:tcPr>
          <w:p w14:paraId="53EEBE0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8FCEA3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9B1E106" w14:textId="77777777" w:rsidR="00000000" w:rsidRDefault="00832D71">
            <w:pPr>
              <w:pStyle w:val="a3"/>
              <w:spacing w:before="0" w:beforeAutospacing="0" w:after="0" w:afterAutospacing="0"/>
              <w:jc w:val="right"/>
              <w:rPr>
                <w:sz w:val="20"/>
                <w:szCs w:val="20"/>
              </w:rPr>
            </w:pPr>
            <w:r>
              <w:rPr>
                <w:sz w:val="20"/>
                <w:szCs w:val="20"/>
              </w:rPr>
              <w:t>(</w:t>
            </w:r>
            <w:r>
              <w:rPr>
                <w:sz w:val="20"/>
                <w:szCs w:val="20"/>
              </w:rPr>
              <w:t>12,84</w:t>
            </w:r>
            <w:r>
              <w:rPr>
                <w:sz w:val="20"/>
                <w:szCs w:val="20"/>
              </w:rPr>
              <w:t>5</w:t>
            </w:r>
          </w:p>
        </w:tc>
        <w:tc>
          <w:tcPr>
            <w:tcW w:w="0" w:type="auto"/>
            <w:noWrap/>
            <w:vAlign w:val="bottom"/>
            <w:hideMark/>
          </w:tcPr>
          <w:p w14:paraId="681280FD"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8EB53A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6F4530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6212F72" w14:textId="77777777" w:rsidR="00000000" w:rsidRDefault="00832D71">
            <w:pPr>
              <w:pStyle w:val="a3"/>
              <w:spacing w:before="0" w:beforeAutospacing="0" w:after="0" w:afterAutospacing="0"/>
              <w:jc w:val="right"/>
              <w:rPr>
                <w:sz w:val="20"/>
                <w:szCs w:val="20"/>
              </w:rPr>
            </w:pPr>
            <w:r>
              <w:rPr>
                <w:sz w:val="20"/>
                <w:szCs w:val="20"/>
              </w:rPr>
              <w:t>(</w:t>
            </w:r>
            <w:r>
              <w:rPr>
                <w:sz w:val="20"/>
                <w:szCs w:val="20"/>
              </w:rPr>
              <w:t>13.8</w:t>
            </w:r>
            <w:r>
              <w:rPr>
                <w:sz w:val="20"/>
                <w:szCs w:val="20"/>
              </w:rPr>
              <w:t>8</w:t>
            </w:r>
          </w:p>
        </w:tc>
        <w:tc>
          <w:tcPr>
            <w:tcW w:w="0" w:type="auto"/>
            <w:noWrap/>
            <w:vAlign w:val="bottom"/>
            <w:hideMark/>
          </w:tcPr>
          <w:p w14:paraId="0225F957" w14:textId="77777777" w:rsidR="00000000" w:rsidRDefault="00832D71">
            <w:pPr>
              <w:pStyle w:val="a3"/>
              <w:spacing w:before="0" w:beforeAutospacing="0" w:after="0" w:afterAutospacing="0"/>
              <w:rPr>
                <w:sz w:val="20"/>
                <w:szCs w:val="20"/>
              </w:rPr>
            </w:pPr>
            <w:r>
              <w:rPr>
                <w:sz w:val="20"/>
                <w:szCs w:val="20"/>
              </w:rPr>
              <w:t>)</w:t>
            </w:r>
          </w:p>
        </w:tc>
      </w:tr>
      <w:tr w:rsidR="00000000" w14:paraId="2210ED9A" w14:textId="77777777">
        <w:trPr>
          <w:divId w:val="1386947572"/>
          <w:trHeight w:val="200"/>
          <w:tblCellSpacing w:w="15" w:type="dxa"/>
        </w:trPr>
        <w:tc>
          <w:tcPr>
            <w:tcW w:w="0" w:type="auto"/>
            <w:hideMark/>
          </w:tcPr>
          <w:p w14:paraId="461A15EC" w14:textId="77777777" w:rsidR="00000000" w:rsidRDefault="00832D71">
            <w:pPr>
              <w:pStyle w:val="a3"/>
              <w:spacing w:before="0" w:beforeAutospacing="0" w:after="0" w:afterAutospacing="0"/>
              <w:rPr>
                <w:sz w:val="20"/>
                <w:szCs w:val="20"/>
              </w:rPr>
            </w:pPr>
            <w:r>
              <w:rPr>
                <w:sz w:val="20"/>
                <w:szCs w:val="20"/>
              </w:rPr>
              <w:t>Vested</w:t>
            </w:r>
            <w:r>
              <w:rPr>
                <w:sz w:val="20"/>
                <w:szCs w:val="20"/>
              </w:rPr>
              <w:t xml:space="preserve"> </w:t>
            </w:r>
            <w:r>
              <w:rPr>
                <w:sz w:val="16"/>
                <w:szCs w:val="16"/>
              </w:rPr>
              <w:t>(1</w:t>
            </w:r>
            <w:r>
              <w:rPr>
                <w:sz w:val="16"/>
                <w:szCs w:val="16"/>
              </w:rPr>
              <w:t>)</w:t>
            </w:r>
          </w:p>
        </w:tc>
        <w:tc>
          <w:tcPr>
            <w:tcW w:w="0" w:type="auto"/>
            <w:hideMark/>
          </w:tcPr>
          <w:p w14:paraId="71C7DDB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B924C2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67FC8A2" w14:textId="77777777" w:rsidR="00000000" w:rsidRDefault="00832D71">
            <w:pPr>
              <w:pStyle w:val="a3"/>
              <w:spacing w:before="0" w:beforeAutospacing="0" w:after="0" w:afterAutospacing="0"/>
              <w:jc w:val="right"/>
              <w:rPr>
                <w:sz w:val="20"/>
                <w:szCs w:val="20"/>
              </w:rPr>
            </w:pPr>
            <w:r>
              <w:rPr>
                <w:sz w:val="20"/>
                <w:szCs w:val="20"/>
              </w:rPr>
              <w:t>(</w:t>
            </w:r>
            <w:r>
              <w:rPr>
                <w:sz w:val="20"/>
                <w:szCs w:val="20"/>
              </w:rPr>
              <w:t>587,44</w:t>
            </w:r>
            <w:r>
              <w:rPr>
                <w:sz w:val="20"/>
                <w:szCs w:val="20"/>
              </w:rPr>
              <w:t>7</w:t>
            </w:r>
          </w:p>
        </w:tc>
        <w:tc>
          <w:tcPr>
            <w:tcW w:w="0" w:type="auto"/>
            <w:noWrap/>
            <w:vAlign w:val="bottom"/>
            <w:hideMark/>
          </w:tcPr>
          <w:p w14:paraId="7F40DA98"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760F011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8A8A8C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9602F77" w14:textId="77777777" w:rsidR="00000000" w:rsidRDefault="00832D71">
            <w:pPr>
              <w:pStyle w:val="a3"/>
              <w:spacing w:before="0" w:beforeAutospacing="0" w:after="0" w:afterAutospacing="0"/>
              <w:jc w:val="right"/>
              <w:rPr>
                <w:sz w:val="20"/>
                <w:szCs w:val="20"/>
              </w:rPr>
            </w:pPr>
            <w:r>
              <w:rPr>
                <w:sz w:val="20"/>
                <w:szCs w:val="20"/>
              </w:rPr>
              <w:t>(</w:t>
            </w:r>
            <w:r>
              <w:rPr>
                <w:sz w:val="20"/>
                <w:szCs w:val="20"/>
              </w:rPr>
              <w:t>16.3</w:t>
            </w:r>
            <w:r>
              <w:rPr>
                <w:sz w:val="20"/>
                <w:szCs w:val="20"/>
              </w:rPr>
              <w:t>2</w:t>
            </w:r>
          </w:p>
        </w:tc>
        <w:tc>
          <w:tcPr>
            <w:tcW w:w="0" w:type="auto"/>
            <w:noWrap/>
            <w:vAlign w:val="bottom"/>
            <w:hideMark/>
          </w:tcPr>
          <w:p w14:paraId="3A09B927" w14:textId="77777777" w:rsidR="00000000" w:rsidRDefault="00832D71">
            <w:pPr>
              <w:pStyle w:val="a3"/>
              <w:spacing w:before="0" w:beforeAutospacing="0" w:after="0" w:afterAutospacing="0"/>
              <w:rPr>
                <w:sz w:val="20"/>
                <w:szCs w:val="20"/>
              </w:rPr>
            </w:pPr>
            <w:r>
              <w:rPr>
                <w:sz w:val="20"/>
                <w:szCs w:val="20"/>
              </w:rPr>
              <w:t>)</w:t>
            </w:r>
          </w:p>
        </w:tc>
      </w:tr>
      <w:tr w:rsidR="00000000" w14:paraId="3CBF361F" w14:textId="77777777">
        <w:trPr>
          <w:divId w:val="1386947572"/>
          <w:trHeight w:val="200"/>
          <w:tblCellSpacing w:w="15" w:type="dxa"/>
        </w:trPr>
        <w:tc>
          <w:tcPr>
            <w:tcW w:w="0" w:type="auto"/>
            <w:hideMark/>
          </w:tcPr>
          <w:p w14:paraId="7E77FE04" w14:textId="77777777" w:rsidR="00000000" w:rsidRDefault="00832D71">
            <w:pPr>
              <w:pStyle w:val="a3"/>
              <w:spacing w:before="0" w:beforeAutospacing="0" w:after="0" w:afterAutospacing="0"/>
              <w:rPr>
                <w:sz w:val="20"/>
                <w:szCs w:val="20"/>
              </w:rPr>
            </w:pPr>
            <w:r>
              <w:rPr>
                <w:b/>
                <w:bCs/>
                <w:sz w:val="20"/>
                <w:szCs w:val="20"/>
              </w:rPr>
              <w:t>Outstanding September 24, 202</w:t>
            </w:r>
            <w:r>
              <w:rPr>
                <w:b/>
                <w:bCs/>
                <w:sz w:val="20"/>
                <w:szCs w:val="20"/>
              </w:rPr>
              <w:t>2</w:t>
            </w:r>
          </w:p>
        </w:tc>
        <w:tc>
          <w:tcPr>
            <w:tcW w:w="0" w:type="auto"/>
            <w:hideMark/>
          </w:tcPr>
          <w:p w14:paraId="5C58CDD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5DCE08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59F9DAD" w14:textId="77777777" w:rsidR="00000000" w:rsidRDefault="00832D71">
            <w:pPr>
              <w:pStyle w:val="a3"/>
              <w:spacing w:before="0" w:beforeAutospacing="0" w:after="0" w:afterAutospacing="0"/>
              <w:jc w:val="right"/>
              <w:rPr>
                <w:sz w:val="20"/>
                <w:szCs w:val="20"/>
              </w:rPr>
            </w:pPr>
            <w:r>
              <w:rPr>
                <w:sz w:val="20"/>
                <w:szCs w:val="20"/>
              </w:rPr>
              <w:t>1,516,22</w:t>
            </w:r>
            <w:r>
              <w:rPr>
                <w:sz w:val="20"/>
                <w:szCs w:val="20"/>
              </w:rPr>
              <w:t>9</w:t>
            </w:r>
          </w:p>
        </w:tc>
        <w:tc>
          <w:tcPr>
            <w:tcW w:w="0" w:type="auto"/>
            <w:noWrap/>
            <w:vAlign w:val="bottom"/>
            <w:hideMark/>
          </w:tcPr>
          <w:p w14:paraId="2770B38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9A3953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3A1072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39CFDCC" w14:textId="77777777" w:rsidR="00000000" w:rsidRDefault="00832D71">
            <w:pPr>
              <w:pStyle w:val="a3"/>
              <w:spacing w:before="0" w:beforeAutospacing="0" w:after="0" w:afterAutospacing="0"/>
              <w:jc w:val="right"/>
              <w:rPr>
                <w:sz w:val="20"/>
                <w:szCs w:val="20"/>
              </w:rPr>
            </w:pPr>
            <w:r>
              <w:rPr>
                <w:sz w:val="20"/>
                <w:szCs w:val="20"/>
              </w:rPr>
              <w:t>13.5</w:t>
            </w:r>
            <w:r>
              <w:rPr>
                <w:sz w:val="20"/>
                <w:szCs w:val="20"/>
              </w:rPr>
              <w:t>2</w:t>
            </w:r>
          </w:p>
        </w:tc>
        <w:tc>
          <w:tcPr>
            <w:tcW w:w="0" w:type="auto"/>
            <w:noWrap/>
            <w:vAlign w:val="bottom"/>
            <w:hideMark/>
          </w:tcPr>
          <w:p w14:paraId="48C15AA5" w14:textId="77777777" w:rsidR="00000000" w:rsidRDefault="00832D71">
            <w:pPr>
              <w:pStyle w:val="a3"/>
              <w:spacing w:before="0" w:beforeAutospacing="0" w:after="0" w:afterAutospacing="0"/>
              <w:rPr>
                <w:sz w:val="20"/>
                <w:szCs w:val="20"/>
              </w:rPr>
            </w:pPr>
            <w:r>
              <w:rPr>
                <w:sz w:val="20"/>
                <w:szCs w:val="20"/>
              </w:rPr>
              <w:t> </w:t>
            </w:r>
          </w:p>
        </w:tc>
      </w:tr>
    </w:tbl>
    <w:p w14:paraId="0E8C165C" w14:textId="77777777" w:rsidR="00000000" w:rsidRDefault="00832D71">
      <w:pPr>
        <w:pStyle w:val="a3"/>
        <w:spacing w:before="0" w:beforeAutospacing="0" w:after="0" w:afterAutospacing="0"/>
        <w:jc w:val="both"/>
        <w:divId w:val="1386947572"/>
        <w:rPr>
          <w:sz w:val="20"/>
          <w:szCs w:val="20"/>
        </w:rPr>
      </w:pPr>
      <w:r>
        <w:rPr>
          <w:sz w:val="20"/>
          <w:szCs w:val="20"/>
        </w:rPr>
        <w:t> </w:t>
      </w:r>
    </w:p>
    <w:p w14:paraId="2F428BC2" w14:textId="77777777" w:rsidR="00000000" w:rsidRDefault="00832D71">
      <w:pPr>
        <w:jc w:val="both"/>
        <w:divId w:val="1386947572"/>
        <w:rPr>
          <w:rFonts w:eastAsia="Times New Roman"/>
        </w:rPr>
      </w:pPr>
      <w:r>
        <w:rPr>
          <w:rFonts w:eastAsia="Times New Roman"/>
          <w:sz w:val="20"/>
          <w:szCs w:val="20"/>
        </w:rPr>
        <w:t>(1</w:t>
      </w:r>
      <w:r>
        <w:rPr>
          <w:rFonts w:eastAsia="Times New Roman"/>
          <w:sz w:val="20"/>
          <w:szCs w:val="20"/>
        </w:rPr>
        <w:t>)</w:t>
      </w:r>
    </w:p>
    <w:p w14:paraId="26F85E21" w14:textId="77777777" w:rsidR="00000000" w:rsidRDefault="00832D71">
      <w:pPr>
        <w:jc w:val="both"/>
        <w:divId w:val="114561181"/>
        <w:rPr>
          <w:rFonts w:eastAsia="Times New Roman"/>
        </w:rPr>
      </w:pPr>
      <w:r>
        <w:rPr>
          <w:rFonts w:eastAsia="Times New Roman"/>
          <w:sz w:val="20"/>
          <w:szCs w:val="20"/>
        </w:rPr>
        <w:t>During fiscal 2022, 2021 and 2020, the Partnership withheld</w:t>
      </w:r>
      <w:r>
        <w:rPr>
          <w:rFonts w:eastAsia="Times New Roman"/>
          <w:sz w:val="20"/>
          <w:szCs w:val="20"/>
        </w:rPr>
        <w:t xml:space="preserve"> </w:t>
      </w:r>
      <w:r>
        <w:rPr>
          <w:rFonts w:eastAsia="Times New Roman"/>
          <w:sz w:val="20"/>
          <w:szCs w:val="20"/>
        </w:rPr>
        <w:t>138,03</w:t>
      </w:r>
      <w:r>
        <w:rPr>
          <w:rFonts w:eastAsia="Times New Roman"/>
          <w:sz w:val="20"/>
          <w:szCs w:val="20"/>
        </w:rPr>
        <w:t>9</w:t>
      </w:r>
      <w:r>
        <w:rPr>
          <w:rFonts w:eastAsia="Times New Roman"/>
          <w:sz w:val="20"/>
          <w:szCs w:val="20"/>
        </w:rPr>
        <w:t>,</w:t>
      </w:r>
      <w:r>
        <w:rPr>
          <w:rFonts w:eastAsia="Times New Roman"/>
          <w:sz w:val="20"/>
          <w:szCs w:val="20"/>
        </w:rPr>
        <w:t xml:space="preserve"> </w:t>
      </w:r>
      <w:r>
        <w:rPr>
          <w:rFonts w:eastAsia="Times New Roman"/>
          <w:sz w:val="20"/>
          <w:szCs w:val="20"/>
        </w:rPr>
        <w:t>92,33</w:t>
      </w:r>
      <w:r>
        <w:rPr>
          <w:rFonts w:eastAsia="Times New Roman"/>
          <w:sz w:val="20"/>
          <w:szCs w:val="20"/>
        </w:rPr>
        <w:t>6</w:t>
      </w:r>
      <w:r>
        <w:rPr>
          <w:rFonts w:eastAsia="Times New Roman"/>
          <w:sz w:val="20"/>
          <w:szCs w:val="20"/>
        </w:rPr>
        <w:t xml:space="preserve"> and</w:t>
      </w:r>
      <w:r>
        <w:rPr>
          <w:rFonts w:eastAsia="Times New Roman"/>
          <w:sz w:val="20"/>
          <w:szCs w:val="20"/>
        </w:rPr>
        <w:t xml:space="preserve"> </w:t>
      </w:r>
      <w:r>
        <w:rPr>
          <w:rFonts w:eastAsia="Times New Roman"/>
          <w:sz w:val="20"/>
          <w:szCs w:val="20"/>
        </w:rPr>
        <w:t>76,45</w:t>
      </w:r>
      <w:r>
        <w:rPr>
          <w:rFonts w:eastAsia="Times New Roman"/>
          <w:sz w:val="20"/>
          <w:szCs w:val="20"/>
        </w:rPr>
        <w:t>3</w:t>
      </w:r>
      <w:r>
        <w:rPr>
          <w:rFonts w:eastAsia="Times New Roman"/>
          <w:sz w:val="20"/>
          <w:szCs w:val="20"/>
        </w:rPr>
        <w:t xml:space="preserve"> Common Units, respectively, from participants for income tax withholding purposes for those executive officers of the Partnership whose shares of restricted units vested</w:t>
      </w:r>
      <w:r>
        <w:rPr>
          <w:rFonts w:eastAsia="Times New Roman"/>
          <w:sz w:val="20"/>
          <w:szCs w:val="20"/>
        </w:rPr>
        <w:t xml:space="preserve"> during the period</w:t>
      </w:r>
      <w:r>
        <w:rPr>
          <w:rFonts w:eastAsia="Times New Roman"/>
          <w:sz w:val="20"/>
          <w:szCs w:val="20"/>
        </w:rPr>
        <w:t>.</w:t>
      </w:r>
    </w:p>
    <w:p w14:paraId="213FEADC" w14:textId="77777777" w:rsidR="00000000" w:rsidRDefault="00832D71">
      <w:pPr>
        <w:pStyle w:val="a3"/>
        <w:spacing w:before="240" w:beforeAutospacing="0" w:after="0" w:afterAutospacing="0"/>
        <w:jc w:val="both"/>
        <w:divId w:val="1435860872"/>
        <w:rPr>
          <w:sz w:val="20"/>
          <w:szCs w:val="20"/>
        </w:rPr>
      </w:pPr>
      <w:r>
        <w:rPr>
          <w:sz w:val="20"/>
          <w:szCs w:val="20"/>
        </w:rPr>
        <w:t xml:space="preserve">As of September 24, 2022, unrecognized compensation cost related to unvested restricted units awarded under the Restricted Unit Plans amounted to </w:t>
      </w:r>
      <w:r>
        <w:rPr>
          <w:sz w:val="20"/>
          <w:szCs w:val="20"/>
        </w:rPr>
        <w:t>$</w:t>
      </w:r>
      <w:r>
        <w:rPr>
          <w:sz w:val="20"/>
          <w:szCs w:val="20"/>
        </w:rPr>
        <w:t>3,56</w:t>
      </w:r>
      <w:r>
        <w:rPr>
          <w:sz w:val="20"/>
          <w:szCs w:val="20"/>
        </w:rPr>
        <w:t>0</w:t>
      </w:r>
      <w:r>
        <w:rPr>
          <w:sz w:val="20"/>
          <w:szCs w:val="20"/>
        </w:rPr>
        <w:t>. Compensation cost associated with the unvested awards is expected to be recognized</w:t>
      </w:r>
      <w:r>
        <w:rPr>
          <w:sz w:val="20"/>
          <w:szCs w:val="20"/>
        </w:rPr>
        <w:t xml:space="preserve"> over a weighted-average period of</w:t>
      </w:r>
      <w:r>
        <w:rPr>
          <w:sz w:val="20"/>
          <w:szCs w:val="20"/>
        </w:rPr>
        <w:t xml:space="preserve"> </w:t>
      </w:r>
      <w:r>
        <w:rPr>
          <w:sz w:val="20"/>
          <w:szCs w:val="20"/>
        </w:rPr>
        <w:t>1.</w:t>
      </w:r>
      <w:r>
        <w:rPr>
          <w:sz w:val="20"/>
          <w:szCs w:val="20"/>
        </w:rPr>
        <w:t>2</w:t>
      </w:r>
      <w:r>
        <w:rPr>
          <w:sz w:val="20"/>
          <w:szCs w:val="20"/>
        </w:rPr>
        <w:t xml:space="preserve"> years. Compensation expense for the Restricted Unit Plans for fiscal 2022, 2021 and 2020 was </w:t>
      </w:r>
      <w:r>
        <w:rPr>
          <w:sz w:val="20"/>
          <w:szCs w:val="20"/>
        </w:rPr>
        <w:t>$</w:t>
      </w:r>
      <w:r>
        <w:rPr>
          <w:sz w:val="20"/>
          <w:szCs w:val="20"/>
        </w:rPr>
        <w:t>11,25</w:t>
      </w:r>
      <w:r>
        <w:rPr>
          <w:sz w:val="20"/>
          <w:szCs w:val="20"/>
        </w:rPr>
        <w:t>3</w:t>
      </w:r>
      <w:r>
        <w:rPr>
          <w:sz w:val="20"/>
          <w:szCs w:val="20"/>
        </w:rPr>
        <w:t xml:space="preserve">, </w:t>
      </w:r>
      <w:r>
        <w:rPr>
          <w:sz w:val="20"/>
          <w:szCs w:val="20"/>
        </w:rPr>
        <w:t>$</w:t>
      </w:r>
      <w:r>
        <w:rPr>
          <w:sz w:val="20"/>
          <w:szCs w:val="20"/>
        </w:rPr>
        <w:t>10,07</w:t>
      </w:r>
      <w:r>
        <w:rPr>
          <w:sz w:val="20"/>
          <w:szCs w:val="20"/>
        </w:rPr>
        <w:t>3</w:t>
      </w:r>
      <w:r>
        <w:rPr>
          <w:sz w:val="20"/>
          <w:szCs w:val="20"/>
        </w:rPr>
        <w:t xml:space="preserve"> and </w:t>
      </w:r>
      <w:r>
        <w:rPr>
          <w:sz w:val="20"/>
          <w:szCs w:val="20"/>
        </w:rPr>
        <w:t>$</w:t>
      </w:r>
      <w:r>
        <w:rPr>
          <w:sz w:val="20"/>
          <w:szCs w:val="20"/>
        </w:rPr>
        <w:t>9,24</w:t>
      </w:r>
      <w:r>
        <w:rPr>
          <w:sz w:val="20"/>
          <w:szCs w:val="20"/>
        </w:rPr>
        <w:t>2</w:t>
      </w:r>
      <w:r>
        <w:rPr>
          <w:sz w:val="20"/>
          <w:szCs w:val="20"/>
        </w:rPr>
        <w:t>, respectively</w:t>
      </w:r>
      <w:r>
        <w:rPr>
          <w:sz w:val="20"/>
          <w:szCs w:val="20"/>
        </w:rPr>
        <w:t>.</w:t>
      </w:r>
    </w:p>
    <w:p w14:paraId="2C21CFB7" w14:textId="77777777" w:rsidR="00000000" w:rsidRDefault="00832D71">
      <w:pPr>
        <w:pStyle w:val="a3"/>
        <w:spacing w:before="240" w:beforeAutospacing="0" w:after="0" w:afterAutospacing="0"/>
        <w:jc w:val="both"/>
        <w:divId w:val="1435860872"/>
        <w:rPr>
          <w:sz w:val="20"/>
          <w:szCs w:val="20"/>
        </w:rPr>
      </w:pPr>
      <w:r>
        <w:rPr>
          <w:b/>
          <w:bCs/>
          <w:sz w:val="20"/>
          <w:szCs w:val="20"/>
        </w:rPr>
        <w:t>Distribution Equivalent Rights Plan</w:t>
      </w:r>
      <w:r>
        <w:rPr>
          <w:b/>
          <w:bCs/>
          <w:sz w:val="20"/>
          <w:szCs w:val="20"/>
        </w:rPr>
        <w:t>.</w:t>
      </w:r>
      <w:r>
        <w:rPr>
          <w:sz w:val="20"/>
          <w:szCs w:val="20"/>
        </w:rPr>
        <w:t xml:space="preserve"> </w:t>
      </w:r>
      <w:r>
        <w:rPr>
          <w:sz w:val="20"/>
          <w:szCs w:val="20"/>
        </w:rPr>
        <w:t>On January 17, 2017, the Partnership adopted the Distribution Equivalent Rights Plan (the “DER Plan”), which gives the Compensation Committee of the Partnership’s Board of Supervisors discretion to award distribution equivalent rights (“DERs”) to executive</w:t>
      </w:r>
      <w:r>
        <w:rPr>
          <w:sz w:val="20"/>
          <w:szCs w:val="20"/>
        </w:rPr>
        <w:t xml:space="preserve"> officers of the Partnership. Once awarded, DERs entitle the grantee to a cash payment each time the Board of Supervisors declares a cash distribution on the Partnership’s Common Units, which cash payment will be equal to an amount calculated by multiplyin</w:t>
      </w:r>
      <w:r>
        <w:rPr>
          <w:sz w:val="20"/>
          <w:szCs w:val="20"/>
        </w:rPr>
        <w:t>g the number of unvested restricted units which are held by the grantee on the record date of the distribution, by the amount of the declared distribution per Common Unit</w:t>
      </w:r>
      <w:r>
        <w:rPr>
          <w:sz w:val="20"/>
          <w:szCs w:val="20"/>
        </w:rPr>
        <w:t>.</w:t>
      </w:r>
      <w:r>
        <w:rPr>
          <w:sz w:val="20"/>
          <w:szCs w:val="20"/>
        </w:rPr>
        <w:t xml:space="preserve"> Compensation expense recognized under the DER Plan was </w:t>
      </w:r>
      <w:r>
        <w:rPr>
          <w:sz w:val="20"/>
          <w:szCs w:val="20"/>
        </w:rPr>
        <w:t>$</w:t>
      </w:r>
      <w:r>
        <w:rPr>
          <w:sz w:val="20"/>
          <w:szCs w:val="20"/>
        </w:rPr>
        <w:t>1,18</w:t>
      </w:r>
      <w:r>
        <w:rPr>
          <w:sz w:val="20"/>
          <w:szCs w:val="20"/>
        </w:rPr>
        <w:t>9</w:t>
      </w:r>
      <w:r>
        <w:rPr>
          <w:sz w:val="20"/>
          <w:szCs w:val="20"/>
        </w:rPr>
        <w:t xml:space="preserve">, </w:t>
      </w:r>
      <w:r>
        <w:rPr>
          <w:sz w:val="20"/>
          <w:szCs w:val="20"/>
        </w:rPr>
        <w:t>$</w:t>
      </w:r>
      <w:r>
        <w:rPr>
          <w:sz w:val="20"/>
          <w:szCs w:val="20"/>
        </w:rPr>
        <w:t>87</w:t>
      </w:r>
      <w:r>
        <w:rPr>
          <w:sz w:val="20"/>
          <w:szCs w:val="20"/>
        </w:rPr>
        <w:t>4</w:t>
      </w:r>
      <w:r>
        <w:rPr>
          <w:sz w:val="20"/>
          <w:szCs w:val="20"/>
        </w:rPr>
        <w:t xml:space="preserve"> and </w:t>
      </w:r>
      <w:r>
        <w:rPr>
          <w:sz w:val="20"/>
          <w:szCs w:val="20"/>
        </w:rPr>
        <w:t>$</w:t>
      </w:r>
      <w:r>
        <w:rPr>
          <w:sz w:val="20"/>
          <w:szCs w:val="20"/>
        </w:rPr>
        <w:t>84</w:t>
      </w:r>
      <w:r>
        <w:rPr>
          <w:sz w:val="20"/>
          <w:szCs w:val="20"/>
        </w:rPr>
        <w:t>2</w:t>
      </w:r>
      <w:r>
        <w:rPr>
          <w:sz w:val="20"/>
          <w:szCs w:val="20"/>
        </w:rPr>
        <w:t xml:space="preserve"> for fis</w:t>
      </w:r>
      <w:r>
        <w:rPr>
          <w:sz w:val="20"/>
          <w:szCs w:val="20"/>
        </w:rPr>
        <w:t>cal 2022, 2021 and 2020, respectively</w:t>
      </w:r>
      <w:r>
        <w:rPr>
          <w:sz w:val="20"/>
          <w:szCs w:val="20"/>
        </w:rPr>
        <w:t>.</w:t>
      </w:r>
    </w:p>
    <w:p w14:paraId="282A787F" w14:textId="77777777" w:rsidR="00000000" w:rsidRDefault="00832D71">
      <w:pPr>
        <w:pStyle w:val="a3"/>
        <w:spacing w:before="240" w:beforeAutospacing="0" w:after="0" w:afterAutospacing="0"/>
        <w:jc w:val="both"/>
        <w:divId w:val="1435860872"/>
        <w:rPr>
          <w:sz w:val="20"/>
          <w:szCs w:val="20"/>
        </w:rPr>
      </w:pPr>
      <w:r>
        <w:rPr>
          <w:b/>
          <w:bCs/>
          <w:sz w:val="20"/>
          <w:szCs w:val="20"/>
        </w:rPr>
        <w:t>Long-Term Incentive Plan</w:t>
      </w:r>
      <w:r>
        <w:rPr>
          <w:b/>
          <w:bCs/>
          <w:sz w:val="20"/>
          <w:szCs w:val="20"/>
        </w:rPr>
        <w:t>.</w:t>
      </w:r>
      <w:r>
        <w:rPr>
          <w:sz w:val="20"/>
          <w:szCs w:val="20"/>
        </w:rPr>
        <w:t xml:space="preserve"> On August 6, 2013, the Partnership adopted the 2014 Long-Term Incentive Plan (“2014 LTIP”) and on November 10, 2020, the Partnership adopted the 2021 Long-Term Incentive Plan (“2021 LTIP” and</w:t>
      </w:r>
      <w:r>
        <w:rPr>
          <w:sz w:val="20"/>
          <w:szCs w:val="20"/>
        </w:rPr>
        <w:t xml:space="preserve"> together with the 2014 LTIP, “the LTIPs”).</w:t>
      </w:r>
      <w:r>
        <w:rPr>
          <w:sz w:val="20"/>
          <w:szCs w:val="20"/>
        </w:rPr>
        <w:t xml:space="preserve"> </w:t>
      </w:r>
      <w:r>
        <w:rPr>
          <w:sz w:val="20"/>
          <w:szCs w:val="20"/>
        </w:rPr>
        <w:t>The LTIPs are non-qualified, unfunded, long-term incentive plans for executive officers and key employees that provide for payment, in the form of cash, of an award of equity-based compensation at the end of a th</w:t>
      </w:r>
      <w:r>
        <w:rPr>
          <w:sz w:val="20"/>
          <w:szCs w:val="20"/>
        </w:rPr>
        <w:t>ree-year performance period</w:t>
      </w:r>
      <w:r>
        <w:rPr>
          <w:sz w:val="20"/>
          <w:szCs w:val="20"/>
        </w:rPr>
        <w:t>.</w:t>
      </w:r>
      <w:r>
        <w:rPr>
          <w:sz w:val="20"/>
          <w:szCs w:val="20"/>
        </w:rPr>
        <w:t xml:space="preserve"> The 2014 LTIP document governs the terms and conditions of the outstanding fiscal 2020 award and the 2021 LTIP document governs the terms and conditions of the outstanding fiscal 2021 and fiscal 2022 awards and any awards grant</w:t>
      </w:r>
      <w:r>
        <w:rPr>
          <w:sz w:val="20"/>
          <w:szCs w:val="20"/>
        </w:rPr>
        <w:t>ed in fiscal years thereafter. The level of compensation earned under the 2014 LTIP is based on the Partnership’s average distribution coverage ratio over the three-year measurement period. The Partnership’s average distribution coverage ratio is calculate</w:t>
      </w:r>
      <w:r>
        <w:rPr>
          <w:sz w:val="20"/>
          <w:szCs w:val="20"/>
        </w:rPr>
        <w:t>d as the Partnership’s average distributable cash flow, as defined by the 2014 LTIP document, for the</w:t>
      </w:r>
      <w:r>
        <w:rPr>
          <w:sz w:val="20"/>
          <w:szCs w:val="20"/>
        </w:rPr>
        <w:t xml:space="preserve"> </w:t>
      </w:r>
      <w:r>
        <w:rPr>
          <w:sz w:val="20"/>
          <w:szCs w:val="20"/>
        </w:rPr>
        <w:t>three year</w:t>
      </w:r>
      <w:r>
        <w:rPr>
          <w:sz w:val="20"/>
          <w:szCs w:val="20"/>
        </w:rPr>
        <w:t>s</w:t>
      </w:r>
      <w:r>
        <w:rPr>
          <w:sz w:val="20"/>
          <w:szCs w:val="20"/>
        </w:rPr>
        <w:t xml:space="preserve"> </w:t>
      </w:r>
      <w:r>
        <w:rPr>
          <w:sz w:val="20"/>
          <w:szCs w:val="20"/>
        </w:rPr>
        <w:t>in the measurement period, subject to certain adjustments as set forth in the 2014 LTIP document, divided by the amount of annualized cash dis</w:t>
      </w:r>
      <w:r>
        <w:rPr>
          <w:sz w:val="20"/>
          <w:szCs w:val="20"/>
        </w:rPr>
        <w:t>tributions to be paid by the Partnershi</w:t>
      </w:r>
      <w:r>
        <w:rPr>
          <w:sz w:val="20"/>
          <w:szCs w:val="20"/>
        </w:rPr>
        <w:t>p</w:t>
      </w:r>
      <w:r>
        <w:rPr>
          <w:sz w:val="20"/>
          <w:szCs w:val="20"/>
        </w:rPr>
        <w:t>.</w:t>
      </w:r>
      <w:r>
        <w:rPr>
          <w:sz w:val="20"/>
          <w:szCs w:val="20"/>
        </w:rPr>
        <w:t xml:space="preserve"> </w:t>
      </w:r>
      <w:r>
        <w:rPr>
          <w:sz w:val="20"/>
          <w:szCs w:val="20"/>
        </w:rPr>
        <w:t xml:space="preserve">The level of compensation earned under the fiscal 2021 award is evaluated using two separate measurement components: (i) 75% weight based on the level of average distributable cash flow of the Partnership over the </w:t>
      </w:r>
      <w:r>
        <w:rPr>
          <w:sz w:val="20"/>
          <w:szCs w:val="20"/>
        </w:rPr>
        <w:t>three-year measurement period; and (ii) 25% weight based on the achievement of certain operating and strategic objectives, set by the Compensation Committee of the Board of Supervisors, over that award’s three-year measurement period. The level of compensa</w:t>
      </w:r>
      <w:r>
        <w:rPr>
          <w:sz w:val="20"/>
          <w:szCs w:val="20"/>
        </w:rPr>
        <w:t>tion earned under the fiscal 2022 award, and measurement periods thereafter, is also evaluated using two separate measurement components: (i) 50% weight based on the level of average distributable cash flow of the Partnership over the three-year measuremen</w:t>
      </w:r>
      <w:r>
        <w:rPr>
          <w:sz w:val="20"/>
          <w:szCs w:val="20"/>
        </w:rPr>
        <w:t>t period; and (ii) 50% weight based on the achievement of certain operating and strategic objectives, set by the Compensation Committee of the Board of Supervisors for that award’s three-year measurement perio</w:t>
      </w:r>
      <w:r>
        <w:rPr>
          <w:sz w:val="20"/>
          <w:szCs w:val="20"/>
        </w:rPr>
        <w:t>d</w:t>
      </w:r>
      <w:r>
        <w:rPr>
          <w:sz w:val="20"/>
          <w:szCs w:val="20"/>
        </w:rPr>
        <w:t>.</w:t>
      </w:r>
      <w:r>
        <w:rPr>
          <w:sz w:val="20"/>
          <w:szCs w:val="20"/>
        </w:rPr>
        <w:t xml:space="preserve"> Compensation expense, which includes adjustm</w:t>
      </w:r>
      <w:r>
        <w:rPr>
          <w:sz w:val="20"/>
          <w:szCs w:val="20"/>
        </w:rPr>
        <w:t>ents to previously recognized compensation expense for current period changes in the fair value of unvested awards, for fiscal</w:t>
      </w:r>
      <w:r>
        <w:rPr>
          <w:sz w:val="20"/>
          <w:szCs w:val="20"/>
        </w:rPr>
        <w:t xml:space="preserve"> </w:t>
      </w:r>
      <w:r>
        <w:rPr>
          <w:sz w:val="20"/>
          <w:szCs w:val="20"/>
        </w:rPr>
        <w:t>2022, 2021 and 2020 was</w:t>
      </w:r>
      <w:r>
        <w:rPr>
          <w:sz w:val="20"/>
          <w:szCs w:val="20"/>
        </w:rPr>
        <w:t xml:space="preserve"> </w:t>
      </w:r>
      <w:r>
        <w:rPr>
          <w:sz w:val="20"/>
          <w:szCs w:val="20"/>
        </w:rPr>
        <w:t>$</w:t>
      </w:r>
      <w:r>
        <w:rPr>
          <w:sz w:val="20"/>
          <w:szCs w:val="20"/>
        </w:rPr>
        <w:t>6,11</w:t>
      </w:r>
      <w:r>
        <w:rPr>
          <w:sz w:val="20"/>
          <w:szCs w:val="20"/>
        </w:rPr>
        <w:t>2</w:t>
      </w:r>
      <w:r>
        <w:rPr>
          <w:sz w:val="20"/>
          <w:szCs w:val="20"/>
        </w:rPr>
        <w:t>,</w:t>
      </w:r>
      <w:r>
        <w:rPr>
          <w:sz w:val="20"/>
          <w:szCs w:val="20"/>
        </w:rPr>
        <w:t xml:space="preserve"> </w:t>
      </w:r>
      <w:r>
        <w:rPr>
          <w:sz w:val="20"/>
          <w:szCs w:val="20"/>
        </w:rPr>
        <w:t>$</w:t>
      </w:r>
      <w:r>
        <w:rPr>
          <w:sz w:val="20"/>
          <w:szCs w:val="20"/>
        </w:rPr>
        <w:t>4,81</w:t>
      </w:r>
      <w:r>
        <w:rPr>
          <w:sz w:val="20"/>
          <w:szCs w:val="20"/>
        </w:rPr>
        <w:t>9</w:t>
      </w:r>
      <w:r>
        <w:rPr>
          <w:sz w:val="20"/>
          <w:szCs w:val="20"/>
        </w:rPr>
        <w:t xml:space="preserve"> and</w:t>
      </w:r>
      <w:r>
        <w:rPr>
          <w:sz w:val="20"/>
          <w:szCs w:val="20"/>
        </w:rPr>
        <w:t xml:space="preserve"> </w:t>
      </w:r>
      <w:r>
        <w:rPr>
          <w:sz w:val="20"/>
          <w:szCs w:val="20"/>
        </w:rPr>
        <w:t>$</w:t>
      </w:r>
      <w:r>
        <w:rPr>
          <w:sz w:val="20"/>
          <w:szCs w:val="20"/>
        </w:rPr>
        <w:t>48</w:t>
      </w:r>
      <w:r>
        <w:rPr>
          <w:sz w:val="20"/>
          <w:szCs w:val="20"/>
        </w:rPr>
        <w:t>0</w:t>
      </w:r>
      <w:r>
        <w:rPr>
          <w:sz w:val="20"/>
          <w:szCs w:val="20"/>
        </w:rPr>
        <w:t>, respectively. The cash payout in fiscal 2022, which related to the fiscal 2019 a</w:t>
      </w:r>
      <w:r>
        <w:rPr>
          <w:sz w:val="20"/>
          <w:szCs w:val="20"/>
        </w:rPr>
        <w:t xml:space="preserve">ward, was </w:t>
      </w:r>
      <w:r>
        <w:rPr>
          <w:sz w:val="20"/>
          <w:szCs w:val="20"/>
        </w:rPr>
        <w:t>$</w:t>
      </w:r>
      <w:r>
        <w:rPr>
          <w:sz w:val="20"/>
          <w:szCs w:val="20"/>
        </w:rPr>
        <w:t>3,98</w:t>
      </w:r>
      <w:r>
        <w:rPr>
          <w:sz w:val="20"/>
          <w:szCs w:val="20"/>
        </w:rPr>
        <w:t>5</w:t>
      </w:r>
      <w:r>
        <w:rPr>
          <w:sz w:val="20"/>
          <w:szCs w:val="20"/>
        </w:rPr>
        <w:t xml:space="preserve">; the cash payout in fiscal 2021, which related to the fiscal 2018 award, was </w:t>
      </w:r>
      <w:r>
        <w:rPr>
          <w:sz w:val="20"/>
          <w:szCs w:val="20"/>
        </w:rPr>
        <w:t>$</w:t>
      </w:r>
      <w:r>
        <w:rPr>
          <w:sz w:val="20"/>
          <w:szCs w:val="20"/>
        </w:rPr>
        <w:t>3,35</w:t>
      </w:r>
      <w:r>
        <w:rPr>
          <w:sz w:val="20"/>
          <w:szCs w:val="20"/>
        </w:rPr>
        <w:t>4</w:t>
      </w:r>
      <w:r>
        <w:rPr>
          <w:sz w:val="20"/>
          <w:szCs w:val="20"/>
        </w:rPr>
        <w:t xml:space="preserve">; and the cash payout in fiscal 2020, which related to the fiscal 2017 award, was </w:t>
      </w:r>
      <w:r>
        <w:rPr>
          <w:sz w:val="20"/>
          <w:szCs w:val="20"/>
        </w:rPr>
        <w:t>$</w:t>
      </w:r>
      <w:r>
        <w:rPr>
          <w:sz w:val="20"/>
          <w:szCs w:val="20"/>
        </w:rPr>
        <w:t>2,96</w:t>
      </w:r>
      <w:r>
        <w:rPr>
          <w:sz w:val="20"/>
          <w:szCs w:val="20"/>
        </w:rPr>
        <w:t>3</w:t>
      </w:r>
      <w:r>
        <w:rPr>
          <w:sz w:val="20"/>
          <w:szCs w:val="20"/>
        </w:rPr>
        <w:t>.</w:t>
      </w:r>
      <w:r>
        <w:rPr>
          <w:sz w:val="20"/>
          <w:szCs w:val="20"/>
        </w:rPr>
        <w:t xml:space="preserve"> </w:t>
      </w:r>
    </w:p>
    <w:p w14:paraId="005D71E3" w14:textId="77777777" w:rsidR="00000000" w:rsidRDefault="00832D71">
      <w:pPr>
        <w:pStyle w:val="a3"/>
        <w:spacing w:before="0" w:beforeAutospacing="0" w:after="0" w:afterAutospacing="0"/>
        <w:rPr>
          <w:sz w:val="20"/>
          <w:szCs w:val="20"/>
        </w:rPr>
      </w:pPr>
      <w:r>
        <w:rPr>
          <w:sz w:val="20"/>
          <w:szCs w:val="20"/>
        </w:rPr>
        <w:t> </w:t>
      </w:r>
    </w:p>
    <w:p w14:paraId="1BE6CB76" w14:textId="77777777" w:rsidR="00000000" w:rsidRDefault="00832D71">
      <w:pPr>
        <w:pStyle w:val="a3"/>
        <w:spacing w:before="200" w:beforeAutospacing="0" w:after="0" w:afterAutospacing="0"/>
        <w:jc w:val="center"/>
        <w:rPr>
          <w:sz w:val="20"/>
          <w:szCs w:val="20"/>
        </w:rPr>
      </w:pPr>
      <w:r>
        <w:rPr>
          <w:sz w:val="20"/>
          <w:szCs w:val="20"/>
        </w:rPr>
        <w:t>F</w:t>
      </w:r>
      <w:r>
        <w:rPr>
          <w:sz w:val="20"/>
          <w:szCs w:val="20"/>
        </w:rPr>
        <w:t>-</w:t>
      </w:r>
      <w:r>
        <w:rPr>
          <w:sz w:val="20"/>
          <w:szCs w:val="20"/>
        </w:rPr>
        <w:t>2</w:t>
      </w:r>
      <w:r>
        <w:rPr>
          <w:sz w:val="20"/>
          <w:szCs w:val="20"/>
        </w:rPr>
        <w:t>3</w:t>
      </w:r>
    </w:p>
    <w:p w14:paraId="001837FA" w14:textId="77777777" w:rsidR="00000000" w:rsidRDefault="00832D71">
      <w:pPr>
        <w:rPr>
          <w:rFonts w:eastAsia="Times New Roman"/>
        </w:rPr>
      </w:pPr>
      <w:r>
        <w:rPr>
          <w:rFonts w:eastAsia="Times New Roman"/>
        </w:rPr>
        <w:pict w14:anchorId="202ED136">
          <v:rect id="_x0000_i1142" style="width:0;height:1.5pt" o:hralign="center" o:hrstd="t" o:hr="t" fillcolor="#a0a0a0" stroked="f"/>
        </w:pict>
      </w:r>
    </w:p>
    <w:p w14:paraId="3C2825F9" w14:textId="77777777" w:rsidR="00000000" w:rsidRDefault="00832D71">
      <w:pPr>
        <w:pStyle w:val="a3"/>
        <w:spacing w:before="0" w:beforeAutospacing="0" w:after="0" w:afterAutospacing="0"/>
        <w:rPr>
          <w:sz w:val="20"/>
          <w:szCs w:val="20"/>
        </w:rPr>
      </w:pPr>
      <w:r>
        <w:rPr>
          <w:sz w:val="20"/>
          <w:szCs w:val="20"/>
        </w:rPr>
        <w:t> </w:t>
      </w:r>
    </w:p>
    <w:p w14:paraId="6B45851E" w14:textId="77777777" w:rsidR="00000000" w:rsidRDefault="00832D71">
      <w:pPr>
        <w:pStyle w:val="a3"/>
        <w:spacing w:before="180" w:beforeAutospacing="0" w:after="0" w:afterAutospacing="0"/>
        <w:ind w:hanging="581"/>
        <w:jc w:val="both"/>
        <w:divId w:val="1034354723"/>
        <w:rPr>
          <w:sz w:val="20"/>
          <w:szCs w:val="20"/>
        </w:rPr>
      </w:pPr>
      <w:r>
        <w:rPr>
          <w:b/>
          <w:bCs/>
          <w:sz w:val="20"/>
          <w:szCs w:val="20"/>
        </w:rPr>
        <w:t>12. Employee Benefit</w:t>
      </w:r>
      <w:r>
        <w:rPr>
          <w:b/>
          <w:bCs/>
          <w:sz w:val="20"/>
          <w:szCs w:val="20"/>
        </w:rPr>
        <w:t xml:space="preserve"> Plan</w:t>
      </w:r>
      <w:r>
        <w:rPr>
          <w:b/>
          <w:bCs/>
          <w:sz w:val="20"/>
          <w:szCs w:val="20"/>
        </w:rPr>
        <w:t>s</w:t>
      </w:r>
    </w:p>
    <w:p w14:paraId="6510B832" w14:textId="77777777" w:rsidR="00000000" w:rsidRDefault="00832D71">
      <w:pPr>
        <w:pStyle w:val="a3"/>
        <w:spacing w:before="120" w:beforeAutospacing="0" w:after="0" w:afterAutospacing="0"/>
        <w:jc w:val="both"/>
        <w:divId w:val="1034354723"/>
        <w:rPr>
          <w:sz w:val="20"/>
          <w:szCs w:val="20"/>
        </w:rPr>
      </w:pPr>
      <w:r>
        <w:rPr>
          <w:b/>
          <w:bCs/>
          <w:sz w:val="20"/>
          <w:szCs w:val="20"/>
        </w:rPr>
        <w:t>Defined Contribution Plan</w:t>
      </w:r>
      <w:r>
        <w:rPr>
          <w:b/>
          <w:bCs/>
          <w:sz w:val="20"/>
          <w:szCs w:val="20"/>
        </w:rPr>
        <w:t>.</w:t>
      </w:r>
      <w:r>
        <w:rPr>
          <w:sz w:val="20"/>
          <w:szCs w:val="20"/>
        </w:rPr>
        <w:t xml:space="preserve"> The Partnership has an employee Retirement Savings and Investment Plan (the “401(k) Plan”) covering most employees. </w:t>
      </w:r>
      <w:r>
        <w:rPr>
          <w:sz w:val="20"/>
          <w:szCs w:val="20"/>
        </w:rPr>
        <w:t xml:space="preserve">Employer matching contributions relating to the 401(k) Plan represent a match of </w:t>
      </w:r>
      <w:r>
        <w:rPr>
          <w:sz w:val="20"/>
          <w:szCs w:val="20"/>
        </w:rPr>
        <w:t>$</w:t>
      </w:r>
      <w:r>
        <w:rPr>
          <w:sz w:val="20"/>
          <w:szCs w:val="20"/>
        </w:rPr>
        <w:t>0.5</w:t>
      </w:r>
      <w:r>
        <w:rPr>
          <w:sz w:val="20"/>
          <w:szCs w:val="20"/>
        </w:rPr>
        <w:t>0</w:t>
      </w:r>
      <w:r>
        <w:rPr>
          <w:sz w:val="20"/>
          <w:szCs w:val="20"/>
        </w:rPr>
        <w:t xml:space="preserve"> on up to</w:t>
      </w:r>
      <w:r>
        <w:rPr>
          <w:sz w:val="20"/>
          <w:szCs w:val="20"/>
        </w:rPr>
        <w:t xml:space="preserve"> </w:t>
      </w:r>
      <w:r>
        <w:rPr>
          <w:sz w:val="20"/>
          <w:szCs w:val="20"/>
        </w:rPr>
        <w:t>6</w:t>
      </w:r>
      <w:r>
        <w:rPr>
          <w:sz w:val="20"/>
          <w:szCs w:val="20"/>
        </w:rPr>
        <w:t xml:space="preserve">% of eligible compensation contributed with the opportunity to earn an additional performance-based matching contribution if certain annual fiscal performance </w:t>
      </w:r>
      <w:r>
        <w:rPr>
          <w:sz w:val="20"/>
          <w:szCs w:val="20"/>
        </w:rPr>
        <w:t xml:space="preserve">targets are achieved. These contribution costs were </w:t>
      </w:r>
      <w:r>
        <w:rPr>
          <w:sz w:val="20"/>
          <w:szCs w:val="20"/>
        </w:rPr>
        <w:t>$</w:t>
      </w:r>
      <w:r>
        <w:rPr>
          <w:sz w:val="20"/>
          <w:szCs w:val="20"/>
        </w:rPr>
        <w:t>4,05</w:t>
      </w:r>
      <w:r>
        <w:rPr>
          <w:sz w:val="20"/>
          <w:szCs w:val="20"/>
        </w:rPr>
        <w:t>9</w:t>
      </w:r>
      <w:r>
        <w:rPr>
          <w:sz w:val="20"/>
          <w:szCs w:val="20"/>
        </w:rPr>
        <w:t xml:space="preserve">, </w:t>
      </w:r>
      <w:r>
        <w:rPr>
          <w:sz w:val="20"/>
          <w:szCs w:val="20"/>
        </w:rPr>
        <w:t>$</w:t>
      </w:r>
      <w:r>
        <w:rPr>
          <w:sz w:val="20"/>
          <w:szCs w:val="20"/>
        </w:rPr>
        <w:t>3,88</w:t>
      </w:r>
      <w:r>
        <w:rPr>
          <w:sz w:val="20"/>
          <w:szCs w:val="20"/>
        </w:rPr>
        <w:t>0</w:t>
      </w:r>
      <w:r>
        <w:rPr>
          <w:sz w:val="20"/>
          <w:szCs w:val="20"/>
        </w:rPr>
        <w:t xml:space="preserve"> and </w:t>
      </w:r>
      <w:r>
        <w:rPr>
          <w:sz w:val="20"/>
          <w:szCs w:val="20"/>
        </w:rPr>
        <w:t>$</w:t>
      </w:r>
      <w:r>
        <w:rPr>
          <w:sz w:val="20"/>
          <w:szCs w:val="20"/>
        </w:rPr>
        <w:t>3,93</w:t>
      </w:r>
      <w:r>
        <w:rPr>
          <w:sz w:val="20"/>
          <w:szCs w:val="20"/>
        </w:rPr>
        <w:t>4</w:t>
      </w:r>
      <w:r>
        <w:rPr>
          <w:sz w:val="20"/>
          <w:szCs w:val="20"/>
        </w:rPr>
        <w:t xml:space="preserve"> for fiscal 2022, 2021 and 2020, respectively</w:t>
      </w:r>
      <w:r>
        <w:rPr>
          <w:sz w:val="20"/>
          <w:szCs w:val="20"/>
        </w:rPr>
        <w:t>.</w:t>
      </w:r>
    </w:p>
    <w:p w14:paraId="4D77505F" w14:textId="77777777" w:rsidR="00000000" w:rsidRDefault="00832D71">
      <w:pPr>
        <w:pStyle w:val="a3"/>
        <w:spacing w:before="240" w:beforeAutospacing="0" w:after="0" w:afterAutospacing="0"/>
        <w:jc w:val="both"/>
        <w:divId w:val="1034354723"/>
        <w:rPr>
          <w:sz w:val="20"/>
          <w:szCs w:val="20"/>
        </w:rPr>
      </w:pPr>
      <w:r>
        <w:rPr>
          <w:b/>
          <w:bCs/>
          <w:sz w:val="20"/>
          <w:szCs w:val="20"/>
        </w:rPr>
        <w:t>Defined Pension and Retiree Health and Life Benefits Arrangement</w:t>
      </w:r>
      <w:r>
        <w:rPr>
          <w:b/>
          <w:bCs/>
          <w:sz w:val="20"/>
          <w:szCs w:val="20"/>
        </w:rPr>
        <w:t>s</w:t>
      </w:r>
    </w:p>
    <w:p w14:paraId="7553302A" w14:textId="77777777" w:rsidR="00000000" w:rsidRDefault="00832D71">
      <w:pPr>
        <w:pStyle w:val="a3"/>
        <w:spacing w:before="120" w:beforeAutospacing="0" w:after="0" w:afterAutospacing="0"/>
        <w:jc w:val="both"/>
        <w:divId w:val="1034354723"/>
        <w:rPr>
          <w:sz w:val="20"/>
          <w:szCs w:val="20"/>
        </w:rPr>
      </w:pPr>
      <w:r>
        <w:rPr>
          <w:b/>
          <w:bCs/>
          <w:sz w:val="20"/>
          <w:szCs w:val="20"/>
        </w:rPr>
        <w:t>Pension Benefits</w:t>
      </w:r>
      <w:r>
        <w:rPr>
          <w:b/>
          <w:bCs/>
          <w:sz w:val="20"/>
          <w:szCs w:val="20"/>
        </w:rPr>
        <w:t>.</w:t>
      </w:r>
      <w:r>
        <w:rPr>
          <w:sz w:val="20"/>
          <w:szCs w:val="20"/>
        </w:rPr>
        <w:t xml:space="preserve"> The Partnership has a noncontributory defined be</w:t>
      </w:r>
      <w:r>
        <w:rPr>
          <w:sz w:val="20"/>
          <w:szCs w:val="20"/>
        </w:rPr>
        <w:t>nefit pension plan which was originally designed to cover all eligible employees of the Partnership who met certain requirements as to age and length of service. Effective January 1, 1998, the Partnership amended its defined benefit pension plan to provide</w:t>
      </w:r>
      <w:r>
        <w:rPr>
          <w:sz w:val="20"/>
          <w:szCs w:val="20"/>
        </w:rPr>
        <w:t xml:space="preserve"> benefits under a cash balance formula as compared to a final average pay formula which was in effect prior to January 1, 1998. Effective January 1, 2000, participation in the defined benefit pension plan was limited to eligible existing participants on th</w:t>
      </w:r>
      <w:r>
        <w:rPr>
          <w:sz w:val="20"/>
          <w:szCs w:val="20"/>
        </w:rPr>
        <w:t>at date with no new participants eligible to participate in the plan. On September 20, 2002, the Board of Supervisors approved an amendment to the defined benefit pension plan whereby, effective January 1, 2003, future service credits ceased and eligible e</w:t>
      </w:r>
      <w:r>
        <w:rPr>
          <w:sz w:val="20"/>
          <w:szCs w:val="20"/>
        </w:rPr>
        <w:t>mployees receive interest credits only toward their ultimate retirement benefit</w:t>
      </w:r>
      <w:r>
        <w:rPr>
          <w:sz w:val="20"/>
          <w:szCs w:val="20"/>
        </w:rPr>
        <w:t>.</w:t>
      </w:r>
      <w:r>
        <w:rPr>
          <w:sz w:val="20"/>
          <w:szCs w:val="20"/>
        </w:rPr>
        <w:t xml:space="preserve"> </w:t>
      </w:r>
    </w:p>
    <w:p w14:paraId="136BAB6E" w14:textId="77777777" w:rsidR="00000000" w:rsidRDefault="00832D71">
      <w:pPr>
        <w:pStyle w:val="a3"/>
        <w:spacing w:before="240" w:beforeAutospacing="0" w:after="0" w:afterAutospacing="0"/>
        <w:jc w:val="both"/>
        <w:divId w:val="1034354723"/>
        <w:rPr>
          <w:sz w:val="20"/>
          <w:szCs w:val="20"/>
        </w:rPr>
      </w:pPr>
      <w:r>
        <w:rPr>
          <w:sz w:val="20"/>
          <w:szCs w:val="20"/>
        </w:rPr>
        <w:t xml:space="preserve">Contributions, as needed, are made to a trust maintained by the Partnership. Contributions to the defined benefit pension plan are made by the Partnership in accordance with </w:t>
      </w:r>
      <w:r>
        <w:rPr>
          <w:sz w:val="20"/>
          <w:szCs w:val="20"/>
        </w:rPr>
        <w:t xml:space="preserve">the Employee Retirement Income Security Act of 1974 minimum funding standards plus additional amounts made at the discretion of the Partnership, which may be determined from time to time. Contributions of </w:t>
      </w:r>
      <w:r>
        <w:rPr>
          <w:sz w:val="20"/>
          <w:szCs w:val="20"/>
        </w:rPr>
        <w:t>$</w:t>
      </w:r>
      <w:r>
        <w:rPr>
          <w:sz w:val="20"/>
          <w:szCs w:val="20"/>
        </w:rPr>
        <w:t>3,33</w:t>
      </w:r>
      <w:r>
        <w:rPr>
          <w:sz w:val="20"/>
          <w:szCs w:val="20"/>
        </w:rPr>
        <w:t>0</w:t>
      </w:r>
      <w:r>
        <w:rPr>
          <w:sz w:val="20"/>
          <w:szCs w:val="20"/>
        </w:rPr>
        <w:t xml:space="preserve">, </w:t>
      </w:r>
      <w:r>
        <w:rPr>
          <w:sz w:val="20"/>
          <w:szCs w:val="20"/>
        </w:rPr>
        <w:t>$</w:t>
      </w:r>
      <w:r>
        <w:rPr>
          <w:sz w:val="20"/>
          <w:szCs w:val="20"/>
        </w:rPr>
        <w:t>6,27</w:t>
      </w:r>
      <w:r>
        <w:rPr>
          <w:sz w:val="20"/>
          <w:szCs w:val="20"/>
        </w:rPr>
        <w:t>0</w:t>
      </w:r>
      <w:r>
        <w:rPr>
          <w:sz w:val="20"/>
          <w:szCs w:val="20"/>
        </w:rPr>
        <w:t xml:space="preserve"> and </w:t>
      </w:r>
      <w:r>
        <w:rPr>
          <w:sz w:val="20"/>
          <w:szCs w:val="20"/>
        </w:rPr>
        <w:t>$</w:t>
      </w:r>
      <w:r>
        <w:rPr>
          <w:sz w:val="20"/>
          <w:szCs w:val="20"/>
        </w:rPr>
        <w:t>3,83</w:t>
      </w:r>
      <w:r>
        <w:rPr>
          <w:sz w:val="20"/>
          <w:szCs w:val="20"/>
        </w:rPr>
        <w:t>5</w:t>
      </w:r>
      <w:r>
        <w:rPr>
          <w:sz w:val="20"/>
          <w:szCs w:val="20"/>
        </w:rPr>
        <w:t xml:space="preserve"> were made by the Partners</w:t>
      </w:r>
      <w:r>
        <w:rPr>
          <w:sz w:val="20"/>
          <w:szCs w:val="20"/>
        </w:rPr>
        <w:t>hip in fiscal</w:t>
      </w:r>
      <w:r>
        <w:rPr>
          <w:sz w:val="20"/>
          <w:szCs w:val="20"/>
        </w:rPr>
        <w:t xml:space="preserve"> </w:t>
      </w:r>
      <w:r>
        <w:rPr>
          <w:sz w:val="20"/>
          <w:szCs w:val="20"/>
        </w:rPr>
        <w:t>2022, 2021 and 2020, respectively. In fiscal 2010, the Internal Revenue Service completed its review of the Partnership’s defined benefit pension plan and issued a favorable determination letter pertaining to the cash balance formula. However</w:t>
      </w:r>
      <w:r>
        <w:rPr>
          <w:sz w:val="20"/>
          <w:szCs w:val="20"/>
        </w:rPr>
        <w:t>, there can be no assurances that future legislative developments will not have an adverse effect on the Partnership’s results of operations or cash flows</w:t>
      </w:r>
      <w:r>
        <w:rPr>
          <w:sz w:val="20"/>
          <w:szCs w:val="20"/>
        </w:rPr>
        <w:t>.</w:t>
      </w:r>
    </w:p>
    <w:p w14:paraId="249C4B4B" w14:textId="77777777" w:rsidR="00000000" w:rsidRDefault="00832D71">
      <w:pPr>
        <w:pStyle w:val="a3"/>
        <w:spacing w:before="240" w:beforeAutospacing="0" w:after="0" w:afterAutospacing="0"/>
        <w:jc w:val="both"/>
        <w:divId w:val="1034354723"/>
        <w:rPr>
          <w:sz w:val="20"/>
          <w:szCs w:val="20"/>
        </w:rPr>
      </w:pPr>
      <w:r>
        <w:rPr>
          <w:b/>
          <w:bCs/>
          <w:sz w:val="20"/>
          <w:szCs w:val="20"/>
        </w:rPr>
        <w:t>Retiree Health and Life Benefits</w:t>
      </w:r>
      <w:r>
        <w:rPr>
          <w:b/>
          <w:bCs/>
          <w:sz w:val="20"/>
          <w:szCs w:val="20"/>
        </w:rPr>
        <w:t>.</w:t>
      </w:r>
      <w:r>
        <w:rPr>
          <w:sz w:val="20"/>
          <w:szCs w:val="20"/>
        </w:rPr>
        <w:t xml:space="preserve"> The Partnership provides postretirement health care and life insur</w:t>
      </w:r>
      <w:r>
        <w:rPr>
          <w:sz w:val="20"/>
          <w:szCs w:val="20"/>
        </w:rPr>
        <w:t>ance benefits for certain retired employees. Partnership employees hired prior to July 1993 and who retired prior to March 1998 are eligible for postretirement health care benefits if they reached a specified retirement age while working for the Partnershi</w:t>
      </w:r>
      <w:r>
        <w:rPr>
          <w:sz w:val="20"/>
          <w:szCs w:val="20"/>
        </w:rPr>
        <w:t>p. Partnership employees hired prior to July 1993 and who retired prior to January 1998 are eligible for life insurance benefits if they reached a specified retirement age while working for the Partnership. Effective January 1, 2017, the Partnership termin</w:t>
      </w:r>
      <w:r>
        <w:rPr>
          <w:sz w:val="20"/>
          <w:szCs w:val="20"/>
        </w:rPr>
        <w:t xml:space="preserve">ated postretirement life insurance benefits to all retirees that retired after December 31, 1997. Effective March 31, 1998, the Partnership froze participation in its postretirement health care benefit plan, with no new retirees eligible to participate in </w:t>
      </w:r>
      <w:r>
        <w:rPr>
          <w:sz w:val="20"/>
          <w:szCs w:val="20"/>
        </w:rPr>
        <w:t>the plan. All active employees who were eligible to receive health care benefits under the postretirement plan subsequent to March 1, 1998, were provided an increase to their accumulated benefits under the cash balance pension plan. The Partnership’s postr</w:t>
      </w:r>
      <w:r>
        <w:rPr>
          <w:sz w:val="20"/>
          <w:szCs w:val="20"/>
        </w:rPr>
        <w:t xml:space="preserve">etirement health care and life insurance benefit plans are unfunded. Effective January 1, 2006, the Partnership changed its postretirement health care plan from a self-insured program to one that is fully insured under which the Partnership pays a portion </w:t>
      </w:r>
      <w:r>
        <w:rPr>
          <w:sz w:val="20"/>
          <w:szCs w:val="20"/>
        </w:rPr>
        <w:t>of the insurance premium on behalf of the eligible participants</w:t>
      </w:r>
      <w:r>
        <w:rPr>
          <w:sz w:val="20"/>
          <w:szCs w:val="20"/>
        </w:rPr>
        <w:t>.</w:t>
      </w:r>
      <w:r>
        <w:rPr>
          <w:sz w:val="20"/>
          <w:szCs w:val="20"/>
        </w:rPr>
        <w:t xml:space="preserve"> </w:t>
      </w:r>
    </w:p>
    <w:p w14:paraId="1B0135CB" w14:textId="77777777" w:rsidR="00000000" w:rsidRDefault="00832D71">
      <w:pPr>
        <w:pStyle w:val="a3"/>
        <w:spacing w:before="240" w:beforeAutospacing="0" w:after="0" w:afterAutospacing="0"/>
        <w:jc w:val="both"/>
        <w:divId w:val="1034354723"/>
        <w:rPr>
          <w:sz w:val="20"/>
          <w:szCs w:val="20"/>
        </w:rPr>
      </w:pPr>
      <w:r>
        <w:rPr>
          <w:sz w:val="20"/>
          <w:szCs w:val="20"/>
        </w:rPr>
        <w:t>The Partnership recognizes the funded status of pension and other postretirement benefit plans as an asset or liability on the balance sheet and recognizes changes in the funded status in ot</w:t>
      </w:r>
      <w:r>
        <w:rPr>
          <w:sz w:val="20"/>
          <w:szCs w:val="20"/>
        </w:rPr>
        <w:t>her comprehensive income (loss) in the year the changes occur. The Partnership uses the date of its consolidated financial statements as the measurement date of plan assets and obligations</w:t>
      </w:r>
      <w:r>
        <w:rPr>
          <w:sz w:val="20"/>
          <w:szCs w:val="20"/>
        </w:rPr>
        <w:t>.</w:t>
      </w:r>
    </w:p>
    <w:p w14:paraId="18797368" w14:textId="77777777" w:rsidR="00000000" w:rsidRDefault="00832D71">
      <w:pPr>
        <w:pStyle w:val="a3"/>
        <w:spacing w:before="240" w:beforeAutospacing="0" w:after="0" w:afterAutospacing="0"/>
        <w:jc w:val="both"/>
        <w:divId w:val="1034354723"/>
        <w:rPr>
          <w:sz w:val="20"/>
          <w:szCs w:val="20"/>
        </w:rPr>
      </w:pPr>
      <w:r>
        <w:rPr>
          <w:b/>
          <w:bCs/>
          <w:sz w:val="20"/>
          <w:szCs w:val="20"/>
        </w:rPr>
        <w:t>Projected Benefit Obligation, Fair Value of Plan Assets and Funded</w:t>
      </w:r>
      <w:r>
        <w:rPr>
          <w:b/>
          <w:bCs/>
          <w:sz w:val="20"/>
          <w:szCs w:val="20"/>
        </w:rPr>
        <w:t xml:space="preserve"> Status</w:t>
      </w:r>
      <w:r>
        <w:rPr>
          <w:b/>
          <w:bCs/>
          <w:sz w:val="20"/>
          <w:szCs w:val="20"/>
        </w:rPr>
        <w:t>.</w:t>
      </w:r>
      <w:r>
        <w:rPr>
          <w:sz w:val="20"/>
          <w:szCs w:val="20"/>
        </w:rPr>
        <w:t xml:space="preserve"> </w:t>
      </w:r>
      <w:r>
        <w:rPr>
          <w:sz w:val="20"/>
          <w:szCs w:val="20"/>
        </w:rPr>
        <w:t>The following tables provide a reconciliation of the changes in the benefit obligations and the fair value of the plan assets for fiscal</w:t>
      </w:r>
      <w:r>
        <w:rPr>
          <w:sz w:val="20"/>
          <w:szCs w:val="20"/>
        </w:rPr>
        <w:t xml:space="preserve"> </w:t>
      </w:r>
      <w:r>
        <w:rPr>
          <w:sz w:val="20"/>
          <w:szCs w:val="20"/>
        </w:rPr>
        <w:t>2022 and 2021 and a statement of the funded status for</w:t>
      </w:r>
      <w:r>
        <w:rPr>
          <w:sz w:val="20"/>
          <w:szCs w:val="20"/>
        </w:rPr>
        <w:t xml:space="preserve"> </w:t>
      </w:r>
    </w:p>
    <w:p w14:paraId="064D1B46" w14:textId="77777777" w:rsidR="00000000" w:rsidRDefault="00832D71">
      <w:pPr>
        <w:pStyle w:val="a3"/>
        <w:spacing w:before="200" w:beforeAutospacing="0" w:after="0" w:afterAutospacing="0"/>
        <w:jc w:val="center"/>
        <w:divId w:val="1034354723"/>
        <w:rPr>
          <w:sz w:val="20"/>
          <w:szCs w:val="20"/>
        </w:rPr>
      </w:pPr>
      <w:r>
        <w:rPr>
          <w:sz w:val="20"/>
          <w:szCs w:val="20"/>
        </w:rPr>
        <w:t>F</w:t>
      </w:r>
      <w:r>
        <w:rPr>
          <w:sz w:val="20"/>
          <w:szCs w:val="20"/>
        </w:rPr>
        <w:t>-</w:t>
      </w:r>
      <w:r>
        <w:rPr>
          <w:sz w:val="20"/>
          <w:szCs w:val="20"/>
        </w:rPr>
        <w:t>2</w:t>
      </w:r>
      <w:r>
        <w:rPr>
          <w:sz w:val="20"/>
          <w:szCs w:val="20"/>
        </w:rPr>
        <w:t>4</w:t>
      </w:r>
    </w:p>
    <w:p w14:paraId="571C12A3" w14:textId="77777777" w:rsidR="00000000" w:rsidRDefault="00832D71">
      <w:pPr>
        <w:divId w:val="1034354723"/>
        <w:rPr>
          <w:rFonts w:eastAsia="Times New Roman"/>
        </w:rPr>
      </w:pPr>
      <w:r>
        <w:rPr>
          <w:rFonts w:eastAsia="Times New Roman"/>
        </w:rPr>
        <w:pict w14:anchorId="3F1CD35E">
          <v:rect id="_x0000_i1143" style="width:0;height:1.5pt" o:hralign="center" o:hrstd="t" o:hr="t" fillcolor="#a0a0a0" stroked="f"/>
        </w:pict>
      </w:r>
    </w:p>
    <w:p w14:paraId="6B03D89F" w14:textId="77777777" w:rsidR="00000000" w:rsidRDefault="00832D71">
      <w:pPr>
        <w:pStyle w:val="a3"/>
        <w:spacing w:before="0" w:beforeAutospacing="0" w:after="0" w:afterAutospacing="0"/>
        <w:divId w:val="1034354723"/>
        <w:rPr>
          <w:sz w:val="20"/>
          <w:szCs w:val="20"/>
        </w:rPr>
      </w:pPr>
      <w:r>
        <w:rPr>
          <w:sz w:val="20"/>
          <w:szCs w:val="20"/>
        </w:rPr>
        <w:t> </w:t>
      </w:r>
    </w:p>
    <w:p w14:paraId="0D9A2AB3" w14:textId="77777777" w:rsidR="00000000" w:rsidRDefault="00832D71">
      <w:pPr>
        <w:pStyle w:val="a3"/>
        <w:spacing w:before="240" w:beforeAutospacing="0" w:after="0" w:afterAutospacing="0"/>
        <w:jc w:val="both"/>
        <w:divId w:val="245725729"/>
        <w:rPr>
          <w:sz w:val="20"/>
          <w:szCs w:val="20"/>
        </w:rPr>
      </w:pPr>
      <w:r>
        <w:rPr>
          <w:sz w:val="20"/>
          <w:szCs w:val="20"/>
        </w:rPr>
        <w:t>both years</w:t>
      </w:r>
      <w:r>
        <w:rPr>
          <w:sz w:val="20"/>
          <w:szCs w:val="20"/>
        </w:rPr>
        <w:t>. Under the Partnership’s cash balance defined benefit pension plan, the accumulated benefit obligation and the projected benefit obligation are the same</w:t>
      </w:r>
      <w:r>
        <w:rPr>
          <w:sz w:val="20"/>
          <w:szCs w:val="20"/>
        </w:rPr>
        <w:t>.</w:t>
      </w:r>
    </w:p>
    <w:p w14:paraId="6E64CDE5" w14:textId="77777777" w:rsidR="00000000" w:rsidRDefault="00832D71">
      <w:pPr>
        <w:pStyle w:val="a3"/>
        <w:spacing w:before="0" w:beforeAutospacing="0" w:after="0" w:afterAutospacing="0"/>
        <w:divId w:val="245725729"/>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98"/>
        <w:gridCol w:w="110"/>
        <w:gridCol w:w="160"/>
        <w:gridCol w:w="710"/>
        <w:gridCol w:w="127"/>
        <w:gridCol w:w="110"/>
        <w:gridCol w:w="160"/>
        <w:gridCol w:w="710"/>
        <w:gridCol w:w="127"/>
        <w:gridCol w:w="110"/>
        <w:gridCol w:w="160"/>
        <w:gridCol w:w="577"/>
        <w:gridCol w:w="127"/>
        <w:gridCol w:w="110"/>
        <w:gridCol w:w="160"/>
        <w:gridCol w:w="577"/>
        <w:gridCol w:w="142"/>
      </w:tblGrid>
      <w:tr w:rsidR="00000000" w14:paraId="7380CCE1" w14:textId="77777777">
        <w:trPr>
          <w:divId w:val="245725729"/>
          <w:tblCellSpacing w:w="15" w:type="dxa"/>
        </w:trPr>
        <w:tc>
          <w:tcPr>
            <w:tcW w:w="2519" w:type="pct"/>
            <w:vAlign w:val="center"/>
            <w:hideMark/>
          </w:tcPr>
          <w:p w14:paraId="2C3BC53A" w14:textId="77777777" w:rsidR="00000000" w:rsidRDefault="00832D71">
            <w:pPr>
              <w:rPr>
                <w:sz w:val="20"/>
                <w:szCs w:val="20"/>
              </w:rPr>
            </w:pPr>
          </w:p>
        </w:tc>
        <w:tc>
          <w:tcPr>
            <w:tcW w:w="61" w:type="pct"/>
            <w:vAlign w:val="center"/>
            <w:hideMark/>
          </w:tcPr>
          <w:p w14:paraId="0C09FF71" w14:textId="77777777" w:rsidR="00000000" w:rsidRDefault="00832D71">
            <w:pPr>
              <w:rPr>
                <w:rFonts w:eastAsia="Times New Roman"/>
                <w:sz w:val="20"/>
                <w:szCs w:val="20"/>
              </w:rPr>
            </w:pPr>
          </w:p>
        </w:tc>
        <w:tc>
          <w:tcPr>
            <w:tcW w:w="50" w:type="pct"/>
            <w:vAlign w:val="center"/>
            <w:hideMark/>
          </w:tcPr>
          <w:p w14:paraId="76993C75" w14:textId="77777777" w:rsidR="00000000" w:rsidRDefault="00832D71">
            <w:pPr>
              <w:rPr>
                <w:rFonts w:eastAsia="Times New Roman"/>
                <w:sz w:val="20"/>
                <w:szCs w:val="20"/>
              </w:rPr>
            </w:pPr>
          </w:p>
        </w:tc>
        <w:tc>
          <w:tcPr>
            <w:tcW w:w="446" w:type="pct"/>
            <w:vAlign w:val="center"/>
            <w:hideMark/>
          </w:tcPr>
          <w:p w14:paraId="6FB14D5C" w14:textId="77777777" w:rsidR="00000000" w:rsidRDefault="00832D71">
            <w:pPr>
              <w:rPr>
                <w:rFonts w:eastAsia="Times New Roman"/>
                <w:sz w:val="20"/>
                <w:szCs w:val="20"/>
              </w:rPr>
            </w:pPr>
          </w:p>
        </w:tc>
        <w:tc>
          <w:tcPr>
            <w:tcW w:w="50" w:type="pct"/>
            <w:vAlign w:val="center"/>
            <w:hideMark/>
          </w:tcPr>
          <w:p w14:paraId="7FF1C22C" w14:textId="77777777" w:rsidR="00000000" w:rsidRDefault="00832D71">
            <w:pPr>
              <w:rPr>
                <w:rFonts w:eastAsia="Times New Roman"/>
                <w:sz w:val="20"/>
                <w:szCs w:val="20"/>
              </w:rPr>
            </w:pPr>
          </w:p>
        </w:tc>
        <w:tc>
          <w:tcPr>
            <w:tcW w:w="61" w:type="pct"/>
            <w:vAlign w:val="center"/>
            <w:hideMark/>
          </w:tcPr>
          <w:p w14:paraId="78B306A5" w14:textId="77777777" w:rsidR="00000000" w:rsidRDefault="00832D71">
            <w:pPr>
              <w:rPr>
                <w:rFonts w:eastAsia="Times New Roman"/>
                <w:sz w:val="20"/>
                <w:szCs w:val="20"/>
              </w:rPr>
            </w:pPr>
          </w:p>
        </w:tc>
        <w:tc>
          <w:tcPr>
            <w:tcW w:w="50" w:type="pct"/>
            <w:vAlign w:val="center"/>
            <w:hideMark/>
          </w:tcPr>
          <w:p w14:paraId="0712E11B" w14:textId="77777777" w:rsidR="00000000" w:rsidRDefault="00832D71">
            <w:pPr>
              <w:rPr>
                <w:rFonts w:eastAsia="Times New Roman"/>
                <w:sz w:val="20"/>
                <w:szCs w:val="20"/>
              </w:rPr>
            </w:pPr>
          </w:p>
        </w:tc>
        <w:tc>
          <w:tcPr>
            <w:tcW w:w="460" w:type="pct"/>
            <w:vAlign w:val="center"/>
            <w:hideMark/>
          </w:tcPr>
          <w:p w14:paraId="7A527157" w14:textId="77777777" w:rsidR="00000000" w:rsidRDefault="00832D71">
            <w:pPr>
              <w:rPr>
                <w:rFonts w:eastAsia="Times New Roman"/>
                <w:sz w:val="20"/>
                <w:szCs w:val="20"/>
              </w:rPr>
            </w:pPr>
          </w:p>
        </w:tc>
        <w:tc>
          <w:tcPr>
            <w:tcW w:w="50" w:type="pct"/>
            <w:vAlign w:val="center"/>
            <w:hideMark/>
          </w:tcPr>
          <w:p w14:paraId="47D32113" w14:textId="77777777" w:rsidR="00000000" w:rsidRDefault="00832D71">
            <w:pPr>
              <w:rPr>
                <w:rFonts w:eastAsia="Times New Roman"/>
                <w:sz w:val="20"/>
                <w:szCs w:val="20"/>
              </w:rPr>
            </w:pPr>
          </w:p>
        </w:tc>
        <w:tc>
          <w:tcPr>
            <w:tcW w:w="61" w:type="pct"/>
            <w:vAlign w:val="center"/>
            <w:hideMark/>
          </w:tcPr>
          <w:p w14:paraId="09A8A328" w14:textId="77777777" w:rsidR="00000000" w:rsidRDefault="00832D71">
            <w:pPr>
              <w:rPr>
                <w:rFonts w:eastAsia="Times New Roman"/>
                <w:sz w:val="20"/>
                <w:szCs w:val="20"/>
              </w:rPr>
            </w:pPr>
          </w:p>
        </w:tc>
        <w:tc>
          <w:tcPr>
            <w:tcW w:w="50" w:type="pct"/>
            <w:vAlign w:val="center"/>
            <w:hideMark/>
          </w:tcPr>
          <w:p w14:paraId="2587F36D" w14:textId="77777777" w:rsidR="00000000" w:rsidRDefault="00832D71">
            <w:pPr>
              <w:rPr>
                <w:rFonts w:eastAsia="Times New Roman"/>
                <w:sz w:val="20"/>
                <w:szCs w:val="20"/>
              </w:rPr>
            </w:pPr>
          </w:p>
        </w:tc>
        <w:tc>
          <w:tcPr>
            <w:tcW w:w="460" w:type="pct"/>
            <w:vAlign w:val="center"/>
            <w:hideMark/>
          </w:tcPr>
          <w:p w14:paraId="6B92516B" w14:textId="77777777" w:rsidR="00000000" w:rsidRDefault="00832D71">
            <w:pPr>
              <w:rPr>
                <w:rFonts w:eastAsia="Times New Roman"/>
                <w:sz w:val="20"/>
                <w:szCs w:val="20"/>
              </w:rPr>
            </w:pPr>
          </w:p>
        </w:tc>
        <w:tc>
          <w:tcPr>
            <w:tcW w:w="50" w:type="pct"/>
            <w:vAlign w:val="center"/>
            <w:hideMark/>
          </w:tcPr>
          <w:p w14:paraId="674A783F" w14:textId="77777777" w:rsidR="00000000" w:rsidRDefault="00832D71">
            <w:pPr>
              <w:rPr>
                <w:rFonts w:eastAsia="Times New Roman"/>
                <w:sz w:val="20"/>
                <w:szCs w:val="20"/>
              </w:rPr>
            </w:pPr>
          </w:p>
        </w:tc>
        <w:tc>
          <w:tcPr>
            <w:tcW w:w="61" w:type="pct"/>
            <w:vAlign w:val="center"/>
            <w:hideMark/>
          </w:tcPr>
          <w:p w14:paraId="2EF3E4D3" w14:textId="77777777" w:rsidR="00000000" w:rsidRDefault="00832D71">
            <w:pPr>
              <w:rPr>
                <w:rFonts w:eastAsia="Times New Roman"/>
                <w:sz w:val="20"/>
                <w:szCs w:val="20"/>
              </w:rPr>
            </w:pPr>
          </w:p>
        </w:tc>
        <w:tc>
          <w:tcPr>
            <w:tcW w:w="50" w:type="pct"/>
            <w:vAlign w:val="center"/>
            <w:hideMark/>
          </w:tcPr>
          <w:p w14:paraId="5D9E479F" w14:textId="77777777" w:rsidR="00000000" w:rsidRDefault="00832D71">
            <w:pPr>
              <w:rPr>
                <w:rFonts w:eastAsia="Times New Roman"/>
                <w:sz w:val="20"/>
                <w:szCs w:val="20"/>
              </w:rPr>
            </w:pPr>
          </w:p>
        </w:tc>
        <w:tc>
          <w:tcPr>
            <w:tcW w:w="468" w:type="pct"/>
            <w:vAlign w:val="center"/>
            <w:hideMark/>
          </w:tcPr>
          <w:p w14:paraId="1C2E77DB" w14:textId="77777777" w:rsidR="00000000" w:rsidRDefault="00832D71">
            <w:pPr>
              <w:rPr>
                <w:rFonts w:eastAsia="Times New Roman"/>
                <w:sz w:val="20"/>
                <w:szCs w:val="20"/>
              </w:rPr>
            </w:pPr>
          </w:p>
        </w:tc>
        <w:tc>
          <w:tcPr>
            <w:tcW w:w="50" w:type="pct"/>
            <w:vAlign w:val="center"/>
            <w:hideMark/>
          </w:tcPr>
          <w:p w14:paraId="3DB8BEE9" w14:textId="77777777" w:rsidR="00000000" w:rsidRDefault="00832D71">
            <w:pPr>
              <w:rPr>
                <w:rFonts w:eastAsia="Times New Roman"/>
                <w:sz w:val="20"/>
                <w:szCs w:val="20"/>
              </w:rPr>
            </w:pPr>
          </w:p>
        </w:tc>
      </w:tr>
      <w:tr w:rsidR="00000000" w14:paraId="27C4F640" w14:textId="77777777">
        <w:trPr>
          <w:divId w:val="245725729"/>
          <w:trHeight w:val="160"/>
          <w:tblCellSpacing w:w="15" w:type="dxa"/>
        </w:trPr>
        <w:tc>
          <w:tcPr>
            <w:tcW w:w="0" w:type="auto"/>
            <w:vAlign w:val="bottom"/>
            <w:hideMark/>
          </w:tcPr>
          <w:p w14:paraId="2F40C495"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2C250E2" w14:textId="77777777" w:rsidR="00000000" w:rsidRDefault="00832D71">
            <w:pPr>
              <w:pStyle w:val="a3"/>
              <w:spacing w:before="0" w:beforeAutospacing="0" w:after="0" w:afterAutospacing="0"/>
              <w:rPr>
                <w:sz w:val="16"/>
                <w:szCs w:val="16"/>
              </w:rPr>
            </w:pPr>
            <w:r>
              <w:rPr>
                <w:sz w:val="16"/>
                <w:szCs w:val="16"/>
              </w:rPr>
              <w:t> </w:t>
            </w:r>
          </w:p>
        </w:tc>
        <w:tc>
          <w:tcPr>
            <w:tcW w:w="0" w:type="auto"/>
            <w:gridSpan w:val="6"/>
            <w:vAlign w:val="bottom"/>
            <w:hideMark/>
          </w:tcPr>
          <w:p w14:paraId="53A5D640" w14:textId="77777777" w:rsidR="00000000" w:rsidRDefault="00832D71">
            <w:pPr>
              <w:pStyle w:val="a3"/>
              <w:spacing w:before="0" w:beforeAutospacing="0" w:after="0" w:afterAutospacing="0"/>
              <w:jc w:val="center"/>
              <w:rPr>
                <w:sz w:val="16"/>
                <w:szCs w:val="16"/>
              </w:rPr>
            </w:pPr>
            <w:r>
              <w:rPr>
                <w:b/>
                <w:bCs/>
                <w:sz w:val="16"/>
                <w:szCs w:val="16"/>
              </w:rPr>
              <w:t>Pension Benefit</w:t>
            </w:r>
            <w:r>
              <w:rPr>
                <w:b/>
                <w:bCs/>
                <w:sz w:val="16"/>
                <w:szCs w:val="16"/>
              </w:rPr>
              <w:t>s</w:t>
            </w:r>
          </w:p>
        </w:tc>
        <w:tc>
          <w:tcPr>
            <w:tcW w:w="0" w:type="auto"/>
            <w:vAlign w:val="bottom"/>
            <w:hideMark/>
          </w:tcPr>
          <w:p w14:paraId="1C194186"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FF37737" w14:textId="77777777" w:rsidR="00000000" w:rsidRDefault="00832D71">
            <w:pPr>
              <w:pStyle w:val="a3"/>
              <w:spacing w:before="0" w:beforeAutospacing="0" w:after="0" w:afterAutospacing="0"/>
              <w:rPr>
                <w:sz w:val="16"/>
                <w:szCs w:val="16"/>
              </w:rPr>
            </w:pPr>
            <w:r>
              <w:rPr>
                <w:sz w:val="16"/>
                <w:szCs w:val="16"/>
              </w:rPr>
              <w:t> </w:t>
            </w:r>
          </w:p>
        </w:tc>
        <w:tc>
          <w:tcPr>
            <w:tcW w:w="0" w:type="auto"/>
            <w:gridSpan w:val="6"/>
            <w:vAlign w:val="bottom"/>
            <w:hideMark/>
          </w:tcPr>
          <w:p w14:paraId="0A31420A" w14:textId="77777777" w:rsidR="00000000" w:rsidRDefault="00832D71">
            <w:pPr>
              <w:pStyle w:val="a3"/>
              <w:spacing w:before="0" w:beforeAutospacing="0" w:after="0" w:afterAutospacing="0"/>
              <w:jc w:val="center"/>
              <w:rPr>
                <w:sz w:val="16"/>
                <w:szCs w:val="16"/>
              </w:rPr>
            </w:pPr>
            <w:r>
              <w:rPr>
                <w:b/>
                <w:bCs/>
                <w:sz w:val="16"/>
                <w:szCs w:val="16"/>
              </w:rPr>
              <w:t>Retiree H</w:t>
            </w:r>
            <w:r>
              <w:rPr>
                <w:b/>
                <w:bCs/>
                <w:sz w:val="16"/>
                <w:szCs w:val="16"/>
              </w:rPr>
              <w:t>ealth and Life Benefit</w:t>
            </w:r>
            <w:r>
              <w:rPr>
                <w:b/>
                <w:bCs/>
                <w:sz w:val="16"/>
                <w:szCs w:val="16"/>
              </w:rPr>
              <w:t>s</w:t>
            </w:r>
          </w:p>
        </w:tc>
        <w:tc>
          <w:tcPr>
            <w:tcW w:w="0" w:type="auto"/>
            <w:vAlign w:val="bottom"/>
            <w:hideMark/>
          </w:tcPr>
          <w:p w14:paraId="1EBF30EF"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16117948" w14:textId="77777777">
        <w:trPr>
          <w:divId w:val="245725729"/>
          <w:trHeight w:val="160"/>
          <w:tblCellSpacing w:w="15" w:type="dxa"/>
        </w:trPr>
        <w:tc>
          <w:tcPr>
            <w:tcW w:w="0" w:type="auto"/>
            <w:vAlign w:val="bottom"/>
            <w:hideMark/>
          </w:tcPr>
          <w:p w14:paraId="4A27BC48"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716EF77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9194E60"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6AE09C4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5D9379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936CBB7"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0631EAE0"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40C3A1D"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41E40DB"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7AACEA0"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EC5AB6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04CD7F1"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F0536BB"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B62C483" w14:textId="77777777">
        <w:trPr>
          <w:divId w:val="245725729"/>
          <w:trHeight w:val="200"/>
          <w:tblCellSpacing w:w="15" w:type="dxa"/>
        </w:trPr>
        <w:tc>
          <w:tcPr>
            <w:tcW w:w="0" w:type="auto"/>
            <w:hideMark/>
          </w:tcPr>
          <w:p w14:paraId="37666E5D" w14:textId="77777777" w:rsidR="00000000" w:rsidRDefault="00832D71">
            <w:pPr>
              <w:pStyle w:val="a3"/>
              <w:spacing w:before="0" w:beforeAutospacing="0" w:after="0" w:afterAutospacing="0"/>
              <w:rPr>
                <w:sz w:val="20"/>
                <w:szCs w:val="20"/>
              </w:rPr>
            </w:pPr>
            <w:r>
              <w:rPr>
                <w:b/>
                <w:bCs/>
                <w:sz w:val="20"/>
                <w:szCs w:val="20"/>
              </w:rPr>
              <w:t>Reconciliation of benefit obligations</w:t>
            </w:r>
            <w:r>
              <w:rPr>
                <w:b/>
                <w:bCs/>
                <w:sz w:val="20"/>
                <w:szCs w:val="20"/>
              </w:rPr>
              <w:t>:</w:t>
            </w:r>
          </w:p>
        </w:tc>
        <w:tc>
          <w:tcPr>
            <w:tcW w:w="0" w:type="auto"/>
            <w:hideMark/>
          </w:tcPr>
          <w:p w14:paraId="6FA4A9E4"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B16944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C442D35"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6E871EEC"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0BA275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0831157"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0F3CF1F4"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01ACBB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F0646E3"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EDA1B4C"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056329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5DF879F" w14:textId="77777777" w:rsidR="00000000" w:rsidRDefault="00832D71">
            <w:pPr>
              <w:pStyle w:val="a3"/>
              <w:spacing w:before="0" w:beforeAutospacing="0" w:after="0" w:afterAutospacing="0"/>
              <w:jc w:val="right"/>
              <w:rPr>
                <w:sz w:val="20"/>
                <w:szCs w:val="20"/>
              </w:rPr>
            </w:pPr>
            <w:r>
              <w:rPr>
                <w:sz w:val="20"/>
                <w:szCs w:val="20"/>
              </w:rPr>
              <w:t> </w:t>
            </w:r>
          </w:p>
        </w:tc>
      </w:tr>
      <w:tr w:rsidR="00000000" w14:paraId="41A33234" w14:textId="77777777">
        <w:trPr>
          <w:divId w:val="245725729"/>
          <w:trHeight w:val="200"/>
          <w:tblCellSpacing w:w="15" w:type="dxa"/>
        </w:trPr>
        <w:tc>
          <w:tcPr>
            <w:tcW w:w="0" w:type="auto"/>
            <w:hideMark/>
          </w:tcPr>
          <w:p w14:paraId="1719C90F" w14:textId="77777777" w:rsidR="00000000" w:rsidRDefault="00832D71">
            <w:pPr>
              <w:pStyle w:val="a3"/>
              <w:spacing w:before="0" w:beforeAutospacing="0" w:after="0" w:afterAutospacing="0"/>
              <w:rPr>
                <w:sz w:val="20"/>
                <w:szCs w:val="20"/>
              </w:rPr>
            </w:pPr>
            <w:r>
              <w:rPr>
                <w:sz w:val="20"/>
                <w:szCs w:val="20"/>
              </w:rPr>
              <w:t>Benefit obligation at beginning of yea</w:t>
            </w:r>
            <w:r>
              <w:rPr>
                <w:sz w:val="20"/>
                <w:szCs w:val="20"/>
              </w:rPr>
              <w:t>r</w:t>
            </w:r>
          </w:p>
        </w:tc>
        <w:tc>
          <w:tcPr>
            <w:tcW w:w="0" w:type="auto"/>
            <w:hideMark/>
          </w:tcPr>
          <w:p w14:paraId="5342F47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AA9D6B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09F27FC" w14:textId="77777777" w:rsidR="00000000" w:rsidRDefault="00832D71">
            <w:pPr>
              <w:pStyle w:val="a3"/>
              <w:spacing w:before="0" w:beforeAutospacing="0" w:after="0" w:afterAutospacing="0"/>
              <w:jc w:val="right"/>
              <w:rPr>
                <w:sz w:val="20"/>
                <w:szCs w:val="20"/>
              </w:rPr>
            </w:pPr>
            <w:r>
              <w:rPr>
                <w:sz w:val="20"/>
                <w:szCs w:val="20"/>
              </w:rPr>
              <w:t>103,11</w:t>
            </w:r>
            <w:r>
              <w:rPr>
                <w:sz w:val="20"/>
                <w:szCs w:val="20"/>
              </w:rPr>
              <w:t>5</w:t>
            </w:r>
          </w:p>
        </w:tc>
        <w:tc>
          <w:tcPr>
            <w:tcW w:w="0" w:type="auto"/>
            <w:noWrap/>
            <w:vAlign w:val="bottom"/>
            <w:hideMark/>
          </w:tcPr>
          <w:p w14:paraId="24CDD1E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6FA5F5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E29417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FC11B12" w14:textId="77777777" w:rsidR="00000000" w:rsidRDefault="00832D71">
            <w:pPr>
              <w:pStyle w:val="a3"/>
              <w:spacing w:before="0" w:beforeAutospacing="0" w:after="0" w:afterAutospacing="0"/>
              <w:jc w:val="right"/>
              <w:rPr>
                <w:sz w:val="20"/>
                <w:szCs w:val="20"/>
              </w:rPr>
            </w:pPr>
            <w:r>
              <w:rPr>
                <w:sz w:val="20"/>
                <w:szCs w:val="20"/>
              </w:rPr>
              <w:t>115,23</w:t>
            </w:r>
            <w:r>
              <w:rPr>
                <w:sz w:val="20"/>
                <w:szCs w:val="20"/>
              </w:rPr>
              <w:t>2</w:t>
            </w:r>
          </w:p>
        </w:tc>
        <w:tc>
          <w:tcPr>
            <w:tcW w:w="0" w:type="auto"/>
            <w:noWrap/>
            <w:vAlign w:val="bottom"/>
            <w:hideMark/>
          </w:tcPr>
          <w:p w14:paraId="4E3834C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D4E0C8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642E35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F187413" w14:textId="77777777" w:rsidR="00000000" w:rsidRDefault="00832D71">
            <w:pPr>
              <w:pStyle w:val="a3"/>
              <w:spacing w:before="0" w:beforeAutospacing="0" w:after="0" w:afterAutospacing="0"/>
              <w:jc w:val="right"/>
              <w:rPr>
                <w:sz w:val="20"/>
                <w:szCs w:val="20"/>
              </w:rPr>
            </w:pPr>
            <w:r>
              <w:rPr>
                <w:sz w:val="20"/>
                <w:szCs w:val="20"/>
              </w:rPr>
              <w:t>4,96</w:t>
            </w:r>
            <w:r>
              <w:rPr>
                <w:sz w:val="20"/>
                <w:szCs w:val="20"/>
              </w:rPr>
              <w:t>2</w:t>
            </w:r>
          </w:p>
        </w:tc>
        <w:tc>
          <w:tcPr>
            <w:tcW w:w="0" w:type="auto"/>
            <w:noWrap/>
            <w:vAlign w:val="bottom"/>
            <w:hideMark/>
          </w:tcPr>
          <w:p w14:paraId="0829ACD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1D930F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439352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1B9BBF7" w14:textId="77777777" w:rsidR="00000000" w:rsidRDefault="00832D71">
            <w:pPr>
              <w:pStyle w:val="a3"/>
              <w:spacing w:before="0" w:beforeAutospacing="0" w:after="0" w:afterAutospacing="0"/>
              <w:jc w:val="right"/>
              <w:rPr>
                <w:sz w:val="20"/>
                <w:szCs w:val="20"/>
              </w:rPr>
            </w:pPr>
            <w:r>
              <w:rPr>
                <w:sz w:val="20"/>
                <w:szCs w:val="20"/>
              </w:rPr>
              <w:t>5,99</w:t>
            </w:r>
            <w:r>
              <w:rPr>
                <w:sz w:val="20"/>
                <w:szCs w:val="20"/>
              </w:rPr>
              <w:t>9</w:t>
            </w:r>
          </w:p>
        </w:tc>
        <w:tc>
          <w:tcPr>
            <w:tcW w:w="0" w:type="auto"/>
            <w:noWrap/>
            <w:vAlign w:val="bottom"/>
            <w:hideMark/>
          </w:tcPr>
          <w:p w14:paraId="2D6CCA8C" w14:textId="77777777" w:rsidR="00000000" w:rsidRDefault="00832D71">
            <w:pPr>
              <w:pStyle w:val="a3"/>
              <w:spacing w:before="0" w:beforeAutospacing="0" w:after="0" w:afterAutospacing="0"/>
              <w:rPr>
                <w:sz w:val="20"/>
                <w:szCs w:val="20"/>
              </w:rPr>
            </w:pPr>
            <w:r>
              <w:rPr>
                <w:sz w:val="20"/>
                <w:szCs w:val="20"/>
              </w:rPr>
              <w:t> </w:t>
            </w:r>
          </w:p>
        </w:tc>
      </w:tr>
      <w:tr w:rsidR="00000000" w14:paraId="75CD45D5" w14:textId="77777777">
        <w:trPr>
          <w:divId w:val="245725729"/>
          <w:trHeight w:val="200"/>
          <w:tblCellSpacing w:w="15" w:type="dxa"/>
        </w:trPr>
        <w:tc>
          <w:tcPr>
            <w:tcW w:w="0" w:type="auto"/>
            <w:hideMark/>
          </w:tcPr>
          <w:p w14:paraId="2CC9CA76" w14:textId="77777777" w:rsidR="00000000" w:rsidRDefault="00832D71">
            <w:pPr>
              <w:pStyle w:val="a3"/>
              <w:spacing w:before="0" w:beforeAutospacing="0" w:after="0" w:afterAutospacing="0"/>
              <w:rPr>
                <w:sz w:val="20"/>
                <w:szCs w:val="20"/>
              </w:rPr>
            </w:pPr>
            <w:r>
              <w:rPr>
                <w:sz w:val="20"/>
                <w:szCs w:val="20"/>
              </w:rPr>
              <w:t>Interest cos</w:t>
            </w:r>
            <w:r>
              <w:rPr>
                <w:sz w:val="20"/>
                <w:szCs w:val="20"/>
              </w:rPr>
              <w:t>t</w:t>
            </w:r>
          </w:p>
        </w:tc>
        <w:tc>
          <w:tcPr>
            <w:tcW w:w="0" w:type="auto"/>
            <w:hideMark/>
          </w:tcPr>
          <w:p w14:paraId="5468D4F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4BF58E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BC381B2" w14:textId="77777777" w:rsidR="00000000" w:rsidRDefault="00832D71">
            <w:pPr>
              <w:pStyle w:val="a3"/>
              <w:spacing w:before="0" w:beforeAutospacing="0" w:after="0" w:afterAutospacing="0"/>
              <w:jc w:val="right"/>
              <w:rPr>
                <w:sz w:val="20"/>
                <w:szCs w:val="20"/>
              </w:rPr>
            </w:pPr>
            <w:r>
              <w:rPr>
                <w:sz w:val="20"/>
                <w:szCs w:val="20"/>
              </w:rPr>
              <w:t>2,45</w:t>
            </w:r>
            <w:r>
              <w:rPr>
                <w:sz w:val="20"/>
                <w:szCs w:val="20"/>
              </w:rPr>
              <w:t>9</w:t>
            </w:r>
          </w:p>
        </w:tc>
        <w:tc>
          <w:tcPr>
            <w:tcW w:w="0" w:type="auto"/>
            <w:noWrap/>
            <w:vAlign w:val="bottom"/>
            <w:hideMark/>
          </w:tcPr>
          <w:p w14:paraId="26535E5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756C67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7085FB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74C5720" w14:textId="77777777" w:rsidR="00000000" w:rsidRDefault="00832D71">
            <w:pPr>
              <w:pStyle w:val="a3"/>
              <w:spacing w:before="0" w:beforeAutospacing="0" w:after="0" w:afterAutospacing="0"/>
              <w:jc w:val="right"/>
              <w:rPr>
                <w:sz w:val="20"/>
                <w:szCs w:val="20"/>
              </w:rPr>
            </w:pPr>
            <w:r>
              <w:rPr>
                <w:sz w:val="20"/>
                <w:szCs w:val="20"/>
              </w:rPr>
              <w:t>2,26</w:t>
            </w:r>
            <w:r>
              <w:rPr>
                <w:sz w:val="20"/>
                <w:szCs w:val="20"/>
              </w:rPr>
              <w:t>3</w:t>
            </w:r>
          </w:p>
        </w:tc>
        <w:tc>
          <w:tcPr>
            <w:tcW w:w="0" w:type="auto"/>
            <w:noWrap/>
            <w:vAlign w:val="bottom"/>
            <w:hideMark/>
          </w:tcPr>
          <w:p w14:paraId="76B7658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4BFC6E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C3DC54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8C56A3D" w14:textId="77777777" w:rsidR="00000000" w:rsidRDefault="00832D71">
            <w:pPr>
              <w:pStyle w:val="a3"/>
              <w:spacing w:before="0" w:beforeAutospacing="0" w:after="0" w:afterAutospacing="0"/>
              <w:jc w:val="right"/>
              <w:rPr>
                <w:sz w:val="20"/>
                <w:szCs w:val="20"/>
              </w:rPr>
            </w:pPr>
            <w:r>
              <w:rPr>
                <w:sz w:val="20"/>
                <w:szCs w:val="20"/>
              </w:rPr>
              <w:t>8</w:t>
            </w:r>
            <w:r>
              <w:rPr>
                <w:sz w:val="20"/>
                <w:szCs w:val="20"/>
              </w:rPr>
              <w:t>1</w:t>
            </w:r>
          </w:p>
        </w:tc>
        <w:tc>
          <w:tcPr>
            <w:tcW w:w="0" w:type="auto"/>
            <w:noWrap/>
            <w:vAlign w:val="bottom"/>
            <w:hideMark/>
          </w:tcPr>
          <w:p w14:paraId="78898A5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F8CFFD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F3F21C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3FFF794" w14:textId="77777777" w:rsidR="00000000" w:rsidRDefault="00832D71">
            <w:pPr>
              <w:pStyle w:val="a3"/>
              <w:spacing w:before="0" w:beforeAutospacing="0" w:after="0" w:afterAutospacing="0"/>
              <w:jc w:val="right"/>
              <w:rPr>
                <w:sz w:val="20"/>
                <w:szCs w:val="20"/>
              </w:rPr>
            </w:pPr>
            <w:r>
              <w:rPr>
                <w:sz w:val="20"/>
                <w:szCs w:val="20"/>
              </w:rPr>
              <w:t>7</w:t>
            </w:r>
            <w:r>
              <w:rPr>
                <w:sz w:val="20"/>
                <w:szCs w:val="20"/>
              </w:rPr>
              <w:t>7</w:t>
            </w:r>
          </w:p>
        </w:tc>
        <w:tc>
          <w:tcPr>
            <w:tcW w:w="0" w:type="auto"/>
            <w:noWrap/>
            <w:vAlign w:val="bottom"/>
            <w:hideMark/>
          </w:tcPr>
          <w:p w14:paraId="6DC9E7C4" w14:textId="77777777" w:rsidR="00000000" w:rsidRDefault="00832D71">
            <w:pPr>
              <w:pStyle w:val="a3"/>
              <w:spacing w:before="0" w:beforeAutospacing="0" w:after="0" w:afterAutospacing="0"/>
              <w:rPr>
                <w:sz w:val="20"/>
                <w:szCs w:val="20"/>
              </w:rPr>
            </w:pPr>
            <w:r>
              <w:rPr>
                <w:sz w:val="20"/>
                <w:szCs w:val="20"/>
              </w:rPr>
              <w:t> </w:t>
            </w:r>
          </w:p>
        </w:tc>
      </w:tr>
      <w:tr w:rsidR="00000000" w14:paraId="5274FDD5" w14:textId="77777777">
        <w:trPr>
          <w:divId w:val="245725729"/>
          <w:trHeight w:val="200"/>
          <w:tblCellSpacing w:w="15" w:type="dxa"/>
        </w:trPr>
        <w:tc>
          <w:tcPr>
            <w:tcW w:w="0" w:type="auto"/>
            <w:hideMark/>
          </w:tcPr>
          <w:p w14:paraId="5EFCF17E" w14:textId="77777777" w:rsidR="00000000" w:rsidRDefault="00832D71">
            <w:pPr>
              <w:pStyle w:val="a3"/>
              <w:spacing w:before="0" w:beforeAutospacing="0" w:after="0" w:afterAutospacing="0"/>
              <w:rPr>
                <w:sz w:val="20"/>
                <w:szCs w:val="20"/>
              </w:rPr>
            </w:pPr>
            <w:r>
              <w:rPr>
                <w:sz w:val="20"/>
                <w:szCs w:val="20"/>
              </w:rPr>
              <w:t>Actuarial (gain) los</w:t>
            </w:r>
            <w:r>
              <w:rPr>
                <w:sz w:val="20"/>
                <w:szCs w:val="20"/>
              </w:rPr>
              <w:t>s</w:t>
            </w:r>
          </w:p>
        </w:tc>
        <w:tc>
          <w:tcPr>
            <w:tcW w:w="0" w:type="auto"/>
            <w:hideMark/>
          </w:tcPr>
          <w:p w14:paraId="28C9450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C6986E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7699E65" w14:textId="77777777" w:rsidR="00000000" w:rsidRDefault="00832D71">
            <w:pPr>
              <w:pStyle w:val="a3"/>
              <w:spacing w:before="0" w:beforeAutospacing="0" w:after="0" w:afterAutospacing="0"/>
              <w:jc w:val="right"/>
              <w:rPr>
                <w:sz w:val="20"/>
                <w:szCs w:val="20"/>
              </w:rPr>
            </w:pPr>
            <w:r>
              <w:rPr>
                <w:sz w:val="20"/>
                <w:szCs w:val="20"/>
              </w:rPr>
              <w:t>(</w:t>
            </w:r>
            <w:r>
              <w:rPr>
                <w:sz w:val="20"/>
                <w:szCs w:val="20"/>
              </w:rPr>
              <w:t>20,76</w:t>
            </w:r>
            <w:r>
              <w:rPr>
                <w:sz w:val="20"/>
                <w:szCs w:val="20"/>
              </w:rPr>
              <w:t>3</w:t>
            </w:r>
          </w:p>
        </w:tc>
        <w:tc>
          <w:tcPr>
            <w:tcW w:w="0" w:type="auto"/>
            <w:noWrap/>
            <w:vAlign w:val="bottom"/>
            <w:hideMark/>
          </w:tcPr>
          <w:p w14:paraId="79EE44EE"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4D7602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590EEE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42A8808" w14:textId="77777777" w:rsidR="00000000" w:rsidRDefault="00832D71">
            <w:pPr>
              <w:pStyle w:val="a3"/>
              <w:spacing w:before="0" w:beforeAutospacing="0" w:after="0" w:afterAutospacing="0"/>
              <w:jc w:val="right"/>
              <w:rPr>
                <w:sz w:val="20"/>
                <w:szCs w:val="20"/>
              </w:rPr>
            </w:pPr>
            <w:r>
              <w:rPr>
                <w:sz w:val="20"/>
                <w:szCs w:val="20"/>
              </w:rPr>
              <w:t>(</w:t>
            </w:r>
            <w:r>
              <w:rPr>
                <w:sz w:val="20"/>
                <w:szCs w:val="20"/>
              </w:rPr>
              <w:t>4,46</w:t>
            </w:r>
            <w:r>
              <w:rPr>
                <w:sz w:val="20"/>
                <w:szCs w:val="20"/>
              </w:rPr>
              <w:t>1</w:t>
            </w:r>
          </w:p>
        </w:tc>
        <w:tc>
          <w:tcPr>
            <w:tcW w:w="0" w:type="auto"/>
            <w:noWrap/>
            <w:vAlign w:val="bottom"/>
            <w:hideMark/>
          </w:tcPr>
          <w:p w14:paraId="1EB192DE"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1D5C212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27061C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C6316BB" w14:textId="77777777" w:rsidR="00000000" w:rsidRDefault="00832D71">
            <w:pPr>
              <w:pStyle w:val="a3"/>
              <w:spacing w:before="0" w:beforeAutospacing="0" w:after="0" w:afterAutospacing="0"/>
              <w:jc w:val="right"/>
              <w:rPr>
                <w:sz w:val="20"/>
                <w:szCs w:val="20"/>
              </w:rPr>
            </w:pPr>
            <w:r>
              <w:rPr>
                <w:sz w:val="20"/>
                <w:szCs w:val="20"/>
              </w:rPr>
              <w:t>(</w:t>
            </w:r>
            <w:r>
              <w:rPr>
                <w:sz w:val="20"/>
                <w:szCs w:val="20"/>
              </w:rPr>
              <w:t>70</w:t>
            </w:r>
            <w:r>
              <w:rPr>
                <w:sz w:val="20"/>
                <w:szCs w:val="20"/>
              </w:rPr>
              <w:t>5</w:t>
            </w:r>
          </w:p>
        </w:tc>
        <w:tc>
          <w:tcPr>
            <w:tcW w:w="0" w:type="auto"/>
            <w:noWrap/>
            <w:vAlign w:val="bottom"/>
            <w:hideMark/>
          </w:tcPr>
          <w:p w14:paraId="606BFA3E"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96C157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28009C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5044D84" w14:textId="77777777" w:rsidR="00000000" w:rsidRDefault="00832D71">
            <w:pPr>
              <w:pStyle w:val="a3"/>
              <w:spacing w:before="0" w:beforeAutospacing="0" w:after="0" w:afterAutospacing="0"/>
              <w:jc w:val="right"/>
              <w:rPr>
                <w:sz w:val="20"/>
                <w:szCs w:val="20"/>
              </w:rPr>
            </w:pPr>
            <w:r>
              <w:rPr>
                <w:sz w:val="20"/>
                <w:szCs w:val="20"/>
              </w:rPr>
              <w:t>(</w:t>
            </w:r>
            <w:r>
              <w:rPr>
                <w:sz w:val="20"/>
                <w:szCs w:val="20"/>
              </w:rPr>
              <w:t>43</w:t>
            </w:r>
            <w:r>
              <w:rPr>
                <w:sz w:val="20"/>
                <w:szCs w:val="20"/>
              </w:rPr>
              <w:t>1</w:t>
            </w:r>
          </w:p>
        </w:tc>
        <w:tc>
          <w:tcPr>
            <w:tcW w:w="0" w:type="auto"/>
            <w:noWrap/>
            <w:vAlign w:val="bottom"/>
            <w:hideMark/>
          </w:tcPr>
          <w:p w14:paraId="411EB791" w14:textId="77777777" w:rsidR="00000000" w:rsidRDefault="00832D71">
            <w:pPr>
              <w:pStyle w:val="a3"/>
              <w:spacing w:before="0" w:beforeAutospacing="0" w:after="0" w:afterAutospacing="0"/>
              <w:rPr>
                <w:sz w:val="20"/>
                <w:szCs w:val="20"/>
              </w:rPr>
            </w:pPr>
            <w:r>
              <w:rPr>
                <w:sz w:val="20"/>
                <w:szCs w:val="20"/>
              </w:rPr>
              <w:t>)</w:t>
            </w:r>
          </w:p>
        </w:tc>
      </w:tr>
      <w:tr w:rsidR="00000000" w14:paraId="166C3138" w14:textId="77777777">
        <w:trPr>
          <w:divId w:val="245725729"/>
          <w:trHeight w:val="200"/>
          <w:tblCellSpacing w:w="15" w:type="dxa"/>
        </w:trPr>
        <w:tc>
          <w:tcPr>
            <w:tcW w:w="0" w:type="auto"/>
            <w:hideMark/>
          </w:tcPr>
          <w:p w14:paraId="6D3AAB25" w14:textId="77777777" w:rsidR="00000000" w:rsidRDefault="00832D71">
            <w:pPr>
              <w:pStyle w:val="a3"/>
              <w:spacing w:before="0" w:beforeAutospacing="0" w:after="0" w:afterAutospacing="0"/>
              <w:rPr>
                <w:sz w:val="20"/>
                <w:szCs w:val="20"/>
              </w:rPr>
            </w:pPr>
            <w:r>
              <w:rPr>
                <w:sz w:val="20"/>
                <w:szCs w:val="20"/>
              </w:rPr>
              <w:t>Lump sum benefits pai</w:t>
            </w:r>
            <w:r>
              <w:rPr>
                <w:sz w:val="20"/>
                <w:szCs w:val="20"/>
              </w:rPr>
              <w:t>d</w:t>
            </w:r>
          </w:p>
        </w:tc>
        <w:tc>
          <w:tcPr>
            <w:tcW w:w="0" w:type="auto"/>
            <w:hideMark/>
          </w:tcPr>
          <w:p w14:paraId="7EC4915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607B96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1606A55" w14:textId="77777777" w:rsidR="00000000" w:rsidRDefault="00832D71">
            <w:pPr>
              <w:pStyle w:val="a3"/>
              <w:spacing w:before="0" w:beforeAutospacing="0" w:after="0" w:afterAutospacing="0"/>
              <w:jc w:val="right"/>
              <w:rPr>
                <w:sz w:val="20"/>
                <w:szCs w:val="20"/>
              </w:rPr>
            </w:pPr>
            <w:r>
              <w:rPr>
                <w:sz w:val="20"/>
                <w:szCs w:val="20"/>
              </w:rPr>
              <w:t>(</w:t>
            </w:r>
            <w:r>
              <w:rPr>
                <w:sz w:val="20"/>
                <w:szCs w:val="20"/>
              </w:rPr>
              <w:t>3,33</w:t>
            </w:r>
            <w:r>
              <w:rPr>
                <w:sz w:val="20"/>
                <w:szCs w:val="20"/>
              </w:rPr>
              <w:t>2</w:t>
            </w:r>
          </w:p>
        </w:tc>
        <w:tc>
          <w:tcPr>
            <w:tcW w:w="0" w:type="auto"/>
            <w:noWrap/>
            <w:vAlign w:val="bottom"/>
            <w:hideMark/>
          </w:tcPr>
          <w:p w14:paraId="6ADBDE0C"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0FE261C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ACDF89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AC5B462" w14:textId="77777777" w:rsidR="00000000" w:rsidRDefault="00832D71">
            <w:pPr>
              <w:pStyle w:val="a3"/>
              <w:spacing w:before="0" w:beforeAutospacing="0" w:after="0" w:afterAutospacing="0"/>
              <w:jc w:val="right"/>
              <w:rPr>
                <w:sz w:val="20"/>
                <w:szCs w:val="20"/>
              </w:rPr>
            </w:pPr>
            <w:r>
              <w:rPr>
                <w:sz w:val="20"/>
                <w:szCs w:val="20"/>
              </w:rPr>
              <w:t>(</w:t>
            </w:r>
            <w:r>
              <w:rPr>
                <w:sz w:val="20"/>
                <w:szCs w:val="20"/>
              </w:rPr>
              <w:t>3,85</w:t>
            </w:r>
            <w:r>
              <w:rPr>
                <w:sz w:val="20"/>
                <w:szCs w:val="20"/>
              </w:rPr>
              <w:t>9</w:t>
            </w:r>
          </w:p>
        </w:tc>
        <w:tc>
          <w:tcPr>
            <w:tcW w:w="0" w:type="auto"/>
            <w:noWrap/>
            <w:vAlign w:val="bottom"/>
            <w:hideMark/>
          </w:tcPr>
          <w:p w14:paraId="1DA5E80C"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00C3E30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5E99F7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E979836"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38B717E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31D9D7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22DB05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DD22370"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71A65DDF" w14:textId="77777777" w:rsidR="00000000" w:rsidRDefault="00832D71">
            <w:pPr>
              <w:pStyle w:val="a3"/>
              <w:spacing w:before="0" w:beforeAutospacing="0" w:after="0" w:afterAutospacing="0"/>
              <w:rPr>
                <w:sz w:val="20"/>
                <w:szCs w:val="20"/>
              </w:rPr>
            </w:pPr>
            <w:r>
              <w:rPr>
                <w:sz w:val="20"/>
                <w:szCs w:val="20"/>
              </w:rPr>
              <w:t> </w:t>
            </w:r>
          </w:p>
        </w:tc>
      </w:tr>
      <w:tr w:rsidR="00000000" w14:paraId="1D09066D" w14:textId="77777777">
        <w:trPr>
          <w:divId w:val="245725729"/>
          <w:trHeight w:val="200"/>
          <w:tblCellSpacing w:w="15" w:type="dxa"/>
        </w:trPr>
        <w:tc>
          <w:tcPr>
            <w:tcW w:w="0" w:type="auto"/>
            <w:hideMark/>
          </w:tcPr>
          <w:p w14:paraId="4FA8F8E6" w14:textId="77777777" w:rsidR="00000000" w:rsidRDefault="00832D71">
            <w:pPr>
              <w:pStyle w:val="a3"/>
              <w:spacing w:before="0" w:beforeAutospacing="0" w:after="0" w:afterAutospacing="0"/>
              <w:rPr>
                <w:sz w:val="20"/>
                <w:szCs w:val="20"/>
              </w:rPr>
            </w:pPr>
            <w:r>
              <w:rPr>
                <w:sz w:val="20"/>
                <w:szCs w:val="20"/>
              </w:rPr>
              <w:t>Ordinary benefits pai</w:t>
            </w:r>
            <w:r>
              <w:rPr>
                <w:sz w:val="20"/>
                <w:szCs w:val="20"/>
              </w:rPr>
              <w:t>d</w:t>
            </w:r>
          </w:p>
        </w:tc>
        <w:tc>
          <w:tcPr>
            <w:tcW w:w="0" w:type="auto"/>
            <w:hideMark/>
          </w:tcPr>
          <w:p w14:paraId="20617B4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6C41A7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C37BA0B" w14:textId="77777777" w:rsidR="00000000" w:rsidRDefault="00832D71">
            <w:pPr>
              <w:pStyle w:val="a3"/>
              <w:spacing w:before="0" w:beforeAutospacing="0" w:after="0" w:afterAutospacing="0"/>
              <w:jc w:val="right"/>
              <w:rPr>
                <w:sz w:val="20"/>
                <w:szCs w:val="20"/>
              </w:rPr>
            </w:pPr>
            <w:r>
              <w:rPr>
                <w:sz w:val="20"/>
                <w:szCs w:val="20"/>
              </w:rPr>
              <w:t>(</w:t>
            </w:r>
            <w:r>
              <w:rPr>
                <w:sz w:val="20"/>
                <w:szCs w:val="20"/>
              </w:rPr>
              <w:t>5,62</w:t>
            </w:r>
            <w:r>
              <w:rPr>
                <w:sz w:val="20"/>
                <w:szCs w:val="20"/>
              </w:rPr>
              <w:t>8</w:t>
            </w:r>
          </w:p>
        </w:tc>
        <w:tc>
          <w:tcPr>
            <w:tcW w:w="0" w:type="auto"/>
            <w:noWrap/>
            <w:vAlign w:val="bottom"/>
            <w:hideMark/>
          </w:tcPr>
          <w:p w14:paraId="40E91309"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88C0E5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00F2A2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0D0C807" w14:textId="77777777" w:rsidR="00000000" w:rsidRDefault="00832D71">
            <w:pPr>
              <w:pStyle w:val="a3"/>
              <w:spacing w:before="0" w:beforeAutospacing="0" w:after="0" w:afterAutospacing="0"/>
              <w:jc w:val="right"/>
              <w:rPr>
                <w:sz w:val="20"/>
                <w:szCs w:val="20"/>
              </w:rPr>
            </w:pPr>
            <w:r>
              <w:rPr>
                <w:sz w:val="20"/>
                <w:szCs w:val="20"/>
              </w:rPr>
              <w:t>(</w:t>
            </w:r>
            <w:r>
              <w:rPr>
                <w:sz w:val="20"/>
                <w:szCs w:val="20"/>
              </w:rPr>
              <w:t>6,06</w:t>
            </w:r>
            <w:r>
              <w:rPr>
                <w:sz w:val="20"/>
                <w:szCs w:val="20"/>
              </w:rPr>
              <w:t>0</w:t>
            </w:r>
          </w:p>
        </w:tc>
        <w:tc>
          <w:tcPr>
            <w:tcW w:w="0" w:type="auto"/>
            <w:noWrap/>
            <w:vAlign w:val="bottom"/>
            <w:hideMark/>
          </w:tcPr>
          <w:p w14:paraId="04966E51"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1A12CEA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E8DA89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B8A7CBA" w14:textId="77777777" w:rsidR="00000000" w:rsidRDefault="00832D71">
            <w:pPr>
              <w:pStyle w:val="a3"/>
              <w:spacing w:before="0" w:beforeAutospacing="0" w:after="0" w:afterAutospacing="0"/>
              <w:jc w:val="right"/>
              <w:rPr>
                <w:sz w:val="20"/>
                <w:szCs w:val="20"/>
              </w:rPr>
            </w:pPr>
            <w:r>
              <w:rPr>
                <w:sz w:val="20"/>
                <w:szCs w:val="20"/>
              </w:rPr>
              <w:t>(</w:t>
            </w:r>
            <w:r>
              <w:rPr>
                <w:sz w:val="20"/>
                <w:szCs w:val="20"/>
              </w:rPr>
              <w:t>62</w:t>
            </w:r>
            <w:r>
              <w:rPr>
                <w:sz w:val="20"/>
                <w:szCs w:val="20"/>
              </w:rPr>
              <w:t>6</w:t>
            </w:r>
          </w:p>
        </w:tc>
        <w:tc>
          <w:tcPr>
            <w:tcW w:w="0" w:type="auto"/>
            <w:noWrap/>
            <w:vAlign w:val="bottom"/>
            <w:hideMark/>
          </w:tcPr>
          <w:p w14:paraId="0ADFE8C7"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AF1E1D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C722D9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34B6840" w14:textId="77777777" w:rsidR="00000000" w:rsidRDefault="00832D71">
            <w:pPr>
              <w:pStyle w:val="a3"/>
              <w:spacing w:before="0" w:beforeAutospacing="0" w:after="0" w:afterAutospacing="0"/>
              <w:jc w:val="right"/>
              <w:rPr>
                <w:sz w:val="20"/>
                <w:szCs w:val="20"/>
              </w:rPr>
            </w:pPr>
            <w:r>
              <w:rPr>
                <w:sz w:val="20"/>
                <w:szCs w:val="20"/>
              </w:rPr>
              <w:t>(</w:t>
            </w:r>
            <w:r>
              <w:rPr>
                <w:sz w:val="20"/>
                <w:szCs w:val="20"/>
              </w:rPr>
              <w:t>68</w:t>
            </w:r>
            <w:r>
              <w:rPr>
                <w:sz w:val="20"/>
                <w:szCs w:val="20"/>
              </w:rPr>
              <w:t>3</w:t>
            </w:r>
          </w:p>
        </w:tc>
        <w:tc>
          <w:tcPr>
            <w:tcW w:w="0" w:type="auto"/>
            <w:noWrap/>
            <w:vAlign w:val="bottom"/>
            <w:hideMark/>
          </w:tcPr>
          <w:p w14:paraId="7EEB1EC9" w14:textId="77777777" w:rsidR="00000000" w:rsidRDefault="00832D71">
            <w:pPr>
              <w:pStyle w:val="a3"/>
              <w:spacing w:before="0" w:beforeAutospacing="0" w:after="0" w:afterAutospacing="0"/>
              <w:rPr>
                <w:sz w:val="20"/>
                <w:szCs w:val="20"/>
              </w:rPr>
            </w:pPr>
            <w:r>
              <w:rPr>
                <w:sz w:val="20"/>
                <w:szCs w:val="20"/>
              </w:rPr>
              <w:t>)</w:t>
            </w:r>
          </w:p>
        </w:tc>
      </w:tr>
      <w:tr w:rsidR="00000000" w14:paraId="6C06D586" w14:textId="77777777">
        <w:trPr>
          <w:divId w:val="245725729"/>
          <w:trHeight w:val="200"/>
          <w:tblCellSpacing w:w="15" w:type="dxa"/>
        </w:trPr>
        <w:tc>
          <w:tcPr>
            <w:tcW w:w="0" w:type="auto"/>
            <w:hideMark/>
          </w:tcPr>
          <w:p w14:paraId="7E48424F" w14:textId="77777777" w:rsidR="00000000" w:rsidRDefault="00832D71">
            <w:pPr>
              <w:pStyle w:val="a3"/>
              <w:spacing w:before="0" w:beforeAutospacing="0" w:after="0" w:afterAutospacing="0"/>
              <w:rPr>
                <w:sz w:val="20"/>
                <w:szCs w:val="20"/>
              </w:rPr>
            </w:pPr>
            <w:r>
              <w:rPr>
                <w:sz w:val="20"/>
                <w:szCs w:val="20"/>
              </w:rPr>
              <w:t>Benefit obligation at end of yea</w:t>
            </w:r>
            <w:r>
              <w:rPr>
                <w:sz w:val="20"/>
                <w:szCs w:val="20"/>
              </w:rPr>
              <w:t>r</w:t>
            </w:r>
          </w:p>
        </w:tc>
        <w:tc>
          <w:tcPr>
            <w:tcW w:w="0" w:type="auto"/>
            <w:hideMark/>
          </w:tcPr>
          <w:p w14:paraId="3524D22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09FDD6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FFD2562" w14:textId="77777777" w:rsidR="00000000" w:rsidRDefault="00832D71">
            <w:pPr>
              <w:pStyle w:val="a3"/>
              <w:spacing w:before="0" w:beforeAutospacing="0" w:after="0" w:afterAutospacing="0"/>
              <w:jc w:val="right"/>
              <w:rPr>
                <w:sz w:val="20"/>
                <w:szCs w:val="20"/>
              </w:rPr>
            </w:pPr>
            <w:r>
              <w:rPr>
                <w:sz w:val="20"/>
                <w:szCs w:val="20"/>
              </w:rPr>
              <w:t>75,85</w:t>
            </w:r>
            <w:r>
              <w:rPr>
                <w:sz w:val="20"/>
                <w:szCs w:val="20"/>
              </w:rPr>
              <w:t>1</w:t>
            </w:r>
          </w:p>
        </w:tc>
        <w:tc>
          <w:tcPr>
            <w:tcW w:w="0" w:type="auto"/>
            <w:noWrap/>
            <w:vAlign w:val="bottom"/>
            <w:hideMark/>
          </w:tcPr>
          <w:p w14:paraId="5D901B8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C7E19A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CAA502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CD14B51" w14:textId="77777777" w:rsidR="00000000" w:rsidRDefault="00832D71">
            <w:pPr>
              <w:pStyle w:val="a3"/>
              <w:spacing w:before="0" w:beforeAutospacing="0" w:after="0" w:afterAutospacing="0"/>
              <w:jc w:val="right"/>
              <w:rPr>
                <w:sz w:val="20"/>
                <w:szCs w:val="20"/>
              </w:rPr>
            </w:pPr>
            <w:r>
              <w:rPr>
                <w:sz w:val="20"/>
                <w:szCs w:val="20"/>
              </w:rPr>
              <w:t>103,11</w:t>
            </w:r>
            <w:r>
              <w:rPr>
                <w:sz w:val="20"/>
                <w:szCs w:val="20"/>
              </w:rPr>
              <w:t>5</w:t>
            </w:r>
          </w:p>
        </w:tc>
        <w:tc>
          <w:tcPr>
            <w:tcW w:w="0" w:type="auto"/>
            <w:noWrap/>
            <w:vAlign w:val="bottom"/>
            <w:hideMark/>
          </w:tcPr>
          <w:p w14:paraId="0443654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89027C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D53143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73ABBA0" w14:textId="77777777" w:rsidR="00000000" w:rsidRDefault="00832D71">
            <w:pPr>
              <w:pStyle w:val="a3"/>
              <w:spacing w:before="0" w:beforeAutospacing="0" w:after="0" w:afterAutospacing="0"/>
              <w:jc w:val="right"/>
              <w:rPr>
                <w:sz w:val="20"/>
                <w:szCs w:val="20"/>
              </w:rPr>
            </w:pPr>
            <w:r>
              <w:rPr>
                <w:sz w:val="20"/>
                <w:szCs w:val="20"/>
              </w:rPr>
              <w:t>3,71</w:t>
            </w:r>
            <w:r>
              <w:rPr>
                <w:sz w:val="20"/>
                <w:szCs w:val="20"/>
              </w:rPr>
              <w:t>2</w:t>
            </w:r>
          </w:p>
        </w:tc>
        <w:tc>
          <w:tcPr>
            <w:tcW w:w="0" w:type="auto"/>
            <w:noWrap/>
            <w:vAlign w:val="bottom"/>
            <w:hideMark/>
          </w:tcPr>
          <w:p w14:paraId="633CAD7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9D7548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4D2453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1B5183B" w14:textId="77777777" w:rsidR="00000000" w:rsidRDefault="00832D71">
            <w:pPr>
              <w:pStyle w:val="a3"/>
              <w:spacing w:before="0" w:beforeAutospacing="0" w:after="0" w:afterAutospacing="0"/>
              <w:jc w:val="right"/>
              <w:rPr>
                <w:sz w:val="20"/>
                <w:szCs w:val="20"/>
              </w:rPr>
            </w:pPr>
            <w:r>
              <w:rPr>
                <w:sz w:val="20"/>
                <w:szCs w:val="20"/>
              </w:rPr>
              <w:t>4,96</w:t>
            </w:r>
            <w:r>
              <w:rPr>
                <w:sz w:val="20"/>
                <w:szCs w:val="20"/>
              </w:rPr>
              <w:t>2</w:t>
            </w:r>
          </w:p>
        </w:tc>
        <w:tc>
          <w:tcPr>
            <w:tcW w:w="0" w:type="auto"/>
            <w:noWrap/>
            <w:vAlign w:val="bottom"/>
            <w:hideMark/>
          </w:tcPr>
          <w:p w14:paraId="2B6F6873" w14:textId="77777777" w:rsidR="00000000" w:rsidRDefault="00832D71">
            <w:pPr>
              <w:pStyle w:val="a3"/>
              <w:spacing w:before="0" w:beforeAutospacing="0" w:after="0" w:afterAutospacing="0"/>
              <w:rPr>
                <w:sz w:val="20"/>
                <w:szCs w:val="20"/>
              </w:rPr>
            </w:pPr>
            <w:r>
              <w:rPr>
                <w:sz w:val="20"/>
                <w:szCs w:val="20"/>
              </w:rPr>
              <w:t> </w:t>
            </w:r>
          </w:p>
        </w:tc>
      </w:tr>
      <w:tr w:rsidR="00000000" w14:paraId="2D278A97" w14:textId="77777777">
        <w:trPr>
          <w:divId w:val="245725729"/>
          <w:tblCellSpacing w:w="15" w:type="dxa"/>
        </w:trPr>
        <w:tc>
          <w:tcPr>
            <w:tcW w:w="0" w:type="auto"/>
            <w:hideMark/>
          </w:tcPr>
          <w:p w14:paraId="5D3A560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20387E4"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C80E98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88BC69E"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254F8EDD"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8288AA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65CF93F"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7D2BD06"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AAA98E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DB88400"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AACC2AD"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0B5360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2E743F9" w14:textId="77777777" w:rsidR="00000000" w:rsidRDefault="00832D71">
            <w:pPr>
              <w:pStyle w:val="a3"/>
              <w:spacing w:before="0" w:beforeAutospacing="0" w:after="0" w:afterAutospacing="0"/>
              <w:jc w:val="right"/>
              <w:rPr>
                <w:sz w:val="20"/>
                <w:szCs w:val="20"/>
              </w:rPr>
            </w:pPr>
            <w:r>
              <w:rPr>
                <w:sz w:val="20"/>
                <w:szCs w:val="20"/>
              </w:rPr>
              <w:t> </w:t>
            </w:r>
          </w:p>
        </w:tc>
      </w:tr>
      <w:tr w:rsidR="00000000" w14:paraId="5D514805" w14:textId="77777777">
        <w:trPr>
          <w:divId w:val="245725729"/>
          <w:trHeight w:val="200"/>
          <w:tblCellSpacing w:w="15" w:type="dxa"/>
        </w:trPr>
        <w:tc>
          <w:tcPr>
            <w:tcW w:w="0" w:type="auto"/>
            <w:hideMark/>
          </w:tcPr>
          <w:p w14:paraId="60FC8251" w14:textId="77777777" w:rsidR="00000000" w:rsidRDefault="00832D71">
            <w:pPr>
              <w:pStyle w:val="a3"/>
              <w:spacing w:before="0" w:beforeAutospacing="0" w:after="0" w:afterAutospacing="0"/>
              <w:rPr>
                <w:sz w:val="20"/>
                <w:szCs w:val="20"/>
              </w:rPr>
            </w:pPr>
            <w:r>
              <w:rPr>
                <w:b/>
                <w:bCs/>
                <w:sz w:val="20"/>
                <w:szCs w:val="20"/>
              </w:rPr>
              <w:t>Reconciliation of fair value of plan assets</w:t>
            </w:r>
            <w:r>
              <w:rPr>
                <w:b/>
                <w:bCs/>
                <w:sz w:val="20"/>
                <w:szCs w:val="20"/>
              </w:rPr>
              <w:t>:</w:t>
            </w:r>
          </w:p>
        </w:tc>
        <w:tc>
          <w:tcPr>
            <w:tcW w:w="0" w:type="auto"/>
            <w:hideMark/>
          </w:tcPr>
          <w:p w14:paraId="522057DC"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DD7651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B4F13B5"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3B3B82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0ABBEB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7C0BF68"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687BF0D0"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5D25B5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20600A7"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5B53D26B"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9BC453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6B80981" w14:textId="77777777" w:rsidR="00000000" w:rsidRDefault="00832D71">
            <w:pPr>
              <w:pStyle w:val="a3"/>
              <w:spacing w:before="0" w:beforeAutospacing="0" w:after="0" w:afterAutospacing="0"/>
              <w:jc w:val="right"/>
              <w:rPr>
                <w:sz w:val="20"/>
                <w:szCs w:val="20"/>
              </w:rPr>
            </w:pPr>
            <w:r>
              <w:rPr>
                <w:sz w:val="20"/>
                <w:szCs w:val="20"/>
              </w:rPr>
              <w:t> </w:t>
            </w:r>
          </w:p>
        </w:tc>
      </w:tr>
      <w:tr w:rsidR="00000000" w14:paraId="196C3D06" w14:textId="77777777">
        <w:trPr>
          <w:divId w:val="245725729"/>
          <w:trHeight w:val="200"/>
          <w:tblCellSpacing w:w="15" w:type="dxa"/>
        </w:trPr>
        <w:tc>
          <w:tcPr>
            <w:tcW w:w="0" w:type="auto"/>
            <w:hideMark/>
          </w:tcPr>
          <w:p w14:paraId="1244BD76" w14:textId="77777777" w:rsidR="00000000" w:rsidRDefault="00832D71">
            <w:pPr>
              <w:pStyle w:val="a3"/>
              <w:spacing w:before="0" w:beforeAutospacing="0" w:after="0" w:afterAutospacing="0"/>
              <w:rPr>
                <w:sz w:val="20"/>
                <w:szCs w:val="20"/>
              </w:rPr>
            </w:pPr>
            <w:r>
              <w:rPr>
                <w:sz w:val="20"/>
                <w:szCs w:val="20"/>
              </w:rPr>
              <w:t>Fair value of plan assets at beginning of yea</w:t>
            </w:r>
            <w:r>
              <w:rPr>
                <w:sz w:val="20"/>
                <w:szCs w:val="20"/>
              </w:rPr>
              <w:t>r</w:t>
            </w:r>
          </w:p>
        </w:tc>
        <w:tc>
          <w:tcPr>
            <w:tcW w:w="0" w:type="auto"/>
            <w:hideMark/>
          </w:tcPr>
          <w:p w14:paraId="722522F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5BA77E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D96B89A" w14:textId="77777777" w:rsidR="00000000" w:rsidRDefault="00832D71">
            <w:pPr>
              <w:pStyle w:val="a3"/>
              <w:spacing w:before="0" w:beforeAutospacing="0" w:after="0" w:afterAutospacing="0"/>
              <w:jc w:val="right"/>
              <w:rPr>
                <w:sz w:val="20"/>
                <w:szCs w:val="20"/>
              </w:rPr>
            </w:pPr>
            <w:r>
              <w:rPr>
                <w:sz w:val="20"/>
                <w:szCs w:val="20"/>
              </w:rPr>
              <w:t>77,89</w:t>
            </w:r>
            <w:r>
              <w:rPr>
                <w:sz w:val="20"/>
                <w:szCs w:val="20"/>
              </w:rPr>
              <w:t>2</w:t>
            </w:r>
          </w:p>
        </w:tc>
        <w:tc>
          <w:tcPr>
            <w:tcW w:w="0" w:type="auto"/>
            <w:noWrap/>
            <w:vAlign w:val="bottom"/>
            <w:hideMark/>
          </w:tcPr>
          <w:p w14:paraId="0A34C41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55264A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4ECB93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889EBDC" w14:textId="77777777" w:rsidR="00000000" w:rsidRDefault="00832D71">
            <w:pPr>
              <w:pStyle w:val="a3"/>
              <w:spacing w:before="0" w:beforeAutospacing="0" w:after="0" w:afterAutospacing="0"/>
              <w:jc w:val="right"/>
              <w:rPr>
                <w:sz w:val="20"/>
                <w:szCs w:val="20"/>
              </w:rPr>
            </w:pPr>
            <w:r>
              <w:rPr>
                <w:sz w:val="20"/>
                <w:szCs w:val="20"/>
              </w:rPr>
              <w:t>80,00</w:t>
            </w:r>
            <w:r>
              <w:rPr>
                <w:sz w:val="20"/>
                <w:szCs w:val="20"/>
              </w:rPr>
              <w:t>1</w:t>
            </w:r>
          </w:p>
        </w:tc>
        <w:tc>
          <w:tcPr>
            <w:tcW w:w="0" w:type="auto"/>
            <w:noWrap/>
            <w:vAlign w:val="bottom"/>
            <w:hideMark/>
          </w:tcPr>
          <w:p w14:paraId="0E2A4D5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7E4A93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A3D655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064E4A9"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49A51A7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DF5E0E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CC1362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B46B61A"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42C4F809" w14:textId="77777777" w:rsidR="00000000" w:rsidRDefault="00832D71">
            <w:pPr>
              <w:pStyle w:val="a3"/>
              <w:spacing w:before="0" w:beforeAutospacing="0" w:after="0" w:afterAutospacing="0"/>
              <w:rPr>
                <w:sz w:val="20"/>
                <w:szCs w:val="20"/>
              </w:rPr>
            </w:pPr>
            <w:r>
              <w:rPr>
                <w:sz w:val="20"/>
                <w:szCs w:val="20"/>
              </w:rPr>
              <w:t> </w:t>
            </w:r>
          </w:p>
        </w:tc>
      </w:tr>
      <w:tr w:rsidR="00000000" w14:paraId="238FC7B5" w14:textId="77777777">
        <w:trPr>
          <w:divId w:val="245725729"/>
          <w:trHeight w:val="200"/>
          <w:tblCellSpacing w:w="15" w:type="dxa"/>
        </w:trPr>
        <w:tc>
          <w:tcPr>
            <w:tcW w:w="0" w:type="auto"/>
            <w:hideMark/>
          </w:tcPr>
          <w:p w14:paraId="686DDB28" w14:textId="77777777" w:rsidR="00000000" w:rsidRDefault="00832D71">
            <w:pPr>
              <w:pStyle w:val="a3"/>
              <w:spacing w:before="0" w:beforeAutospacing="0" w:after="0" w:afterAutospacing="0"/>
              <w:rPr>
                <w:sz w:val="20"/>
                <w:szCs w:val="20"/>
              </w:rPr>
            </w:pPr>
            <w:r>
              <w:rPr>
                <w:sz w:val="20"/>
                <w:szCs w:val="20"/>
              </w:rPr>
              <w:t>Actual return on plan asset</w:t>
            </w:r>
            <w:r>
              <w:rPr>
                <w:sz w:val="20"/>
                <w:szCs w:val="20"/>
              </w:rPr>
              <w:t>s</w:t>
            </w:r>
          </w:p>
        </w:tc>
        <w:tc>
          <w:tcPr>
            <w:tcW w:w="0" w:type="auto"/>
            <w:hideMark/>
          </w:tcPr>
          <w:p w14:paraId="597D6E6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C01AD0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757BB30" w14:textId="77777777" w:rsidR="00000000" w:rsidRDefault="00832D71">
            <w:pPr>
              <w:pStyle w:val="a3"/>
              <w:spacing w:before="0" w:beforeAutospacing="0" w:after="0" w:afterAutospacing="0"/>
              <w:jc w:val="right"/>
              <w:rPr>
                <w:sz w:val="20"/>
                <w:szCs w:val="20"/>
              </w:rPr>
            </w:pPr>
            <w:r>
              <w:rPr>
                <w:sz w:val="20"/>
                <w:szCs w:val="20"/>
              </w:rPr>
              <w:t>(</w:t>
            </w:r>
            <w:r>
              <w:rPr>
                <w:sz w:val="20"/>
                <w:szCs w:val="20"/>
              </w:rPr>
              <w:t>17,17</w:t>
            </w:r>
            <w:r>
              <w:rPr>
                <w:sz w:val="20"/>
                <w:szCs w:val="20"/>
              </w:rPr>
              <w:t>1</w:t>
            </w:r>
          </w:p>
        </w:tc>
        <w:tc>
          <w:tcPr>
            <w:tcW w:w="0" w:type="auto"/>
            <w:noWrap/>
            <w:vAlign w:val="bottom"/>
            <w:hideMark/>
          </w:tcPr>
          <w:p w14:paraId="6BB4EB83"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16BC00F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57CFD3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70BBEE9" w14:textId="77777777" w:rsidR="00000000" w:rsidRDefault="00832D71">
            <w:pPr>
              <w:pStyle w:val="a3"/>
              <w:spacing w:before="0" w:beforeAutospacing="0" w:after="0" w:afterAutospacing="0"/>
              <w:jc w:val="right"/>
              <w:rPr>
                <w:sz w:val="20"/>
                <w:szCs w:val="20"/>
              </w:rPr>
            </w:pPr>
            <w:r>
              <w:rPr>
                <w:sz w:val="20"/>
                <w:szCs w:val="20"/>
              </w:rPr>
              <w:t>1,54</w:t>
            </w:r>
            <w:r>
              <w:rPr>
                <w:sz w:val="20"/>
                <w:szCs w:val="20"/>
              </w:rPr>
              <w:t>0</w:t>
            </w:r>
          </w:p>
        </w:tc>
        <w:tc>
          <w:tcPr>
            <w:tcW w:w="0" w:type="auto"/>
            <w:noWrap/>
            <w:vAlign w:val="bottom"/>
            <w:hideMark/>
          </w:tcPr>
          <w:p w14:paraId="48A7E1D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B90A05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665221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0DACF5D"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3551DCE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0956E8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FBD0EC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2EBA4F5"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1524103E" w14:textId="77777777" w:rsidR="00000000" w:rsidRDefault="00832D71">
            <w:pPr>
              <w:pStyle w:val="a3"/>
              <w:spacing w:before="0" w:beforeAutospacing="0" w:after="0" w:afterAutospacing="0"/>
              <w:rPr>
                <w:sz w:val="20"/>
                <w:szCs w:val="20"/>
              </w:rPr>
            </w:pPr>
            <w:r>
              <w:rPr>
                <w:sz w:val="20"/>
                <w:szCs w:val="20"/>
              </w:rPr>
              <w:t> </w:t>
            </w:r>
          </w:p>
        </w:tc>
      </w:tr>
      <w:tr w:rsidR="00000000" w14:paraId="64ED8E75" w14:textId="77777777">
        <w:trPr>
          <w:divId w:val="245725729"/>
          <w:trHeight w:val="200"/>
          <w:tblCellSpacing w:w="15" w:type="dxa"/>
        </w:trPr>
        <w:tc>
          <w:tcPr>
            <w:tcW w:w="0" w:type="auto"/>
            <w:hideMark/>
          </w:tcPr>
          <w:p w14:paraId="5DED3289" w14:textId="77777777" w:rsidR="00000000" w:rsidRDefault="00832D71">
            <w:pPr>
              <w:pStyle w:val="a3"/>
              <w:spacing w:before="0" w:beforeAutospacing="0" w:after="0" w:afterAutospacing="0"/>
              <w:rPr>
                <w:sz w:val="20"/>
                <w:szCs w:val="20"/>
              </w:rPr>
            </w:pPr>
            <w:r>
              <w:rPr>
                <w:sz w:val="20"/>
                <w:szCs w:val="20"/>
              </w:rPr>
              <w:t>Employer contribution</w:t>
            </w:r>
            <w:r>
              <w:rPr>
                <w:sz w:val="20"/>
                <w:szCs w:val="20"/>
              </w:rPr>
              <w:t>s</w:t>
            </w:r>
          </w:p>
        </w:tc>
        <w:tc>
          <w:tcPr>
            <w:tcW w:w="0" w:type="auto"/>
            <w:hideMark/>
          </w:tcPr>
          <w:p w14:paraId="6FB88C0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5E1F09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7D6D1B4" w14:textId="77777777" w:rsidR="00000000" w:rsidRDefault="00832D71">
            <w:pPr>
              <w:pStyle w:val="a3"/>
              <w:spacing w:before="0" w:beforeAutospacing="0" w:after="0" w:afterAutospacing="0"/>
              <w:jc w:val="right"/>
              <w:rPr>
                <w:sz w:val="20"/>
                <w:szCs w:val="20"/>
              </w:rPr>
            </w:pPr>
            <w:r>
              <w:rPr>
                <w:sz w:val="20"/>
                <w:szCs w:val="20"/>
              </w:rPr>
              <w:t>3,33</w:t>
            </w:r>
            <w:r>
              <w:rPr>
                <w:sz w:val="20"/>
                <w:szCs w:val="20"/>
              </w:rPr>
              <w:t>0</w:t>
            </w:r>
          </w:p>
        </w:tc>
        <w:tc>
          <w:tcPr>
            <w:tcW w:w="0" w:type="auto"/>
            <w:noWrap/>
            <w:vAlign w:val="bottom"/>
            <w:hideMark/>
          </w:tcPr>
          <w:p w14:paraId="2737B6D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F6F194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42955D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0CFEB68" w14:textId="77777777" w:rsidR="00000000" w:rsidRDefault="00832D71">
            <w:pPr>
              <w:pStyle w:val="a3"/>
              <w:spacing w:before="0" w:beforeAutospacing="0" w:after="0" w:afterAutospacing="0"/>
              <w:jc w:val="right"/>
              <w:rPr>
                <w:sz w:val="20"/>
                <w:szCs w:val="20"/>
              </w:rPr>
            </w:pPr>
            <w:r>
              <w:rPr>
                <w:sz w:val="20"/>
                <w:szCs w:val="20"/>
              </w:rPr>
              <w:t>6,27</w:t>
            </w:r>
            <w:r>
              <w:rPr>
                <w:sz w:val="20"/>
                <w:szCs w:val="20"/>
              </w:rPr>
              <w:t>0</w:t>
            </w:r>
          </w:p>
        </w:tc>
        <w:tc>
          <w:tcPr>
            <w:tcW w:w="0" w:type="auto"/>
            <w:noWrap/>
            <w:vAlign w:val="bottom"/>
            <w:hideMark/>
          </w:tcPr>
          <w:p w14:paraId="0386D2B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64F945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5F9EAB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FADB7DC" w14:textId="77777777" w:rsidR="00000000" w:rsidRDefault="00832D71">
            <w:pPr>
              <w:pStyle w:val="a3"/>
              <w:spacing w:before="0" w:beforeAutospacing="0" w:after="0" w:afterAutospacing="0"/>
              <w:jc w:val="right"/>
              <w:rPr>
                <w:sz w:val="20"/>
                <w:szCs w:val="20"/>
              </w:rPr>
            </w:pPr>
            <w:r>
              <w:rPr>
                <w:sz w:val="20"/>
                <w:szCs w:val="20"/>
              </w:rPr>
              <w:t>62</w:t>
            </w:r>
            <w:r>
              <w:rPr>
                <w:sz w:val="20"/>
                <w:szCs w:val="20"/>
              </w:rPr>
              <w:t>6</w:t>
            </w:r>
          </w:p>
        </w:tc>
        <w:tc>
          <w:tcPr>
            <w:tcW w:w="0" w:type="auto"/>
            <w:noWrap/>
            <w:vAlign w:val="bottom"/>
            <w:hideMark/>
          </w:tcPr>
          <w:p w14:paraId="36733CC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DF0620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9EEAE4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4A05839" w14:textId="77777777" w:rsidR="00000000" w:rsidRDefault="00832D71">
            <w:pPr>
              <w:pStyle w:val="a3"/>
              <w:spacing w:before="0" w:beforeAutospacing="0" w:after="0" w:afterAutospacing="0"/>
              <w:jc w:val="right"/>
              <w:rPr>
                <w:sz w:val="20"/>
                <w:szCs w:val="20"/>
              </w:rPr>
            </w:pPr>
            <w:r>
              <w:rPr>
                <w:sz w:val="20"/>
                <w:szCs w:val="20"/>
              </w:rPr>
              <w:t>68</w:t>
            </w:r>
            <w:r>
              <w:rPr>
                <w:sz w:val="20"/>
                <w:szCs w:val="20"/>
              </w:rPr>
              <w:t>3</w:t>
            </w:r>
          </w:p>
        </w:tc>
        <w:tc>
          <w:tcPr>
            <w:tcW w:w="0" w:type="auto"/>
            <w:noWrap/>
            <w:vAlign w:val="bottom"/>
            <w:hideMark/>
          </w:tcPr>
          <w:p w14:paraId="36653D4D" w14:textId="77777777" w:rsidR="00000000" w:rsidRDefault="00832D71">
            <w:pPr>
              <w:pStyle w:val="a3"/>
              <w:spacing w:before="0" w:beforeAutospacing="0" w:after="0" w:afterAutospacing="0"/>
              <w:rPr>
                <w:sz w:val="20"/>
                <w:szCs w:val="20"/>
              </w:rPr>
            </w:pPr>
            <w:r>
              <w:rPr>
                <w:sz w:val="20"/>
                <w:szCs w:val="20"/>
              </w:rPr>
              <w:t> </w:t>
            </w:r>
          </w:p>
        </w:tc>
      </w:tr>
      <w:tr w:rsidR="00000000" w14:paraId="4BAF6D2A" w14:textId="77777777">
        <w:trPr>
          <w:divId w:val="245725729"/>
          <w:trHeight w:val="200"/>
          <w:tblCellSpacing w:w="15" w:type="dxa"/>
        </w:trPr>
        <w:tc>
          <w:tcPr>
            <w:tcW w:w="0" w:type="auto"/>
            <w:hideMark/>
          </w:tcPr>
          <w:p w14:paraId="087F1665" w14:textId="77777777" w:rsidR="00000000" w:rsidRDefault="00832D71">
            <w:pPr>
              <w:pStyle w:val="a3"/>
              <w:spacing w:before="0" w:beforeAutospacing="0" w:after="0" w:afterAutospacing="0"/>
              <w:rPr>
                <w:sz w:val="20"/>
                <w:szCs w:val="20"/>
              </w:rPr>
            </w:pPr>
            <w:r>
              <w:rPr>
                <w:sz w:val="20"/>
                <w:szCs w:val="20"/>
              </w:rPr>
              <w:t>Lump sum benefits pai</w:t>
            </w:r>
            <w:r>
              <w:rPr>
                <w:sz w:val="20"/>
                <w:szCs w:val="20"/>
              </w:rPr>
              <w:t>d</w:t>
            </w:r>
          </w:p>
        </w:tc>
        <w:tc>
          <w:tcPr>
            <w:tcW w:w="0" w:type="auto"/>
            <w:hideMark/>
          </w:tcPr>
          <w:p w14:paraId="0E8AC5C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CD2601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DBE76A1" w14:textId="77777777" w:rsidR="00000000" w:rsidRDefault="00832D71">
            <w:pPr>
              <w:pStyle w:val="a3"/>
              <w:spacing w:before="0" w:beforeAutospacing="0" w:after="0" w:afterAutospacing="0"/>
              <w:jc w:val="right"/>
              <w:rPr>
                <w:sz w:val="20"/>
                <w:szCs w:val="20"/>
              </w:rPr>
            </w:pPr>
            <w:r>
              <w:rPr>
                <w:sz w:val="20"/>
                <w:szCs w:val="20"/>
              </w:rPr>
              <w:t>(</w:t>
            </w:r>
            <w:r>
              <w:rPr>
                <w:sz w:val="20"/>
                <w:szCs w:val="20"/>
              </w:rPr>
              <w:t>3,33</w:t>
            </w:r>
            <w:r>
              <w:rPr>
                <w:sz w:val="20"/>
                <w:szCs w:val="20"/>
              </w:rPr>
              <w:t>2</w:t>
            </w:r>
          </w:p>
        </w:tc>
        <w:tc>
          <w:tcPr>
            <w:tcW w:w="0" w:type="auto"/>
            <w:noWrap/>
            <w:vAlign w:val="bottom"/>
            <w:hideMark/>
          </w:tcPr>
          <w:p w14:paraId="7ED9D195"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054A2BD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98030A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5D7E2FF" w14:textId="77777777" w:rsidR="00000000" w:rsidRDefault="00832D71">
            <w:pPr>
              <w:pStyle w:val="a3"/>
              <w:spacing w:before="0" w:beforeAutospacing="0" w:after="0" w:afterAutospacing="0"/>
              <w:jc w:val="right"/>
              <w:rPr>
                <w:sz w:val="20"/>
                <w:szCs w:val="20"/>
              </w:rPr>
            </w:pPr>
            <w:r>
              <w:rPr>
                <w:sz w:val="20"/>
                <w:szCs w:val="20"/>
              </w:rPr>
              <w:t>(</w:t>
            </w:r>
            <w:r>
              <w:rPr>
                <w:sz w:val="20"/>
                <w:szCs w:val="20"/>
              </w:rPr>
              <w:t>3,85</w:t>
            </w:r>
            <w:r>
              <w:rPr>
                <w:sz w:val="20"/>
                <w:szCs w:val="20"/>
              </w:rPr>
              <w:t>9</w:t>
            </w:r>
          </w:p>
        </w:tc>
        <w:tc>
          <w:tcPr>
            <w:tcW w:w="0" w:type="auto"/>
            <w:noWrap/>
            <w:vAlign w:val="bottom"/>
            <w:hideMark/>
          </w:tcPr>
          <w:p w14:paraId="162C0012"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10B653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D35DA8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60E0D38"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541DE77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A44F2E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22776B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F02FCF1"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50AE5994" w14:textId="77777777" w:rsidR="00000000" w:rsidRDefault="00832D71">
            <w:pPr>
              <w:pStyle w:val="a3"/>
              <w:spacing w:before="0" w:beforeAutospacing="0" w:after="0" w:afterAutospacing="0"/>
              <w:rPr>
                <w:sz w:val="20"/>
                <w:szCs w:val="20"/>
              </w:rPr>
            </w:pPr>
            <w:r>
              <w:rPr>
                <w:sz w:val="20"/>
                <w:szCs w:val="20"/>
              </w:rPr>
              <w:t> </w:t>
            </w:r>
          </w:p>
        </w:tc>
      </w:tr>
      <w:tr w:rsidR="00000000" w14:paraId="30A8442C" w14:textId="77777777">
        <w:trPr>
          <w:divId w:val="245725729"/>
          <w:trHeight w:val="200"/>
          <w:tblCellSpacing w:w="15" w:type="dxa"/>
        </w:trPr>
        <w:tc>
          <w:tcPr>
            <w:tcW w:w="0" w:type="auto"/>
            <w:hideMark/>
          </w:tcPr>
          <w:p w14:paraId="23FBBB67" w14:textId="77777777" w:rsidR="00000000" w:rsidRDefault="00832D71">
            <w:pPr>
              <w:pStyle w:val="a3"/>
              <w:spacing w:before="0" w:beforeAutospacing="0" w:after="0" w:afterAutospacing="0"/>
              <w:rPr>
                <w:sz w:val="20"/>
                <w:szCs w:val="20"/>
              </w:rPr>
            </w:pPr>
            <w:r>
              <w:rPr>
                <w:sz w:val="20"/>
                <w:szCs w:val="20"/>
              </w:rPr>
              <w:t>Ordinary benefits pai</w:t>
            </w:r>
            <w:r>
              <w:rPr>
                <w:sz w:val="20"/>
                <w:szCs w:val="20"/>
              </w:rPr>
              <w:t>d</w:t>
            </w:r>
          </w:p>
        </w:tc>
        <w:tc>
          <w:tcPr>
            <w:tcW w:w="0" w:type="auto"/>
            <w:hideMark/>
          </w:tcPr>
          <w:p w14:paraId="0B511B6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1955F7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A7B32CB" w14:textId="77777777" w:rsidR="00000000" w:rsidRDefault="00832D71">
            <w:pPr>
              <w:pStyle w:val="a3"/>
              <w:spacing w:before="0" w:beforeAutospacing="0" w:after="0" w:afterAutospacing="0"/>
              <w:jc w:val="right"/>
              <w:rPr>
                <w:sz w:val="20"/>
                <w:szCs w:val="20"/>
              </w:rPr>
            </w:pPr>
            <w:r>
              <w:rPr>
                <w:sz w:val="20"/>
                <w:szCs w:val="20"/>
              </w:rPr>
              <w:t>(</w:t>
            </w:r>
            <w:r>
              <w:rPr>
                <w:sz w:val="20"/>
                <w:szCs w:val="20"/>
              </w:rPr>
              <w:t>5,62</w:t>
            </w:r>
            <w:r>
              <w:rPr>
                <w:sz w:val="20"/>
                <w:szCs w:val="20"/>
              </w:rPr>
              <w:t>8</w:t>
            </w:r>
          </w:p>
        </w:tc>
        <w:tc>
          <w:tcPr>
            <w:tcW w:w="0" w:type="auto"/>
            <w:noWrap/>
            <w:vAlign w:val="bottom"/>
            <w:hideMark/>
          </w:tcPr>
          <w:p w14:paraId="035846D4"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6CA1E58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9EEE32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C8C2B4C" w14:textId="77777777" w:rsidR="00000000" w:rsidRDefault="00832D71">
            <w:pPr>
              <w:pStyle w:val="a3"/>
              <w:spacing w:before="0" w:beforeAutospacing="0" w:after="0" w:afterAutospacing="0"/>
              <w:jc w:val="right"/>
              <w:rPr>
                <w:sz w:val="20"/>
                <w:szCs w:val="20"/>
              </w:rPr>
            </w:pPr>
            <w:r>
              <w:rPr>
                <w:sz w:val="20"/>
                <w:szCs w:val="20"/>
              </w:rPr>
              <w:t>(</w:t>
            </w:r>
            <w:r>
              <w:rPr>
                <w:sz w:val="20"/>
                <w:szCs w:val="20"/>
              </w:rPr>
              <w:t>6,06</w:t>
            </w:r>
            <w:r>
              <w:rPr>
                <w:sz w:val="20"/>
                <w:szCs w:val="20"/>
              </w:rPr>
              <w:t>0</w:t>
            </w:r>
          </w:p>
        </w:tc>
        <w:tc>
          <w:tcPr>
            <w:tcW w:w="0" w:type="auto"/>
            <w:noWrap/>
            <w:vAlign w:val="bottom"/>
            <w:hideMark/>
          </w:tcPr>
          <w:p w14:paraId="2865F94C"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6B19A7A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241CA1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0F20010" w14:textId="77777777" w:rsidR="00000000" w:rsidRDefault="00832D71">
            <w:pPr>
              <w:pStyle w:val="a3"/>
              <w:spacing w:before="0" w:beforeAutospacing="0" w:after="0" w:afterAutospacing="0"/>
              <w:jc w:val="right"/>
              <w:rPr>
                <w:sz w:val="20"/>
                <w:szCs w:val="20"/>
              </w:rPr>
            </w:pPr>
            <w:r>
              <w:rPr>
                <w:sz w:val="20"/>
                <w:szCs w:val="20"/>
              </w:rPr>
              <w:t>(</w:t>
            </w:r>
            <w:r>
              <w:rPr>
                <w:sz w:val="20"/>
                <w:szCs w:val="20"/>
              </w:rPr>
              <w:t>62</w:t>
            </w:r>
            <w:r>
              <w:rPr>
                <w:sz w:val="20"/>
                <w:szCs w:val="20"/>
              </w:rPr>
              <w:t>6</w:t>
            </w:r>
          </w:p>
        </w:tc>
        <w:tc>
          <w:tcPr>
            <w:tcW w:w="0" w:type="auto"/>
            <w:noWrap/>
            <w:vAlign w:val="bottom"/>
            <w:hideMark/>
          </w:tcPr>
          <w:p w14:paraId="1EF93264"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90EF23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D6F9B5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DA77DF9" w14:textId="77777777" w:rsidR="00000000" w:rsidRDefault="00832D71">
            <w:pPr>
              <w:pStyle w:val="a3"/>
              <w:spacing w:before="0" w:beforeAutospacing="0" w:after="0" w:afterAutospacing="0"/>
              <w:jc w:val="right"/>
              <w:rPr>
                <w:sz w:val="20"/>
                <w:szCs w:val="20"/>
              </w:rPr>
            </w:pPr>
            <w:r>
              <w:rPr>
                <w:sz w:val="20"/>
                <w:szCs w:val="20"/>
              </w:rPr>
              <w:t>(</w:t>
            </w:r>
            <w:r>
              <w:rPr>
                <w:sz w:val="20"/>
                <w:szCs w:val="20"/>
              </w:rPr>
              <w:t>68</w:t>
            </w:r>
            <w:r>
              <w:rPr>
                <w:sz w:val="20"/>
                <w:szCs w:val="20"/>
              </w:rPr>
              <w:t>3</w:t>
            </w:r>
          </w:p>
        </w:tc>
        <w:tc>
          <w:tcPr>
            <w:tcW w:w="0" w:type="auto"/>
            <w:noWrap/>
            <w:vAlign w:val="bottom"/>
            <w:hideMark/>
          </w:tcPr>
          <w:p w14:paraId="0D988EBB" w14:textId="77777777" w:rsidR="00000000" w:rsidRDefault="00832D71">
            <w:pPr>
              <w:pStyle w:val="a3"/>
              <w:spacing w:before="0" w:beforeAutospacing="0" w:after="0" w:afterAutospacing="0"/>
              <w:rPr>
                <w:sz w:val="20"/>
                <w:szCs w:val="20"/>
              </w:rPr>
            </w:pPr>
            <w:r>
              <w:rPr>
                <w:sz w:val="20"/>
                <w:szCs w:val="20"/>
              </w:rPr>
              <w:t>)</w:t>
            </w:r>
          </w:p>
        </w:tc>
      </w:tr>
      <w:tr w:rsidR="00000000" w14:paraId="553E29FF" w14:textId="77777777">
        <w:trPr>
          <w:divId w:val="245725729"/>
          <w:trHeight w:val="200"/>
          <w:tblCellSpacing w:w="15" w:type="dxa"/>
        </w:trPr>
        <w:tc>
          <w:tcPr>
            <w:tcW w:w="0" w:type="auto"/>
            <w:hideMark/>
          </w:tcPr>
          <w:p w14:paraId="424C1437" w14:textId="77777777" w:rsidR="00000000" w:rsidRDefault="00832D71">
            <w:pPr>
              <w:pStyle w:val="a3"/>
              <w:spacing w:before="0" w:beforeAutospacing="0" w:after="0" w:afterAutospacing="0"/>
              <w:rPr>
                <w:sz w:val="20"/>
                <w:szCs w:val="20"/>
              </w:rPr>
            </w:pPr>
            <w:r>
              <w:rPr>
                <w:sz w:val="20"/>
                <w:szCs w:val="20"/>
              </w:rPr>
              <w:t>Fair value of plan assets at end of yea</w:t>
            </w:r>
            <w:r>
              <w:rPr>
                <w:sz w:val="20"/>
                <w:szCs w:val="20"/>
              </w:rPr>
              <w:t>r</w:t>
            </w:r>
          </w:p>
        </w:tc>
        <w:tc>
          <w:tcPr>
            <w:tcW w:w="0" w:type="auto"/>
            <w:hideMark/>
          </w:tcPr>
          <w:p w14:paraId="7BB05FB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854D23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9123139" w14:textId="77777777" w:rsidR="00000000" w:rsidRDefault="00832D71">
            <w:pPr>
              <w:pStyle w:val="a3"/>
              <w:spacing w:before="0" w:beforeAutospacing="0" w:after="0" w:afterAutospacing="0"/>
              <w:jc w:val="right"/>
              <w:rPr>
                <w:sz w:val="20"/>
                <w:szCs w:val="20"/>
              </w:rPr>
            </w:pPr>
            <w:r>
              <w:rPr>
                <w:sz w:val="20"/>
                <w:szCs w:val="20"/>
              </w:rPr>
              <w:t>55,09</w:t>
            </w:r>
            <w:r>
              <w:rPr>
                <w:sz w:val="20"/>
                <w:szCs w:val="20"/>
              </w:rPr>
              <w:t>1</w:t>
            </w:r>
          </w:p>
        </w:tc>
        <w:tc>
          <w:tcPr>
            <w:tcW w:w="0" w:type="auto"/>
            <w:noWrap/>
            <w:vAlign w:val="bottom"/>
            <w:hideMark/>
          </w:tcPr>
          <w:p w14:paraId="39F720F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8B9561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92965F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4395686" w14:textId="77777777" w:rsidR="00000000" w:rsidRDefault="00832D71">
            <w:pPr>
              <w:pStyle w:val="a3"/>
              <w:spacing w:before="0" w:beforeAutospacing="0" w:after="0" w:afterAutospacing="0"/>
              <w:jc w:val="right"/>
              <w:rPr>
                <w:sz w:val="20"/>
                <w:szCs w:val="20"/>
              </w:rPr>
            </w:pPr>
            <w:r>
              <w:rPr>
                <w:sz w:val="20"/>
                <w:szCs w:val="20"/>
              </w:rPr>
              <w:t>77,89</w:t>
            </w:r>
            <w:r>
              <w:rPr>
                <w:sz w:val="20"/>
                <w:szCs w:val="20"/>
              </w:rPr>
              <w:t>2</w:t>
            </w:r>
          </w:p>
        </w:tc>
        <w:tc>
          <w:tcPr>
            <w:tcW w:w="0" w:type="auto"/>
            <w:noWrap/>
            <w:vAlign w:val="bottom"/>
            <w:hideMark/>
          </w:tcPr>
          <w:p w14:paraId="46B9297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877E14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A0ABCC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8F929E2"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19C8AC2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28120F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EDAAAE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5DB2D78"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546C2E6F" w14:textId="77777777" w:rsidR="00000000" w:rsidRDefault="00832D71">
            <w:pPr>
              <w:pStyle w:val="a3"/>
              <w:spacing w:before="0" w:beforeAutospacing="0" w:after="0" w:afterAutospacing="0"/>
              <w:rPr>
                <w:sz w:val="20"/>
                <w:szCs w:val="20"/>
              </w:rPr>
            </w:pPr>
            <w:r>
              <w:rPr>
                <w:sz w:val="20"/>
                <w:szCs w:val="20"/>
              </w:rPr>
              <w:t> </w:t>
            </w:r>
          </w:p>
        </w:tc>
      </w:tr>
      <w:tr w:rsidR="00000000" w14:paraId="5F04E2B3" w14:textId="77777777">
        <w:trPr>
          <w:divId w:val="245725729"/>
          <w:tblCellSpacing w:w="15" w:type="dxa"/>
        </w:trPr>
        <w:tc>
          <w:tcPr>
            <w:tcW w:w="0" w:type="auto"/>
            <w:hideMark/>
          </w:tcPr>
          <w:p w14:paraId="4CDDF50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A0DDBC4"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0B4E05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60E75D8"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63CBA0F5"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5EAB2D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7DCBCA6"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A3E0985"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8FFE54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C0C4E01"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2F195B7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AD6119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16D73EC" w14:textId="77777777" w:rsidR="00000000" w:rsidRDefault="00832D71">
            <w:pPr>
              <w:pStyle w:val="a3"/>
              <w:spacing w:before="0" w:beforeAutospacing="0" w:after="0" w:afterAutospacing="0"/>
              <w:jc w:val="right"/>
              <w:rPr>
                <w:sz w:val="20"/>
                <w:szCs w:val="20"/>
              </w:rPr>
            </w:pPr>
            <w:r>
              <w:rPr>
                <w:sz w:val="20"/>
                <w:szCs w:val="20"/>
              </w:rPr>
              <w:t> </w:t>
            </w:r>
          </w:p>
        </w:tc>
      </w:tr>
      <w:tr w:rsidR="00000000" w14:paraId="3B563081" w14:textId="77777777">
        <w:trPr>
          <w:divId w:val="245725729"/>
          <w:trHeight w:val="200"/>
          <w:tblCellSpacing w:w="15" w:type="dxa"/>
        </w:trPr>
        <w:tc>
          <w:tcPr>
            <w:tcW w:w="0" w:type="auto"/>
            <w:hideMark/>
          </w:tcPr>
          <w:p w14:paraId="5979CF2F" w14:textId="77777777" w:rsidR="00000000" w:rsidRDefault="00832D71">
            <w:pPr>
              <w:pStyle w:val="a3"/>
              <w:spacing w:before="0" w:beforeAutospacing="0" w:after="0" w:afterAutospacing="0"/>
              <w:rPr>
                <w:sz w:val="20"/>
                <w:szCs w:val="20"/>
              </w:rPr>
            </w:pPr>
            <w:r>
              <w:rPr>
                <w:b/>
                <w:bCs/>
                <w:sz w:val="20"/>
                <w:szCs w:val="20"/>
              </w:rPr>
              <w:t>Funded status</w:t>
            </w:r>
            <w:r>
              <w:rPr>
                <w:b/>
                <w:bCs/>
                <w:sz w:val="20"/>
                <w:szCs w:val="20"/>
              </w:rPr>
              <w:t>:</w:t>
            </w:r>
          </w:p>
        </w:tc>
        <w:tc>
          <w:tcPr>
            <w:tcW w:w="0" w:type="auto"/>
            <w:hideMark/>
          </w:tcPr>
          <w:p w14:paraId="310E216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6254D4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0119DB7"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EDC4CED"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47FD29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6BF21C2"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5D7ED1B6"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54022D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8853EE9"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5ACB624F"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7875F9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F6B1D77" w14:textId="77777777" w:rsidR="00000000" w:rsidRDefault="00832D71">
            <w:pPr>
              <w:pStyle w:val="a3"/>
              <w:spacing w:before="0" w:beforeAutospacing="0" w:after="0" w:afterAutospacing="0"/>
              <w:jc w:val="right"/>
              <w:rPr>
                <w:sz w:val="20"/>
                <w:szCs w:val="20"/>
              </w:rPr>
            </w:pPr>
            <w:r>
              <w:rPr>
                <w:sz w:val="20"/>
                <w:szCs w:val="20"/>
              </w:rPr>
              <w:t> </w:t>
            </w:r>
          </w:p>
        </w:tc>
      </w:tr>
      <w:tr w:rsidR="00000000" w14:paraId="62F44ADD" w14:textId="77777777">
        <w:trPr>
          <w:divId w:val="245725729"/>
          <w:trHeight w:val="200"/>
          <w:tblCellSpacing w:w="15" w:type="dxa"/>
        </w:trPr>
        <w:tc>
          <w:tcPr>
            <w:tcW w:w="0" w:type="auto"/>
            <w:hideMark/>
          </w:tcPr>
          <w:p w14:paraId="748F8945" w14:textId="77777777" w:rsidR="00000000" w:rsidRDefault="00832D71">
            <w:pPr>
              <w:pStyle w:val="a3"/>
              <w:spacing w:before="0" w:beforeAutospacing="0" w:after="0" w:afterAutospacing="0"/>
              <w:rPr>
                <w:sz w:val="20"/>
                <w:szCs w:val="20"/>
              </w:rPr>
            </w:pPr>
            <w:r>
              <w:rPr>
                <w:sz w:val="20"/>
                <w:szCs w:val="20"/>
              </w:rPr>
              <w:t>Funded status at end of yea</w:t>
            </w:r>
            <w:r>
              <w:rPr>
                <w:sz w:val="20"/>
                <w:szCs w:val="20"/>
              </w:rPr>
              <w:t>r</w:t>
            </w:r>
          </w:p>
        </w:tc>
        <w:tc>
          <w:tcPr>
            <w:tcW w:w="0" w:type="auto"/>
            <w:hideMark/>
          </w:tcPr>
          <w:p w14:paraId="4192160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C64BF7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0125B1F" w14:textId="77777777" w:rsidR="00000000" w:rsidRDefault="00832D71">
            <w:pPr>
              <w:pStyle w:val="a3"/>
              <w:spacing w:before="0" w:beforeAutospacing="0" w:after="0" w:afterAutospacing="0"/>
              <w:jc w:val="right"/>
              <w:rPr>
                <w:sz w:val="20"/>
                <w:szCs w:val="20"/>
              </w:rPr>
            </w:pPr>
            <w:r>
              <w:rPr>
                <w:sz w:val="20"/>
                <w:szCs w:val="20"/>
              </w:rPr>
              <w:t>(</w:t>
            </w:r>
            <w:r>
              <w:rPr>
                <w:sz w:val="20"/>
                <w:szCs w:val="20"/>
              </w:rPr>
              <w:t>20,76</w:t>
            </w:r>
            <w:r>
              <w:rPr>
                <w:sz w:val="20"/>
                <w:szCs w:val="20"/>
              </w:rPr>
              <w:t>0</w:t>
            </w:r>
          </w:p>
        </w:tc>
        <w:tc>
          <w:tcPr>
            <w:tcW w:w="0" w:type="auto"/>
            <w:noWrap/>
            <w:vAlign w:val="bottom"/>
            <w:hideMark/>
          </w:tcPr>
          <w:p w14:paraId="3B3EB01E"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6EF7526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1211BA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E2E8E3E" w14:textId="77777777" w:rsidR="00000000" w:rsidRDefault="00832D71">
            <w:pPr>
              <w:pStyle w:val="a3"/>
              <w:spacing w:before="0" w:beforeAutospacing="0" w:after="0" w:afterAutospacing="0"/>
              <w:jc w:val="right"/>
              <w:rPr>
                <w:sz w:val="20"/>
                <w:szCs w:val="20"/>
              </w:rPr>
            </w:pPr>
            <w:r>
              <w:rPr>
                <w:sz w:val="20"/>
                <w:szCs w:val="20"/>
              </w:rPr>
              <w:t>(</w:t>
            </w:r>
            <w:r>
              <w:rPr>
                <w:sz w:val="20"/>
                <w:szCs w:val="20"/>
              </w:rPr>
              <w:t>25,22</w:t>
            </w:r>
            <w:r>
              <w:rPr>
                <w:sz w:val="20"/>
                <w:szCs w:val="20"/>
              </w:rPr>
              <w:t>3</w:t>
            </w:r>
          </w:p>
        </w:tc>
        <w:tc>
          <w:tcPr>
            <w:tcW w:w="0" w:type="auto"/>
            <w:noWrap/>
            <w:vAlign w:val="bottom"/>
            <w:hideMark/>
          </w:tcPr>
          <w:p w14:paraId="2B139952"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9EDAC7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DFF1F1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F595DFF" w14:textId="77777777" w:rsidR="00000000" w:rsidRDefault="00832D71">
            <w:pPr>
              <w:pStyle w:val="a3"/>
              <w:spacing w:before="0" w:beforeAutospacing="0" w:after="0" w:afterAutospacing="0"/>
              <w:jc w:val="right"/>
              <w:rPr>
                <w:sz w:val="20"/>
                <w:szCs w:val="20"/>
              </w:rPr>
            </w:pPr>
            <w:r>
              <w:rPr>
                <w:sz w:val="20"/>
                <w:szCs w:val="20"/>
              </w:rPr>
              <w:t>(</w:t>
            </w:r>
            <w:r>
              <w:rPr>
                <w:sz w:val="20"/>
                <w:szCs w:val="20"/>
              </w:rPr>
              <w:t>3,71</w:t>
            </w:r>
            <w:r>
              <w:rPr>
                <w:sz w:val="20"/>
                <w:szCs w:val="20"/>
              </w:rPr>
              <w:t>2</w:t>
            </w:r>
          </w:p>
        </w:tc>
        <w:tc>
          <w:tcPr>
            <w:tcW w:w="0" w:type="auto"/>
            <w:noWrap/>
            <w:vAlign w:val="bottom"/>
            <w:hideMark/>
          </w:tcPr>
          <w:p w14:paraId="0277DDE7"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B88875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FBDC73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E905DF3" w14:textId="77777777" w:rsidR="00000000" w:rsidRDefault="00832D71">
            <w:pPr>
              <w:pStyle w:val="a3"/>
              <w:spacing w:before="0" w:beforeAutospacing="0" w:after="0" w:afterAutospacing="0"/>
              <w:jc w:val="right"/>
              <w:rPr>
                <w:sz w:val="20"/>
                <w:szCs w:val="20"/>
              </w:rPr>
            </w:pPr>
            <w:r>
              <w:rPr>
                <w:sz w:val="20"/>
                <w:szCs w:val="20"/>
              </w:rPr>
              <w:t>(</w:t>
            </w:r>
            <w:r>
              <w:rPr>
                <w:sz w:val="20"/>
                <w:szCs w:val="20"/>
              </w:rPr>
              <w:t>4,96</w:t>
            </w:r>
            <w:r>
              <w:rPr>
                <w:sz w:val="20"/>
                <w:szCs w:val="20"/>
              </w:rPr>
              <w:t>2</w:t>
            </w:r>
          </w:p>
        </w:tc>
        <w:tc>
          <w:tcPr>
            <w:tcW w:w="0" w:type="auto"/>
            <w:noWrap/>
            <w:vAlign w:val="bottom"/>
            <w:hideMark/>
          </w:tcPr>
          <w:p w14:paraId="43710C5E" w14:textId="77777777" w:rsidR="00000000" w:rsidRDefault="00832D71">
            <w:pPr>
              <w:pStyle w:val="a3"/>
              <w:spacing w:before="0" w:beforeAutospacing="0" w:after="0" w:afterAutospacing="0"/>
              <w:rPr>
                <w:sz w:val="20"/>
                <w:szCs w:val="20"/>
              </w:rPr>
            </w:pPr>
            <w:r>
              <w:rPr>
                <w:sz w:val="20"/>
                <w:szCs w:val="20"/>
              </w:rPr>
              <w:t>)</w:t>
            </w:r>
          </w:p>
        </w:tc>
      </w:tr>
      <w:tr w:rsidR="00000000" w14:paraId="2B0CE4A1" w14:textId="77777777">
        <w:trPr>
          <w:divId w:val="245725729"/>
          <w:tblCellSpacing w:w="15" w:type="dxa"/>
        </w:trPr>
        <w:tc>
          <w:tcPr>
            <w:tcW w:w="0" w:type="auto"/>
            <w:hideMark/>
          </w:tcPr>
          <w:p w14:paraId="50E8DC8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060CB2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C5EAC7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70C84B8"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064C2EA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3A5C1A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9025A4F"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6A4F8F9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943AC1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42D6585"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5C9C422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1A2E42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1169989" w14:textId="77777777" w:rsidR="00000000" w:rsidRDefault="00832D71">
            <w:pPr>
              <w:pStyle w:val="a3"/>
              <w:spacing w:before="0" w:beforeAutospacing="0" w:after="0" w:afterAutospacing="0"/>
              <w:jc w:val="right"/>
              <w:rPr>
                <w:sz w:val="20"/>
                <w:szCs w:val="20"/>
              </w:rPr>
            </w:pPr>
            <w:r>
              <w:rPr>
                <w:sz w:val="20"/>
                <w:szCs w:val="20"/>
              </w:rPr>
              <w:t> </w:t>
            </w:r>
          </w:p>
        </w:tc>
      </w:tr>
      <w:tr w:rsidR="00000000" w14:paraId="6B01EB41" w14:textId="77777777">
        <w:trPr>
          <w:divId w:val="245725729"/>
          <w:trHeight w:val="200"/>
          <w:tblCellSpacing w:w="15" w:type="dxa"/>
        </w:trPr>
        <w:tc>
          <w:tcPr>
            <w:tcW w:w="0" w:type="auto"/>
            <w:hideMark/>
          </w:tcPr>
          <w:p w14:paraId="28ABAF62" w14:textId="77777777" w:rsidR="00000000" w:rsidRDefault="00832D71">
            <w:pPr>
              <w:pStyle w:val="a3"/>
              <w:spacing w:before="0" w:beforeAutospacing="0" w:after="0" w:afterAutospacing="0"/>
              <w:rPr>
                <w:sz w:val="20"/>
                <w:szCs w:val="20"/>
              </w:rPr>
            </w:pPr>
            <w:r>
              <w:rPr>
                <w:b/>
                <w:bCs/>
                <w:sz w:val="20"/>
                <w:szCs w:val="20"/>
              </w:rPr>
              <w:t>Amounts recognized in consolidated balance sheets</w:t>
            </w:r>
            <w:r>
              <w:rPr>
                <w:b/>
                <w:bCs/>
                <w:sz w:val="20"/>
                <w:szCs w:val="20"/>
              </w:rPr>
              <w:br/>
              <w:t>   consist of</w:t>
            </w:r>
            <w:r>
              <w:rPr>
                <w:b/>
                <w:bCs/>
                <w:sz w:val="20"/>
                <w:szCs w:val="20"/>
              </w:rPr>
              <w:t>:</w:t>
            </w:r>
          </w:p>
        </w:tc>
        <w:tc>
          <w:tcPr>
            <w:tcW w:w="0" w:type="auto"/>
            <w:hideMark/>
          </w:tcPr>
          <w:p w14:paraId="5D74139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920BBF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7D87F81"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7A019E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40DB86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D686EA8"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3A6A0D0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183ACC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387135A"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6FFE0FC0"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0AF317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C094752" w14:textId="77777777" w:rsidR="00000000" w:rsidRDefault="00832D71">
            <w:pPr>
              <w:pStyle w:val="a3"/>
              <w:spacing w:before="0" w:beforeAutospacing="0" w:after="0" w:afterAutospacing="0"/>
              <w:jc w:val="right"/>
              <w:rPr>
                <w:sz w:val="20"/>
                <w:szCs w:val="20"/>
              </w:rPr>
            </w:pPr>
            <w:r>
              <w:rPr>
                <w:sz w:val="20"/>
                <w:szCs w:val="20"/>
              </w:rPr>
              <w:t> </w:t>
            </w:r>
          </w:p>
        </w:tc>
      </w:tr>
      <w:tr w:rsidR="00000000" w14:paraId="6625AE44" w14:textId="77777777">
        <w:trPr>
          <w:divId w:val="245725729"/>
          <w:trHeight w:val="200"/>
          <w:tblCellSpacing w:w="15" w:type="dxa"/>
        </w:trPr>
        <w:tc>
          <w:tcPr>
            <w:tcW w:w="0" w:type="auto"/>
            <w:hideMark/>
          </w:tcPr>
          <w:p w14:paraId="43AB1972" w14:textId="77777777" w:rsidR="00000000" w:rsidRDefault="00832D71">
            <w:pPr>
              <w:pStyle w:val="a3"/>
              <w:spacing w:before="0" w:beforeAutospacing="0" w:after="0" w:afterAutospacing="0"/>
              <w:rPr>
                <w:sz w:val="20"/>
                <w:szCs w:val="20"/>
              </w:rPr>
            </w:pPr>
            <w:r>
              <w:rPr>
                <w:sz w:val="20"/>
                <w:szCs w:val="20"/>
              </w:rPr>
              <w:t>Net amount recognized at end of yea</w:t>
            </w:r>
            <w:r>
              <w:rPr>
                <w:sz w:val="20"/>
                <w:szCs w:val="20"/>
              </w:rPr>
              <w:t>r</w:t>
            </w:r>
          </w:p>
        </w:tc>
        <w:tc>
          <w:tcPr>
            <w:tcW w:w="0" w:type="auto"/>
            <w:hideMark/>
          </w:tcPr>
          <w:p w14:paraId="15FBF59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E089CA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B6DCE57" w14:textId="77777777" w:rsidR="00000000" w:rsidRDefault="00832D71">
            <w:pPr>
              <w:pStyle w:val="a3"/>
              <w:spacing w:before="0" w:beforeAutospacing="0" w:after="0" w:afterAutospacing="0"/>
              <w:jc w:val="right"/>
              <w:rPr>
                <w:sz w:val="20"/>
                <w:szCs w:val="20"/>
              </w:rPr>
            </w:pPr>
            <w:r>
              <w:rPr>
                <w:sz w:val="20"/>
                <w:szCs w:val="20"/>
              </w:rPr>
              <w:t>(</w:t>
            </w:r>
            <w:r>
              <w:rPr>
                <w:sz w:val="20"/>
                <w:szCs w:val="20"/>
              </w:rPr>
              <w:t>20,76</w:t>
            </w:r>
            <w:r>
              <w:rPr>
                <w:sz w:val="20"/>
                <w:szCs w:val="20"/>
              </w:rPr>
              <w:t>0</w:t>
            </w:r>
          </w:p>
        </w:tc>
        <w:tc>
          <w:tcPr>
            <w:tcW w:w="0" w:type="auto"/>
            <w:noWrap/>
            <w:vAlign w:val="bottom"/>
            <w:hideMark/>
          </w:tcPr>
          <w:p w14:paraId="2E91B134"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647EA5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FF4D16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E127485" w14:textId="77777777" w:rsidR="00000000" w:rsidRDefault="00832D71">
            <w:pPr>
              <w:pStyle w:val="a3"/>
              <w:spacing w:before="0" w:beforeAutospacing="0" w:after="0" w:afterAutospacing="0"/>
              <w:jc w:val="right"/>
              <w:rPr>
                <w:sz w:val="20"/>
                <w:szCs w:val="20"/>
              </w:rPr>
            </w:pPr>
            <w:r>
              <w:rPr>
                <w:sz w:val="20"/>
                <w:szCs w:val="20"/>
              </w:rPr>
              <w:t>(</w:t>
            </w:r>
            <w:r>
              <w:rPr>
                <w:sz w:val="20"/>
                <w:szCs w:val="20"/>
              </w:rPr>
              <w:t>25,22</w:t>
            </w:r>
            <w:r>
              <w:rPr>
                <w:sz w:val="20"/>
                <w:szCs w:val="20"/>
              </w:rPr>
              <w:t>3</w:t>
            </w:r>
          </w:p>
        </w:tc>
        <w:tc>
          <w:tcPr>
            <w:tcW w:w="0" w:type="auto"/>
            <w:noWrap/>
            <w:vAlign w:val="bottom"/>
            <w:hideMark/>
          </w:tcPr>
          <w:p w14:paraId="050D082F"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FFF9BD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C0A336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E624437" w14:textId="77777777" w:rsidR="00000000" w:rsidRDefault="00832D71">
            <w:pPr>
              <w:pStyle w:val="a3"/>
              <w:spacing w:before="0" w:beforeAutospacing="0" w:after="0" w:afterAutospacing="0"/>
              <w:jc w:val="right"/>
              <w:rPr>
                <w:sz w:val="20"/>
                <w:szCs w:val="20"/>
              </w:rPr>
            </w:pPr>
            <w:r>
              <w:rPr>
                <w:sz w:val="20"/>
                <w:szCs w:val="20"/>
              </w:rPr>
              <w:t>(</w:t>
            </w:r>
            <w:r>
              <w:rPr>
                <w:sz w:val="20"/>
                <w:szCs w:val="20"/>
              </w:rPr>
              <w:t>3,71</w:t>
            </w:r>
            <w:r>
              <w:rPr>
                <w:sz w:val="20"/>
                <w:szCs w:val="20"/>
              </w:rPr>
              <w:t>2</w:t>
            </w:r>
          </w:p>
        </w:tc>
        <w:tc>
          <w:tcPr>
            <w:tcW w:w="0" w:type="auto"/>
            <w:noWrap/>
            <w:vAlign w:val="bottom"/>
            <w:hideMark/>
          </w:tcPr>
          <w:p w14:paraId="7ADFD781"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785B74C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79C25D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C64E626" w14:textId="77777777" w:rsidR="00000000" w:rsidRDefault="00832D71">
            <w:pPr>
              <w:pStyle w:val="a3"/>
              <w:spacing w:before="0" w:beforeAutospacing="0" w:after="0" w:afterAutospacing="0"/>
              <w:jc w:val="right"/>
              <w:rPr>
                <w:sz w:val="20"/>
                <w:szCs w:val="20"/>
              </w:rPr>
            </w:pPr>
            <w:r>
              <w:rPr>
                <w:sz w:val="20"/>
                <w:szCs w:val="20"/>
              </w:rPr>
              <w:t>(</w:t>
            </w:r>
            <w:r>
              <w:rPr>
                <w:sz w:val="20"/>
                <w:szCs w:val="20"/>
              </w:rPr>
              <w:t>4,96</w:t>
            </w:r>
            <w:r>
              <w:rPr>
                <w:sz w:val="20"/>
                <w:szCs w:val="20"/>
              </w:rPr>
              <w:t>2</w:t>
            </w:r>
          </w:p>
        </w:tc>
        <w:tc>
          <w:tcPr>
            <w:tcW w:w="0" w:type="auto"/>
            <w:noWrap/>
            <w:vAlign w:val="bottom"/>
            <w:hideMark/>
          </w:tcPr>
          <w:p w14:paraId="75DE245B" w14:textId="77777777" w:rsidR="00000000" w:rsidRDefault="00832D71">
            <w:pPr>
              <w:pStyle w:val="a3"/>
              <w:spacing w:before="0" w:beforeAutospacing="0" w:after="0" w:afterAutospacing="0"/>
              <w:rPr>
                <w:sz w:val="20"/>
                <w:szCs w:val="20"/>
              </w:rPr>
            </w:pPr>
            <w:r>
              <w:rPr>
                <w:sz w:val="20"/>
                <w:szCs w:val="20"/>
              </w:rPr>
              <w:t>)</w:t>
            </w:r>
          </w:p>
        </w:tc>
      </w:tr>
      <w:tr w:rsidR="00000000" w14:paraId="4AA5169A" w14:textId="77777777">
        <w:trPr>
          <w:divId w:val="245725729"/>
          <w:trHeight w:val="200"/>
          <w:tblCellSpacing w:w="15" w:type="dxa"/>
        </w:trPr>
        <w:tc>
          <w:tcPr>
            <w:tcW w:w="0" w:type="auto"/>
            <w:hideMark/>
          </w:tcPr>
          <w:p w14:paraId="4E9B669B" w14:textId="77777777" w:rsidR="00000000" w:rsidRDefault="00832D71">
            <w:pPr>
              <w:pStyle w:val="a3"/>
              <w:spacing w:before="0" w:beforeAutospacing="0" w:after="0" w:afterAutospacing="0"/>
              <w:rPr>
                <w:sz w:val="20"/>
                <w:szCs w:val="20"/>
              </w:rPr>
            </w:pPr>
            <w:r>
              <w:rPr>
                <w:sz w:val="20"/>
                <w:szCs w:val="20"/>
              </w:rPr>
              <w:t>Less: current portio</w:t>
            </w:r>
            <w:r>
              <w:rPr>
                <w:sz w:val="20"/>
                <w:szCs w:val="20"/>
              </w:rPr>
              <w:t>n</w:t>
            </w:r>
          </w:p>
        </w:tc>
        <w:tc>
          <w:tcPr>
            <w:tcW w:w="0" w:type="auto"/>
            <w:hideMark/>
          </w:tcPr>
          <w:p w14:paraId="3ABC247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ECFF97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BA23D51"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4A174CA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AE38E3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6D4742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F78ECCA"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7D20B51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ACFCD3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100375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0587474" w14:textId="77777777" w:rsidR="00000000" w:rsidRDefault="00832D71">
            <w:pPr>
              <w:pStyle w:val="a3"/>
              <w:spacing w:before="0" w:beforeAutospacing="0" w:after="0" w:afterAutospacing="0"/>
              <w:jc w:val="right"/>
              <w:rPr>
                <w:sz w:val="20"/>
                <w:szCs w:val="20"/>
              </w:rPr>
            </w:pPr>
            <w:r>
              <w:rPr>
                <w:sz w:val="20"/>
                <w:szCs w:val="20"/>
              </w:rPr>
              <w:t>62</w:t>
            </w:r>
            <w:r>
              <w:rPr>
                <w:sz w:val="20"/>
                <w:szCs w:val="20"/>
              </w:rPr>
              <w:t>7</w:t>
            </w:r>
          </w:p>
        </w:tc>
        <w:tc>
          <w:tcPr>
            <w:tcW w:w="0" w:type="auto"/>
            <w:noWrap/>
            <w:vAlign w:val="bottom"/>
            <w:hideMark/>
          </w:tcPr>
          <w:p w14:paraId="1C784A2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DC2777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86ED9C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FA50880" w14:textId="77777777" w:rsidR="00000000" w:rsidRDefault="00832D71">
            <w:pPr>
              <w:pStyle w:val="a3"/>
              <w:spacing w:before="0" w:beforeAutospacing="0" w:after="0" w:afterAutospacing="0"/>
              <w:jc w:val="right"/>
              <w:rPr>
                <w:sz w:val="20"/>
                <w:szCs w:val="20"/>
              </w:rPr>
            </w:pPr>
            <w:r>
              <w:rPr>
                <w:sz w:val="20"/>
                <w:szCs w:val="20"/>
              </w:rPr>
              <w:t>71</w:t>
            </w:r>
            <w:r>
              <w:rPr>
                <w:sz w:val="20"/>
                <w:szCs w:val="20"/>
              </w:rPr>
              <w:t>0</w:t>
            </w:r>
          </w:p>
        </w:tc>
        <w:tc>
          <w:tcPr>
            <w:tcW w:w="0" w:type="auto"/>
            <w:noWrap/>
            <w:vAlign w:val="bottom"/>
            <w:hideMark/>
          </w:tcPr>
          <w:p w14:paraId="4943D73D" w14:textId="77777777" w:rsidR="00000000" w:rsidRDefault="00832D71">
            <w:pPr>
              <w:pStyle w:val="a3"/>
              <w:spacing w:before="0" w:beforeAutospacing="0" w:after="0" w:afterAutospacing="0"/>
              <w:rPr>
                <w:sz w:val="20"/>
                <w:szCs w:val="20"/>
              </w:rPr>
            </w:pPr>
            <w:r>
              <w:rPr>
                <w:sz w:val="20"/>
                <w:szCs w:val="20"/>
              </w:rPr>
              <w:t> </w:t>
            </w:r>
          </w:p>
        </w:tc>
      </w:tr>
      <w:tr w:rsidR="00000000" w14:paraId="3115209D" w14:textId="77777777">
        <w:trPr>
          <w:divId w:val="245725729"/>
          <w:trHeight w:val="200"/>
          <w:tblCellSpacing w:w="15" w:type="dxa"/>
        </w:trPr>
        <w:tc>
          <w:tcPr>
            <w:tcW w:w="0" w:type="auto"/>
            <w:hideMark/>
          </w:tcPr>
          <w:p w14:paraId="3A60EAD0" w14:textId="77777777" w:rsidR="00000000" w:rsidRDefault="00832D71">
            <w:pPr>
              <w:pStyle w:val="a3"/>
              <w:spacing w:before="0" w:beforeAutospacing="0" w:after="0" w:afterAutospacing="0"/>
              <w:rPr>
                <w:sz w:val="20"/>
                <w:szCs w:val="20"/>
              </w:rPr>
            </w:pPr>
            <w:r>
              <w:rPr>
                <w:sz w:val="20"/>
                <w:szCs w:val="20"/>
              </w:rPr>
              <w:t>Noncurrent benefit liabilit</w:t>
            </w:r>
            <w:r>
              <w:rPr>
                <w:sz w:val="20"/>
                <w:szCs w:val="20"/>
              </w:rPr>
              <w:t>y</w:t>
            </w:r>
          </w:p>
        </w:tc>
        <w:tc>
          <w:tcPr>
            <w:tcW w:w="0" w:type="auto"/>
            <w:hideMark/>
          </w:tcPr>
          <w:p w14:paraId="331CF16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864B21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A11CBE4" w14:textId="77777777" w:rsidR="00000000" w:rsidRDefault="00832D71">
            <w:pPr>
              <w:pStyle w:val="a3"/>
              <w:spacing w:before="0" w:beforeAutospacing="0" w:after="0" w:afterAutospacing="0"/>
              <w:jc w:val="right"/>
              <w:rPr>
                <w:sz w:val="20"/>
                <w:szCs w:val="20"/>
              </w:rPr>
            </w:pPr>
            <w:r>
              <w:rPr>
                <w:sz w:val="20"/>
                <w:szCs w:val="20"/>
              </w:rPr>
              <w:t>(</w:t>
            </w:r>
            <w:r>
              <w:rPr>
                <w:sz w:val="20"/>
                <w:szCs w:val="20"/>
              </w:rPr>
              <w:t>20,76</w:t>
            </w:r>
            <w:r>
              <w:rPr>
                <w:sz w:val="20"/>
                <w:szCs w:val="20"/>
              </w:rPr>
              <w:t>0</w:t>
            </w:r>
          </w:p>
        </w:tc>
        <w:tc>
          <w:tcPr>
            <w:tcW w:w="0" w:type="auto"/>
            <w:noWrap/>
            <w:vAlign w:val="bottom"/>
            <w:hideMark/>
          </w:tcPr>
          <w:p w14:paraId="27C7BD13"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4AD542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88306C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5A71418" w14:textId="77777777" w:rsidR="00000000" w:rsidRDefault="00832D71">
            <w:pPr>
              <w:pStyle w:val="a3"/>
              <w:spacing w:before="0" w:beforeAutospacing="0" w:after="0" w:afterAutospacing="0"/>
              <w:jc w:val="right"/>
              <w:rPr>
                <w:sz w:val="20"/>
                <w:szCs w:val="20"/>
              </w:rPr>
            </w:pPr>
            <w:r>
              <w:rPr>
                <w:sz w:val="20"/>
                <w:szCs w:val="20"/>
              </w:rPr>
              <w:t>(</w:t>
            </w:r>
            <w:r>
              <w:rPr>
                <w:sz w:val="20"/>
                <w:szCs w:val="20"/>
              </w:rPr>
              <w:t>25,22</w:t>
            </w:r>
            <w:r>
              <w:rPr>
                <w:sz w:val="20"/>
                <w:szCs w:val="20"/>
              </w:rPr>
              <w:t>3</w:t>
            </w:r>
          </w:p>
        </w:tc>
        <w:tc>
          <w:tcPr>
            <w:tcW w:w="0" w:type="auto"/>
            <w:noWrap/>
            <w:vAlign w:val="bottom"/>
            <w:hideMark/>
          </w:tcPr>
          <w:p w14:paraId="05BAD1D6"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6B10AE8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A05065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DD18E47" w14:textId="77777777" w:rsidR="00000000" w:rsidRDefault="00832D71">
            <w:pPr>
              <w:pStyle w:val="a3"/>
              <w:spacing w:before="0" w:beforeAutospacing="0" w:after="0" w:afterAutospacing="0"/>
              <w:jc w:val="right"/>
              <w:rPr>
                <w:sz w:val="20"/>
                <w:szCs w:val="20"/>
              </w:rPr>
            </w:pPr>
            <w:r>
              <w:rPr>
                <w:sz w:val="20"/>
                <w:szCs w:val="20"/>
              </w:rPr>
              <w:t>(</w:t>
            </w:r>
            <w:r>
              <w:rPr>
                <w:sz w:val="20"/>
                <w:szCs w:val="20"/>
              </w:rPr>
              <w:t>3,08</w:t>
            </w:r>
            <w:r>
              <w:rPr>
                <w:sz w:val="20"/>
                <w:szCs w:val="20"/>
              </w:rPr>
              <w:t>5</w:t>
            </w:r>
          </w:p>
        </w:tc>
        <w:tc>
          <w:tcPr>
            <w:tcW w:w="0" w:type="auto"/>
            <w:noWrap/>
            <w:vAlign w:val="bottom"/>
            <w:hideMark/>
          </w:tcPr>
          <w:p w14:paraId="5B4BFCB4"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0D2A671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EC1FE8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34E4FB7" w14:textId="77777777" w:rsidR="00000000" w:rsidRDefault="00832D71">
            <w:pPr>
              <w:pStyle w:val="a3"/>
              <w:spacing w:before="0" w:beforeAutospacing="0" w:after="0" w:afterAutospacing="0"/>
              <w:jc w:val="right"/>
              <w:rPr>
                <w:sz w:val="20"/>
                <w:szCs w:val="20"/>
              </w:rPr>
            </w:pPr>
            <w:r>
              <w:rPr>
                <w:sz w:val="20"/>
                <w:szCs w:val="20"/>
              </w:rPr>
              <w:t>(</w:t>
            </w:r>
            <w:r>
              <w:rPr>
                <w:sz w:val="20"/>
                <w:szCs w:val="20"/>
              </w:rPr>
              <w:t>4,25</w:t>
            </w:r>
            <w:r>
              <w:rPr>
                <w:sz w:val="20"/>
                <w:szCs w:val="20"/>
              </w:rPr>
              <w:t>2</w:t>
            </w:r>
          </w:p>
        </w:tc>
        <w:tc>
          <w:tcPr>
            <w:tcW w:w="0" w:type="auto"/>
            <w:noWrap/>
            <w:vAlign w:val="bottom"/>
            <w:hideMark/>
          </w:tcPr>
          <w:p w14:paraId="4E55150B" w14:textId="77777777" w:rsidR="00000000" w:rsidRDefault="00832D71">
            <w:pPr>
              <w:pStyle w:val="a3"/>
              <w:spacing w:before="0" w:beforeAutospacing="0" w:after="0" w:afterAutospacing="0"/>
              <w:rPr>
                <w:sz w:val="20"/>
                <w:szCs w:val="20"/>
              </w:rPr>
            </w:pPr>
            <w:r>
              <w:rPr>
                <w:sz w:val="20"/>
                <w:szCs w:val="20"/>
              </w:rPr>
              <w:t>)</w:t>
            </w:r>
          </w:p>
        </w:tc>
      </w:tr>
      <w:tr w:rsidR="00000000" w14:paraId="2C840793" w14:textId="77777777">
        <w:trPr>
          <w:divId w:val="245725729"/>
          <w:tblCellSpacing w:w="15" w:type="dxa"/>
        </w:trPr>
        <w:tc>
          <w:tcPr>
            <w:tcW w:w="0" w:type="auto"/>
            <w:hideMark/>
          </w:tcPr>
          <w:p w14:paraId="1290E3C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B80153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BBB1F2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4A7B14E"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2049BA6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780DCA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59EE231"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2B58499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50D07B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FEED998"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591E607A"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D68145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CE23125" w14:textId="77777777" w:rsidR="00000000" w:rsidRDefault="00832D71">
            <w:pPr>
              <w:pStyle w:val="a3"/>
              <w:spacing w:before="0" w:beforeAutospacing="0" w:after="0" w:afterAutospacing="0"/>
              <w:jc w:val="right"/>
              <w:rPr>
                <w:sz w:val="20"/>
                <w:szCs w:val="20"/>
              </w:rPr>
            </w:pPr>
            <w:r>
              <w:rPr>
                <w:sz w:val="20"/>
                <w:szCs w:val="20"/>
              </w:rPr>
              <w:t> </w:t>
            </w:r>
          </w:p>
        </w:tc>
      </w:tr>
      <w:tr w:rsidR="00000000" w14:paraId="467799B9" w14:textId="77777777">
        <w:trPr>
          <w:divId w:val="245725729"/>
          <w:trHeight w:val="200"/>
          <w:tblCellSpacing w:w="15" w:type="dxa"/>
        </w:trPr>
        <w:tc>
          <w:tcPr>
            <w:tcW w:w="0" w:type="auto"/>
            <w:hideMark/>
          </w:tcPr>
          <w:p w14:paraId="60234F8B" w14:textId="77777777" w:rsidR="00000000" w:rsidRDefault="00832D71">
            <w:pPr>
              <w:pStyle w:val="a3"/>
              <w:spacing w:before="0" w:beforeAutospacing="0" w:after="0" w:afterAutospacing="0"/>
              <w:rPr>
                <w:sz w:val="20"/>
                <w:szCs w:val="20"/>
              </w:rPr>
            </w:pPr>
            <w:r>
              <w:rPr>
                <w:b/>
                <w:bCs/>
                <w:sz w:val="20"/>
                <w:szCs w:val="20"/>
              </w:rPr>
              <w:t>Amounts not yet recognized in net periodic benefit cost</w:t>
            </w:r>
            <w:r>
              <w:rPr>
                <w:b/>
                <w:bCs/>
                <w:sz w:val="20"/>
                <w:szCs w:val="20"/>
              </w:rPr>
              <w:br/>
              <w:t>   </w:t>
            </w:r>
            <w:r>
              <w:rPr>
                <w:b/>
                <w:bCs/>
                <w:sz w:val="20"/>
                <w:szCs w:val="20"/>
              </w:rPr>
              <w:t>and included in accumulated other comprehensive</w:t>
            </w:r>
            <w:r>
              <w:rPr>
                <w:b/>
                <w:bCs/>
                <w:sz w:val="20"/>
                <w:szCs w:val="20"/>
              </w:rPr>
              <w:br/>
              <w:t>   income (loss)</w:t>
            </w:r>
            <w:r>
              <w:rPr>
                <w:b/>
                <w:bCs/>
                <w:sz w:val="20"/>
                <w:szCs w:val="20"/>
              </w:rPr>
              <w:t>:</w:t>
            </w:r>
          </w:p>
        </w:tc>
        <w:tc>
          <w:tcPr>
            <w:tcW w:w="0" w:type="auto"/>
            <w:hideMark/>
          </w:tcPr>
          <w:p w14:paraId="45AF69BA"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577E36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35CCB28"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69EA6910"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0CD791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5ABE909"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6F17CB25"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ED9323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D6857D9"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56FF010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FD6C08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CA5FA14" w14:textId="77777777" w:rsidR="00000000" w:rsidRDefault="00832D71">
            <w:pPr>
              <w:pStyle w:val="a3"/>
              <w:spacing w:before="0" w:beforeAutospacing="0" w:after="0" w:afterAutospacing="0"/>
              <w:jc w:val="right"/>
              <w:rPr>
                <w:sz w:val="20"/>
                <w:szCs w:val="20"/>
              </w:rPr>
            </w:pPr>
            <w:r>
              <w:rPr>
                <w:sz w:val="20"/>
                <w:szCs w:val="20"/>
              </w:rPr>
              <w:t> </w:t>
            </w:r>
          </w:p>
        </w:tc>
      </w:tr>
      <w:tr w:rsidR="00000000" w14:paraId="48048765" w14:textId="77777777">
        <w:trPr>
          <w:divId w:val="245725729"/>
          <w:trHeight w:val="200"/>
          <w:tblCellSpacing w:w="15" w:type="dxa"/>
        </w:trPr>
        <w:tc>
          <w:tcPr>
            <w:tcW w:w="0" w:type="auto"/>
            <w:hideMark/>
          </w:tcPr>
          <w:p w14:paraId="75511A7B" w14:textId="77777777" w:rsidR="00000000" w:rsidRDefault="00832D71">
            <w:pPr>
              <w:pStyle w:val="a3"/>
              <w:spacing w:before="0" w:beforeAutospacing="0" w:after="0" w:afterAutospacing="0"/>
              <w:rPr>
                <w:sz w:val="20"/>
                <w:szCs w:val="20"/>
              </w:rPr>
            </w:pPr>
            <w:r>
              <w:rPr>
                <w:sz w:val="20"/>
                <w:szCs w:val="20"/>
              </w:rPr>
              <w:t>Actuarial net (loss) gai</w:t>
            </w:r>
            <w:r>
              <w:rPr>
                <w:sz w:val="20"/>
                <w:szCs w:val="20"/>
              </w:rPr>
              <w:t>n</w:t>
            </w:r>
          </w:p>
        </w:tc>
        <w:tc>
          <w:tcPr>
            <w:tcW w:w="0" w:type="auto"/>
            <w:hideMark/>
          </w:tcPr>
          <w:p w14:paraId="4371DD7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248FC2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4FE8F01" w14:textId="77777777" w:rsidR="00000000" w:rsidRDefault="00832D71">
            <w:pPr>
              <w:pStyle w:val="a3"/>
              <w:spacing w:before="0" w:beforeAutospacing="0" w:after="0" w:afterAutospacing="0"/>
              <w:jc w:val="right"/>
              <w:rPr>
                <w:sz w:val="20"/>
                <w:szCs w:val="20"/>
              </w:rPr>
            </w:pPr>
            <w:r>
              <w:rPr>
                <w:sz w:val="20"/>
                <w:szCs w:val="20"/>
              </w:rPr>
              <w:t>(</w:t>
            </w:r>
            <w:r>
              <w:rPr>
                <w:sz w:val="20"/>
                <w:szCs w:val="20"/>
              </w:rPr>
              <w:t>17,79</w:t>
            </w:r>
            <w:r>
              <w:rPr>
                <w:sz w:val="20"/>
                <w:szCs w:val="20"/>
              </w:rPr>
              <w:t>7</w:t>
            </w:r>
          </w:p>
        </w:tc>
        <w:tc>
          <w:tcPr>
            <w:tcW w:w="0" w:type="auto"/>
            <w:noWrap/>
            <w:vAlign w:val="bottom"/>
            <w:hideMark/>
          </w:tcPr>
          <w:p w14:paraId="74C0F899"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A0DF14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3ED253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BB90684" w14:textId="77777777" w:rsidR="00000000" w:rsidRDefault="00832D71">
            <w:pPr>
              <w:pStyle w:val="a3"/>
              <w:spacing w:before="0" w:beforeAutospacing="0" w:after="0" w:afterAutospacing="0"/>
              <w:jc w:val="right"/>
              <w:rPr>
                <w:sz w:val="20"/>
                <w:szCs w:val="20"/>
              </w:rPr>
            </w:pPr>
            <w:r>
              <w:rPr>
                <w:sz w:val="20"/>
                <w:szCs w:val="20"/>
              </w:rPr>
              <w:t>(</w:t>
            </w:r>
            <w:r>
              <w:rPr>
                <w:sz w:val="20"/>
                <w:szCs w:val="20"/>
              </w:rPr>
              <w:t>23,30</w:t>
            </w:r>
            <w:r>
              <w:rPr>
                <w:sz w:val="20"/>
                <w:szCs w:val="20"/>
              </w:rPr>
              <w:t>3</w:t>
            </w:r>
          </w:p>
        </w:tc>
        <w:tc>
          <w:tcPr>
            <w:tcW w:w="0" w:type="auto"/>
            <w:noWrap/>
            <w:vAlign w:val="bottom"/>
            <w:hideMark/>
          </w:tcPr>
          <w:p w14:paraId="343BF2DC"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7AE0B3F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96506F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3C8EB80" w14:textId="77777777" w:rsidR="00000000" w:rsidRDefault="00832D71">
            <w:pPr>
              <w:pStyle w:val="a3"/>
              <w:spacing w:before="0" w:beforeAutospacing="0" w:after="0" w:afterAutospacing="0"/>
              <w:jc w:val="right"/>
              <w:rPr>
                <w:sz w:val="20"/>
                <w:szCs w:val="20"/>
              </w:rPr>
            </w:pPr>
            <w:r>
              <w:rPr>
                <w:sz w:val="20"/>
                <w:szCs w:val="20"/>
              </w:rPr>
              <w:t>4,44</w:t>
            </w:r>
            <w:r>
              <w:rPr>
                <w:sz w:val="20"/>
                <w:szCs w:val="20"/>
              </w:rPr>
              <w:t>5</w:t>
            </w:r>
          </w:p>
        </w:tc>
        <w:tc>
          <w:tcPr>
            <w:tcW w:w="0" w:type="auto"/>
            <w:noWrap/>
            <w:vAlign w:val="bottom"/>
            <w:hideMark/>
          </w:tcPr>
          <w:p w14:paraId="5DFF691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A6E634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7E46EA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1766CF7" w14:textId="77777777" w:rsidR="00000000" w:rsidRDefault="00832D71">
            <w:pPr>
              <w:pStyle w:val="a3"/>
              <w:spacing w:before="0" w:beforeAutospacing="0" w:after="0" w:afterAutospacing="0"/>
              <w:jc w:val="right"/>
              <w:rPr>
                <w:sz w:val="20"/>
                <w:szCs w:val="20"/>
              </w:rPr>
            </w:pPr>
            <w:r>
              <w:rPr>
                <w:sz w:val="20"/>
                <w:szCs w:val="20"/>
              </w:rPr>
              <w:t>4,46</w:t>
            </w:r>
            <w:r>
              <w:rPr>
                <w:sz w:val="20"/>
                <w:szCs w:val="20"/>
              </w:rPr>
              <w:t>5</w:t>
            </w:r>
          </w:p>
        </w:tc>
        <w:tc>
          <w:tcPr>
            <w:tcW w:w="0" w:type="auto"/>
            <w:noWrap/>
            <w:vAlign w:val="bottom"/>
            <w:hideMark/>
          </w:tcPr>
          <w:p w14:paraId="773F0736" w14:textId="77777777" w:rsidR="00000000" w:rsidRDefault="00832D71">
            <w:pPr>
              <w:pStyle w:val="a3"/>
              <w:spacing w:before="0" w:beforeAutospacing="0" w:after="0" w:afterAutospacing="0"/>
              <w:rPr>
                <w:sz w:val="20"/>
                <w:szCs w:val="20"/>
              </w:rPr>
            </w:pPr>
            <w:r>
              <w:rPr>
                <w:sz w:val="20"/>
                <w:szCs w:val="20"/>
              </w:rPr>
              <w:t> </w:t>
            </w:r>
          </w:p>
        </w:tc>
      </w:tr>
      <w:tr w:rsidR="00000000" w14:paraId="6ECC20DC" w14:textId="77777777">
        <w:trPr>
          <w:divId w:val="245725729"/>
          <w:trHeight w:val="200"/>
          <w:tblCellSpacing w:w="15" w:type="dxa"/>
        </w:trPr>
        <w:tc>
          <w:tcPr>
            <w:tcW w:w="0" w:type="auto"/>
            <w:hideMark/>
          </w:tcPr>
          <w:p w14:paraId="70CB135E" w14:textId="77777777" w:rsidR="00000000" w:rsidRDefault="00832D71">
            <w:pPr>
              <w:pStyle w:val="a3"/>
              <w:spacing w:before="0" w:beforeAutospacing="0" w:after="0" w:afterAutospacing="0"/>
              <w:rPr>
                <w:sz w:val="20"/>
                <w:szCs w:val="20"/>
              </w:rPr>
            </w:pPr>
            <w:r>
              <w:rPr>
                <w:sz w:val="20"/>
                <w:szCs w:val="20"/>
              </w:rPr>
              <w:t>Prior service credit</w:t>
            </w:r>
            <w:r>
              <w:rPr>
                <w:sz w:val="20"/>
                <w:szCs w:val="20"/>
              </w:rPr>
              <w:t>s</w:t>
            </w:r>
          </w:p>
        </w:tc>
        <w:tc>
          <w:tcPr>
            <w:tcW w:w="0" w:type="auto"/>
            <w:hideMark/>
          </w:tcPr>
          <w:p w14:paraId="39B2E9A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FBA396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638214B"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7262190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867192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63BDCE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1977D6A"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4BB3150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039F53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A80689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B393222" w14:textId="77777777" w:rsidR="00000000" w:rsidRDefault="00832D71">
            <w:pPr>
              <w:pStyle w:val="a3"/>
              <w:spacing w:before="0" w:beforeAutospacing="0" w:after="0" w:afterAutospacing="0"/>
              <w:jc w:val="right"/>
              <w:rPr>
                <w:sz w:val="20"/>
                <w:szCs w:val="20"/>
              </w:rPr>
            </w:pPr>
            <w:r>
              <w:rPr>
                <w:sz w:val="20"/>
                <w:szCs w:val="20"/>
              </w:rPr>
              <w:t>75</w:t>
            </w:r>
            <w:r>
              <w:rPr>
                <w:sz w:val="20"/>
                <w:szCs w:val="20"/>
              </w:rPr>
              <w:t>6</w:t>
            </w:r>
          </w:p>
        </w:tc>
        <w:tc>
          <w:tcPr>
            <w:tcW w:w="0" w:type="auto"/>
            <w:noWrap/>
            <w:vAlign w:val="bottom"/>
            <w:hideMark/>
          </w:tcPr>
          <w:p w14:paraId="0C4534E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60BEAD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23E3C2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895DD5C" w14:textId="77777777" w:rsidR="00000000" w:rsidRDefault="00832D71">
            <w:pPr>
              <w:pStyle w:val="a3"/>
              <w:spacing w:before="0" w:beforeAutospacing="0" w:after="0" w:afterAutospacing="0"/>
              <w:jc w:val="right"/>
              <w:rPr>
                <w:sz w:val="20"/>
                <w:szCs w:val="20"/>
              </w:rPr>
            </w:pPr>
            <w:r>
              <w:rPr>
                <w:sz w:val="20"/>
                <w:szCs w:val="20"/>
              </w:rPr>
              <w:t>1,25</w:t>
            </w:r>
            <w:r>
              <w:rPr>
                <w:sz w:val="20"/>
                <w:szCs w:val="20"/>
              </w:rPr>
              <w:t>5</w:t>
            </w:r>
          </w:p>
        </w:tc>
        <w:tc>
          <w:tcPr>
            <w:tcW w:w="0" w:type="auto"/>
            <w:noWrap/>
            <w:vAlign w:val="bottom"/>
            <w:hideMark/>
          </w:tcPr>
          <w:p w14:paraId="3859F9AD" w14:textId="77777777" w:rsidR="00000000" w:rsidRDefault="00832D71">
            <w:pPr>
              <w:pStyle w:val="a3"/>
              <w:spacing w:before="0" w:beforeAutospacing="0" w:after="0" w:afterAutospacing="0"/>
              <w:rPr>
                <w:sz w:val="20"/>
                <w:szCs w:val="20"/>
              </w:rPr>
            </w:pPr>
            <w:r>
              <w:rPr>
                <w:sz w:val="20"/>
                <w:szCs w:val="20"/>
              </w:rPr>
              <w:t> </w:t>
            </w:r>
          </w:p>
        </w:tc>
      </w:tr>
      <w:tr w:rsidR="00000000" w14:paraId="4BD75DBB" w14:textId="77777777">
        <w:trPr>
          <w:divId w:val="245725729"/>
          <w:trHeight w:val="200"/>
          <w:tblCellSpacing w:w="15" w:type="dxa"/>
        </w:trPr>
        <w:tc>
          <w:tcPr>
            <w:tcW w:w="0" w:type="auto"/>
            <w:hideMark/>
          </w:tcPr>
          <w:p w14:paraId="28158EE9" w14:textId="77777777" w:rsidR="00000000" w:rsidRDefault="00832D71">
            <w:pPr>
              <w:pStyle w:val="a3"/>
              <w:spacing w:before="0" w:beforeAutospacing="0" w:after="0" w:afterAutospacing="0"/>
              <w:rPr>
                <w:sz w:val="20"/>
                <w:szCs w:val="20"/>
              </w:rPr>
            </w:pPr>
            <w:r>
              <w:rPr>
                <w:sz w:val="20"/>
                <w:szCs w:val="20"/>
              </w:rPr>
              <w:t>Net amount recognized in accumulated other</w:t>
            </w:r>
            <w:r>
              <w:rPr>
                <w:sz w:val="20"/>
                <w:szCs w:val="20"/>
              </w:rPr>
              <w:br/>
              <w:t>   comprehensive (loss) incom</w:t>
            </w:r>
            <w:r>
              <w:rPr>
                <w:sz w:val="20"/>
                <w:szCs w:val="20"/>
              </w:rPr>
              <w:t>e</w:t>
            </w:r>
          </w:p>
        </w:tc>
        <w:tc>
          <w:tcPr>
            <w:tcW w:w="0" w:type="auto"/>
            <w:hideMark/>
          </w:tcPr>
          <w:p w14:paraId="5E18453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423BD7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A27AB49" w14:textId="77777777" w:rsidR="00000000" w:rsidRDefault="00832D71">
            <w:pPr>
              <w:pStyle w:val="a3"/>
              <w:spacing w:before="0" w:beforeAutospacing="0" w:after="0" w:afterAutospacing="0"/>
              <w:jc w:val="right"/>
              <w:rPr>
                <w:sz w:val="20"/>
                <w:szCs w:val="20"/>
              </w:rPr>
            </w:pPr>
            <w:r>
              <w:rPr>
                <w:sz w:val="20"/>
                <w:szCs w:val="20"/>
              </w:rPr>
              <w:t>(</w:t>
            </w:r>
            <w:r>
              <w:rPr>
                <w:sz w:val="20"/>
                <w:szCs w:val="20"/>
              </w:rPr>
              <w:t>17,79</w:t>
            </w:r>
            <w:r>
              <w:rPr>
                <w:sz w:val="20"/>
                <w:szCs w:val="20"/>
              </w:rPr>
              <w:t>7</w:t>
            </w:r>
          </w:p>
        </w:tc>
        <w:tc>
          <w:tcPr>
            <w:tcW w:w="0" w:type="auto"/>
            <w:noWrap/>
            <w:vAlign w:val="bottom"/>
            <w:hideMark/>
          </w:tcPr>
          <w:p w14:paraId="6EE2E66F"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11AF252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730907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D22525B" w14:textId="77777777" w:rsidR="00000000" w:rsidRDefault="00832D71">
            <w:pPr>
              <w:pStyle w:val="a3"/>
              <w:spacing w:before="0" w:beforeAutospacing="0" w:after="0" w:afterAutospacing="0"/>
              <w:jc w:val="right"/>
              <w:rPr>
                <w:sz w:val="20"/>
                <w:szCs w:val="20"/>
              </w:rPr>
            </w:pPr>
            <w:r>
              <w:rPr>
                <w:sz w:val="20"/>
                <w:szCs w:val="20"/>
              </w:rPr>
              <w:t>(</w:t>
            </w:r>
            <w:r>
              <w:rPr>
                <w:sz w:val="20"/>
                <w:szCs w:val="20"/>
              </w:rPr>
              <w:t>23,30</w:t>
            </w:r>
            <w:r>
              <w:rPr>
                <w:sz w:val="20"/>
                <w:szCs w:val="20"/>
              </w:rPr>
              <w:t>3</w:t>
            </w:r>
          </w:p>
        </w:tc>
        <w:tc>
          <w:tcPr>
            <w:tcW w:w="0" w:type="auto"/>
            <w:noWrap/>
            <w:vAlign w:val="bottom"/>
            <w:hideMark/>
          </w:tcPr>
          <w:p w14:paraId="58BE714E"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1D0DAE1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0DD037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9DA0AC0" w14:textId="77777777" w:rsidR="00000000" w:rsidRDefault="00832D71">
            <w:pPr>
              <w:pStyle w:val="a3"/>
              <w:spacing w:before="0" w:beforeAutospacing="0" w:after="0" w:afterAutospacing="0"/>
              <w:jc w:val="right"/>
              <w:rPr>
                <w:sz w:val="20"/>
                <w:szCs w:val="20"/>
              </w:rPr>
            </w:pPr>
            <w:r>
              <w:rPr>
                <w:sz w:val="20"/>
                <w:szCs w:val="20"/>
              </w:rPr>
              <w:t>5,20</w:t>
            </w:r>
            <w:r>
              <w:rPr>
                <w:sz w:val="20"/>
                <w:szCs w:val="20"/>
              </w:rPr>
              <w:t>1</w:t>
            </w:r>
          </w:p>
        </w:tc>
        <w:tc>
          <w:tcPr>
            <w:tcW w:w="0" w:type="auto"/>
            <w:noWrap/>
            <w:vAlign w:val="bottom"/>
            <w:hideMark/>
          </w:tcPr>
          <w:p w14:paraId="2CDB358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0A1445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5C7EF0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22A0AE8" w14:textId="77777777" w:rsidR="00000000" w:rsidRDefault="00832D71">
            <w:pPr>
              <w:pStyle w:val="a3"/>
              <w:spacing w:before="0" w:beforeAutospacing="0" w:after="0" w:afterAutospacing="0"/>
              <w:jc w:val="right"/>
              <w:rPr>
                <w:sz w:val="20"/>
                <w:szCs w:val="20"/>
              </w:rPr>
            </w:pPr>
            <w:r>
              <w:rPr>
                <w:sz w:val="20"/>
                <w:szCs w:val="20"/>
              </w:rPr>
              <w:t>5,72</w:t>
            </w:r>
            <w:r>
              <w:rPr>
                <w:sz w:val="20"/>
                <w:szCs w:val="20"/>
              </w:rPr>
              <w:t>0</w:t>
            </w:r>
          </w:p>
        </w:tc>
        <w:tc>
          <w:tcPr>
            <w:tcW w:w="0" w:type="auto"/>
            <w:noWrap/>
            <w:vAlign w:val="bottom"/>
            <w:hideMark/>
          </w:tcPr>
          <w:p w14:paraId="71F129A4" w14:textId="77777777" w:rsidR="00000000" w:rsidRDefault="00832D71">
            <w:pPr>
              <w:pStyle w:val="a3"/>
              <w:spacing w:before="0" w:beforeAutospacing="0" w:after="0" w:afterAutospacing="0"/>
              <w:rPr>
                <w:sz w:val="20"/>
                <w:szCs w:val="20"/>
              </w:rPr>
            </w:pPr>
            <w:r>
              <w:rPr>
                <w:sz w:val="20"/>
                <w:szCs w:val="20"/>
              </w:rPr>
              <w:t> </w:t>
            </w:r>
          </w:p>
        </w:tc>
      </w:tr>
    </w:tbl>
    <w:p w14:paraId="2033B12B" w14:textId="77777777" w:rsidR="00000000" w:rsidRDefault="00832D71">
      <w:pPr>
        <w:pStyle w:val="a3"/>
        <w:spacing w:before="40" w:beforeAutospacing="0" w:after="0" w:afterAutospacing="0"/>
        <w:jc w:val="both"/>
        <w:divId w:val="1034354723"/>
        <w:rPr>
          <w:sz w:val="20"/>
          <w:szCs w:val="20"/>
        </w:rPr>
      </w:pPr>
      <w:r>
        <w:rPr>
          <w:sz w:val="20"/>
          <w:szCs w:val="20"/>
        </w:rPr>
        <w:t> </w:t>
      </w:r>
    </w:p>
    <w:p w14:paraId="7A20771D" w14:textId="77777777" w:rsidR="00000000" w:rsidRDefault="00832D71">
      <w:pPr>
        <w:pStyle w:val="a3"/>
        <w:spacing w:before="40" w:beforeAutospacing="0" w:after="0" w:afterAutospacing="0"/>
        <w:jc w:val="both"/>
        <w:divId w:val="1034354723"/>
        <w:rPr>
          <w:sz w:val="20"/>
          <w:szCs w:val="20"/>
        </w:rPr>
      </w:pPr>
      <w:r>
        <w:rPr>
          <w:b/>
          <w:bCs/>
          <w:sz w:val="20"/>
          <w:szCs w:val="20"/>
        </w:rPr>
        <w:t>Plan Assets</w:t>
      </w:r>
      <w:r>
        <w:rPr>
          <w:b/>
          <w:bCs/>
          <w:sz w:val="20"/>
          <w:szCs w:val="20"/>
        </w:rPr>
        <w:t>.</w:t>
      </w:r>
      <w:r>
        <w:rPr>
          <w:sz w:val="20"/>
          <w:szCs w:val="20"/>
        </w:rPr>
        <w:t xml:space="preserve"> The Partnership’</w:t>
      </w:r>
      <w:r>
        <w:rPr>
          <w:sz w:val="20"/>
          <w:szCs w:val="20"/>
        </w:rPr>
        <w:t>s investment policies and strategies, as set forth in the Investment Management Policy and Guidelines, are monitored by a Benefits Committee comprised of</w:t>
      </w:r>
      <w:r>
        <w:rPr>
          <w:sz w:val="20"/>
          <w:szCs w:val="20"/>
        </w:rPr>
        <w:t xml:space="preserve"> </w:t>
      </w:r>
      <w:r>
        <w:rPr>
          <w:sz w:val="20"/>
          <w:szCs w:val="20"/>
        </w:rPr>
        <w:t>fiv</w:t>
      </w:r>
      <w:r>
        <w:rPr>
          <w:sz w:val="20"/>
          <w:szCs w:val="20"/>
        </w:rPr>
        <w:t>e</w:t>
      </w:r>
      <w:r>
        <w:rPr>
          <w:sz w:val="20"/>
          <w:szCs w:val="20"/>
        </w:rPr>
        <w:t xml:space="preserve"> members of management. The Partnership employs a liability driven investment strategy, which seek</w:t>
      </w:r>
      <w:r>
        <w:rPr>
          <w:sz w:val="20"/>
          <w:szCs w:val="20"/>
        </w:rPr>
        <w:t>s to increase the correlation of the plan’s assets and liabilities to reduce the volatility of the plan’s funded status. This strategy has resulted in an asset allocation that is largely comprised of investments in funds of fixed income securities. The tar</w:t>
      </w:r>
      <w:r>
        <w:rPr>
          <w:sz w:val="20"/>
          <w:szCs w:val="20"/>
        </w:rPr>
        <w:t>get asset mix is as follows: (i) fixed income securities portion of the portfolio should range between</w:t>
      </w:r>
      <w:r>
        <w:rPr>
          <w:sz w:val="20"/>
          <w:szCs w:val="20"/>
        </w:rPr>
        <w:t xml:space="preserve"> </w:t>
      </w:r>
      <w:r>
        <w:rPr>
          <w:sz w:val="20"/>
          <w:szCs w:val="20"/>
        </w:rPr>
        <w:t>8</w:t>
      </w:r>
      <w:r>
        <w:rPr>
          <w:sz w:val="20"/>
          <w:szCs w:val="20"/>
        </w:rPr>
        <w:t>0</w:t>
      </w:r>
      <w:r>
        <w:rPr>
          <w:sz w:val="20"/>
          <w:szCs w:val="20"/>
        </w:rPr>
        <w:t>% and</w:t>
      </w:r>
      <w:r>
        <w:rPr>
          <w:sz w:val="20"/>
          <w:szCs w:val="20"/>
        </w:rPr>
        <w:t xml:space="preserve"> </w:t>
      </w:r>
      <w:r>
        <w:rPr>
          <w:sz w:val="20"/>
          <w:szCs w:val="20"/>
        </w:rPr>
        <w:t>9</w:t>
      </w:r>
      <w:r>
        <w:rPr>
          <w:sz w:val="20"/>
          <w:szCs w:val="20"/>
        </w:rPr>
        <w:t>0</w:t>
      </w:r>
      <w:r>
        <w:rPr>
          <w:sz w:val="20"/>
          <w:szCs w:val="20"/>
        </w:rPr>
        <w:t>%; and (ii) equity securities portion of the portfolio should range between</w:t>
      </w:r>
      <w:r>
        <w:rPr>
          <w:sz w:val="20"/>
          <w:szCs w:val="20"/>
        </w:rPr>
        <w:t xml:space="preserve"> </w:t>
      </w:r>
      <w:r>
        <w:rPr>
          <w:sz w:val="20"/>
          <w:szCs w:val="20"/>
        </w:rPr>
        <w:t>1</w:t>
      </w:r>
      <w:r>
        <w:rPr>
          <w:sz w:val="20"/>
          <w:szCs w:val="20"/>
        </w:rPr>
        <w:t>0</w:t>
      </w:r>
      <w:r>
        <w:rPr>
          <w:sz w:val="20"/>
          <w:szCs w:val="20"/>
        </w:rPr>
        <w:t>% and</w:t>
      </w:r>
      <w:r>
        <w:rPr>
          <w:sz w:val="20"/>
          <w:szCs w:val="20"/>
        </w:rPr>
        <w:t xml:space="preserve"> </w:t>
      </w:r>
      <w:r>
        <w:rPr>
          <w:sz w:val="20"/>
          <w:szCs w:val="20"/>
        </w:rPr>
        <w:t>2</w:t>
      </w:r>
      <w:r>
        <w:rPr>
          <w:sz w:val="20"/>
          <w:szCs w:val="20"/>
        </w:rPr>
        <w:t>0</w:t>
      </w:r>
      <w:r>
        <w:rPr>
          <w:sz w:val="20"/>
          <w:szCs w:val="20"/>
        </w:rPr>
        <w:t>%</w:t>
      </w:r>
      <w:r>
        <w:rPr>
          <w:sz w:val="20"/>
          <w:szCs w:val="20"/>
        </w:rPr>
        <w:t>.</w:t>
      </w:r>
    </w:p>
    <w:p w14:paraId="4A869217" w14:textId="77777777" w:rsidR="00000000" w:rsidRDefault="00832D71">
      <w:pPr>
        <w:pStyle w:val="a3"/>
        <w:spacing w:before="240" w:beforeAutospacing="0" w:after="0" w:afterAutospacing="0"/>
        <w:jc w:val="both"/>
        <w:divId w:val="2111847467"/>
        <w:rPr>
          <w:sz w:val="20"/>
          <w:szCs w:val="20"/>
        </w:rPr>
      </w:pPr>
      <w:r>
        <w:rPr>
          <w:sz w:val="20"/>
          <w:szCs w:val="20"/>
        </w:rPr>
        <w:t xml:space="preserve">The following table presents the actual allocation of </w:t>
      </w:r>
      <w:r>
        <w:rPr>
          <w:sz w:val="20"/>
          <w:szCs w:val="20"/>
        </w:rPr>
        <w:t>assets held in trust as of</w:t>
      </w:r>
      <w:r>
        <w:rPr>
          <w:sz w:val="20"/>
          <w:szCs w:val="20"/>
        </w:rPr>
        <w:t>:</w:t>
      </w:r>
    </w:p>
    <w:p w14:paraId="279F4E41" w14:textId="77777777" w:rsidR="00000000" w:rsidRDefault="00832D71">
      <w:pPr>
        <w:pStyle w:val="a3"/>
        <w:spacing w:before="0" w:beforeAutospacing="0" w:after="0" w:afterAutospacing="0"/>
        <w:divId w:val="2111847467"/>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387"/>
        <w:gridCol w:w="142"/>
        <w:gridCol w:w="1064"/>
        <w:gridCol w:w="142"/>
        <w:gridCol w:w="1079"/>
      </w:tblGrid>
      <w:tr w:rsidR="00000000" w14:paraId="29CD82C2" w14:textId="77777777">
        <w:trPr>
          <w:divId w:val="2111847467"/>
          <w:tblCellSpacing w:w="15" w:type="dxa"/>
        </w:trPr>
        <w:tc>
          <w:tcPr>
            <w:tcW w:w="2964" w:type="pct"/>
            <w:vAlign w:val="center"/>
            <w:hideMark/>
          </w:tcPr>
          <w:p w14:paraId="2589DB8C" w14:textId="77777777" w:rsidR="00000000" w:rsidRDefault="00832D71">
            <w:pPr>
              <w:rPr>
                <w:sz w:val="20"/>
                <w:szCs w:val="20"/>
              </w:rPr>
            </w:pPr>
          </w:p>
        </w:tc>
        <w:tc>
          <w:tcPr>
            <w:tcW w:w="99" w:type="pct"/>
            <w:vAlign w:val="center"/>
            <w:hideMark/>
          </w:tcPr>
          <w:p w14:paraId="34B84BB9" w14:textId="77777777" w:rsidR="00000000" w:rsidRDefault="00832D71">
            <w:pPr>
              <w:rPr>
                <w:rFonts w:eastAsia="Times New Roman"/>
                <w:sz w:val="20"/>
                <w:szCs w:val="20"/>
              </w:rPr>
            </w:pPr>
          </w:p>
        </w:tc>
        <w:tc>
          <w:tcPr>
            <w:tcW w:w="918" w:type="pct"/>
            <w:vAlign w:val="center"/>
            <w:hideMark/>
          </w:tcPr>
          <w:p w14:paraId="1D3DC516" w14:textId="77777777" w:rsidR="00000000" w:rsidRDefault="00832D71">
            <w:pPr>
              <w:rPr>
                <w:rFonts w:eastAsia="Times New Roman"/>
                <w:sz w:val="20"/>
                <w:szCs w:val="20"/>
              </w:rPr>
            </w:pPr>
          </w:p>
        </w:tc>
        <w:tc>
          <w:tcPr>
            <w:tcW w:w="99" w:type="pct"/>
            <w:vAlign w:val="center"/>
            <w:hideMark/>
          </w:tcPr>
          <w:p w14:paraId="65BE9E67" w14:textId="77777777" w:rsidR="00000000" w:rsidRDefault="00832D71">
            <w:pPr>
              <w:rPr>
                <w:rFonts w:eastAsia="Times New Roman"/>
                <w:sz w:val="20"/>
                <w:szCs w:val="20"/>
              </w:rPr>
            </w:pPr>
          </w:p>
        </w:tc>
        <w:tc>
          <w:tcPr>
            <w:tcW w:w="918" w:type="pct"/>
            <w:vAlign w:val="center"/>
            <w:hideMark/>
          </w:tcPr>
          <w:p w14:paraId="5CCFC536" w14:textId="77777777" w:rsidR="00000000" w:rsidRDefault="00832D71">
            <w:pPr>
              <w:rPr>
                <w:rFonts w:eastAsia="Times New Roman"/>
                <w:sz w:val="20"/>
                <w:szCs w:val="20"/>
              </w:rPr>
            </w:pPr>
          </w:p>
        </w:tc>
      </w:tr>
      <w:tr w:rsidR="00000000" w14:paraId="29FFD64A" w14:textId="77777777">
        <w:trPr>
          <w:divId w:val="2111847467"/>
          <w:trHeight w:val="160"/>
          <w:tblCellSpacing w:w="15" w:type="dxa"/>
        </w:trPr>
        <w:tc>
          <w:tcPr>
            <w:tcW w:w="0" w:type="auto"/>
            <w:vAlign w:val="bottom"/>
            <w:hideMark/>
          </w:tcPr>
          <w:p w14:paraId="4C1E13A8"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8E5034D"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4BC70B2" w14:textId="77777777" w:rsidR="00000000" w:rsidRDefault="00832D71">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hideMark/>
          </w:tcPr>
          <w:p w14:paraId="0C3C40B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E8AB2F1" w14:textId="77777777" w:rsidR="00000000" w:rsidRDefault="00832D71">
            <w:pPr>
              <w:pStyle w:val="a3"/>
              <w:spacing w:before="0" w:beforeAutospacing="0" w:after="0" w:afterAutospacing="0"/>
              <w:jc w:val="center"/>
              <w:rPr>
                <w:sz w:val="16"/>
                <w:szCs w:val="16"/>
              </w:rPr>
            </w:pPr>
            <w:r>
              <w:rPr>
                <w:b/>
                <w:bCs/>
                <w:sz w:val="16"/>
                <w:szCs w:val="16"/>
              </w:rPr>
              <w:t>September 25</w:t>
            </w:r>
            <w:r>
              <w:rPr>
                <w:b/>
                <w:bCs/>
                <w:sz w:val="16"/>
                <w:szCs w:val="16"/>
              </w:rPr>
              <w:t>,</w:t>
            </w:r>
          </w:p>
        </w:tc>
      </w:tr>
      <w:tr w:rsidR="00000000" w14:paraId="397F3AF7" w14:textId="77777777">
        <w:trPr>
          <w:divId w:val="2111847467"/>
          <w:trHeight w:val="160"/>
          <w:tblCellSpacing w:w="15" w:type="dxa"/>
        </w:trPr>
        <w:tc>
          <w:tcPr>
            <w:tcW w:w="0" w:type="auto"/>
            <w:hideMark/>
          </w:tcPr>
          <w:p w14:paraId="56CCAFC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57FFF1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A691B9A"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hideMark/>
          </w:tcPr>
          <w:p w14:paraId="4D54900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02729E6"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r>
      <w:tr w:rsidR="00000000" w14:paraId="37DC3188" w14:textId="77777777">
        <w:trPr>
          <w:divId w:val="2111847467"/>
          <w:trHeight w:val="200"/>
          <w:tblCellSpacing w:w="15" w:type="dxa"/>
        </w:trPr>
        <w:tc>
          <w:tcPr>
            <w:tcW w:w="0" w:type="auto"/>
            <w:hideMark/>
          </w:tcPr>
          <w:p w14:paraId="6105EA79" w14:textId="77777777" w:rsidR="00000000" w:rsidRDefault="00832D71">
            <w:pPr>
              <w:pStyle w:val="a3"/>
              <w:spacing w:before="0" w:beforeAutospacing="0" w:after="0" w:afterAutospacing="0"/>
              <w:rPr>
                <w:sz w:val="20"/>
                <w:szCs w:val="20"/>
              </w:rPr>
            </w:pPr>
            <w:r>
              <w:rPr>
                <w:sz w:val="20"/>
                <w:szCs w:val="20"/>
              </w:rPr>
              <w:t>Fixed income securitie</w:t>
            </w:r>
            <w:r>
              <w:rPr>
                <w:sz w:val="20"/>
                <w:szCs w:val="20"/>
              </w:rPr>
              <w:t>s</w:t>
            </w:r>
          </w:p>
        </w:tc>
        <w:tc>
          <w:tcPr>
            <w:tcW w:w="0" w:type="auto"/>
            <w:hideMark/>
          </w:tcPr>
          <w:p w14:paraId="3B010E8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2964FF1" w14:textId="77777777" w:rsidR="00000000" w:rsidRDefault="00832D71">
            <w:pPr>
              <w:pStyle w:val="a3"/>
              <w:spacing w:before="0" w:beforeAutospacing="0" w:after="0" w:afterAutospacing="0"/>
              <w:jc w:val="center"/>
              <w:rPr>
                <w:sz w:val="20"/>
                <w:szCs w:val="20"/>
              </w:rPr>
            </w:pPr>
            <w:r>
              <w:rPr>
                <w:sz w:val="20"/>
                <w:szCs w:val="20"/>
              </w:rPr>
              <w:t>8</w:t>
            </w:r>
            <w:r>
              <w:rPr>
                <w:sz w:val="20"/>
                <w:szCs w:val="20"/>
              </w:rPr>
              <w:t>6</w:t>
            </w:r>
            <w:r>
              <w:rPr>
                <w:sz w:val="20"/>
                <w:szCs w:val="20"/>
              </w:rPr>
              <w:t>%</w:t>
            </w:r>
          </w:p>
        </w:tc>
        <w:tc>
          <w:tcPr>
            <w:tcW w:w="0" w:type="auto"/>
            <w:hideMark/>
          </w:tcPr>
          <w:p w14:paraId="4B85ABAA"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62176DCD" w14:textId="77777777" w:rsidR="00000000" w:rsidRDefault="00832D71">
            <w:pPr>
              <w:pStyle w:val="a3"/>
              <w:spacing w:before="0" w:beforeAutospacing="0" w:after="0" w:afterAutospacing="0"/>
              <w:jc w:val="center"/>
              <w:rPr>
                <w:sz w:val="20"/>
                <w:szCs w:val="20"/>
              </w:rPr>
            </w:pPr>
            <w:r>
              <w:rPr>
                <w:sz w:val="20"/>
                <w:szCs w:val="20"/>
              </w:rPr>
              <w:t>8</w:t>
            </w:r>
            <w:r>
              <w:rPr>
                <w:sz w:val="20"/>
                <w:szCs w:val="20"/>
              </w:rPr>
              <w:t>6</w:t>
            </w:r>
            <w:r>
              <w:rPr>
                <w:sz w:val="20"/>
                <w:szCs w:val="20"/>
              </w:rPr>
              <w:t>%</w:t>
            </w:r>
          </w:p>
        </w:tc>
      </w:tr>
      <w:tr w:rsidR="00000000" w14:paraId="2BD44F9F" w14:textId="77777777">
        <w:trPr>
          <w:divId w:val="2111847467"/>
          <w:trHeight w:val="200"/>
          <w:tblCellSpacing w:w="15" w:type="dxa"/>
        </w:trPr>
        <w:tc>
          <w:tcPr>
            <w:tcW w:w="0" w:type="auto"/>
            <w:hideMark/>
          </w:tcPr>
          <w:p w14:paraId="15650301" w14:textId="77777777" w:rsidR="00000000" w:rsidRDefault="00832D71">
            <w:pPr>
              <w:pStyle w:val="a3"/>
              <w:spacing w:before="0" w:beforeAutospacing="0" w:after="0" w:afterAutospacing="0"/>
              <w:rPr>
                <w:sz w:val="20"/>
                <w:szCs w:val="20"/>
              </w:rPr>
            </w:pPr>
            <w:r>
              <w:rPr>
                <w:sz w:val="20"/>
                <w:szCs w:val="20"/>
              </w:rPr>
              <w:t>Equity securitie</w:t>
            </w:r>
            <w:r>
              <w:rPr>
                <w:sz w:val="20"/>
                <w:szCs w:val="20"/>
              </w:rPr>
              <w:t>s</w:t>
            </w:r>
          </w:p>
        </w:tc>
        <w:tc>
          <w:tcPr>
            <w:tcW w:w="0" w:type="auto"/>
            <w:hideMark/>
          </w:tcPr>
          <w:p w14:paraId="5F30F39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3FE94FD" w14:textId="77777777" w:rsidR="00000000" w:rsidRDefault="00832D71">
            <w:pPr>
              <w:pStyle w:val="a3"/>
              <w:spacing w:before="0" w:beforeAutospacing="0" w:after="0" w:afterAutospacing="0"/>
              <w:jc w:val="center"/>
              <w:rPr>
                <w:sz w:val="20"/>
                <w:szCs w:val="20"/>
              </w:rPr>
            </w:pPr>
            <w:r>
              <w:rPr>
                <w:sz w:val="20"/>
                <w:szCs w:val="20"/>
              </w:rPr>
              <w:t>1</w:t>
            </w:r>
            <w:r>
              <w:rPr>
                <w:sz w:val="20"/>
                <w:szCs w:val="20"/>
              </w:rPr>
              <w:t>4</w:t>
            </w:r>
            <w:r>
              <w:rPr>
                <w:sz w:val="20"/>
                <w:szCs w:val="20"/>
              </w:rPr>
              <w:t>%</w:t>
            </w:r>
          </w:p>
        </w:tc>
        <w:tc>
          <w:tcPr>
            <w:tcW w:w="0" w:type="auto"/>
            <w:hideMark/>
          </w:tcPr>
          <w:p w14:paraId="08A6AEA4"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7D867F73" w14:textId="77777777" w:rsidR="00000000" w:rsidRDefault="00832D71">
            <w:pPr>
              <w:pStyle w:val="a3"/>
              <w:spacing w:before="0" w:beforeAutospacing="0" w:after="0" w:afterAutospacing="0"/>
              <w:jc w:val="center"/>
              <w:rPr>
                <w:sz w:val="20"/>
                <w:szCs w:val="20"/>
              </w:rPr>
            </w:pPr>
            <w:r>
              <w:rPr>
                <w:sz w:val="20"/>
                <w:szCs w:val="20"/>
              </w:rPr>
              <w:t>1</w:t>
            </w:r>
            <w:r>
              <w:rPr>
                <w:sz w:val="20"/>
                <w:szCs w:val="20"/>
              </w:rPr>
              <w:t>4</w:t>
            </w:r>
            <w:r>
              <w:rPr>
                <w:sz w:val="20"/>
                <w:szCs w:val="20"/>
              </w:rPr>
              <w:t>%</w:t>
            </w:r>
          </w:p>
        </w:tc>
      </w:tr>
      <w:tr w:rsidR="00000000" w14:paraId="4C984ECC" w14:textId="77777777">
        <w:trPr>
          <w:divId w:val="2111847467"/>
          <w:trHeight w:val="200"/>
          <w:tblCellSpacing w:w="15" w:type="dxa"/>
        </w:trPr>
        <w:tc>
          <w:tcPr>
            <w:tcW w:w="0" w:type="auto"/>
            <w:hideMark/>
          </w:tcPr>
          <w:p w14:paraId="0AFF4F8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F9A631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0D8C8B7" w14:textId="77777777" w:rsidR="00000000" w:rsidRDefault="00832D71">
            <w:pPr>
              <w:pStyle w:val="a3"/>
              <w:spacing w:before="0" w:beforeAutospacing="0" w:after="0" w:afterAutospacing="0"/>
              <w:jc w:val="center"/>
              <w:rPr>
                <w:sz w:val="20"/>
                <w:szCs w:val="20"/>
              </w:rPr>
            </w:pPr>
            <w:r>
              <w:rPr>
                <w:sz w:val="20"/>
                <w:szCs w:val="20"/>
              </w:rPr>
              <w:t>10</w:t>
            </w:r>
            <w:r>
              <w:rPr>
                <w:sz w:val="20"/>
                <w:szCs w:val="20"/>
              </w:rPr>
              <w:t>0</w:t>
            </w:r>
            <w:r>
              <w:rPr>
                <w:sz w:val="20"/>
                <w:szCs w:val="20"/>
              </w:rPr>
              <w:t>%</w:t>
            </w:r>
          </w:p>
        </w:tc>
        <w:tc>
          <w:tcPr>
            <w:tcW w:w="0" w:type="auto"/>
            <w:hideMark/>
          </w:tcPr>
          <w:p w14:paraId="77990073"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43B3322A" w14:textId="77777777" w:rsidR="00000000" w:rsidRDefault="00832D71">
            <w:pPr>
              <w:pStyle w:val="a3"/>
              <w:spacing w:before="0" w:beforeAutospacing="0" w:after="0" w:afterAutospacing="0"/>
              <w:jc w:val="center"/>
              <w:rPr>
                <w:sz w:val="20"/>
                <w:szCs w:val="20"/>
              </w:rPr>
            </w:pPr>
            <w:r>
              <w:rPr>
                <w:sz w:val="20"/>
                <w:szCs w:val="20"/>
              </w:rPr>
              <w:t>10</w:t>
            </w:r>
            <w:r>
              <w:rPr>
                <w:sz w:val="20"/>
                <w:szCs w:val="20"/>
              </w:rPr>
              <w:t>0</w:t>
            </w:r>
            <w:r>
              <w:rPr>
                <w:sz w:val="20"/>
                <w:szCs w:val="20"/>
              </w:rPr>
              <w:t>%</w:t>
            </w:r>
          </w:p>
        </w:tc>
      </w:tr>
    </w:tbl>
    <w:p w14:paraId="0A13C446" w14:textId="77777777" w:rsidR="00000000" w:rsidRDefault="00832D71">
      <w:pPr>
        <w:pStyle w:val="a3"/>
        <w:spacing w:before="0" w:beforeAutospacing="0" w:after="0" w:afterAutospacing="0"/>
        <w:divId w:val="1034354723"/>
        <w:rPr>
          <w:sz w:val="20"/>
          <w:szCs w:val="20"/>
        </w:rPr>
      </w:pPr>
      <w:r>
        <w:rPr>
          <w:sz w:val="20"/>
          <w:szCs w:val="20"/>
        </w:rPr>
        <w:t> </w:t>
      </w:r>
    </w:p>
    <w:p w14:paraId="335D74F1" w14:textId="77777777" w:rsidR="00000000" w:rsidRDefault="00832D71">
      <w:pPr>
        <w:pStyle w:val="a3"/>
        <w:spacing w:before="40" w:beforeAutospacing="0" w:after="0" w:afterAutospacing="0"/>
        <w:jc w:val="both"/>
        <w:divId w:val="1034354723"/>
        <w:rPr>
          <w:sz w:val="20"/>
          <w:szCs w:val="20"/>
        </w:rPr>
      </w:pPr>
      <w:r>
        <w:rPr>
          <w:sz w:val="20"/>
          <w:szCs w:val="20"/>
        </w:rPr>
        <w:t>The Partnership’</w:t>
      </w:r>
      <w:r>
        <w:rPr>
          <w:sz w:val="20"/>
          <w:szCs w:val="20"/>
        </w:rPr>
        <w:t>s valuations include the use of the funds’ reported net asset values for commingled fund investments. Commingled funds are valued at the net asset value of its underlying securities. The assets of the defined benefit pension plan have no significant concen</w:t>
      </w:r>
      <w:r>
        <w:rPr>
          <w:sz w:val="20"/>
          <w:szCs w:val="20"/>
        </w:rPr>
        <w:t>tration of risk and there are no restrictions on these investments</w:t>
      </w:r>
      <w:r>
        <w:rPr>
          <w:sz w:val="20"/>
          <w:szCs w:val="20"/>
        </w:rPr>
        <w:t>.</w:t>
      </w:r>
    </w:p>
    <w:p w14:paraId="235C0E48" w14:textId="77777777" w:rsidR="00000000" w:rsidRDefault="00832D71">
      <w:pPr>
        <w:pStyle w:val="a3"/>
        <w:spacing w:before="200" w:beforeAutospacing="0" w:after="0" w:afterAutospacing="0"/>
        <w:jc w:val="center"/>
        <w:divId w:val="1034354723"/>
        <w:rPr>
          <w:sz w:val="20"/>
          <w:szCs w:val="20"/>
        </w:rPr>
      </w:pPr>
      <w:r>
        <w:rPr>
          <w:sz w:val="20"/>
          <w:szCs w:val="20"/>
        </w:rPr>
        <w:t>F</w:t>
      </w:r>
      <w:r>
        <w:rPr>
          <w:sz w:val="20"/>
          <w:szCs w:val="20"/>
        </w:rPr>
        <w:t>-</w:t>
      </w:r>
      <w:r>
        <w:rPr>
          <w:sz w:val="20"/>
          <w:szCs w:val="20"/>
        </w:rPr>
        <w:t>2</w:t>
      </w:r>
      <w:r>
        <w:rPr>
          <w:sz w:val="20"/>
          <w:szCs w:val="20"/>
        </w:rPr>
        <w:t>5</w:t>
      </w:r>
    </w:p>
    <w:p w14:paraId="1D9C93A2" w14:textId="77777777" w:rsidR="00000000" w:rsidRDefault="00832D71">
      <w:pPr>
        <w:divId w:val="1034354723"/>
        <w:rPr>
          <w:rFonts w:eastAsia="Times New Roman"/>
        </w:rPr>
      </w:pPr>
      <w:r>
        <w:rPr>
          <w:rFonts w:eastAsia="Times New Roman"/>
        </w:rPr>
        <w:pict w14:anchorId="4FE59351">
          <v:rect id="_x0000_i1144" style="width:0;height:1.5pt" o:hralign="center" o:hrstd="t" o:hr="t" fillcolor="#a0a0a0" stroked="f"/>
        </w:pict>
      </w:r>
    </w:p>
    <w:p w14:paraId="1AD87F87" w14:textId="77777777" w:rsidR="00000000" w:rsidRDefault="00832D71">
      <w:pPr>
        <w:pStyle w:val="a3"/>
        <w:spacing w:before="0" w:beforeAutospacing="0" w:after="0" w:afterAutospacing="0"/>
        <w:divId w:val="1034354723"/>
        <w:rPr>
          <w:sz w:val="20"/>
          <w:szCs w:val="20"/>
        </w:rPr>
      </w:pPr>
      <w:r>
        <w:rPr>
          <w:sz w:val="20"/>
          <w:szCs w:val="20"/>
        </w:rPr>
        <w:t> </w:t>
      </w:r>
    </w:p>
    <w:p w14:paraId="7EA11111" w14:textId="77777777" w:rsidR="00000000" w:rsidRDefault="00832D71">
      <w:pPr>
        <w:pStyle w:val="a3"/>
        <w:spacing w:before="240" w:beforeAutospacing="0" w:after="0" w:afterAutospacing="0"/>
        <w:jc w:val="both"/>
        <w:divId w:val="1302424994"/>
        <w:rPr>
          <w:sz w:val="20"/>
          <w:szCs w:val="20"/>
        </w:rPr>
      </w:pPr>
      <w:r>
        <w:rPr>
          <w:sz w:val="20"/>
          <w:szCs w:val="20"/>
        </w:rPr>
        <w:t>The following table describes the measurement of the Partnership’s pension plan assets by asset category as of</w:t>
      </w:r>
      <w:r>
        <w:rPr>
          <w:sz w:val="20"/>
          <w:szCs w:val="20"/>
        </w:rPr>
        <w:t>:</w:t>
      </w:r>
    </w:p>
    <w:p w14:paraId="0418ADC5" w14:textId="77777777" w:rsidR="00000000" w:rsidRDefault="00832D71">
      <w:pPr>
        <w:pStyle w:val="a3"/>
        <w:spacing w:before="0" w:beforeAutospacing="0" w:after="0" w:afterAutospacing="0"/>
        <w:divId w:val="1302424994"/>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798"/>
        <w:gridCol w:w="110"/>
        <w:gridCol w:w="161"/>
        <w:gridCol w:w="1118"/>
        <w:gridCol w:w="110"/>
        <w:gridCol w:w="110"/>
        <w:gridCol w:w="161"/>
        <w:gridCol w:w="1121"/>
        <w:gridCol w:w="125"/>
      </w:tblGrid>
      <w:tr w:rsidR="00000000" w14:paraId="2F3F82AC" w14:textId="77777777">
        <w:trPr>
          <w:divId w:val="1302424994"/>
          <w:tblCellSpacing w:w="15" w:type="dxa"/>
        </w:trPr>
        <w:tc>
          <w:tcPr>
            <w:tcW w:w="2532" w:type="pct"/>
            <w:vAlign w:val="center"/>
            <w:hideMark/>
          </w:tcPr>
          <w:p w14:paraId="41CF03F5" w14:textId="77777777" w:rsidR="00000000" w:rsidRDefault="00832D71">
            <w:pPr>
              <w:rPr>
                <w:sz w:val="20"/>
                <w:szCs w:val="20"/>
              </w:rPr>
            </w:pPr>
          </w:p>
        </w:tc>
        <w:tc>
          <w:tcPr>
            <w:tcW w:w="84" w:type="pct"/>
            <w:vAlign w:val="center"/>
            <w:hideMark/>
          </w:tcPr>
          <w:p w14:paraId="3DD799FB" w14:textId="77777777" w:rsidR="00000000" w:rsidRDefault="00832D71">
            <w:pPr>
              <w:rPr>
                <w:rFonts w:eastAsia="Times New Roman"/>
                <w:sz w:val="20"/>
                <w:szCs w:val="20"/>
              </w:rPr>
            </w:pPr>
          </w:p>
        </w:tc>
        <w:tc>
          <w:tcPr>
            <w:tcW w:w="50" w:type="pct"/>
            <w:vAlign w:val="center"/>
            <w:hideMark/>
          </w:tcPr>
          <w:p w14:paraId="133B1312" w14:textId="77777777" w:rsidR="00000000" w:rsidRDefault="00832D71">
            <w:pPr>
              <w:rPr>
                <w:rFonts w:eastAsia="Times New Roman"/>
                <w:sz w:val="20"/>
                <w:szCs w:val="20"/>
              </w:rPr>
            </w:pPr>
          </w:p>
        </w:tc>
        <w:tc>
          <w:tcPr>
            <w:tcW w:w="1048" w:type="pct"/>
            <w:vAlign w:val="center"/>
            <w:hideMark/>
          </w:tcPr>
          <w:p w14:paraId="5C5747B2" w14:textId="77777777" w:rsidR="00000000" w:rsidRDefault="00832D71">
            <w:pPr>
              <w:rPr>
                <w:rFonts w:eastAsia="Times New Roman"/>
                <w:sz w:val="20"/>
                <w:szCs w:val="20"/>
              </w:rPr>
            </w:pPr>
          </w:p>
        </w:tc>
        <w:tc>
          <w:tcPr>
            <w:tcW w:w="50" w:type="pct"/>
            <w:vAlign w:val="center"/>
            <w:hideMark/>
          </w:tcPr>
          <w:p w14:paraId="1B664D4F" w14:textId="77777777" w:rsidR="00000000" w:rsidRDefault="00832D71">
            <w:pPr>
              <w:rPr>
                <w:rFonts w:eastAsia="Times New Roman"/>
                <w:sz w:val="20"/>
                <w:szCs w:val="20"/>
              </w:rPr>
            </w:pPr>
          </w:p>
        </w:tc>
        <w:tc>
          <w:tcPr>
            <w:tcW w:w="85" w:type="pct"/>
            <w:vAlign w:val="center"/>
            <w:hideMark/>
          </w:tcPr>
          <w:p w14:paraId="3EB09AC7" w14:textId="77777777" w:rsidR="00000000" w:rsidRDefault="00832D71">
            <w:pPr>
              <w:rPr>
                <w:rFonts w:eastAsia="Times New Roman"/>
                <w:sz w:val="20"/>
                <w:szCs w:val="20"/>
              </w:rPr>
            </w:pPr>
          </w:p>
        </w:tc>
        <w:tc>
          <w:tcPr>
            <w:tcW w:w="50" w:type="pct"/>
            <w:vAlign w:val="center"/>
            <w:hideMark/>
          </w:tcPr>
          <w:p w14:paraId="182E9E49" w14:textId="77777777" w:rsidR="00000000" w:rsidRDefault="00832D71">
            <w:pPr>
              <w:rPr>
                <w:rFonts w:eastAsia="Times New Roman"/>
                <w:sz w:val="20"/>
                <w:szCs w:val="20"/>
              </w:rPr>
            </w:pPr>
          </w:p>
        </w:tc>
        <w:tc>
          <w:tcPr>
            <w:tcW w:w="1048" w:type="pct"/>
            <w:vAlign w:val="center"/>
            <w:hideMark/>
          </w:tcPr>
          <w:p w14:paraId="4F7B0FC4" w14:textId="77777777" w:rsidR="00000000" w:rsidRDefault="00832D71">
            <w:pPr>
              <w:rPr>
                <w:rFonts w:eastAsia="Times New Roman"/>
                <w:sz w:val="20"/>
                <w:szCs w:val="20"/>
              </w:rPr>
            </w:pPr>
          </w:p>
        </w:tc>
        <w:tc>
          <w:tcPr>
            <w:tcW w:w="50" w:type="pct"/>
            <w:vAlign w:val="center"/>
            <w:hideMark/>
          </w:tcPr>
          <w:p w14:paraId="3F18A35A" w14:textId="77777777" w:rsidR="00000000" w:rsidRDefault="00832D71">
            <w:pPr>
              <w:rPr>
                <w:rFonts w:eastAsia="Times New Roman"/>
                <w:sz w:val="20"/>
                <w:szCs w:val="20"/>
              </w:rPr>
            </w:pPr>
          </w:p>
        </w:tc>
      </w:tr>
      <w:tr w:rsidR="00000000" w14:paraId="437136E6" w14:textId="77777777">
        <w:trPr>
          <w:divId w:val="1302424994"/>
          <w:trHeight w:val="160"/>
          <w:tblCellSpacing w:w="15" w:type="dxa"/>
        </w:trPr>
        <w:tc>
          <w:tcPr>
            <w:tcW w:w="0" w:type="auto"/>
            <w:vAlign w:val="bottom"/>
            <w:hideMark/>
          </w:tcPr>
          <w:p w14:paraId="3284C53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A8DD84C"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EAF99E1" w14:textId="77777777" w:rsidR="00000000" w:rsidRDefault="00832D71">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14:paraId="51AEFE0A"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154B367"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973543A" w14:textId="77777777" w:rsidR="00000000" w:rsidRDefault="00832D71">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14:paraId="08731ECC"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9CE53AD" w14:textId="77777777">
        <w:trPr>
          <w:divId w:val="1302424994"/>
          <w:trHeight w:val="160"/>
          <w:tblCellSpacing w:w="15" w:type="dxa"/>
        </w:trPr>
        <w:tc>
          <w:tcPr>
            <w:tcW w:w="0" w:type="auto"/>
            <w:vAlign w:val="bottom"/>
            <w:hideMark/>
          </w:tcPr>
          <w:p w14:paraId="6953F7A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54FF92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8159425"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6EE146E0"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368EDE5"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B7B4108"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27ABDC0"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F909D09" w14:textId="77777777">
        <w:trPr>
          <w:divId w:val="1302424994"/>
          <w:trHeight w:val="200"/>
          <w:tblCellSpacing w:w="15" w:type="dxa"/>
        </w:trPr>
        <w:tc>
          <w:tcPr>
            <w:tcW w:w="0" w:type="auto"/>
            <w:hideMark/>
          </w:tcPr>
          <w:p w14:paraId="7B6D0762" w14:textId="77777777" w:rsidR="00000000" w:rsidRDefault="00832D71">
            <w:pPr>
              <w:pStyle w:val="a3"/>
              <w:spacing w:before="0" w:beforeAutospacing="0" w:after="0" w:afterAutospacing="0"/>
              <w:rPr>
                <w:sz w:val="20"/>
                <w:szCs w:val="20"/>
              </w:rPr>
            </w:pPr>
            <w:r>
              <w:rPr>
                <w:sz w:val="20"/>
                <w:szCs w:val="20"/>
              </w:rPr>
              <w:t>Short term investments</w:t>
            </w:r>
            <w:r>
              <w:rPr>
                <w:sz w:val="20"/>
                <w:szCs w:val="20"/>
              </w:rPr>
              <w:t xml:space="preserve"> </w:t>
            </w:r>
            <w:r>
              <w:rPr>
                <w:sz w:val="16"/>
                <w:szCs w:val="16"/>
              </w:rPr>
              <w:t>(1</w:t>
            </w:r>
            <w:r>
              <w:rPr>
                <w:sz w:val="16"/>
                <w:szCs w:val="16"/>
              </w:rPr>
              <w:t>)</w:t>
            </w:r>
          </w:p>
        </w:tc>
        <w:tc>
          <w:tcPr>
            <w:tcW w:w="0" w:type="auto"/>
            <w:hideMark/>
          </w:tcPr>
          <w:p w14:paraId="20C13E6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083BC6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8DE893D" w14:textId="77777777" w:rsidR="00000000" w:rsidRDefault="00832D71">
            <w:pPr>
              <w:pStyle w:val="a3"/>
              <w:spacing w:before="0" w:beforeAutospacing="0" w:after="0" w:afterAutospacing="0"/>
              <w:jc w:val="right"/>
              <w:rPr>
                <w:sz w:val="20"/>
                <w:szCs w:val="20"/>
              </w:rPr>
            </w:pPr>
            <w:r>
              <w:rPr>
                <w:sz w:val="20"/>
                <w:szCs w:val="20"/>
              </w:rPr>
              <w:t>1,41</w:t>
            </w:r>
            <w:r>
              <w:rPr>
                <w:sz w:val="20"/>
                <w:szCs w:val="20"/>
              </w:rPr>
              <w:t>0</w:t>
            </w:r>
          </w:p>
        </w:tc>
        <w:tc>
          <w:tcPr>
            <w:tcW w:w="0" w:type="auto"/>
            <w:noWrap/>
            <w:vAlign w:val="bottom"/>
            <w:hideMark/>
          </w:tcPr>
          <w:p w14:paraId="1C43C54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EF2E4CA"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7740109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FC970C1" w14:textId="77777777" w:rsidR="00000000" w:rsidRDefault="00832D71">
            <w:pPr>
              <w:pStyle w:val="a3"/>
              <w:spacing w:before="0" w:beforeAutospacing="0" w:after="0" w:afterAutospacing="0"/>
              <w:jc w:val="right"/>
              <w:rPr>
                <w:sz w:val="20"/>
                <w:szCs w:val="20"/>
              </w:rPr>
            </w:pPr>
            <w:r>
              <w:rPr>
                <w:sz w:val="20"/>
                <w:szCs w:val="20"/>
              </w:rPr>
              <w:t>1,46</w:t>
            </w:r>
            <w:r>
              <w:rPr>
                <w:sz w:val="20"/>
                <w:szCs w:val="20"/>
              </w:rPr>
              <w:t>7</w:t>
            </w:r>
          </w:p>
        </w:tc>
        <w:tc>
          <w:tcPr>
            <w:tcW w:w="0" w:type="auto"/>
            <w:noWrap/>
            <w:vAlign w:val="bottom"/>
            <w:hideMark/>
          </w:tcPr>
          <w:p w14:paraId="1DF79EB7" w14:textId="77777777" w:rsidR="00000000" w:rsidRDefault="00832D71">
            <w:pPr>
              <w:pStyle w:val="a3"/>
              <w:spacing w:before="0" w:beforeAutospacing="0" w:after="0" w:afterAutospacing="0"/>
              <w:rPr>
                <w:sz w:val="20"/>
                <w:szCs w:val="20"/>
              </w:rPr>
            </w:pPr>
            <w:r>
              <w:rPr>
                <w:sz w:val="20"/>
                <w:szCs w:val="20"/>
              </w:rPr>
              <w:t> </w:t>
            </w:r>
          </w:p>
        </w:tc>
      </w:tr>
      <w:tr w:rsidR="00000000" w14:paraId="65E7353C" w14:textId="77777777">
        <w:trPr>
          <w:divId w:val="1302424994"/>
          <w:tblCellSpacing w:w="15" w:type="dxa"/>
        </w:trPr>
        <w:tc>
          <w:tcPr>
            <w:tcW w:w="0" w:type="auto"/>
            <w:vAlign w:val="bottom"/>
            <w:hideMark/>
          </w:tcPr>
          <w:p w14:paraId="29E531D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8B6018F"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966BFD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5DA5C5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516640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7075CB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07DD1D2" w14:textId="77777777" w:rsidR="00000000" w:rsidRDefault="00832D71">
            <w:pPr>
              <w:pStyle w:val="a3"/>
              <w:spacing w:before="0" w:beforeAutospacing="0" w:after="0" w:afterAutospacing="0"/>
              <w:rPr>
                <w:sz w:val="20"/>
                <w:szCs w:val="20"/>
              </w:rPr>
            </w:pPr>
            <w:r>
              <w:rPr>
                <w:sz w:val="20"/>
                <w:szCs w:val="20"/>
              </w:rPr>
              <w:t> </w:t>
            </w:r>
          </w:p>
        </w:tc>
      </w:tr>
      <w:tr w:rsidR="00000000" w14:paraId="5256ED24" w14:textId="77777777">
        <w:trPr>
          <w:divId w:val="1302424994"/>
          <w:trHeight w:val="200"/>
          <w:tblCellSpacing w:w="15" w:type="dxa"/>
        </w:trPr>
        <w:tc>
          <w:tcPr>
            <w:tcW w:w="0" w:type="auto"/>
            <w:hideMark/>
          </w:tcPr>
          <w:p w14:paraId="71F237BA" w14:textId="77777777" w:rsidR="00000000" w:rsidRDefault="00832D71">
            <w:pPr>
              <w:pStyle w:val="a3"/>
              <w:spacing w:before="0" w:beforeAutospacing="0" w:after="0" w:afterAutospacing="0"/>
              <w:rPr>
                <w:sz w:val="20"/>
                <w:szCs w:val="20"/>
              </w:rPr>
            </w:pPr>
            <w:r>
              <w:rPr>
                <w:sz w:val="20"/>
                <w:szCs w:val="20"/>
              </w:rPr>
              <w:t>Equity securities</w:t>
            </w:r>
            <w:r>
              <w:rPr>
                <w:sz w:val="20"/>
                <w:szCs w:val="20"/>
              </w:rPr>
              <w:t>:</w:t>
            </w:r>
            <w:r>
              <w:rPr>
                <w:sz w:val="16"/>
                <w:szCs w:val="16"/>
              </w:rPr>
              <w:t> (1) (2</w:t>
            </w:r>
            <w:r>
              <w:rPr>
                <w:sz w:val="16"/>
                <w:szCs w:val="16"/>
              </w:rPr>
              <w:t>)</w:t>
            </w:r>
          </w:p>
        </w:tc>
        <w:tc>
          <w:tcPr>
            <w:tcW w:w="0" w:type="auto"/>
            <w:hideMark/>
          </w:tcPr>
          <w:p w14:paraId="7450E13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DDCE48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E38F2E0"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69CA6CAA" w14:textId="77777777" w:rsidR="00000000" w:rsidRDefault="00832D71">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15B7A82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1BB87D6" w14:textId="77777777" w:rsidR="00000000" w:rsidRDefault="00832D71">
            <w:pPr>
              <w:pStyle w:val="a3"/>
              <w:spacing w:before="0" w:beforeAutospacing="0" w:after="0" w:afterAutospacing="0"/>
              <w:jc w:val="right"/>
              <w:rPr>
                <w:sz w:val="20"/>
                <w:szCs w:val="20"/>
              </w:rPr>
            </w:pPr>
            <w:r>
              <w:rPr>
                <w:sz w:val="20"/>
                <w:szCs w:val="20"/>
              </w:rPr>
              <w:t> </w:t>
            </w:r>
          </w:p>
        </w:tc>
      </w:tr>
      <w:tr w:rsidR="00000000" w14:paraId="2A6C40EA" w14:textId="77777777">
        <w:trPr>
          <w:divId w:val="1302424994"/>
          <w:trHeight w:val="200"/>
          <w:tblCellSpacing w:w="15" w:type="dxa"/>
        </w:trPr>
        <w:tc>
          <w:tcPr>
            <w:tcW w:w="0" w:type="auto"/>
            <w:vAlign w:val="bottom"/>
            <w:hideMark/>
          </w:tcPr>
          <w:p w14:paraId="6BD45418" w14:textId="77777777" w:rsidR="00000000" w:rsidRDefault="00832D71">
            <w:pPr>
              <w:pStyle w:val="a3"/>
              <w:spacing w:before="0" w:beforeAutospacing="0" w:after="0" w:afterAutospacing="0"/>
              <w:rPr>
                <w:sz w:val="20"/>
                <w:szCs w:val="20"/>
              </w:rPr>
            </w:pPr>
            <w:r>
              <w:rPr>
                <w:sz w:val="20"/>
                <w:szCs w:val="20"/>
              </w:rPr>
              <w:t>Domesti</w:t>
            </w:r>
            <w:r>
              <w:rPr>
                <w:sz w:val="20"/>
                <w:szCs w:val="20"/>
              </w:rPr>
              <w:t>c</w:t>
            </w:r>
          </w:p>
        </w:tc>
        <w:tc>
          <w:tcPr>
            <w:tcW w:w="0" w:type="auto"/>
            <w:vAlign w:val="bottom"/>
            <w:hideMark/>
          </w:tcPr>
          <w:p w14:paraId="4BAB0AA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BC3FB0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88270B9" w14:textId="77777777" w:rsidR="00000000" w:rsidRDefault="00832D71">
            <w:pPr>
              <w:pStyle w:val="a3"/>
              <w:spacing w:before="0" w:beforeAutospacing="0" w:after="0" w:afterAutospacing="0"/>
              <w:jc w:val="right"/>
              <w:rPr>
                <w:sz w:val="20"/>
                <w:szCs w:val="20"/>
              </w:rPr>
            </w:pPr>
            <w:r>
              <w:rPr>
                <w:sz w:val="20"/>
                <w:szCs w:val="20"/>
              </w:rPr>
              <w:t>2,80</w:t>
            </w:r>
            <w:r>
              <w:rPr>
                <w:sz w:val="20"/>
                <w:szCs w:val="20"/>
              </w:rPr>
              <w:t>3</w:t>
            </w:r>
          </w:p>
        </w:tc>
        <w:tc>
          <w:tcPr>
            <w:tcW w:w="0" w:type="auto"/>
            <w:noWrap/>
            <w:vAlign w:val="bottom"/>
            <w:hideMark/>
          </w:tcPr>
          <w:p w14:paraId="2F2B24C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52EA94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A20F17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CDC58EB" w14:textId="77777777" w:rsidR="00000000" w:rsidRDefault="00832D71">
            <w:pPr>
              <w:pStyle w:val="a3"/>
              <w:spacing w:before="0" w:beforeAutospacing="0" w:after="0" w:afterAutospacing="0"/>
              <w:jc w:val="right"/>
              <w:rPr>
                <w:sz w:val="20"/>
                <w:szCs w:val="20"/>
              </w:rPr>
            </w:pPr>
            <w:r>
              <w:rPr>
                <w:sz w:val="20"/>
                <w:szCs w:val="20"/>
              </w:rPr>
              <w:t>4,12</w:t>
            </w:r>
            <w:r>
              <w:rPr>
                <w:sz w:val="20"/>
                <w:szCs w:val="20"/>
              </w:rPr>
              <w:t>9</w:t>
            </w:r>
          </w:p>
        </w:tc>
        <w:tc>
          <w:tcPr>
            <w:tcW w:w="0" w:type="auto"/>
            <w:noWrap/>
            <w:vAlign w:val="bottom"/>
            <w:hideMark/>
          </w:tcPr>
          <w:p w14:paraId="1C4BFE6C" w14:textId="77777777" w:rsidR="00000000" w:rsidRDefault="00832D71">
            <w:pPr>
              <w:pStyle w:val="a3"/>
              <w:spacing w:before="0" w:beforeAutospacing="0" w:after="0" w:afterAutospacing="0"/>
              <w:rPr>
                <w:sz w:val="20"/>
                <w:szCs w:val="20"/>
              </w:rPr>
            </w:pPr>
            <w:r>
              <w:rPr>
                <w:sz w:val="20"/>
                <w:szCs w:val="20"/>
              </w:rPr>
              <w:t> </w:t>
            </w:r>
          </w:p>
        </w:tc>
      </w:tr>
      <w:tr w:rsidR="00000000" w14:paraId="2983CC36" w14:textId="77777777">
        <w:trPr>
          <w:divId w:val="1302424994"/>
          <w:trHeight w:val="200"/>
          <w:tblCellSpacing w:w="15" w:type="dxa"/>
        </w:trPr>
        <w:tc>
          <w:tcPr>
            <w:tcW w:w="0" w:type="auto"/>
            <w:hideMark/>
          </w:tcPr>
          <w:p w14:paraId="16031605" w14:textId="77777777" w:rsidR="00000000" w:rsidRDefault="00832D71">
            <w:pPr>
              <w:pStyle w:val="a3"/>
              <w:spacing w:before="0" w:beforeAutospacing="0" w:after="0" w:afterAutospacing="0"/>
              <w:rPr>
                <w:sz w:val="20"/>
                <w:szCs w:val="20"/>
              </w:rPr>
            </w:pPr>
            <w:r>
              <w:rPr>
                <w:sz w:val="20"/>
                <w:szCs w:val="20"/>
              </w:rPr>
              <w:t>Internationa</w:t>
            </w:r>
            <w:r>
              <w:rPr>
                <w:sz w:val="20"/>
                <w:szCs w:val="20"/>
              </w:rPr>
              <w:t>l</w:t>
            </w:r>
          </w:p>
        </w:tc>
        <w:tc>
          <w:tcPr>
            <w:tcW w:w="0" w:type="auto"/>
            <w:hideMark/>
          </w:tcPr>
          <w:p w14:paraId="0F707C7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96368A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5B28179" w14:textId="77777777" w:rsidR="00000000" w:rsidRDefault="00832D71">
            <w:pPr>
              <w:pStyle w:val="a3"/>
              <w:spacing w:before="0" w:beforeAutospacing="0" w:after="0" w:afterAutospacing="0"/>
              <w:jc w:val="right"/>
              <w:rPr>
                <w:sz w:val="20"/>
                <w:szCs w:val="20"/>
              </w:rPr>
            </w:pPr>
            <w:r>
              <w:rPr>
                <w:sz w:val="20"/>
                <w:szCs w:val="20"/>
              </w:rPr>
              <w:t>4,94</w:t>
            </w:r>
            <w:r>
              <w:rPr>
                <w:sz w:val="20"/>
                <w:szCs w:val="20"/>
              </w:rPr>
              <w:t>1</w:t>
            </w:r>
          </w:p>
        </w:tc>
        <w:tc>
          <w:tcPr>
            <w:tcW w:w="0" w:type="auto"/>
            <w:noWrap/>
            <w:vAlign w:val="bottom"/>
            <w:hideMark/>
          </w:tcPr>
          <w:p w14:paraId="4C1DB84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B3353E9"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6B26DC7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CE5DF95" w14:textId="77777777" w:rsidR="00000000" w:rsidRDefault="00832D71">
            <w:pPr>
              <w:pStyle w:val="a3"/>
              <w:spacing w:before="0" w:beforeAutospacing="0" w:after="0" w:afterAutospacing="0"/>
              <w:jc w:val="right"/>
              <w:rPr>
                <w:sz w:val="20"/>
                <w:szCs w:val="20"/>
              </w:rPr>
            </w:pPr>
            <w:r>
              <w:rPr>
                <w:sz w:val="20"/>
                <w:szCs w:val="20"/>
              </w:rPr>
              <w:t>7,16</w:t>
            </w:r>
            <w:r>
              <w:rPr>
                <w:sz w:val="20"/>
                <w:szCs w:val="20"/>
              </w:rPr>
              <w:t>7</w:t>
            </w:r>
          </w:p>
        </w:tc>
        <w:tc>
          <w:tcPr>
            <w:tcW w:w="0" w:type="auto"/>
            <w:noWrap/>
            <w:vAlign w:val="bottom"/>
            <w:hideMark/>
          </w:tcPr>
          <w:p w14:paraId="29BF4341" w14:textId="77777777" w:rsidR="00000000" w:rsidRDefault="00832D71">
            <w:pPr>
              <w:pStyle w:val="a3"/>
              <w:spacing w:before="0" w:beforeAutospacing="0" w:after="0" w:afterAutospacing="0"/>
              <w:rPr>
                <w:sz w:val="20"/>
                <w:szCs w:val="20"/>
              </w:rPr>
            </w:pPr>
            <w:r>
              <w:rPr>
                <w:sz w:val="20"/>
                <w:szCs w:val="20"/>
              </w:rPr>
              <w:t> </w:t>
            </w:r>
          </w:p>
        </w:tc>
      </w:tr>
      <w:tr w:rsidR="00000000" w14:paraId="4FB361C5" w14:textId="77777777">
        <w:trPr>
          <w:divId w:val="1302424994"/>
          <w:tblCellSpacing w:w="15" w:type="dxa"/>
        </w:trPr>
        <w:tc>
          <w:tcPr>
            <w:tcW w:w="0" w:type="auto"/>
            <w:vAlign w:val="bottom"/>
            <w:hideMark/>
          </w:tcPr>
          <w:p w14:paraId="403E04E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64F61EC"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E6C573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D5A2FC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7E77626"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5AC8AF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75CD710" w14:textId="77777777" w:rsidR="00000000" w:rsidRDefault="00832D71">
            <w:pPr>
              <w:pStyle w:val="a3"/>
              <w:spacing w:before="0" w:beforeAutospacing="0" w:after="0" w:afterAutospacing="0"/>
              <w:rPr>
                <w:sz w:val="20"/>
                <w:szCs w:val="20"/>
              </w:rPr>
            </w:pPr>
            <w:r>
              <w:rPr>
                <w:sz w:val="20"/>
                <w:szCs w:val="20"/>
              </w:rPr>
              <w:t> </w:t>
            </w:r>
          </w:p>
        </w:tc>
      </w:tr>
      <w:tr w:rsidR="00000000" w14:paraId="0C7605EB" w14:textId="77777777">
        <w:trPr>
          <w:divId w:val="1302424994"/>
          <w:trHeight w:val="200"/>
          <w:tblCellSpacing w:w="15" w:type="dxa"/>
        </w:trPr>
        <w:tc>
          <w:tcPr>
            <w:tcW w:w="0" w:type="auto"/>
            <w:hideMark/>
          </w:tcPr>
          <w:p w14:paraId="2FBA9E0E" w14:textId="77777777" w:rsidR="00000000" w:rsidRDefault="00832D71">
            <w:pPr>
              <w:pStyle w:val="a3"/>
              <w:spacing w:before="0" w:beforeAutospacing="0" w:after="0" w:afterAutospacing="0"/>
              <w:rPr>
                <w:sz w:val="20"/>
                <w:szCs w:val="20"/>
              </w:rPr>
            </w:pPr>
            <w:r>
              <w:rPr>
                <w:sz w:val="20"/>
                <w:szCs w:val="20"/>
              </w:rPr>
              <w:t>Fixed income securities</w:t>
            </w:r>
            <w:r>
              <w:rPr>
                <w:sz w:val="20"/>
                <w:szCs w:val="20"/>
              </w:rPr>
              <w:t xml:space="preserve"> </w:t>
            </w:r>
            <w:r>
              <w:rPr>
                <w:sz w:val="16"/>
                <w:szCs w:val="16"/>
              </w:rPr>
              <w:t>(1) (3</w:t>
            </w:r>
            <w:r>
              <w:rPr>
                <w:sz w:val="16"/>
                <w:szCs w:val="16"/>
              </w:rPr>
              <w:t>)</w:t>
            </w:r>
          </w:p>
        </w:tc>
        <w:tc>
          <w:tcPr>
            <w:tcW w:w="0" w:type="auto"/>
            <w:hideMark/>
          </w:tcPr>
          <w:p w14:paraId="254E509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8773C2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14A6E18" w14:textId="77777777" w:rsidR="00000000" w:rsidRDefault="00832D71">
            <w:pPr>
              <w:pStyle w:val="a3"/>
              <w:spacing w:before="0" w:beforeAutospacing="0" w:after="0" w:afterAutospacing="0"/>
              <w:jc w:val="right"/>
              <w:rPr>
                <w:sz w:val="20"/>
                <w:szCs w:val="20"/>
              </w:rPr>
            </w:pPr>
            <w:r>
              <w:rPr>
                <w:sz w:val="20"/>
                <w:szCs w:val="20"/>
              </w:rPr>
              <w:t>45,93</w:t>
            </w:r>
            <w:r>
              <w:rPr>
                <w:sz w:val="20"/>
                <w:szCs w:val="20"/>
              </w:rPr>
              <w:t>7</w:t>
            </w:r>
          </w:p>
        </w:tc>
        <w:tc>
          <w:tcPr>
            <w:tcW w:w="0" w:type="auto"/>
            <w:noWrap/>
            <w:vAlign w:val="bottom"/>
            <w:hideMark/>
          </w:tcPr>
          <w:p w14:paraId="3F6E59B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774E13B" w14:textId="77777777" w:rsidR="00000000" w:rsidRDefault="00832D71">
            <w:pPr>
              <w:pStyle w:val="a3"/>
              <w:spacing w:before="0" w:beforeAutospacing="0" w:after="0" w:afterAutospacing="0"/>
              <w:jc w:val="center"/>
              <w:rPr>
                <w:sz w:val="20"/>
                <w:szCs w:val="20"/>
              </w:rPr>
            </w:pPr>
            <w:r>
              <w:rPr>
                <w:sz w:val="20"/>
                <w:szCs w:val="20"/>
              </w:rPr>
              <w:t> </w:t>
            </w:r>
          </w:p>
        </w:tc>
        <w:tc>
          <w:tcPr>
            <w:tcW w:w="0" w:type="auto"/>
            <w:noWrap/>
            <w:vAlign w:val="bottom"/>
            <w:hideMark/>
          </w:tcPr>
          <w:p w14:paraId="29F151C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9DBF63F" w14:textId="77777777" w:rsidR="00000000" w:rsidRDefault="00832D71">
            <w:pPr>
              <w:pStyle w:val="a3"/>
              <w:spacing w:before="0" w:beforeAutospacing="0" w:after="0" w:afterAutospacing="0"/>
              <w:jc w:val="right"/>
              <w:rPr>
                <w:sz w:val="20"/>
                <w:szCs w:val="20"/>
              </w:rPr>
            </w:pPr>
            <w:r>
              <w:rPr>
                <w:sz w:val="20"/>
                <w:szCs w:val="20"/>
              </w:rPr>
              <w:t>65,12</w:t>
            </w:r>
            <w:r>
              <w:rPr>
                <w:sz w:val="20"/>
                <w:szCs w:val="20"/>
              </w:rPr>
              <w:t>9</w:t>
            </w:r>
          </w:p>
        </w:tc>
        <w:tc>
          <w:tcPr>
            <w:tcW w:w="0" w:type="auto"/>
            <w:noWrap/>
            <w:vAlign w:val="bottom"/>
            <w:hideMark/>
          </w:tcPr>
          <w:p w14:paraId="7682A161" w14:textId="77777777" w:rsidR="00000000" w:rsidRDefault="00832D71">
            <w:pPr>
              <w:pStyle w:val="a3"/>
              <w:spacing w:before="0" w:beforeAutospacing="0" w:after="0" w:afterAutospacing="0"/>
              <w:rPr>
                <w:sz w:val="20"/>
                <w:szCs w:val="20"/>
              </w:rPr>
            </w:pPr>
            <w:r>
              <w:rPr>
                <w:sz w:val="20"/>
                <w:szCs w:val="20"/>
              </w:rPr>
              <w:t> </w:t>
            </w:r>
          </w:p>
        </w:tc>
      </w:tr>
      <w:tr w:rsidR="00000000" w14:paraId="08D9C325" w14:textId="77777777">
        <w:trPr>
          <w:divId w:val="1302424994"/>
          <w:trHeight w:val="200"/>
          <w:tblCellSpacing w:w="15" w:type="dxa"/>
        </w:trPr>
        <w:tc>
          <w:tcPr>
            <w:tcW w:w="0" w:type="auto"/>
            <w:vAlign w:val="bottom"/>
            <w:hideMark/>
          </w:tcPr>
          <w:p w14:paraId="26CDCFA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0A3235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D90726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981245F" w14:textId="77777777" w:rsidR="00000000" w:rsidRDefault="00832D71">
            <w:pPr>
              <w:pStyle w:val="a3"/>
              <w:spacing w:before="0" w:beforeAutospacing="0" w:after="0" w:afterAutospacing="0"/>
              <w:jc w:val="right"/>
              <w:rPr>
                <w:sz w:val="20"/>
                <w:szCs w:val="20"/>
              </w:rPr>
            </w:pPr>
            <w:r>
              <w:rPr>
                <w:sz w:val="20"/>
                <w:szCs w:val="20"/>
              </w:rPr>
              <w:t>55,09</w:t>
            </w:r>
            <w:r>
              <w:rPr>
                <w:sz w:val="20"/>
                <w:szCs w:val="20"/>
              </w:rPr>
              <w:t>1</w:t>
            </w:r>
          </w:p>
        </w:tc>
        <w:tc>
          <w:tcPr>
            <w:tcW w:w="0" w:type="auto"/>
            <w:noWrap/>
            <w:vAlign w:val="bottom"/>
            <w:hideMark/>
          </w:tcPr>
          <w:p w14:paraId="2A5D134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FB9383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FADD93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B72E0E9" w14:textId="77777777" w:rsidR="00000000" w:rsidRDefault="00832D71">
            <w:pPr>
              <w:pStyle w:val="a3"/>
              <w:spacing w:before="0" w:beforeAutospacing="0" w:after="0" w:afterAutospacing="0"/>
              <w:jc w:val="right"/>
              <w:rPr>
                <w:sz w:val="20"/>
                <w:szCs w:val="20"/>
              </w:rPr>
            </w:pPr>
            <w:r>
              <w:rPr>
                <w:sz w:val="20"/>
                <w:szCs w:val="20"/>
              </w:rPr>
              <w:t>77,89</w:t>
            </w:r>
            <w:r>
              <w:rPr>
                <w:sz w:val="20"/>
                <w:szCs w:val="20"/>
              </w:rPr>
              <w:t>2</w:t>
            </w:r>
          </w:p>
        </w:tc>
        <w:tc>
          <w:tcPr>
            <w:tcW w:w="0" w:type="auto"/>
            <w:noWrap/>
            <w:vAlign w:val="bottom"/>
            <w:hideMark/>
          </w:tcPr>
          <w:p w14:paraId="212AFA87" w14:textId="77777777" w:rsidR="00000000" w:rsidRDefault="00832D71">
            <w:pPr>
              <w:pStyle w:val="a3"/>
              <w:spacing w:before="0" w:beforeAutospacing="0" w:after="0" w:afterAutospacing="0"/>
              <w:rPr>
                <w:sz w:val="20"/>
                <w:szCs w:val="20"/>
              </w:rPr>
            </w:pPr>
            <w:r>
              <w:rPr>
                <w:sz w:val="20"/>
                <w:szCs w:val="20"/>
              </w:rPr>
              <w:t> </w:t>
            </w:r>
          </w:p>
        </w:tc>
      </w:tr>
    </w:tbl>
    <w:p w14:paraId="25201B77" w14:textId="77777777" w:rsidR="00000000" w:rsidRDefault="00832D71">
      <w:pPr>
        <w:pStyle w:val="a3"/>
        <w:spacing w:before="0" w:beforeAutospacing="0" w:after="0" w:afterAutospacing="0"/>
        <w:divId w:val="1302424994"/>
        <w:rPr>
          <w:sz w:val="20"/>
          <w:szCs w:val="20"/>
        </w:rPr>
      </w:pPr>
      <w:r>
        <w:rPr>
          <w:sz w:val="20"/>
          <w:szCs w:val="20"/>
        </w:rPr>
        <w:t> </w:t>
      </w:r>
    </w:p>
    <w:p w14:paraId="5BCA6079" w14:textId="77777777" w:rsidR="00000000" w:rsidRDefault="00832D71">
      <w:pPr>
        <w:pStyle w:val="a3"/>
        <w:spacing w:before="40" w:beforeAutospacing="0" w:after="0" w:afterAutospacing="0"/>
        <w:ind w:hanging="581"/>
        <w:jc w:val="both"/>
        <w:divId w:val="1302424994"/>
        <w:rPr>
          <w:sz w:val="20"/>
          <w:szCs w:val="20"/>
        </w:rPr>
      </w:pPr>
      <w:r>
        <w:rPr>
          <w:sz w:val="20"/>
          <w:szCs w:val="20"/>
        </w:rPr>
        <w:t>(1)</w:t>
      </w:r>
      <w:r>
        <w:rPr>
          <w:sz w:val="20"/>
          <w:szCs w:val="20"/>
        </w:rPr>
        <w:t xml:space="preserve"> </w:t>
      </w:r>
      <w:r>
        <w:rPr>
          <w:sz w:val="20"/>
          <w:szCs w:val="20"/>
        </w:rPr>
        <w:t>Includes funds which are not publicly traded and are valued at the net asset value of the units provided by the fund issuer</w:t>
      </w:r>
      <w:r>
        <w:rPr>
          <w:sz w:val="20"/>
          <w:szCs w:val="20"/>
        </w:rPr>
        <w:t>.</w:t>
      </w:r>
    </w:p>
    <w:p w14:paraId="7DE3DD4B" w14:textId="77777777" w:rsidR="00000000" w:rsidRDefault="00832D71">
      <w:pPr>
        <w:pStyle w:val="a3"/>
        <w:spacing w:before="120" w:beforeAutospacing="0" w:after="0" w:afterAutospacing="0"/>
        <w:ind w:hanging="581"/>
        <w:jc w:val="both"/>
        <w:divId w:val="1302424994"/>
        <w:rPr>
          <w:sz w:val="20"/>
          <w:szCs w:val="20"/>
        </w:rPr>
      </w:pPr>
      <w:r>
        <w:rPr>
          <w:sz w:val="20"/>
          <w:szCs w:val="20"/>
        </w:rPr>
        <w:t>(2)</w:t>
      </w:r>
      <w:r>
        <w:rPr>
          <w:sz w:val="20"/>
          <w:szCs w:val="20"/>
        </w:rPr>
        <w:t xml:space="preserve"> </w:t>
      </w:r>
      <w:r>
        <w:rPr>
          <w:sz w:val="20"/>
          <w:szCs w:val="20"/>
        </w:rPr>
        <w:t>Includes funds which invest primarily in a diversified portfolio of publicly traded U.S. and Non-U.S. common stock</w:t>
      </w:r>
      <w:r>
        <w:rPr>
          <w:sz w:val="20"/>
          <w:szCs w:val="20"/>
        </w:rPr>
        <w:t>.</w:t>
      </w:r>
    </w:p>
    <w:p w14:paraId="29AD7032" w14:textId="77777777" w:rsidR="00000000" w:rsidRDefault="00832D71">
      <w:pPr>
        <w:pStyle w:val="a3"/>
        <w:spacing w:before="120" w:beforeAutospacing="0" w:after="0" w:afterAutospacing="0"/>
        <w:ind w:hanging="581"/>
        <w:jc w:val="both"/>
        <w:divId w:val="1302424994"/>
        <w:rPr>
          <w:sz w:val="20"/>
          <w:szCs w:val="20"/>
        </w:rPr>
      </w:pPr>
      <w:r>
        <w:rPr>
          <w:sz w:val="20"/>
          <w:szCs w:val="20"/>
        </w:rPr>
        <w:t>(3)</w:t>
      </w:r>
      <w:r>
        <w:rPr>
          <w:sz w:val="20"/>
          <w:szCs w:val="20"/>
        </w:rPr>
        <w:t xml:space="preserve"> </w:t>
      </w:r>
      <w:r>
        <w:rPr>
          <w:sz w:val="20"/>
          <w:szCs w:val="20"/>
        </w:rPr>
        <w:t>Include</w:t>
      </w:r>
      <w:r>
        <w:rPr>
          <w:sz w:val="20"/>
          <w:szCs w:val="20"/>
        </w:rPr>
        <w:t>s funds which invest primarily in publicly traded and non-publicly traded, investment grade corporate bonds, U.S. government bonds and asset-backed securities</w:t>
      </w:r>
      <w:r>
        <w:rPr>
          <w:sz w:val="20"/>
          <w:szCs w:val="20"/>
        </w:rPr>
        <w:t>.</w:t>
      </w:r>
    </w:p>
    <w:p w14:paraId="7DB60201" w14:textId="77777777" w:rsidR="00000000" w:rsidRDefault="00832D71">
      <w:pPr>
        <w:pStyle w:val="a3"/>
        <w:spacing w:before="240" w:beforeAutospacing="0" w:after="0" w:afterAutospacing="0"/>
        <w:jc w:val="both"/>
        <w:divId w:val="1034354723"/>
        <w:rPr>
          <w:sz w:val="20"/>
          <w:szCs w:val="20"/>
        </w:rPr>
      </w:pPr>
      <w:r>
        <w:rPr>
          <w:b/>
          <w:bCs/>
          <w:sz w:val="20"/>
          <w:szCs w:val="20"/>
        </w:rPr>
        <w:t>Projected Contributions and Benefit Payments</w:t>
      </w:r>
      <w:r>
        <w:rPr>
          <w:b/>
          <w:bCs/>
          <w:sz w:val="20"/>
          <w:szCs w:val="20"/>
        </w:rPr>
        <w:t>.</w:t>
      </w:r>
      <w:r>
        <w:rPr>
          <w:sz w:val="20"/>
          <w:szCs w:val="20"/>
        </w:rPr>
        <w:t xml:space="preserve"> </w:t>
      </w:r>
      <w:r>
        <w:rPr>
          <w:sz w:val="20"/>
          <w:szCs w:val="20"/>
        </w:rPr>
        <w:t>The Partnership does not have any required contrib</w:t>
      </w:r>
      <w:r>
        <w:rPr>
          <w:sz w:val="20"/>
          <w:szCs w:val="20"/>
        </w:rPr>
        <w:t>utions to the defined benefit pension plan during fiscal 2023. Estimated fut</w:t>
      </w:r>
      <w:r>
        <w:rPr>
          <w:sz w:val="20"/>
          <w:szCs w:val="20"/>
        </w:rPr>
        <w:t>u</w:t>
      </w:r>
      <w:r>
        <w:rPr>
          <w:sz w:val="20"/>
          <w:szCs w:val="20"/>
        </w:rPr>
        <w:t>re benefit payments for both pension and retiree health and life benefits are as follows</w:t>
      </w:r>
      <w:r>
        <w:rPr>
          <w:sz w:val="20"/>
          <w:szCs w:val="20"/>
        </w:rPr>
        <w:t>:</w:t>
      </w:r>
    </w:p>
    <w:p w14:paraId="4A77EA62" w14:textId="77777777" w:rsidR="00000000" w:rsidRDefault="00832D71">
      <w:pPr>
        <w:pStyle w:val="a3"/>
        <w:spacing w:before="0" w:beforeAutospacing="0" w:after="0" w:afterAutospacing="0"/>
        <w:divId w:val="985354326"/>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56"/>
        <w:gridCol w:w="115"/>
        <w:gridCol w:w="160"/>
        <w:gridCol w:w="886"/>
        <w:gridCol w:w="110"/>
        <w:gridCol w:w="115"/>
        <w:gridCol w:w="160"/>
        <w:gridCol w:w="887"/>
        <w:gridCol w:w="125"/>
      </w:tblGrid>
      <w:tr w:rsidR="00000000" w14:paraId="1C2D87EA" w14:textId="77777777">
        <w:trPr>
          <w:divId w:val="985354326"/>
          <w:tblCellSpacing w:w="15" w:type="dxa"/>
        </w:trPr>
        <w:tc>
          <w:tcPr>
            <w:tcW w:w="2947" w:type="pct"/>
            <w:vAlign w:val="center"/>
            <w:hideMark/>
          </w:tcPr>
          <w:p w14:paraId="75677B8E" w14:textId="77777777" w:rsidR="00000000" w:rsidRDefault="00832D71">
            <w:pPr>
              <w:rPr>
                <w:sz w:val="20"/>
                <w:szCs w:val="20"/>
              </w:rPr>
            </w:pPr>
          </w:p>
        </w:tc>
        <w:tc>
          <w:tcPr>
            <w:tcW w:w="99" w:type="pct"/>
            <w:vAlign w:val="center"/>
            <w:hideMark/>
          </w:tcPr>
          <w:p w14:paraId="1DFBDB24" w14:textId="77777777" w:rsidR="00000000" w:rsidRDefault="00832D71">
            <w:pPr>
              <w:rPr>
                <w:rFonts w:eastAsia="Times New Roman"/>
                <w:sz w:val="20"/>
                <w:szCs w:val="20"/>
              </w:rPr>
            </w:pPr>
          </w:p>
        </w:tc>
        <w:tc>
          <w:tcPr>
            <w:tcW w:w="50" w:type="pct"/>
            <w:vAlign w:val="center"/>
            <w:hideMark/>
          </w:tcPr>
          <w:p w14:paraId="6212C4ED" w14:textId="77777777" w:rsidR="00000000" w:rsidRDefault="00832D71">
            <w:pPr>
              <w:rPr>
                <w:rFonts w:eastAsia="Times New Roman"/>
                <w:sz w:val="20"/>
                <w:szCs w:val="20"/>
              </w:rPr>
            </w:pPr>
          </w:p>
        </w:tc>
        <w:tc>
          <w:tcPr>
            <w:tcW w:w="827" w:type="pct"/>
            <w:vAlign w:val="center"/>
            <w:hideMark/>
          </w:tcPr>
          <w:p w14:paraId="05199191" w14:textId="77777777" w:rsidR="00000000" w:rsidRDefault="00832D71">
            <w:pPr>
              <w:rPr>
                <w:rFonts w:eastAsia="Times New Roman"/>
                <w:sz w:val="20"/>
                <w:szCs w:val="20"/>
              </w:rPr>
            </w:pPr>
          </w:p>
        </w:tc>
        <w:tc>
          <w:tcPr>
            <w:tcW w:w="50" w:type="pct"/>
            <w:vAlign w:val="center"/>
            <w:hideMark/>
          </w:tcPr>
          <w:p w14:paraId="40F21682" w14:textId="77777777" w:rsidR="00000000" w:rsidRDefault="00832D71">
            <w:pPr>
              <w:rPr>
                <w:rFonts w:eastAsia="Times New Roman"/>
                <w:sz w:val="20"/>
                <w:szCs w:val="20"/>
              </w:rPr>
            </w:pPr>
          </w:p>
        </w:tc>
        <w:tc>
          <w:tcPr>
            <w:tcW w:w="99" w:type="pct"/>
            <w:vAlign w:val="center"/>
            <w:hideMark/>
          </w:tcPr>
          <w:p w14:paraId="225640DC" w14:textId="77777777" w:rsidR="00000000" w:rsidRDefault="00832D71">
            <w:pPr>
              <w:rPr>
                <w:rFonts w:eastAsia="Times New Roman"/>
                <w:sz w:val="20"/>
                <w:szCs w:val="20"/>
              </w:rPr>
            </w:pPr>
          </w:p>
        </w:tc>
        <w:tc>
          <w:tcPr>
            <w:tcW w:w="50" w:type="pct"/>
            <w:vAlign w:val="center"/>
            <w:hideMark/>
          </w:tcPr>
          <w:p w14:paraId="62030446" w14:textId="77777777" w:rsidR="00000000" w:rsidRDefault="00832D71">
            <w:pPr>
              <w:rPr>
                <w:rFonts w:eastAsia="Times New Roman"/>
                <w:sz w:val="20"/>
                <w:szCs w:val="20"/>
              </w:rPr>
            </w:pPr>
          </w:p>
        </w:tc>
        <w:tc>
          <w:tcPr>
            <w:tcW w:w="827" w:type="pct"/>
            <w:vAlign w:val="center"/>
            <w:hideMark/>
          </w:tcPr>
          <w:p w14:paraId="28C7CECB" w14:textId="77777777" w:rsidR="00000000" w:rsidRDefault="00832D71">
            <w:pPr>
              <w:rPr>
                <w:rFonts w:eastAsia="Times New Roman"/>
                <w:sz w:val="20"/>
                <w:szCs w:val="20"/>
              </w:rPr>
            </w:pPr>
          </w:p>
        </w:tc>
        <w:tc>
          <w:tcPr>
            <w:tcW w:w="50" w:type="pct"/>
            <w:vAlign w:val="center"/>
            <w:hideMark/>
          </w:tcPr>
          <w:p w14:paraId="145501AA" w14:textId="77777777" w:rsidR="00000000" w:rsidRDefault="00832D71">
            <w:pPr>
              <w:rPr>
                <w:rFonts w:eastAsia="Times New Roman"/>
                <w:sz w:val="20"/>
                <w:szCs w:val="20"/>
              </w:rPr>
            </w:pPr>
          </w:p>
        </w:tc>
      </w:tr>
      <w:tr w:rsidR="00000000" w14:paraId="72ED806C" w14:textId="77777777">
        <w:trPr>
          <w:divId w:val="985354326"/>
          <w:trHeight w:val="160"/>
          <w:tblCellSpacing w:w="15" w:type="dxa"/>
        </w:trPr>
        <w:tc>
          <w:tcPr>
            <w:tcW w:w="0" w:type="auto"/>
            <w:vAlign w:val="bottom"/>
            <w:hideMark/>
          </w:tcPr>
          <w:p w14:paraId="19C3D57B" w14:textId="77777777" w:rsidR="00000000" w:rsidRDefault="00832D71">
            <w:pPr>
              <w:pStyle w:val="a3"/>
              <w:spacing w:before="0" w:beforeAutospacing="0" w:after="0" w:afterAutospacing="0"/>
              <w:rPr>
                <w:sz w:val="22"/>
                <w:szCs w:val="22"/>
              </w:rPr>
            </w:pPr>
            <w:r>
              <w:rPr>
                <w:sz w:val="22"/>
                <w:szCs w:val="22"/>
              </w:rPr>
              <w:t> </w:t>
            </w:r>
          </w:p>
        </w:tc>
        <w:tc>
          <w:tcPr>
            <w:tcW w:w="0" w:type="auto"/>
            <w:vAlign w:val="bottom"/>
            <w:hideMark/>
          </w:tcPr>
          <w:p w14:paraId="08E18F60" w14:textId="77777777" w:rsidR="00000000" w:rsidRDefault="00832D71">
            <w:pPr>
              <w:pStyle w:val="a3"/>
              <w:spacing w:before="0" w:beforeAutospacing="0" w:after="0" w:afterAutospacing="0"/>
              <w:rPr>
                <w:sz w:val="22"/>
                <w:szCs w:val="22"/>
              </w:rPr>
            </w:pPr>
            <w:r>
              <w:rPr>
                <w:sz w:val="22"/>
                <w:szCs w:val="22"/>
              </w:rPr>
              <w:t> </w:t>
            </w:r>
          </w:p>
        </w:tc>
        <w:tc>
          <w:tcPr>
            <w:tcW w:w="0" w:type="auto"/>
            <w:gridSpan w:val="2"/>
            <w:vAlign w:val="bottom"/>
            <w:hideMark/>
          </w:tcPr>
          <w:p w14:paraId="5046187C" w14:textId="77777777" w:rsidR="00000000" w:rsidRDefault="00832D71">
            <w:pPr>
              <w:pStyle w:val="a3"/>
              <w:spacing w:before="0" w:beforeAutospacing="0" w:after="0" w:afterAutospacing="0"/>
              <w:jc w:val="center"/>
              <w:rPr>
                <w:sz w:val="16"/>
                <w:szCs w:val="16"/>
              </w:rPr>
            </w:pPr>
            <w:r>
              <w:rPr>
                <w:b/>
                <w:bCs/>
                <w:sz w:val="16"/>
                <w:szCs w:val="16"/>
              </w:rPr>
              <w:t>Pensio</w:t>
            </w:r>
            <w:r>
              <w:rPr>
                <w:b/>
                <w:bCs/>
                <w:sz w:val="16"/>
                <w:szCs w:val="16"/>
              </w:rPr>
              <w:t>n</w:t>
            </w:r>
          </w:p>
        </w:tc>
        <w:tc>
          <w:tcPr>
            <w:tcW w:w="0" w:type="auto"/>
            <w:vAlign w:val="bottom"/>
            <w:hideMark/>
          </w:tcPr>
          <w:p w14:paraId="2C26393F"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16EE473" w14:textId="77777777" w:rsidR="00000000" w:rsidRDefault="00832D71">
            <w:pPr>
              <w:pStyle w:val="a3"/>
              <w:spacing w:before="0" w:beforeAutospacing="0" w:after="0" w:afterAutospacing="0"/>
              <w:rPr>
                <w:sz w:val="22"/>
                <w:szCs w:val="22"/>
              </w:rPr>
            </w:pPr>
            <w:r>
              <w:rPr>
                <w:sz w:val="22"/>
                <w:szCs w:val="22"/>
              </w:rPr>
              <w:t> </w:t>
            </w:r>
          </w:p>
        </w:tc>
        <w:tc>
          <w:tcPr>
            <w:tcW w:w="0" w:type="auto"/>
            <w:gridSpan w:val="2"/>
            <w:vAlign w:val="bottom"/>
            <w:hideMark/>
          </w:tcPr>
          <w:p w14:paraId="263F0352" w14:textId="77777777" w:rsidR="00000000" w:rsidRDefault="00832D71">
            <w:pPr>
              <w:pStyle w:val="a3"/>
              <w:spacing w:before="0" w:beforeAutospacing="0" w:after="0" w:afterAutospacing="0"/>
              <w:jc w:val="center"/>
              <w:rPr>
                <w:sz w:val="16"/>
                <w:szCs w:val="16"/>
              </w:rPr>
            </w:pPr>
            <w:r>
              <w:rPr>
                <w:b/>
                <w:bCs/>
                <w:sz w:val="16"/>
                <w:szCs w:val="16"/>
              </w:rPr>
              <w:t>Retiree Health an</w:t>
            </w:r>
            <w:r>
              <w:rPr>
                <w:b/>
                <w:bCs/>
                <w:sz w:val="16"/>
                <w:szCs w:val="16"/>
              </w:rPr>
              <w:t>d</w:t>
            </w:r>
          </w:p>
        </w:tc>
        <w:tc>
          <w:tcPr>
            <w:tcW w:w="0" w:type="auto"/>
            <w:vAlign w:val="bottom"/>
            <w:hideMark/>
          </w:tcPr>
          <w:p w14:paraId="5A6F17B6"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6CE317E6" w14:textId="77777777">
        <w:trPr>
          <w:divId w:val="985354326"/>
          <w:trHeight w:val="160"/>
          <w:tblCellSpacing w:w="15" w:type="dxa"/>
        </w:trPr>
        <w:tc>
          <w:tcPr>
            <w:tcW w:w="0" w:type="auto"/>
            <w:vAlign w:val="bottom"/>
            <w:hideMark/>
          </w:tcPr>
          <w:p w14:paraId="1C64B13D" w14:textId="77777777" w:rsidR="00000000" w:rsidRDefault="00832D71">
            <w:pPr>
              <w:pStyle w:val="a3"/>
              <w:spacing w:before="0" w:beforeAutospacing="0" w:after="0" w:afterAutospacing="0"/>
              <w:jc w:val="center"/>
              <w:rPr>
                <w:sz w:val="16"/>
                <w:szCs w:val="16"/>
              </w:rPr>
            </w:pPr>
            <w:r>
              <w:rPr>
                <w:b/>
                <w:bCs/>
                <w:sz w:val="16"/>
                <w:szCs w:val="16"/>
              </w:rPr>
              <w:t>Fiscal Yea</w:t>
            </w:r>
            <w:r>
              <w:rPr>
                <w:b/>
                <w:bCs/>
                <w:sz w:val="16"/>
                <w:szCs w:val="16"/>
              </w:rPr>
              <w:t>r</w:t>
            </w:r>
          </w:p>
        </w:tc>
        <w:tc>
          <w:tcPr>
            <w:tcW w:w="0" w:type="auto"/>
            <w:hideMark/>
          </w:tcPr>
          <w:p w14:paraId="5DF02A5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194C90E" w14:textId="77777777" w:rsidR="00000000" w:rsidRDefault="00832D71">
            <w:pPr>
              <w:pStyle w:val="a3"/>
              <w:spacing w:before="0" w:beforeAutospacing="0" w:after="0" w:afterAutospacing="0"/>
              <w:jc w:val="center"/>
              <w:rPr>
                <w:sz w:val="16"/>
                <w:szCs w:val="16"/>
              </w:rPr>
            </w:pPr>
            <w:r>
              <w:rPr>
                <w:b/>
                <w:bCs/>
                <w:sz w:val="16"/>
                <w:szCs w:val="16"/>
              </w:rPr>
              <w:t>Benefit</w:t>
            </w:r>
            <w:r>
              <w:rPr>
                <w:b/>
                <w:bCs/>
                <w:sz w:val="16"/>
                <w:szCs w:val="16"/>
              </w:rPr>
              <w:t>s</w:t>
            </w:r>
          </w:p>
        </w:tc>
        <w:tc>
          <w:tcPr>
            <w:tcW w:w="0" w:type="auto"/>
            <w:vAlign w:val="bottom"/>
            <w:hideMark/>
          </w:tcPr>
          <w:p w14:paraId="23F2178C"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97E1A3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5BFBCD2" w14:textId="77777777" w:rsidR="00000000" w:rsidRDefault="00832D71">
            <w:pPr>
              <w:pStyle w:val="a3"/>
              <w:spacing w:before="0" w:beforeAutospacing="0" w:after="0" w:afterAutospacing="0"/>
              <w:jc w:val="center"/>
              <w:rPr>
                <w:sz w:val="16"/>
                <w:szCs w:val="16"/>
              </w:rPr>
            </w:pPr>
            <w:r>
              <w:rPr>
                <w:b/>
                <w:bCs/>
                <w:sz w:val="16"/>
                <w:szCs w:val="16"/>
              </w:rPr>
              <w:t>Life Benefit</w:t>
            </w:r>
            <w:r>
              <w:rPr>
                <w:b/>
                <w:bCs/>
                <w:sz w:val="16"/>
                <w:szCs w:val="16"/>
              </w:rPr>
              <w:t>s</w:t>
            </w:r>
          </w:p>
        </w:tc>
        <w:tc>
          <w:tcPr>
            <w:tcW w:w="0" w:type="auto"/>
            <w:vAlign w:val="bottom"/>
            <w:hideMark/>
          </w:tcPr>
          <w:p w14:paraId="77BB70CB"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5DFD5672" w14:textId="77777777">
        <w:trPr>
          <w:divId w:val="985354326"/>
          <w:trHeight w:val="200"/>
          <w:tblCellSpacing w:w="15" w:type="dxa"/>
        </w:trPr>
        <w:tc>
          <w:tcPr>
            <w:tcW w:w="0" w:type="auto"/>
            <w:hideMark/>
          </w:tcPr>
          <w:p w14:paraId="5F18D202" w14:textId="77777777" w:rsidR="00000000" w:rsidRDefault="00832D71">
            <w:pPr>
              <w:pStyle w:val="a3"/>
              <w:spacing w:before="0" w:beforeAutospacing="0" w:after="0" w:afterAutospacing="0"/>
              <w:rPr>
                <w:sz w:val="20"/>
                <w:szCs w:val="20"/>
              </w:rPr>
            </w:pPr>
            <w:r>
              <w:rPr>
                <w:sz w:val="20"/>
                <w:szCs w:val="20"/>
              </w:rPr>
              <w:t>202</w:t>
            </w:r>
            <w:r>
              <w:rPr>
                <w:sz w:val="20"/>
                <w:szCs w:val="20"/>
              </w:rPr>
              <w:t>3</w:t>
            </w:r>
          </w:p>
        </w:tc>
        <w:tc>
          <w:tcPr>
            <w:tcW w:w="0" w:type="auto"/>
            <w:hideMark/>
          </w:tcPr>
          <w:p w14:paraId="563D6F8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DEBFE2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1823141" w14:textId="77777777" w:rsidR="00000000" w:rsidRDefault="00832D71">
            <w:pPr>
              <w:pStyle w:val="a3"/>
              <w:spacing w:before="0" w:beforeAutospacing="0" w:after="0" w:afterAutospacing="0"/>
              <w:jc w:val="right"/>
              <w:rPr>
                <w:sz w:val="20"/>
                <w:szCs w:val="20"/>
              </w:rPr>
            </w:pPr>
            <w:r>
              <w:rPr>
                <w:sz w:val="20"/>
                <w:szCs w:val="20"/>
              </w:rPr>
              <w:t>22,83</w:t>
            </w:r>
            <w:r>
              <w:rPr>
                <w:sz w:val="20"/>
                <w:szCs w:val="20"/>
              </w:rPr>
              <w:t>2</w:t>
            </w:r>
          </w:p>
        </w:tc>
        <w:tc>
          <w:tcPr>
            <w:tcW w:w="0" w:type="auto"/>
            <w:noWrap/>
            <w:vAlign w:val="bottom"/>
            <w:hideMark/>
          </w:tcPr>
          <w:p w14:paraId="6AA8539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69BC4E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0DDFE8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F7B543E" w14:textId="77777777" w:rsidR="00000000" w:rsidRDefault="00832D71">
            <w:pPr>
              <w:pStyle w:val="a3"/>
              <w:spacing w:before="0" w:beforeAutospacing="0" w:after="0" w:afterAutospacing="0"/>
              <w:jc w:val="right"/>
              <w:rPr>
                <w:sz w:val="20"/>
                <w:szCs w:val="20"/>
              </w:rPr>
            </w:pPr>
            <w:r>
              <w:rPr>
                <w:sz w:val="20"/>
                <w:szCs w:val="20"/>
              </w:rPr>
              <w:t>62</w:t>
            </w:r>
            <w:r>
              <w:rPr>
                <w:sz w:val="20"/>
                <w:szCs w:val="20"/>
              </w:rPr>
              <w:t>7</w:t>
            </w:r>
          </w:p>
        </w:tc>
        <w:tc>
          <w:tcPr>
            <w:tcW w:w="0" w:type="auto"/>
            <w:noWrap/>
            <w:vAlign w:val="bottom"/>
            <w:hideMark/>
          </w:tcPr>
          <w:p w14:paraId="495BB360" w14:textId="77777777" w:rsidR="00000000" w:rsidRDefault="00832D71">
            <w:pPr>
              <w:pStyle w:val="a3"/>
              <w:spacing w:before="0" w:beforeAutospacing="0" w:after="0" w:afterAutospacing="0"/>
              <w:rPr>
                <w:sz w:val="20"/>
                <w:szCs w:val="20"/>
              </w:rPr>
            </w:pPr>
            <w:r>
              <w:rPr>
                <w:sz w:val="20"/>
                <w:szCs w:val="20"/>
              </w:rPr>
              <w:t> </w:t>
            </w:r>
          </w:p>
        </w:tc>
      </w:tr>
      <w:tr w:rsidR="00000000" w14:paraId="1E97B16F" w14:textId="77777777">
        <w:trPr>
          <w:divId w:val="985354326"/>
          <w:trHeight w:val="200"/>
          <w:tblCellSpacing w:w="15" w:type="dxa"/>
        </w:trPr>
        <w:tc>
          <w:tcPr>
            <w:tcW w:w="0" w:type="auto"/>
            <w:hideMark/>
          </w:tcPr>
          <w:p w14:paraId="5AEA34D2" w14:textId="77777777" w:rsidR="00000000" w:rsidRDefault="00832D71">
            <w:pPr>
              <w:pStyle w:val="a3"/>
              <w:spacing w:before="0" w:beforeAutospacing="0" w:after="0" w:afterAutospacing="0"/>
              <w:rPr>
                <w:sz w:val="20"/>
                <w:szCs w:val="20"/>
              </w:rPr>
            </w:pPr>
            <w:r>
              <w:rPr>
                <w:sz w:val="20"/>
                <w:szCs w:val="20"/>
              </w:rPr>
              <w:t>202</w:t>
            </w:r>
            <w:r>
              <w:rPr>
                <w:sz w:val="20"/>
                <w:szCs w:val="20"/>
              </w:rPr>
              <w:t>4</w:t>
            </w:r>
          </w:p>
        </w:tc>
        <w:tc>
          <w:tcPr>
            <w:tcW w:w="0" w:type="auto"/>
            <w:hideMark/>
          </w:tcPr>
          <w:p w14:paraId="65F93B3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561D8D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5C98A5A" w14:textId="77777777" w:rsidR="00000000" w:rsidRDefault="00832D71">
            <w:pPr>
              <w:pStyle w:val="a3"/>
              <w:spacing w:before="0" w:beforeAutospacing="0" w:after="0" w:afterAutospacing="0"/>
              <w:jc w:val="right"/>
              <w:rPr>
                <w:sz w:val="20"/>
                <w:szCs w:val="20"/>
              </w:rPr>
            </w:pPr>
            <w:r>
              <w:rPr>
                <w:sz w:val="20"/>
                <w:szCs w:val="20"/>
              </w:rPr>
              <w:t>7,36</w:t>
            </w:r>
            <w:r>
              <w:rPr>
                <w:sz w:val="20"/>
                <w:szCs w:val="20"/>
              </w:rPr>
              <w:t>1</w:t>
            </w:r>
          </w:p>
        </w:tc>
        <w:tc>
          <w:tcPr>
            <w:tcW w:w="0" w:type="auto"/>
            <w:noWrap/>
            <w:vAlign w:val="bottom"/>
            <w:hideMark/>
          </w:tcPr>
          <w:p w14:paraId="0FCD600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4E9FBB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F6B133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9CC2BF9" w14:textId="77777777" w:rsidR="00000000" w:rsidRDefault="00832D71">
            <w:pPr>
              <w:pStyle w:val="a3"/>
              <w:spacing w:before="0" w:beforeAutospacing="0" w:after="0" w:afterAutospacing="0"/>
              <w:jc w:val="right"/>
              <w:rPr>
                <w:sz w:val="20"/>
                <w:szCs w:val="20"/>
              </w:rPr>
            </w:pPr>
            <w:r>
              <w:rPr>
                <w:sz w:val="20"/>
                <w:szCs w:val="20"/>
              </w:rPr>
              <w:t>55</w:t>
            </w:r>
            <w:r>
              <w:rPr>
                <w:sz w:val="20"/>
                <w:szCs w:val="20"/>
              </w:rPr>
              <w:t>9</w:t>
            </w:r>
          </w:p>
        </w:tc>
        <w:tc>
          <w:tcPr>
            <w:tcW w:w="0" w:type="auto"/>
            <w:noWrap/>
            <w:vAlign w:val="bottom"/>
            <w:hideMark/>
          </w:tcPr>
          <w:p w14:paraId="68BFBBE2" w14:textId="77777777" w:rsidR="00000000" w:rsidRDefault="00832D71">
            <w:pPr>
              <w:pStyle w:val="a3"/>
              <w:spacing w:before="0" w:beforeAutospacing="0" w:after="0" w:afterAutospacing="0"/>
              <w:rPr>
                <w:sz w:val="20"/>
                <w:szCs w:val="20"/>
              </w:rPr>
            </w:pPr>
            <w:r>
              <w:rPr>
                <w:sz w:val="20"/>
                <w:szCs w:val="20"/>
              </w:rPr>
              <w:t> </w:t>
            </w:r>
          </w:p>
        </w:tc>
      </w:tr>
      <w:tr w:rsidR="00000000" w14:paraId="327A338C" w14:textId="77777777">
        <w:trPr>
          <w:divId w:val="985354326"/>
          <w:trHeight w:val="200"/>
          <w:tblCellSpacing w:w="15" w:type="dxa"/>
        </w:trPr>
        <w:tc>
          <w:tcPr>
            <w:tcW w:w="0" w:type="auto"/>
            <w:hideMark/>
          </w:tcPr>
          <w:p w14:paraId="3C7EAB1E" w14:textId="77777777" w:rsidR="00000000" w:rsidRDefault="00832D71">
            <w:pPr>
              <w:pStyle w:val="a3"/>
              <w:spacing w:before="0" w:beforeAutospacing="0" w:after="0" w:afterAutospacing="0"/>
              <w:rPr>
                <w:sz w:val="20"/>
                <w:szCs w:val="20"/>
              </w:rPr>
            </w:pPr>
            <w:r>
              <w:rPr>
                <w:sz w:val="20"/>
                <w:szCs w:val="20"/>
              </w:rPr>
              <w:t>202</w:t>
            </w:r>
            <w:r>
              <w:rPr>
                <w:sz w:val="20"/>
                <w:szCs w:val="20"/>
              </w:rPr>
              <w:t>5</w:t>
            </w:r>
          </w:p>
        </w:tc>
        <w:tc>
          <w:tcPr>
            <w:tcW w:w="0" w:type="auto"/>
            <w:hideMark/>
          </w:tcPr>
          <w:p w14:paraId="627775C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BEEA2B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CE4581D" w14:textId="77777777" w:rsidR="00000000" w:rsidRDefault="00832D71">
            <w:pPr>
              <w:pStyle w:val="a3"/>
              <w:spacing w:before="0" w:beforeAutospacing="0" w:after="0" w:afterAutospacing="0"/>
              <w:jc w:val="right"/>
              <w:rPr>
                <w:sz w:val="20"/>
                <w:szCs w:val="20"/>
              </w:rPr>
            </w:pPr>
            <w:r>
              <w:rPr>
                <w:sz w:val="20"/>
                <w:szCs w:val="20"/>
              </w:rPr>
              <w:t>6,93</w:t>
            </w:r>
            <w:r>
              <w:rPr>
                <w:sz w:val="20"/>
                <w:szCs w:val="20"/>
              </w:rPr>
              <w:t>1</w:t>
            </w:r>
          </w:p>
        </w:tc>
        <w:tc>
          <w:tcPr>
            <w:tcW w:w="0" w:type="auto"/>
            <w:noWrap/>
            <w:vAlign w:val="bottom"/>
            <w:hideMark/>
          </w:tcPr>
          <w:p w14:paraId="4F15150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6D43B6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6F7CF6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BDCC5B0" w14:textId="77777777" w:rsidR="00000000" w:rsidRDefault="00832D71">
            <w:pPr>
              <w:pStyle w:val="a3"/>
              <w:spacing w:before="0" w:beforeAutospacing="0" w:after="0" w:afterAutospacing="0"/>
              <w:jc w:val="right"/>
              <w:rPr>
                <w:sz w:val="20"/>
                <w:szCs w:val="20"/>
              </w:rPr>
            </w:pPr>
            <w:r>
              <w:rPr>
                <w:sz w:val="20"/>
                <w:szCs w:val="20"/>
              </w:rPr>
              <w:t>49</w:t>
            </w:r>
            <w:r>
              <w:rPr>
                <w:sz w:val="20"/>
                <w:szCs w:val="20"/>
              </w:rPr>
              <w:t>4</w:t>
            </w:r>
          </w:p>
        </w:tc>
        <w:tc>
          <w:tcPr>
            <w:tcW w:w="0" w:type="auto"/>
            <w:noWrap/>
            <w:vAlign w:val="bottom"/>
            <w:hideMark/>
          </w:tcPr>
          <w:p w14:paraId="4F98C2E9" w14:textId="77777777" w:rsidR="00000000" w:rsidRDefault="00832D71">
            <w:pPr>
              <w:pStyle w:val="a3"/>
              <w:spacing w:before="0" w:beforeAutospacing="0" w:after="0" w:afterAutospacing="0"/>
              <w:rPr>
                <w:sz w:val="20"/>
                <w:szCs w:val="20"/>
              </w:rPr>
            </w:pPr>
            <w:r>
              <w:rPr>
                <w:sz w:val="20"/>
                <w:szCs w:val="20"/>
              </w:rPr>
              <w:t> </w:t>
            </w:r>
          </w:p>
        </w:tc>
      </w:tr>
      <w:tr w:rsidR="00000000" w14:paraId="7E2701F1" w14:textId="77777777">
        <w:trPr>
          <w:divId w:val="985354326"/>
          <w:trHeight w:val="200"/>
          <w:tblCellSpacing w:w="15" w:type="dxa"/>
        </w:trPr>
        <w:tc>
          <w:tcPr>
            <w:tcW w:w="0" w:type="auto"/>
            <w:hideMark/>
          </w:tcPr>
          <w:p w14:paraId="15183F9A" w14:textId="77777777" w:rsidR="00000000" w:rsidRDefault="00832D71">
            <w:pPr>
              <w:pStyle w:val="a3"/>
              <w:spacing w:before="0" w:beforeAutospacing="0" w:after="0" w:afterAutospacing="0"/>
              <w:rPr>
                <w:sz w:val="20"/>
                <w:szCs w:val="20"/>
              </w:rPr>
            </w:pPr>
            <w:r>
              <w:rPr>
                <w:sz w:val="20"/>
                <w:szCs w:val="20"/>
              </w:rPr>
              <w:t>202</w:t>
            </w:r>
            <w:r>
              <w:rPr>
                <w:sz w:val="20"/>
                <w:szCs w:val="20"/>
              </w:rPr>
              <w:t>6</w:t>
            </w:r>
          </w:p>
        </w:tc>
        <w:tc>
          <w:tcPr>
            <w:tcW w:w="0" w:type="auto"/>
            <w:hideMark/>
          </w:tcPr>
          <w:p w14:paraId="5E4CC43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20F966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B0A620E" w14:textId="77777777" w:rsidR="00000000" w:rsidRDefault="00832D71">
            <w:pPr>
              <w:pStyle w:val="a3"/>
              <w:spacing w:before="0" w:beforeAutospacing="0" w:after="0" w:afterAutospacing="0"/>
              <w:jc w:val="right"/>
              <w:rPr>
                <w:sz w:val="20"/>
                <w:szCs w:val="20"/>
              </w:rPr>
            </w:pPr>
            <w:r>
              <w:rPr>
                <w:sz w:val="20"/>
                <w:szCs w:val="20"/>
              </w:rPr>
              <w:t>6,83</w:t>
            </w:r>
            <w:r>
              <w:rPr>
                <w:sz w:val="20"/>
                <w:szCs w:val="20"/>
              </w:rPr>
              <w:t>2</w:t>
            </w:r>
          </w:p>
        </w:tc>
        <w:tc>
          <w:tcPr>
            <w:tcW w:w="0" w:type="auto"/>
            <w:noWrap/>
            <w:vAlign w:val="bottom"/>
            <w:hideMark/>
          </w:tcPr>
          <w:p w14:paraId="0860B57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11E4BC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24EF2C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9C5A1EE" w14:textId="77777777" w:rsidR="00000000" w:rsidRDefault="00832D71">
            <w:pPr>
              <w:pStyle w:val="a3"/>
              <w:spacing w:before="0" w:beforeAutospacing="0" w:after="0" w:afterAutospacing="0"/>
              <w:jc w:val="right"/>
              <w:rPr>
                <w:sz w:val="20"/>
                <w:szCs w:val="20"/>
              </w:rPr>
            </w:pPr>
            <w:r>
              <w:rPr>
                <w:sz w:val="20"/>
                <w:szCs w:val="20"/>
              </w:rPr>
              <w:t>43</w:t>
            </w:r>
            <w:r>
              <w:rPr>
                <w:sz w:val="20"/>
                <w:szCs w:val="20"/>
              </w:rPr>
              <w:t>2</w:t>
            </w:r>
          </w:p>
        </w:tc>
        <w:tc>
          <w:tcPr>
            <w:tcW w:w="0" w:type="auto"/>
            <w:noWrap/>
            <w:vAlign w:val="bottom"/>
            <w:hideMark/>
          </w:tcPr>
          <w:p w14:paraId="1DE1E550" w14:textId="77777777" w:rsidR="00000000" w:rsidRDefault="00832D71">
            <w:pPr>
              <w:pStyle w:val="a3"/>
              <w:spacing w:before="0" w:beforeAutospacing="0" w:after="0" w:afterAutospacing="0"/>
              <w:rPr>
                <w:sz w:val="20"/>
                <w:szCs w:val="20"/>
              </w:rPr>
            </w:pPr>
            <w:r>
              <w:rPr>
                <w:sz w:val="20"/>
                <w:szCs w:val="20"/>
              </w:rPr>
              <w:t> </w:t>
            </w:r>
          </w:p>
        </w:tc>
      </w:tr>
      <w:tr w:rsidR="00000000" w14:paraId="2BA9196B" w14:textId="77777777">
        <w:trPr>
          <w:divId w:val="985354326"/>
          <w:trHeight w:val="200"/>
          <w:tblCellSpacing w:w="15" w:type="dxa"/>
        </w:trPr>
        <w:tc>
          <w:tcPr>
            <w:tcW w:w="0" w:type="auto"/>
            <w:hideMark/>
          </w:tcPr>
          <w:p w14:paraId="398274DF" w14:textId="77777777" w:rsidR="00000000" w:rsidRDefault="00832D71">
            <w:pPr>
              <w:pStyle w:val="a3"/>
              <w:spacing w:before="0" w:beforeAutospacing="0" w:after="0" w:afterAutospacing="0"/>
              <w:rPr>
                <w:sz w:val="20"/>
                <w:szCs w:val="20"/>
              </w:rPr>
            </w:pPr>
            <w:r>
              <w:rPr>
                <w:sz w:val="20"/>
                <w:szCs w:val="20"/>
              </w:rPr>
              <w:t>202</w:t>
            </w:r>
            <w:r>
              <w:rPr>
                <w:sz w:val="20"/>
                <w:szCs w:val="20"/>
              </w:rPr>
              <w:t>7</w:t>
            </w:r>
          </w:p>
        </w:tc>
        <w:tc>
          <w:tcPr>
            <w:tcW w:w="0" w:type="auto"/>
            <w:hideMark/>
          </w:tcPr>
          <w:p w14:paraId="5CCA6A0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C5342C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136704B" w14:textId="77777777" w:rsidR="00000000" w:rsidRDefault="00832D71">
            <w:pPr>
              <w:pStyle w:val="a3"/>
              <w:spacing w:before="0" w:beforeAutospacing="0" w:after="0" w:afterAutospacing="0"/>
              <w:jc w:val="right"/>
              <w:rPr>
                <w:sz w:val="20"/>
                <w:szCs w:val="20"/>
              </w:rPr>
            </w:pPr>
            <w:r>
              <w:rPr>
                <w:sz w:val="20"/>
                <w:szCs w:val="20"/>
              </w:rPr>
              <w:t>6,13</w:t>
            </w:r>
            <w:r>
              <w:rPr>
                <w:sz w:val="20"/>
                <w:szCs w:val="20"/>
              </w:rPr>
              <w:t>4</w:t>
            </w:r>
          </w:p>
        </w:tc>
        <w:tc>
          <w:tcPr>
            <w:tcW w:w="0" w:type="auto"/>
            <w:noWrap/>
            <w:vAlign w:val="bottom"/>
            <w:hideMark/>
          </w:tcPr>
          <w:p w14:paraId="207E9B1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411149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E4F58D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50FA428" w14:textId="77777777" w:rsidR="00000000" w:rsidRDefault="00832D71">
            <w:pPr>
              <w:pStyle w:val="a3"/>
              <w:spacing w:before="0" w:beforeAutospacing="0" w:after="0" w:afterAutospacing="0"/>
              <w:jc w:val="right"/>
              <w:rPr>
                <w:sz w:val="20"/>
                <w:szCs w:val="20"/>
              </w:rPr>
            </w:pPr>
            <w:r>
              <w:rPr>
                <w:sz w:val="20"/>
                <w:szCs w:val="20"/>
              </w:rPr>
              <w:t>37</w:t>
            </w:r>
            <w:r>
              <w:rPr>
                <w:sz w:val="20"/>
                <w:szCs w:val="20"/>
              </w:rPr>
              <w:t>5</w:t>
            </w:r>
          </w:p>
        </w:tc>
        <w:tc>
          <w:tcPr>
            <w:tcW w:w="0" w:type="auto"/>
            <w:noWrap/>
            <w:vAlign w:val="bottom"/>
            <w:hideMark/>
          </w:tcPr>
          <w:p w14:paraId="14195A47" w14:textId="77777777" w:rsidR="00000000" w:rsidRDefault="00832D71">
            <w:pPr>
              <w:pStyle w:val="a3"/>
              <w:spacing w:before="0" w:beforeAutospacing="0" w:after="0" w:afterAutospacing="0"/>
              <w:rPr>
                <w:sz w:val="20"/>
                <w:szCs w:val="20"/>
              </w:rPr>
            </w:pPr>
            <w:r>
              <w:rPr>
                <w:sz w:val="20"/>
                <w:szCs w:val="20"/>
              </w:rPr>
              <w:t> </w:t>
            </w:r>
          </w:p>
        </w:tc>
      </w:tr>
      <w:tr w:rsidR="00000000" w14:paraId="75C72219" w14:textId="77777777">
        <w:trPr>
          <w:divId w:val="985354326"/>
          <w:trHeight w:val="200"/>
          <w:tblCellSpacing w:w="15" w:type="dxa"/>
        </w:trPr>
        <w:tc>
          <w:tcPr>
            <w:tcW w:w="0" w:type="auto"/>
            <w:hideMark/>
          </w:tcPr>
          <w:p w14:paraId="1140E1DF" w14:textId="77777777" w:rsidR="00000000" w:rsidRDefault="00832D71">
            <w:pPr>
              <w:pStyle w:val="a3"/>
              <w:spacing w:before="0" w:beforeAutospacing="0" w:after="0" w:afterAutospacing="0"/>
              <w:rPr>
                <w:sz w:val="20"/>
                <w:szCs w:val="20"/>
              </w:rPr>
            </w:pPr>
            <w:r>
              <w:rPr>
                <w:sz w:val="20"/>
                <w:szCs w:val="20"/>
              </w:rPr>
              <w:t>2028 through 203</w:t>
            </w:r>
            <w:r>
              <w:rPr>
                <w:sz w:val="20"/>
                <w:szCs w:val="20"/>
              </w:rPr>
              <w:t>2</w:t>
            </w:r>
          </w:p>
        </w:tc>
        <w:tc>
          <w:tcPr>
            <w:tcW w:w="0" w:type="auto"/>
            <w:hideMark/>
          </w:tcPr>
          <w:p w14:paraId="0125E87E"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2654D5A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F94EF0D" w14:textId="77777777" w:rsidR="00000000" w:rsidRDefault="00832D71">
            <w:pPr>
              <w:pStyle w:val="a3"/>
              <w:spacing w:before="0" w:beforeAutospacing="0" w:after="0" w:afterAutospacing="0"/>
              <w:jc w:val="right"/>
              <w:rPr>
                <w:sz w:val="20"/>
                <w:szCs w:val="20"/>
              </w:rPr>
            </w:pPr>
            <w:r>
              <w:rPr>
                <w:sz w:val="20"/>
                <w:szCs w:val="20"/>
              </w:rPr>
              <w:t>23,89</w:t>
            </w:r>
            <w:r>
              <w:rPr>
                <w:sz w:val="20"/>
                <w:szCs w:val="20"/>
              </w:rPr>
              <w:t>7</w:t>
            </w:r>
          </w:p>
        </w:tc>
        <w:tc>
          <w:tcPr>
            <w:tcW w:w="0" w:type="auto"/>
            <w:noWrap/>
            <w:hideMark/>
          </w:tcPr>
          <w:p w14:paraId="2FA393B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166FD6B" w14:textId="77777777" w:rsidR="00000000" w:rsidRDefault="00832D71">
            <w:pPr>
              <w:pStyle w:val="a3"/>
              <w:spacing w:before="0" w:beforeAutospacing="0" w:after="0" w:afterAutospacing="0"/>
              <w:rPr>
                <w:sz w:val="20"/>
                <w:szCs w:val="20"/>
              </w:rPr>
            </w:pPr>
            <w:r>
              <w:rPr>
                <w:sz w:val="20"/>
                <w:szCs w:val="20"/>
              </w:rPr>
              <w:t> </w:t>
            </w:r>
          </w:p>
        </w:tc>
        <w:tc>
          <w:tcPr>
            <w:tcW w:w="0" w:type="auto"/>
            <w:noWrap/>
            <w:hideMark/>
          </w:tcPr>
          <w:p w14:paraId="5714CA3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39E5960" w14:textId="77777777" w:rsidR="00000000" w:rsidRDefault="00832D71">
            <w:pPr>
              <w:pStyle w:val="a3"/>
              <w:spacing w:before="0" w:beforeAutospacing="0" w:after="0" w:afterAutospacing="0"/>
              <w:jc w:val="right"/>
              <w:rPr>
                <w:sz w:val="20"/>
                <w:szCs w:val="20"/>
              </w:rPr>
            </w:pPr>
            <w:r>
              <w:rPr>
                <w:sz w:val="20"/>
                <w:szCs w:val="20"/>
              </w:rPr>
              <w:t>1,17</w:t>
            </w:r>
            <w:r>
              <w:rPr>
                <w:sz w:val="20"/>
                <w:szCs w:val="20"/>
              </w:rPr>
              <w:t>1</w:t>
            </w:r>
          </w:p>
        </w:tc>
        <w:tc>
          <w:tcPr>
            <w:tcW w:w="0" w:type="auto"/>
            <w:noWrap/>
            <w:hideMark/>
          </w:tcPr>
          <w:p w14:paraId="7CD796F5" w14:textId="77777777" w:rsidR="00000000" w:rsidRDefault="00832D71">
            <w:pPr>
              <w:pStyle w:val="a3"/>
              <w:spacing w:before="0" w:beforeAutospacing="0" w:after="0" w:afterAutospacing="0"/>
              <w:rPr>
                <w:sz w:val="20"/>
                <w:szCs w:val="20"/>
              </w:rPr>
            </w:pPr>
            <w:r>
              <w:rPr>
                <w:sz w:val="20"/>
                <w:szCs w:val="20"/>
              </w:rPr>
              <w:t> </w:t>
            </w:r>
          </w:p>
        </w:tc>
      </w:tr>
    </w:tbl>
    <w:p w14:paraId="737404E7" w14:textId="77777777" w:rsidR="00000000" w:rsidRDefault="00832D71">
      <w:pPr>
        <w:pStyle w:val="a3"/>
        <w:spacing w:before="0" w:beforeAutospacing="0" w:after="0" w:afterAutospacing="0"/>
        <w:divId w:val="1034354723"/>
        <w:rPr>
          <w:sz w:val="20"/>
          <w:szCs w:val="20"/>
        </w:rPr>
      </w:pPr>
      <w:r>
        <w:rPr>
          <w:sz w:val="20"/>
          <w:szCs w:val="20"/>
        </w:rPr>
        <w:t> </w:t>
      </w:r>
    </w:p>
    <w:p w14:paraId="44ECFA71" w14:textId="77777777" w:rsidR="00000000" w:rsidRDefault="00832D71">
      <w:pPr>
        <w:pStyle w:val="a3"/>
        <w:spacing w:before="40" w:beforeAutospacing="0" w:after="0" w:afterAutospacing="0"/>
        <w:jc w:val="both"/>
        <w:divId w:val="1034354723"/>
        <w:rPr>
          <w:sz w:val="20"/>
          <w:szCs w:val="20"/>
        </w:rPr>
      </w:pPr>
      <w:r>
        <w:rPr>
          <w:sz w:val="20"/>
          <w:szCs w:val="20"/>
        </w:rPr>
        <w:t>Estimated future pension benefit payments assumes that age 65 or older active and non-active eligible participants in the pension plan that had not received a benefit payment prior to fiscal 2023 will elect to receive a benefit payment in fiscal 2023. In a</w:t>
      </w:r>
      <w:r>
        <w:rPr>
          <w:sz w:val="20"/>
          <w:szCs w:val="20"/>
        </w:rPr>
        <w:t>ddition, for all periods presented, estimated future pension benefit payments assumes that participants will elect a lump sum payment in the fiscal year that the participant becomes eligible to receive benefits</w:t>
      </w:r>
      <w:r>
        <w:rPr>
          <w:sz w:val="20"/>
          <w:szCs w:val="20"/>
        </w:rPr>
        <w:t>.</w:t>
      </w:r>
    </w:p>
    <w:p w14:paraId="5250A9E0" w14:textId="77777777" w:rsidR="00000000" w:rsidRDefault="00832D71">
      <w:pPr>
        <w:pStyle w:val="a3"/>
        <w:spacing w:before="240" w:beforeAutospacing="0" w:after="0" w:afterAutospacing="0"/>
        <w:jc w:val="both"/>
        <w:divId w:val="1034354723"/>
        <w:rPr>
          <w:sz w:val="20"/>
          <w:szCs w:val="20"/>
        </w:rPr>
      </w:pPr>
      <w:r>
        <w:rPr>
          <w:b/>
          <w:bCs/>
          <w:sz w:val="20"/>
          <w:szCs w:val="20"/>
        </w:rPr>
        <w:t>Effect on Operations</w:t>
      </w:r>
      <w:r>
        <w:rPr>
          <w:b/>
          <w:bCs/>
          <w:sz w:val="20"/>
          <w:szCs w:val="20"/>
        </w:rPr>
        <w:t>.</w:t>
      </w:r>
      <w:r>
        <w:rPr>
          <w:sz w:val="20"/>
          <w:szCs w:val="20"/>
        </w:rPr>
        <w:t xml:space="preserve"> </w:t>
      </w:r>
      <w:r>
        <w:rPr>
          <w:sz w:val="20"/>
          <w:szCs w:val="20"/>
        </w:rPr>
        <w:t>The following table pr</w:t>
      </w:r>
      <w:r>
        <w:rPr>
          <w:sz w:val="20"/>
          <w:szCs w:val="20"/>
        </w:rPr>
        <w:t>ovides the components of net periodic benefit costs included in operating expenses for fiscal</w:t>
      </w:r>
      <w:r>
        <w:rPr>
          <w:sz w:val="20"/>
          <w:szCs w:val="20"/>
        </w:rPr>
        <w:t xml:space="preserve"> </w:t>
      </w:r>
      <w:r>
        <w:rPr>
          <w:sz w:val="20"/>
          <w:szCs w:val="20"/>
        </w:rPr>
        <w:t>2022, 2021 and 2020</w:t>
      </w:r>
      <w:r>
        <w:rPr>
          <w:sz w:val="20"/>
          <w:szCs w:val="20"/>
        </w:rPr>
        <w:t>:</w:t>
      </w:r>
    </w:p>
    <w:p w14:paraId="7B91D4A2" w14:textId="77777777" w:rsidR="00000000" w:rsidRDefault="00832D71">
      <w:pPr>
        <w:pStyle w:val="a3"/>
        <w:spacing w:before="0" w:beforeAutospacing="0" w:after="0" w:afterAutospacing="0"/>
        <w:divId w:val="934752186"/>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47"/>
        <w:gridCol w:w="110"/>
        <w:gridCol w:w="160"/>
        <w:gridCol w:w="577"/>
        <w:gridCol w:w="127"/>
        <w:gridCol w:w="110"/>
        <w:gridCol w:w="160"/>
        <w:gridCol w:w="577"/>
        <w:gridCol w:w="127"/>
        <w:gridCol w:w="110"/>
        <w:gridCol w:w="160"/>
        <w:gridCol w:w="577"/>
        <w:gridCol w:w="127"/>
        <w:gridCol w:w="110"/>
        <w:gridCol w:w="160"/>
        <w:gridCol w:w="577"/>
        <w:gridCol w:w="127"/>
        <w:gridCol w:w="110"/>
        <w:gridCol w:w="160"/>
        <w:gridCol w:w="577"/>
        <w:gridCol w:w="127"/>
        <w:gridCol w:w="110"/>
        <w:gridCol w:w="160"/>
        <w:gridCol w:w="577"/>
        <w:gridCol w:w="142"/>
      </w:tblGrid>
      <w:tr w:rsidR="00000000" w14:paraId="5C455858" w14:textId="77777777">
        <w:trPr>
          <w:divId w:val="934752186"/>
          <w:tblCellSpacing w:w="15" w:type="dxa"/>
        </w:trPr>
        <w:tc>
          <w:tcPr>
            <w:tcW w:w="1632" w:type="pct"/>
            <w:vAlign w:val="center"/>
            <w:hideMark/>
          </w:tcPr>
          <w:p w14:paraId="24973806" w14:textId="77777777" w:rsidR="00000000" w:rsidRDefault="00832D71">
            <w:pPr>
              <w:rPr>
                <w:sz w:val="20"/>
                <w:szCs w:val="20"/>
              </w:rPr>
            </w:pPr>
          </w:p>
        </w:tc>
        <w:tc>
          <w:tcPr>
            <w:tcW w:w="55" w:type="pct"/>
            <w:vAlign w:val="center"/>
            <w:hideMark/>
          </w:tcPr>
          <w:p w14:paraId="584D0AAE" w14:textId="77777777" w:rsidR="00000000" w:rsidRDefault="00832D71">
            <w:pPr>
              <w:rPr>
                <w:rFonts w:eastAsia="Times New Roman"/>
                <w:sz w:val="20"/>
                <w:szCs w:val="20"/>
              </w:rPr>
            </w:pPr>
          </w:p>
        </w:tc>
        <w:tc>
          <w:tcPr>
            <w:tcW w:w="50" w:type="pct"/>
            <w:vAlign w:val="center"/>
            <w:hideMark/>
          </w:tcPr>
          <w:p w14:paraId="1E9FA083" w14:textId="77777777" w:rsidR="00000000" w:rsidRDefault="00832D71">
            <w:pPr>
              <w:rPr>
                <w:rFonts w:eastAsia="Times New Roman"/>
                <w:sz w:val="20"/>
                <w:szCs w:val="20"/>
              </w:rPr>
            </w:pPr>
          </w:p>
        </w:tc>
        <w:tc>
          <w:tcPr>
            <w:tcW w:w="400" w:type="pct"/>
            <w:vAlign w:val="center"/>
            <w:hideMark/>
          </w:tcPr>
          <w:p w14:paraId="6CDD7942" w14:textId="77777777" w:rsidR="00000000" w:rsidRDefault="00832D71">
            <w:pPr>
              <w:rPr>
                <w:rFonts w:eastAsia="Times New Roman"/>
                <w:sz w:val="20"/>
                <w:szCs w:val="20"/>
              </w:rPr>
            </w:pPr>
          </w:p>
        </w:tc>
        <w:tc>
          <w:tcPr>
            <w:tcW w:w="50" w:type="pct"/>
            <w:vAlign w:val="center"/>
            <w:hideMark/>
          </w:tcPr>
          <w:p w14:paraId="0781D79C" w14:textId="77777777" w:rsidR="00000000" w:rsidRDefault="00832D71">
            <w:pPr>
              <w:rPr>
                <w:rFonts w:eastAsia="Times New Roman"/>
                <w:sz w:val="20"/>
                <w:szCs w:val="20"/>
              </w:rPr>
            </w:pPr>
          </w:p>
        </w:tc>
        <w:tc>
          <w:tcPr>
            <w:tcW w:w="55" w:type="pct"/>
            <w:vAlign w:val="center"/>
            <w:hideMark/>
          </w:tcPr>
          <w:p w14:paraId="1B392E40" w14:textId="77777777" w:rsidR="00000000" w:rsidRDefault="00832D71">
            <w:pPr>
              <w:rPr>
                <w:rFonts w:eastAsia="Times New Roman"/>
                <w:sz w:val="20"/>
                <w:szCs w:val="20"/>
              </w:rPr>
            </w:pPr>
          </w:p>
        </w:tc>
        <w:tc>
          <w:tcPr>
            <w:tcW w:w="50" w:type="pct"/>
            <w:vAlign w:val="center"/>
            <w:hideMark/>
          </w:tcPr>
          <w:p w14:paraId="7BB01806" w14:textId="77777777" w:rsidR="00000000" w:rsidRDefault="00832D71">
            <w:pPr>
              <w:rPr>
                <w:rFonts w:eastAsia="Times New Roman"/>
                <w:sz w:val="20"/>
                <w:szCs w:val="20"/>
              </w:rPr>
            </w:pPr>
          </w:p>
        </w:tc>
        <w:tc>
          <w:tcPr>
            <w:tcW w:w="400" w:type="pct"/>
            <w:vAlign w:val="center"/>
            <w:hideMark/>
          </w:tcPr>
          <w:p w14:paraId="2D96A906" w14:textId="77777777" w:rsidR="00000000" w:rsidRDefault="00832D71">
            <w:pPr>
              <w:rPr>
                <w:rFonts w:eastAsia="Times New Roman"/>
                <w:sz w:val="20"/>
                <w:szCs w:val="20"/>
              </w:rPr>
            </w:pPr>
          </w:p>
        </w:tc>
        <w:tc>
          <w:tcPr>
            <w:tcW w:w="50" w:type="pct"/>
            <w:vAlign w:val="center"/>
            <w:hideMark/>
          </w:tcPr>
          <w:p w14:paraId="07DF14FD" w14:textId="77777777" w:rsidR="00000000" w:rsidRDefault="00832D71">
            <w:pPr>
              <w:rPr>
                <w:rFonts w:eastAsia="Times New Roman"/>
                <w:sz w:val="20"/>
                <w:szCs w:val="20"/>
              </w:rPr>
            </w:pPr>
          </w:p>
        </w:tc>
        <w:tc>
          <w:tcPr>
            <w:tcW w:w="55" w:type="pct"/>
            <w:vAlign w:val="center"/>
            <w:hideMark/>
          </w:tcPr>
          <w:p w14:paraId="1434DE2B" w14:textId="77777777" w:rsidR="00000000" w:rsidRDefault="00832D71">
            <w:pPr>
              <w:rPr>
                <w:rFonts w:eastAsia="Times New Roman"/>
                <w:sz w:val="20"/>
                <w:szCs w:val="20"/>
              </w:rPr>
            </w:pPr>
          </w:p>
        </w:tc>
        <w:tc>
          <w:tcPr>
            <w:tcW w:w="50" w:type="pct"/>
            <w:vAlign w:val="center"/>
            <w:hideMark/>
          </w:tcPr>
          <w:p w14:paraId="4B3BCA33" w14:textId="77777777" w:rsidR="00000000" w:rsidRDefault="00832D71">
            <w:pPr>
              <w:rPr>
                <w:rFonts w:eastAsia="Times New Roman"/>
                <w:sz w:val="20"/>
                <w:szCs w:val="20"/>
              </w:rPr>
            </w:pPr>
          </w:p>
        </w:tc>
        <w:tc>
          <w:tcPr>
            <w:tcW w:w="411" w:type="pct"/>
            <w:vAlign w:val="center"/>
            <w:hideMark/>
          </w:tcPr>
          <w:p w14:paraId="4FC8D14E" w14:textId="77777777" w:rsidR="00000000" w:rsidRDefault="00832D71">
            <w:pPr>
              <w:rPr>
                <w:rFonts w:eastAsia="Times New Roman"/>
                <w:sz w:val="20"/>
                <w:szCs w:val="20"/>
              </w:rPr>
            </w:pPr>
          </w:p>
        </w:tc>
        <w:tc>
          <w:tcPr>
            <w:tcW w:w="50" w:type="pct"/>
            <w:vAlign w:val="center"/>
            <w:hideMark/>
          </w:tcPr>
          <w:p w14:paraId="661281D0" w14:textId="77777777" w:rsidR="00000000" w:rsidRDefault="00832D71">
            <w:pPr>
              <w:rPr>
                <w:rFonts w:eastAsia="Times New Roman"/>
                <w:sz w:val="20"/>
                <w:szCs w:val="20"/>
              </w:rPr>
            </w:pPr>
          </w:p>
        </w:tc>
        <w:tc>
          <w:tcPr>
            <w:tcW w:w="55" w:type="pct"/>
            <w:vAlign w:val="center"/>
            <w:hideMark/>
          </w:tcPr>
          <w:p w14:paraId="6F0AF8A7" w14:textId="77777777" w:rsidR="00000000" w:rsidRDefault="00832D71">
            <w:pPr>
              <w:rPr>
                <w:rFonts w:eastAsia="Times New Roman"/>
                <w:sz w:val="20"/>
                <w:szCs w:val="20"/>
              </w:rPr>
            </w:pPr>
          </w:p>
        </w:tc>
        <w:tc>
          <w:tcPr>
            <w:tcW w:w="50" w:type="pct"/>
            <w:vAlign w:val="center"/>
            <w:hideMark/>
          </w:tcPr>
          <w:p w14:paraId="12F214AF" w14:textId="77777777" w:rsidR="00000000" w:rsidRDefault="00832D71">
            <w:pPr>
              <w:rPr>
                <w:rFonts w:eastAsia="Times New Roman"/>
                <w:sz w:val="20"/>
                <w:szCs w:val="20"/>
              </w:rPr>
            </w:pPr>
          </w:p>
        </w:tc>
        <w:tc>
          <w:tcPr>
            <w:tcW w:w="404" w:type="pct"/>
            <w:vAlign w:val="center"/>
            <w:hideMark/>
          </w:tcPr>
          <w:p w14:paraId="6C103458" w14:textId="77777777" w:rsidR="00000000" w:rsidRDefault="00832D71">
            <w:pPr>
              <w:rPr>
                <w:rFonts w:eastAsia="Times New Roman"/>
                <w:sz w:val="20"/>
                <w:szCs w:val="20"/>
              </w:rPr>
            </w:pPr>
          </w:p>
        </w:tc>
        <w:tc>
          <w:tcPr>
            <w:tcW w:w="50" w:type="pct"/>
            <w:vAlign w:val="center"/>
            <w:hideMark/>
          </w:tcPr>
          <w:p w14:paraId="44B50BB4" w14:textId="77777777" w:rsidR="00000000" w:rsidRDefault="00832D71">
            <w:pPr>
              <w:rPr>
                <w:rFonts w:eastAsia="Times New Roman"/>
                <w:sz w:val="20"/>
                <w:szCs w:val="20"/>
              </w:rPr>
            </w:pPr>
          </w:p>
        </w:tc>
        <w:tc>
          <w:tcPr>
            <w:tcW w:w="55" w:type="pct"/>
            <w:vAlign w:val="center"/>
            <w:hideMark/>
          </w:tcPr>
          <w:p w14:paraId="708EDC6B" w14:textId="77777777" w:rsidR="00000000" w:rsidRDefault="00832D71">
            <w:pPr>
              <w:rPr>
                <w:rFonts w:eastAsia="Times New Roman"/>
                <w:sz w:val="20"/>
                <w:szCs w:val="20"/>
              </w:rPr>
            </w:pPr>
          </w:p>
        </w:tc>
        <w:tc>
          <w:tcPr>
            <w:tcW w:w="50" w:type="pct"/>
            <w:vAlign w:val="center"/>
            <w:hideMark/>
          </w:tcPr>
          <w:p w14:paraId="33AAE185" w14:textId="77777777" w:rsidR="00000000" w:rsidRDefault="00832D71">
            <w:pPr>
              <w:rPr>
                <w:rFonts w:eastAsia="Times New Roman"/>
                <w:sz w:val="20"/>
                <w:szCs w:val="20"/>
              </w:rPr>
            </w:pPr>
          </w:p>
        </w:tc>
        <w:tc>
          <w:tcPr>
            <w:tcW w:w="404" w:type="pct"/>
            <w:vAlign w:val="center"/>
            <w:hideMark/>
          </w:tcPr>
          <w:p w14:paraId="3D9A6D7B" w14:textId="77777777" w:rsidR="00000000" w:rsidRDefault="00832D71">
            <w:pPr>
              <w:rPr>
                <w:rFonts w:eastAsia="Times New Roman"/>
                <w:sz w:val="20"/>
                <w:szCs w:val="20"/>
              </w:rPr>
            </w:pPr>
          </w:p>
        </w:tc>
        <w:tc>
          <w:tcPr>
            <w:tcW w:w="50" w:type="pct"/>
            <w:vAlign w:val="center"/>
            <w:hideMark/>
          </w:tcPr>
          <w:p w14:paraId="6866CA11" w14:textId="77777777" w:rsidR="00000000" w:rsidRDefault="00832D71">
            <w:pPr>
              <w:rPr>
                <w:rFonts w:eastAsia="Times New Roman"/>
                <w:sz w:val="20"/>
                <w:szCs w:val="20"/>
              </w:rPr>
            </w:pPr>
          </w:p>
        </w:tc>
        <w:tc>
          <w:tcPr>
            <w:tcW w:w="55" w:type="pct"/>
            <w:vAlign w:val="center"/>
            <w:hideMark/>
          </w:tcPr>
          <w:p w14:paraId="4A62EBD5" w14:textId="77777777" w:rsidR="00000000" w:rsidRDefault="00832D71">
            <w:pPr>
              <w:rPr>
                <w:rFonts w:eastAsia="Times New Roman"/>
                <w:sz w:val="20"/>
                <w:szCs w:val="20"/>
              </w:rPr>
            </w:pPr>
          </w:p>
        </w:tc>
        <w:tc>
          <w:tcPr>
            <w:tcW w:w="50" w:type="pct"/>
            <w:vAlign w:val="center"/>
            <w:hideMark/>
          </w:tcPr>
          <w:p w14:paraId="4FFE154E" w14:textId="77777777" w:rsidR="00000000" w:rsidRDefault="00832D71">
            <w:pPr>
              <w:rPr>
                <w:rFonts w:eastAsia="Times New Roman"/>
                <w:sz w:val="20"/>
                <w:szCs w:val="20"/>
              </w:rPr>
            </w:pPr>
          </w:p>
        </w:tc>
        <w:tc>
          <w:tcPr>
            <w:tcW w:w="413" w:type="pct"/>
            <w:vAlign w:val="center"/>
            <w:hideMark/>
          </w:tcPr>
          <w:p w14:paraId="618443C0" w14:textId="77777777" w:rsidR="00000000" w:rsidRDefault="00832D71">
            <w:pPr>
              <w:rPr>
                <w:rFonts w:eastAsia="Times New Roman"/>
                <w:sz w:val="20"/>
                <w:szCs w:val="20"/>
              </w:rPr>
            </w:pPr>
          </w:p>
        </w:tc>
        <w:tc>
          <w:tcPr>
            <w:tcW w:w="50" w:type="pct"/>
            <w:vAlign w:val="center"/>
            <w:hideMark/>
          </w:tcPr>
          <w:p w14:paraId="2A28049A" w14:textId="77777777" w:rsidR="00000000" w:rsidRDefault="00832D71">
            <w:pPr>
              <w:rPr>
                <w:rFonts w:eastAsia="Times New Roman"/>
                <w:sz w:val="20"/>
                <w:szCs w:val="20"/>
              </w:rPr>
            </w:pPr>
          </w:p>
        </w:tc>
      </w:tr>
      <w:tr w:rsidR="00000000" w14:paraId="20BD044B" w14:textId="77777777">
        <w:trPr>
          <w:divId w:val="934752186"/>
          <w:trHeight w:val="160"/>
          <w:tblCellSpacing w:w="15" w:type="dxa"/>
        </w:trPr>
        <w:tc>
          <w:tcPr>
            <w:tcW w:w="0" w:type="auto"/>
            <w:vAlign w:val="bottom"/>
            <w:hideMark/>
          </w:tcPr>
          <w:p w14:paraId="6B5AFDFC"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CCE9A78" w14:textId="77777777" w:rsidR="00000000" w:rsidRDefault="00832D71">
            <w:pPr>
              <w:pStyle w:val="a3"/>
              <w:spacing w:before="0" w:beforeAutospacing="0" w:after="0" w:afterAutospacing="0"/>
              <w:rPr>
                <w:sz w:val="16"/>
                <w:szCs w:val="16"/>
              </w:rPr>
            </w:pPr>
            <w:r>
              <w:rPr>
                <w:sz w:val="16"/>
                <w:szCs w:val="16"/>
              </w:rPr>
              <w:t> </w:t>
            </w:r>
          </w:p>
        </w:tc>
        <w:tc>
          <w:tcPr>
            <w:tcW w:w="0" w:type="auto"/>
            <w:gridSpan w:val="10"/>
            <w:vAlign w:val="bottom"/>
            <w:hideMark/>
          </w:tcPr>
          <w:p w14:paraId="3D08B30E" w14:textId="77777777" w:rsidR="00000000" w:rsidRDefault="00832D71">
            <w:pPr>
              <w:pStyle w:val="a3"/>
              <w:spacing w:before="0" w:beforeAutospacing="0" w:after="0" w:afterAutospacing="0"/>
              <w:jc w:val="center"/>
              <w:rPr>
                <w:sz w:val="16"/>
                <w:szCs w:val="16"/>
              </w:rPr>
            </w:pPr>
            <w:r>
              <w:rPr>
                <w:b/>
                <w:bCs/>
                <w:sz w:val="16"/>
                <w:szCs w:val="16"/>
              </w:rPr>
              <w:t>Pension Benefit</w:t>
            </w:r>
            <w:r>
              <w:rPr>
                <w:b/>
                <w:bCs/>
                <w:sz w:val="16"/>
                <w:szCs w:val="16"/>
              </w:rPr>
              <w:t>s</w:t>
            </w:r>
          </w:p>
        </w:tc>
        <w:tc>
          <w:tcPr>
            <w:tcW w:w="0" w:type="auto"/>
            <w:vAlign w:val="bottom"/>
            <w:hideMark/>
          </w:tcPr>
          <w:p w14:paraId="11C9E22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8F693C5" w14:textId="77777777" w:rsidR="00000000" w:rsidRDefault="00832D71">
            <w:pPr>
              <w:pStyle w:val="a3"/>
              <w:spacing w:before="0" w:beforeAutospacing="0" w:after="0" w:afterAutospacing="0"/>
              <w:rPr>
                <w:sz w:val="16"/>
                <w:szCs w:val="16"/>
              </w:rPr>
            </w:pPr>
            <w:r>
              <w:rPr>
                <w:sz w:val="16"/>
                <w:szCs w:val="16"/>
              </w:rPr>
              <w:t> </w:t>
            </w:r>
          </w:p>
        </w:tc>
        <w:tc>
          <w:tcPr>
            <w:tcW w:w="0" w:type="auto"/>
            <w:gridSpan w:val="10"/>
            <w:vAlign w:val="bottom"/>
            <w:hideMark/>
          </w:tcPr>
          <w:p w14:paraId="768FA19D" w14:textId="77777777" w:rsidR="00000000" w:rsidRDefault="00832D71">
            <w:pPr>
              <w:pStyle w:val="a3"/>
              <w:spacing w:before="0" w:beforeAutospacing="0" w:after="0" w:afterAutospacing="0"/>
              <w:jc w:val="center"/>
              <w:rPr>
                <w:sz w:val="16"/>
                <w:szCs w:val="16"/>
              </w:rPr>
            </w:pPr>
            <w:r>
              <w:rPr>
                <w:b/>
                <w:bCs/>
                <w:sz w:val="16"/>
                <w:szCs w:val="16"/>
              </w:rPr>
              <w:t>Retiree Health and Life Benefit</w:t>
            </w:r>
            <w:r>
              <w:rPr>
                <w:b/>
                <w:bCs/>
                <w:sz w:val="16"/>
                <w:szCs w:val="16"/>
              </w:rPr>
              <w:t>s</w:t>
            </w:r>
          </w:p>
        </w:tc>
        <w:tc>
          <w:tcPr>
            <w:tcW w:w="0" w:type="auto"/>
            <w:vAlign w:val="bottom"/>
            <w:hideMark/>
          </w:tcPr>
          <w:p w14:paraId="7F37F4F3"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565A6623" w14:textId="77777777">
        <w:trPr>
          <w:divId w:val="934752186"/>
          <w:trHeight w:val="160"/>
          <w:tblCellSpacing w:w="15" w:type="dxa"/>
        </w:trPr>
        <w:tc>
          <w:tcPr>
            <w:tcW w:w="0" w:type="auto"/>
            <w:vAlign w:val="bottom"/>
            <w:hideMark/>
          </w:tcPr>
          <w:p w14:paraId="0E5A6806"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D55593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E4B6A52"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7E3A8422"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5EBFCF9"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954903B"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6C2E14FA"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EE7AA1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8750427"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1C2D372B"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DAA2EC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4D19768"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07AA481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A9BCBD5"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5E7766F"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0BB741D1"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06498F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E4CEB62"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67EEFC85"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4D85274" w14:textId="77777777">
        <w:trPr>
          <w:divId w:val="934752186"/>
          <w:trHeight w:val="200"/>
          <w:tblCellSpacing w:w="15" w:type="dxa"/>
        </w:trPr>
        <w:tc>
          <w:tcPr>
            <w:tcW w:w="0" w:type="auto"/>
            <w:hideMark/>
          </w:tcPr>
          <w:p w14:paraId="650D352A" w14:textId="77777777" w:rsidR="00000000" w:rsidRDefault="00832D71">
            <w:pPr>
              <w:pStyle w:val="a3"/>
              <w:spacing w:before="0" w:beforeAutospacing="0" w:after="0" w:afterAutospacing="0"/>
              <w:rPr>
                <w:sz w:val="20"/>
                <w:szCs w:val="20"/>
              </w:rPr>
            </w:pPr>
            <w:r>
              <w:rPr>
                <w:sz w:val="20"/>
                <w:szCs w:val="20"/>
              </w:rPr>
              <w:t>Interest cos</w:t>
            </w:r>
            <w:r>
              <w:rPr>
                <w:sz w:val="20"/>
                <w:szCs w:val="20"/>
              </w:rPr>
              <w:t>t</w:t>
            </w:r>
          </w:p>
        </w:tc>
        <w:tc>
          <w:tcPr>
            <w:tcW w:w="0" w:type="auto"/>
            <w:hideMark/>
          </w:tcPr>
          <w:p w14:paraId="46BD6E0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C33510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7B903EB" w14:textId="77777777" w:rsidR="00000000" w:rsidRDefault="00832D71">
            <w:pPr>
              <w:pStyle w:val="a3"/>
              <w:spacing w:before="0" w:beforeAutospacing="0" w:after="0" w:afterAutospacing="0"/>
              <w:jc w:val="right"/>
              <w:rPr>
                <w:sz w:val="20"/>
                <w:szCs w:val="20"/>
              </w:rPr>
            </w:pPr>
            <w:r>
              <w:rPr>
                <w:sz w:val="20"/>
                <w:szCs w:val="20"/>
              </w:rPr>
              <w:t>2,45</w:t>
            </w:r>
            <w:r>
              <w:rPr>
                <w:sz w:val="20"/>
                <w:szCs w:val="20"/>
              </w:rPr>
              <w:t>9</w:t>
            </w:r>
          </w:p>
        </w:tc>
        <w:tc>
          <w:tcPr>
            <w:tcW w:w="0" w:type="auto"/>
            <w:noWrap/>
            <w:vAlign w:val="bottom"/>
            <w:hideMark/>
          </w:tcPr>
          <w:p w14:paraId="5FD7F7A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B44C517"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1849F42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8273156" w14:textId="77777777" w:rsidR="00000000" w:rsidRDefault="00832D71">
            <w:pPr>
              <w:pStyle w:val="a3"/>
              <w:spacing w:before="0" w:beforeAutospacing="0" w:after="0" w:afterAutospacing="0"/>
              <w:jc w:val="right"/>
              <w:rPr>
                <w:sz w:val="20"/>
                <w:szCs w:val="20"/>
              </w:rPr>
            </w:pPr>
            <w:r>
              <w:rPr>
                <w:sz w:val="20"/>
                <w:szCs w:val="20"/>
              </w:rPr>
              <w:t>2,26</w:t>
            </w:r>
            <w:r>
              <w:rPr>
                <w:sz w:val="20"/>
                <w:szCs w:val="20"/>
              </w:rPr>
              <w:t>3</w:t>
            </w:r>
          </w:p>
        </w:tc>
        <w:tc>
          <w:tcPr>
            <w:tcW w:w="0" w:type="auto"/>
            <w:noWrap/>
            <w:vAlign w:val="bottom"/>
            <w:hideMark/>
          </w:tcPr>
          <w:p w14:paraId="429C958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C21E584"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0B6EC1A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3074509" w14:textId="77777777" w:rsidR="00000000" w:rsidRDefault="00832D71">
            <w:pPr>
              <w:pStyle w:val="a3"/>
              <w:spacing w:before="0" w:beforeAutospacing="0" w:after="0" w:afterAutospacing="0"/>
              <w:jc w:val="right"/>
              <w:rPr>
                <w:sz w:val="20"/>
                <w:szCs w:val="20"/>
              </w:rPr>
            </w:pPr>
            <w:r>
              <w:rPr>
                <w:sz w:val="20"/>
                <w:szCs w:val="20"/>
              </w:rPr>
              <w:t>2,72</w:t>
            </w:r>
            <w:r>
              <w:rPr>
                <w:sz w:val="20"/>
                <w:szCs w:val="20"/>
              </w:rPr>
              <w:t>6</w:t>
            </w:r>
          </w:p>
        </w:tc>
        <w:tc>
          <w:tcPr>
            <w:tcW w:w="0" w:type="auto"/>
            <w:noWrap/>
            <w:vAlign w:val="bottom"/>
            <w:hideMark/>
          </w:tcPr>
          <w:p w14:paraId="38F0344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213332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59D6BE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3425583" w14:textId="77777777" w:rsidR="00000000" w:rsidRDefault="00832D71">
            <w:pPr>
              <w:pStyle w:val="a3"/>
              <w:spacing w:before="0" w:beforeAutospacing="0" w:after="0" w:afterAutospacing="0"/>
              <w:jc w:val="right"/>
              <w:rPr>
                <w:sz w:val="20"/>
                <w:szCs w:val="20"/>
              </w:rPr>
            </w:pPr>
            <w:r>
              <w:rPr>
                <w:sz w:val="20"/>
                <w:szCs w:val="20"/>
              </w:rPr>
              <w:t>8</w:t>
            </w:r>
            <w:r>
              <w:rPr>
                <w:sz w:val="20"/>
                <w:szCs w:val="20"/>
              </w:rPr>
              <w:t>1</w:t>
            </w:r>
          </w:p>
        </w:tc>
        <w:tc>
          <w:tcPr>
            <w:tcW w:w="0" w:type="auto"/>
            <w:noWrap/>
            <w:vAlign w:val="bottom"/>
            <w:hideMark/>
          </w:tcPr>
          <w:p w14:paraId="02D76A7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D1B4174"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39AAAEC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400A6AB" w14:textId="77777777" w:rsidR="00000000" w:rsidRDefault="00832D71">
            <w:pPr>
              <w:pStyle w:val="a3"/>
              <w:spacing w:before="0" w:beforeAutospacing="0" w:after="0" w:afterAutospacing="0"/>
              <w:jc w:val="right"/>
              <w:rPr>
                <w:sz w:val="20"/>
                <w:szCs w:val="20"/>
              </w:rPr>
            </w:pPr>
            <w:r>
              <w:rPr>
                <w:sz w:val="20"/>
                <w:szCs w:val="20"/>
              </w:rPr>
              <w:t>7</w:t>
            </w:r>
            <w:r>
              <w:rPr>
                <w:sz w:val="20"/>
                <w:szCs w:val="20"/>
              </w:rPr>
              <w:t>7</w:t>
            </w:r>
          </w:p>
        </w:tc>
        <w:tc>
          <w:tcPr>
            <w:tcW w:w="0" w:type="auto"/>
            <w:noWrap/>
            <w:vAlign w:val="bottom"/>
            <w:hideMark/>
          </w:tcPr>
          <w:p w14:paraId="0806D0C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8852AC8"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77C6FA1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7764B55" w14:textId="77777777" w:rsidR="00000000" w:rsidRDefault="00832D71">
            <w:pPr>
              <w:pStyle w:val="a3"/>
              <w:spacing w:before="0" w:beforeAutospacing="0" w:after="0" w:afterAutospacing="0"/>
              <w:jc w:val="right"/>
              <w:rPr>
                <w:sz w:val="20"/>
                <w:szCs w:val="20"/>
              </w:rPr>
            </w:pPr>
            <w:r>
              <w:rPr>
                <w:sz w:val="20"/>
                <w:szCs w:val="20"/>
              </w:rPr>
              <w:t>15</w:t>
            </w:r>
            <w:r>
              <w:rPr>
                <w:sz w:val="20"/>
                <w:szCs w:val="20"/>
              </w:rPr>
              <w:t>1</w:t>
            </w:r>
          </w:p>
        </w:tc>
        <w:tc>
          <w:tcPr>
            <w:tcW w:w="0" w:type="auto"/>
            <w:noWrap/>
            <w:vAlign w:val="bottom"/>
            <w:hideMark/>
          </w:tcPr>
          <w:p w14:paraId="0034CE3B" w14:textId="77777777" w:rsidR="00000000" w:rsidRDefault="00832D71">
            <w:pPr>
              <w:pStyle w:val="a3"/>
              <w:spacing w:before="0" w:beforeAutospacing="0" w:after="0" w:afterAutospacing="0"/>
              <w:rPr>
                <w:sz w:val="20"/>
                <w:szCs w:val="20"/>
              </w:rPr>
            </w:pPr>
            <w:r>
              <w:rPr>
                <w:sz w:val="20"/>
                <w:szCs w:val="20"/>
              </w:rPr>
              <w:t> </w:t>
            </w:r>
          </w:p>
        </w:tc>
      </w:tr>
      <w:tr w:rsidR="00000000" w14:paraId="2CE9C18F" w14:textId="77777777">
        <w:trPr>
          <w:divId w:val="934752186"/>
          <w:trHeight w:val="200"/>
          <w:tblCellSpacing w:w="15" w:type="dxa"/>
        </w:trPr>
        <w:tc>
          <w:tcPr>
            <w:tcW w:w="0" w:type="auto"/>
            <w:hideMark/>
          </w:tcPr>
          <w:p w14:paraId="79DFD546" w14:textId="77777777" w:rsidR="00000000" w:rsidRDefault="00832D71">
            <w:pPr>
              <w:pStyle w:val="a3"/>
              <w:spacing w:before="0" w:beforeAutospacing="0" w:after="0" w:afterAutospacing="0"/>
              <w:rPr>
                <w:sz w:val="20"/>
                <w:szCs w:val="20"/>
              </w:rPr>
            </w:pPr>
            <w:r>
              <w:rPr>
                <w:sz w:val="20"/>
                <w:szCs w:val="20"/>
              </w:rPr>
              <w:t>Expected return on plan asset</w:t>
            </w:r>
            <w:r>
              <w:rPr>
                <w:sz w:val="20"/>
                <w:szCs w:val="20"/>
              </w:rPr>
              <w:t>s</w:t>
            </w:r>
          </w:p>
        </w:tc>
        <w:tc>
          <w:tcPr>
            <w:tcW w:w="0" w:type="auto"/>
            <w:hideMark/>
          </w:tcPr>
          <w:p w14:paraId="1B05E24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BC70E5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E7D26AC" w14:textId="77777777" w:rsidR="00000000" w:rsidRDefault="00832D71">
            <w:pPr>
              <w:pStyle w:val="a3"/>
              <w:spacing w:before="0" w:beforeAutospacing="0" w:after="0" w:afterAutospacing="0"/>
              <w:jc w:val="right"/>
              <w:rPr>
                <w:sz w:val="20"/>
                <w:szCs w:val="20"/>
              </w:rPr>
            </w:pPr>
            <w:r>
              <w:rPr>
                <w:sz w:val="20"/>
                <w:szCs w:val="20"/>
              </w:rPr>
              <w:t>(</w:t>
            </w:r>
            <w:r>
              <w:rPr>
                <w:sz w:val="20"/>
                <w:szCs w:val="20"/>
              </w:rPr>
              <w:t>1,39</w:t>
            </w:r>
            <w:r>
              <w:rPr>
                <w:sz w:val="20"/>
                <w:szCs w:val="20"/>
              </w:rPr>
              <w:t>2</w:t>
            </w:r>
          </w:p>
        </w:tc>
        <w:tc>
          <w:tcPr>
            <w:tcW w:w="0" w:type="auto"/>
            <w:noWrap/>
            <w:vAlign w:val="bottom"/>
            <w:hideMark/>
          </w:tcPr>
          <w:p w14:paraId="124167E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23B02F2"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5CECE07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66B49DD" w14:textId="77777777" w:rsidR="00000000" w:rsidRDefault="00832D71">
            <w:pPr>
              <w:pStyle w:val="a3"/>
              <w:spacing w:before="0" w:beforeAutospacing="0" w:after="0" w:afterAutospacing="0"/>
              <w:jc w:val="right"/>
              <w:rPr>
                <w:sz w:val="20"/>
                <w:szCs w:val="20"/>
              </w:rPr>
            </w:pPr>
            <w:r>
              <w:rPr>
                <w:sz w:val="20"/>
                <w:szCs w:val="20"/>
              </w:rPr>
              <w:t>(</w:t>
            </w:r>
            <w:r>
              <w:rPr>
                <w:sz w:val="20"/>
                <w:szCs w:val="20"/>
              </w:rPr>
              <w:t>1,26</w:t>
            </w:r>
            <w:r>
              <w:rPr>
                <w:sz w:val="20"/>
                <w:szCs w:val="20"/>
              </w:rPr>
              <w:t>6</w:t>
            </w:r>
          </w:p>
        </w:tc>
        <w:tc>
          <w:tcPr>
            <w:tcW w:w="0" w:type="auto"/>
            <w:noWrap/>
            <w:vAlign w:val="bottom"/>
            <w:hideMark/>
          </w:tcPr>
          <w:p w14:paraId="5CFD4B9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C49FBC7"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3D4D014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E369732" w14:textId="77777777" w:rsidR="00000000" w:rsidRDefault="00832D71">
            <w:pPr>
              <w:pStyle w:val="a3"/>
              <w:spacing w:before="0" w:beforeAutospacing="0" w:after="0" w:afterAutospacing="0"/>
              <w:jc w:val="right"/>
              <w:rPr>
                <w:sz w:val="20"/>
                <w:szCs w:val="20"/>
              </w:rPr>
            </w:pPr>
            <w:r>
              <w:rPr>
                <w:sz w:val="20"/>
                <w:szCs w:val="20"/>
              </w:rPr>
              <w:t>(</w:t>
            </w:r>
            <w:r>
              <w:rPr>
                <w:sz w:val="20"/>
                <w:szCs w:val="20"/>
              </w:rPr>
              <w:t>1,27</w:t>
            </w:r>
            <w:r>
              <w:rPr>
                <w:sz w:val="20"/>
                <w:szCs w:val="20"/>
              </w:rPr>
              <w:t>0</w:t>
            </w:r>
          </w:p>
        </w:tc>
        <w:tc>
          <w:tcPr>
            <w:tcW w:w="0" w:type="auto"/>
            <w:noWrap/>
            <w:vAlign w:val="bottom"/>
            <w:hideMark/>
          </w:tcPr>
          <w:p w14:paraId="1F533EEB"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7A18A7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B4A1A4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4DED2DD"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434C1D4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A0B56ED"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001295C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4096276"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5713414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8BC244D"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04C959D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B886BF7"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7BA2BAEB" w14:textId="77777777" w:rsidR="00000000" w:rsidRDefault="00832D71">
            <w:pPr>
              <w:pStyle w:val="a3"/>
              <w:spacing w:before="0" w:beforeAutospacing="0" w:after="0" w:afterAutospacing="0"/>
              <w:rPr>
                <w:sz w:val="20"/>
                <w:szCs w:val="20"/>
              </w:rPr>
            </w:pPr>
            <w:r>
              <w:rPr>
                <w:sz w:val="20"/>
                <w:szCs w:val="20"/>
              </w:rPr>
              <w:t> </w:t>
            </w:r>
          </w:p>
        </w:tc>
      </w:tr>
      <w:tr w:rsidR="00000000" w14:paraId="0555AF86" w14:textId="77777777">
        <w:trPr>
          <w:divId w:val="934752186"/>
          <w:trHeight w:val="200"/>
          <w:tblCellSpacing w:w="15" w:type="dxa"/>
        </w:trPr>
        <w:tc>
          <w:tcPr>
            <w:tcW w:w="0" w:type="auto"/>
            <w:hideMark/>
          </w:tcPr>
          <w:p w14:paraId="1EB34BEA" w14:textId="77777777" w:rsidR="00000000" w:rsidRDefault="00832D71">
            <w:pPr>
              <w:pStyle w:val="a3"/>
              <w:spacing w:before="0" w:beforeAutospacing="0" w:after="0" w:afterAutospacing="0"/>
              <w:rPr>
                <w:sz w:val="20"/>
                <w:szCs w:val="20"/>
              </w:rPr>
            </w:pPr>
            <w:r>
              <w:rPr>
                <w:sz w:val="20"/>
                <w:szCs w:val="20"/>
              </w:rPr>
              <w:t>Amortization of prior service credi</w:t>
            </w:r>
            <w:r>
              <w:rPr>
                <w:sz w:val="20"/>
                <w:szCs w:val="20"/>
              </w:rPr>
              <w:t>t</w:t>
            </w:r>
          </w:p>
        </w:tc>
        <w:tc>
          <w:tcPr>
            <w:tcW w:w="0" w:type="auto"/>
            <w:hideMark/>
          </w:tcPr>
          <w:p w14:paraId="5F7415F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37C7DC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9F2003A"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33FF8F1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E21D712"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2344CCB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16D8595"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1AA727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2F5B75E"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278841D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1533B95"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61218AD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ED8071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093CA0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0BB3B5F" w14:textId="77777777" w:rsidR="00000000" w:rsidRDefault="00832D71">
            <w:pPr>
              <w:pStyle w:val="a3"/>
              <w:spacing w:before="0" w:beforeAutospacing="0" w:after="0" w:afterAutospacing="0"/>
              <w:jc w:val="right"/>
              <w:rPr>
                <w:sz w:val="20"/>
                <w:szCs w:val="20"/>
              </w:rPr>
            </w:pPr>
            <w:r>
              <w:rPr>
                <w:sz w:val="20"/>
                <w:szCs w:val="20"/>
              </w:rPr>
              <w:t>(</w:t>
            </w:r>
            <w:r>
              <w:rPr>
                <w:sz w:val="20"/>
                <w:szCs w:val="20"/>
              </w:rPr>
              <w:t>49</w:t>
            </w:r>
            <w:r>
              <w:rPr>
                <w:sz w:val="20"/>
                <w:szCs w:val="20"/>
              </w:rPr>
              <w:t>8</w:t>
            </w:r>
          </w:p>
        </w:tc>
        <w:tc>
          <w:tcPr>
            <w:tcW w:w="0" w:type="auto"/>
            <w:noWrap/>
            <w:vAlign w:val="bottom"/>
            <w:hideMark/>
          </w:tcPr>
          <w:p w14:paraId="09E1A5E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0A5273E"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4ADF371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0511E5B" w14:textId="77777777" w:rsidR="00000000" w:rsidRDefault="00832D71">
            <w:pPr>
              <w:pStyle w:val="a3"/>
              <w:spacing w:before="0" w:beforeAutospacing="0" w:after="0" w:afterAutospacing="0"/>
              <w:jc w:val="right"/>
              <w:rPr>
                <w:sz w:val="20"/>
                <w:szCs w:val="20"/>
              </w:rPr>
            </w:pPr>
            <w:r>
              <w:rPr>
                <w:sz w:val="20"/>
                <w:szCs w:val="20"/>
              </w:rPr>
              <w:t>(</w:t>
            </w:r>
            <w:r>
              <w:rPr>
                <w:sz w:val="20"/>
                <w:szCs w:val="20"/>
              </w:rPr>
              <w:t>49</w:t>
            </w:r>
            <w:r>
              <w:rPr>
                <w:sz w:val="20"/>
                <w:szCs w:val="20"/>
              </w:rPr>
              <w:t>8</w:t>
            </w:r>
          </w:p>
        </w:tc>
        <w:tc>
          <w:tcPr>
            <w:tcW w:w="0" w:type="auto"/>
            <w:noWrap/>
            <w:vAlign w:val="bottom"/>
            <w:hideMark/>
          </w:tcPr>
          <w:p w14:paraId="7306815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B9BEECB"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0824D10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773562E" w14:textId="77777777" w:rsidR="00000000" w:rsidRDefault="00832D71">
            <w:pPr>
              <w:pStyle w:val="a3"/>
              <w:spacing w:before="0" w:beforeAutospacing="0" w:after="0" w:afterAutospacing="0"/>
              <w:jc w:val="right"/>
              <w:rPr>
                <w:sz w:val="20"/>
                <w:szCs w:val="20"/>
              </w:rPr>
            </w:pPr>
            <w:r>
              <w:rPr>
                <w:sz w:val="20"/>
                <w:szCs w:val="20"/>
              </w:rPr>
              <w:t>(</w:t>
            </w:r>
            <w:r>
              <w:rPr>
                <w:sz w:val="20"/>
                <w:szCs w:val="20"/>
              </w:rPr>
              <w:t>49</w:t>
            </w:r>
            <w:r>
              <w:rPr>
                <w:sz w:val="20"/>
                <w:szCs w:val="20"/>
              </w:rPr>
              <w:t>8</w:t>
            </w:r>
          </w:p>
        </w:tc>
        <w:tc>
          <w:tcPr>
            <w:tcW w:w="0" w:type="auto"/>
            <w:noWrap/>
            <w:vAlign w:val="bottom"/>
            <w:hideMark/>
          </w:tcPr>
          <w:p w14:paraId="6EBDE060" w14:textId="77777777" w:rsidR="00000000" w:rsidRDefault="00832D71">
            <w:pPr>
              <w:pStyle w:val="a3"/>
              <w:spacing w:before="0" w:beforeAutospacing="0" w:after="0" w:afterAutospacing="0"/>
              <w:rPr>
                <w:sz w:val="20"/>
                <w:szCs w:val="20"/>
              </w:rPr>
            </w:pPr>
            <w:r>
              <w:rPr>
                <w:sz w:val="20"/>
                <w:szCs w:val="20"/>
              </w:rPr>
              <w:t>)</w:t>
            </w:r>
          </w:p>
        </w:tc>
      </w:tr>
      <w:tr w:rsidR="00000000" w14:paraId="2092E51B" w14:textId="77777777">
        <w:trPr>
          <w:divId w:val="934752186"/>
          <w:trHeight w:val="200"/>
          <w:tblCellSpacing w:w="15" w:type="dxa"/>
        </w:trPr>
        <w:tc>
          <w:tcPr>
            <w:tcW w:w="0" w:type="auto"/>
            <w:hideMark/>
          </w:tcPr>
          <w:p w14:paraId="433B69D7" w14:textId="77777777" w:rsidR="00000000" w:rsidRDefault="00832D71">
            <w:pPr>
              <w:pStyle w:val="a3"/>
              <w:spacing w:before="0" w:beforeAutospacing="0" w:after="0" w:afterAutospacing="0"/>
              <w:rPr>
                <w:sz w:val="20"/>
                <w:szCs w:val="20"/>
              </w:rPr>
            </w:pPr>
            <w:r>
              <w:rPr>
                <w:sz w:val="20"/>
                <w:szCs w:val="20"/>
              </w:rPr>
              <w:t>Settlement charg</w:t>
            </w:r>
            <w:r>
              <w:rPr>
                <w:sz w:val="20"/>
                <w:szCs w:val="20"/>
              </w:rPr>
              <w:t>e</w:t>
            </w:r>
          </w:p>
        </w:tc>
        <w:tc>
          <w:tcPr>
            <w:tcW w:w="0" w:type="auto"/>
            <w:hideMark/>
          </w:tcPr>
          <w:p w14:paraId="595845D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A7CB9D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DF2AB21" w14:textId="77777777" w:rsidR="00000000" w:rsidRDefault="00832D71">
            <w:pPr>
              <w:pStyle w:val="a3"/>
              <w:spacing w:before="0" w:beforeAutospacing="0" w:after="0" w:afterAutospacing="0"/>
              <w:jc w:val="right"/>
              <w:rPr>
                <w:sz w:val="20"/>
                <w:szCs w:val="20"/>
              </w:rPr>
            </w:pPr>
            <w:r>
              <w:rPr>
                <w:sz w:val="20"/>
                <w:szCs w:val="20"/>
              </w:rPr>
              <w:t>84</w:t>
            </w:r>
            <w:r>
              <w:rPr>
                <w:sz w:val="20"/>
                <w:szCs w:val="20"/>
              </w:rPr>
              <w:t>0</w:t>
            </w:r>
          </w:p>
        </w:tc>
        <w:tc>
          <w:tcPr>
            <w:tcW w:w="0" w:type="auto"/>
            <w:noWrap/>
            <w:vAlign w:val="bottom"/>
            <w:hideMark/>
          </w:tcPr>
          <w:p w14:paraId="319BB6A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DBBF2B3"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6E5A8D6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2F0649E" w14:textId="77777777" w:rsidR="00000000" w:rsidRDefault="00832D71">
            <w:pPr>
              <w:pStyle w:val="a3"/>
              <w:spacing w:before="0" w:beforeAutospacing="0" w:after="0" w:afterAutospacing="0"/>
              <w:jc w:val="right"/>
              <w:rPr>
                <w:sz w:val="20"/>
                <w:szCs w:val="20"/>
              </w:rPr>
            </w:pPr>
            <w:r>
              <w:rPr>
                <w:sz w:val="20"/>
                <w:szCs w:val="20"/>
              </w:rPr>
              <w:t>95</w:t>
            </w:r>
            <w:r>
              <w:rPr>
                <w:sz w:val="20"/>
                <w:szCs w:val="20"/>
              </w:rPr>
              <w:t>8</w:t>
            </w:r>
          </w:p>
        </w:tc>
        <w:tc>
          <w:tcPr>
            <w:tcW w:w="0" w:type="auto"/>
            <w:noWrap/>
            <w:vAlign w:val="bottom"/>
            <w:hideMark/>
          </w:tcPr>
          <w:p w14:paraId="7B50C8F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53A2463"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0292CB9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4997A0F" w14:textId="77777777" w:rsidR="00000000" w:rsidRDefault="00832D71">
            <w:pPr>
              <w:pStyle w:val="a3"/>
              <w:spacing w:before="0" w:beforeAutospacing="0" w:after="0" w:afterAutospacing="0"/>
              <w:jc w:val="right"/>
              <w:rPr>
                <w:sz w:val="20"/>
                <w:szCs w:val="20"/>
              </w:rPr>
            </w:pPr>
            <w:r>
              <w:rPr>
                <w:sz w:val="20"/>
                <w:szCs w:val="20"/>
              </w:rPr>
              <w:t>1,05</w:t>
            </w:r>
            <w:r>
              <w:rPr>
                <w:sz w:val="20"/>
                <w:szCs w:val="20"/>
              </w:rPr>
              <w:t>1</w:t>
            </w:r>
          </w:p>
        </w:tc>
        <w:tc>
          <w:tcPr>
            <w:tcW w:w="0" w:type="auto"/>
            <w:noWrap/>
            <w:vAlign w:val="bottom"/>
            <w:hideMark/>
          </w:tcPr>
          <w:p w14:paraId="1EEC644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DCEAAB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C78028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306AD92"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23D856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D342960"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2523F0A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ED386DA"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43E94E7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8753294"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73224CC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5E94A0A"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61CA14F5" w14:textId="77777777" w:rsidR="00000000" w:rsidRDefault="00832D71">
            <w:pPr>
              <w:pStyle w:val="a3"/>
              <w:spacing w:before="0" w:beforeAutospacing="0" w:after="0" w:afterAutospacing="0"/>
              <w:rPr>
                <w:sz w:val="20"/>
                <w:szCs w:val="20"/>
              </w:rPr>
            </w:pPr>
            <w:r>
              <w:rPr>
                <w:sz w:val="20"/>
                <w:szCs w:val="20"/>
              </w:rPr>
              <w:t> </w:t>
            </w:r>
          </w:p>
        </w:tc>
      </w:tr>
      <w:tr w:rsidR="00000000" w14:paraId="461703FC" w14:textId="77777777">
        <w:trPr>
          <w:divId w:val="934752186"/>
          <w:trHeight w:val="200"/>
          <w:tblCellSpacing w:w="15" w:type="dxa"/>
        </w:trPr>
        <w:tc>
          <w:tcPr>
            <w:tcW w:w="0" w:type="auto"/>
            <w:hideMark/>
          </w:tcPr>
          <w:p w14:paraId="3E6BF814" w14:textId="77777777" w:rsidR="00000000" w:rsidRDefault="00832D71">
            <w:pPr>
              <w:pStyle w:val="a3"/>
              <w:spacing w:before="0" w:beforeAutospacing="0" w:after="0" w:afterAutospacing="0"/>
              <w:rPr>
                <w:sz w:val="20"/>
                <w:szCs w:val="20"/>
              </w:rPr>
            </w:pPr>
            <w:r>
              <w:rPr>
                <w:sz w:val="20"/>
                <w:szCs w:val="20"/>
              </w:rPr>
              <w:t>Recognized net actuarial loss (gain</w:t>
            </w:r>
            <w:r>
              <w:rPr>
                <w:sz w:val="20"/>
                <w:szCs w:val="20"/>
              </w:rPr>
              <w:t>)</w:t>
            </w:r>
          </w:p>
        </w:tc>
        <w:tc>
          <w:tcPr>
            <w:tcW w:w="0" w:type="auto"/>
            <w:hideMark/>
          </w:tcPr>
          <w:p w14:paraId="4F18E4B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90C1FD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12D8A1D" w14:textId="77777777" w:rsidR="00000000" w:rsidRDefault="00832D71">
            <w:pPr>
              <w:pStyle w:val="a3"/>
              <w:spacing w:before="0" w:beforeAutospacing="0" w:after="0" w:afterAutospacing="0"/>
              <w:jc w:val="right"/>
              <w:rPr>
                <w:sz w:val="20"/>
                <w:szCs w:val="20"/>
              </w:rPr>
            </w:pPr>
            <w:r>
              <w:rPr>
                <w:sz w:val="20"/>
                <w:szCs w:val="20"/>
              </w:rPr>
              <w:t>2,46</w:t>
            </w:r>
            <w:r>
              <w:rPr>
                <w:sz w:val="20"/>
                <w:szCs w:val="20"/>
              </w:rPr>
              <w:t>7</w:t>
            </w:r>
          </w:p>
        </w:tc>
        <w:tc>
          <w:tcPr>
            <w:tcW w:w="0" w:type="auto"/>
            <w:noWrap/>
            <w:vAlign w:val="bottom"/>
            <w:hideMark/>
          </w:tcPr>
          <w:p w14:paraId="3B1857A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FE832DC"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79F3DF6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BCFAA66" w14:textId="77777777" w:rsidR="00000000" w:rsidRDefault="00832D71">
            <w:pPr>
              <w:pStyle w:val="a3"/>
              <w:spacing w:before="0" w:beforeAutospacing="0" w:after="0" w:afterAutospacing="0"/>
              <w:jc w:val="right"/>
              <w:rPr>
                <w:sz w:val="20"/>
                <w:szCs w:val="20"/>
              </w:rPr>
            </w:pPr>
            <w:r>
              <w:rPr>
                <w:sz w:val="20"/>
                <w:szCs w:val="20"/>
              </w:rPr>
              <w:t>3,28</w:t>
            </w:r>
            <w:r>
              <w:rPr>
                <w:sz w:val="20"/>
                <w:szCs w:val="20"/>
              </w:rPr>
              <w:t>9</w:t>
            </w:r>
          </w:p>
        </w:tc>
        <w:tc>
          <w:tcPr>
            <w:tcW w:w="0" w:type="auto"/>
            <w:noWrap/>
            <w:vAlign w:val="bottom"/>
            <w:hideMark/>
          </w:tcPr>
          <w:p w14:paraId="08C8D55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BAC11C4"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33324C6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BAA71E6" w14:textId="77777777" w:rsidR="00000000" w:rsidRDefault="00832D71">
            <w:pPr>
              <w:pStyle w:val="a3"/>
              <w:spacing w:before="0" w:beforeAutospacing="0" w:after="0" w:afterAutospacing="0"/>
              <w:jc w:val="right"/>
              <w:rPr>
                <w:sz w:val="20"/>
                <w:szCs w:val="20"/>
              </w:rPr>
            </w:pPr>
            <w:r>
              <w:rPr>
                <w:sz w:val="20"/>
                <w:szCs w:val="20"/>
              </w:rPr>
              <w:t>3,44</w:t>
            </w:r>
            <w:r>
              <w:rPr>
                <w:sz w:val="20"/>
                <w:szCs w:val="20"/>
              </w:rPr>
              <w:t>8</w:t>
            </w:r>
          </w:p>
        </w:tc>
        <w:tc>
          <w:tcPr>
            <w:tcW w:w="0" w:type="auto"/>
            <w:noWrap/>
            <w:vAlign w:val="bottom"/>
            <w:hideMark/>
          </w:tcPr>
          <w:p w14:paraId="44E053E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CFFAC7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788527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3D11F43" w14:textId="77777777" w:rsidR="00000000" w:rsidRDefault="00832D71">
            <w:pPr>
              <w:pStyle w:val="a3"/>
              <w:spacing w:before="0" w:beforeAutospacing="0" w:after="0" w:afterAutospacing="0"/>
              <w:jc w:val="right"/>
              <w:rPr>
                <w:sz w:val="20"/>
                <w:szCs w:val="20"/>
              </w:rPr>
            </w:pPr>
            <w:r>
              <w:rPr>
                <w:sz w:val="20"/>
                <w:szCs w:val="20"/>
              </w:rPr>
              <w:t>(</w:t>
            </w:r>
            <w:r>
              <w:rPr>
                <w:sz w:val="20"/>
                <w:szCs w:val="20"/>
              </w:rPr>
              <w:t>72</w:t>
            </w:r>
            <w:r>
              <w:rPr>
                <w:sz w:val="20"/>
                <w:szCs w:val="20"/>
              </w:rPr>
              <w:t>5</w:t>
            </w:r>
          </w:p>
        </w:tc>
        <w:tc>
          <w:tcPr>
            <w:tcW w:w="0" w:type="auto"/>
            <w:noWrap/>
            <w:vAlign w:val="bottom"/>
            <w:hideMark/>
          </w:tcPr>
          <w:p w14:paraId="78A91A5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A655780"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6CDA8AC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70A3CB3" w14:textId="77777777" w:rsidR="00000000" w:rsidRDefault="00832D71">
            <w:pPr>
              <w:pStyle w:val="a3"/>
              <w:spacing w:before="0" w:beforeAutospacing="0" w:after="0" w:afterAutospacing="0"/>
              <w:jc w:val="right"/>
              <w:rPr>
                <w:sz w:val="20"/>
                <w:szCs w:val="20"/>
              </w:rPr>
            </w:pPr>
            <w:r>
              <w:rPr>
                <w:sz w:val="20"/>
                <w:szCs w:val="20"/>
              </w:rPr>
              <w:t>(</w:t>
            </w:r>
            <w:r>
              <w:rPr>
                <w:sz w:val="20"/>
                <w:szCs w:val="20"/>
              </w:rPr>
              <w:t>72</w:t>
            </w:r>
            <w:r>
              <w:rPr>
                <w:sz w:val="20"/>
                <w:szCs w:val="20"/>
              </w:rPr>
              <w:t>3</w:t>
            </w:r>
          </w:p>
        </w:tc>
        <w:tc>
          <w:tcPr>
            <w:tcW w:w="0" w:type="auto"/>
            <w:noWrap/>
            <w:vAlign w:val="bottom"/>
            <w:hideMark/>
          </w:tcPr>
          <w:p w14:paraId="7EC75B3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1026189"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13648CA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373B763" w14:textId="77777777" w:rsidR="00000000" w:rsidRDefault="00832D71">
            <w:pPr>
              <w:pStyle w:val="a3"/>
              <w:spacing w:before="0" w:beforeAutospacing="0" w:after="0" w:afterAutospacing="0"/>
              <w:jc w:val="right"/>
              <w:rPr>
                <w:sz w:val="20"/>
                <w:szCs w:val="20"/>
              </w:rPr>
            </w:pPr>
            <w:r>
              <w:rPr>
                <w:sz w:val="20"/>
                <w:szCs w:val="20"/>
              </w:rPr>
              <w:t>(</w:t>
            </w:r>
            <w:r>
              <w:rPr>
                <w:sz w:val="20"/>
                <w:szCs w:val="20"/>
              </w:rPr>
              <w:t>78</w:t>
            </w:r>
            <w:r>
              <w:rPr>
                <w:sz w:val="20"/>
                <w:szCs w:val="20"/>
              </w:rPr>
              <w:t>6</w:t>
            </w:r>
          </w:p>
        </w:tc>
        <w:tc>
          <w:tcPr>
            <w:tcW w:w="0" w:type="auto"/>
            <w:noWrap/>
            <w:vAlign w:val="bottom"/>
            <w:hideMark/>
          </w:tcPr>
          <w:p w14:paraId="594EFB99" w14:textId="77777777" w:rsidR="00000000" w:rsidRDefault="00832D71">
            <w:pPr>
              <w:pStyle w:val="a3"/>
              <w:spacing w:before="0" w:beforeAutospacing="0" w:after="0" w:afterAutospacing="0"/>
              <w:rPr>
                <w:sz w:val="20"/>
                <w:szCs w:val="20"/>
              </w:rPr>
            </w:pPr>
            <w:r>
              <w:rPr>
                <w:sz w:val="20"/>
                <w:szCs w:val="20"/>
              </w:rPr>
              <w:t>)</w:t>
            </w:r>
          </w:p>
        </w:tc>
      </w:tr>
      <w:tr w:rsidR="00000000" w14:paraId="631EA5B4" w14:textId="77777777">
        <w:trPr>
          <w:divId w:val="934752186"/>
          <w:trHeight w:val="200"/>
          <w:tblCellSpacing w:w="15" w:type="dxa"/>
        </w:trPr>
        <w:tc>
          <w:tcPr>
            <w:tcW w:w="0" w:type="auto"/>
            <w:hideMark/>
          </w:tcPr>
          <w:p w14:paraId="7C00A77F" w14:textId="77777777" w:rsidR="00000000" w:rsidRDefault="00832D71">
            <w:pPr>
              <w:pStyle w:val="a3"/>
              <w:spacing w:before="0" w:beforeAutospacing="0" w:after="0" w:afterAutospacing="0"/>
              <w:rPr>
                <w:sz w:val="20"/>
                <w:szCs w:val="20"/>
              </w:rPr>
            </w:pPr>
            <w:r>
              <w:rPr>
                <w:sz w:val="20"/>
                <w:szCs w:val="20"/>
              </w:rPr>
              <w:t>Net periodic benefit cost</w:t>
            </w:r>
            <w:r>
              <w:rPr>
                <w:sz w:val="20"/>
                <w:szCs w:val="20"/>
              </w:rPr>
              <w:t>s</w:t>
            </w:r>
          </w:p>
        </w:tc>
        <w:tc>
          <w:tcPr>
            <w:tcW w:w="0" w:type="auto"/>
            <w:hideMark/>
          </w:tcPr>
          <w:p w14:paraId="4026A1E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51D209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976F666" w14:textId="77777777" w:rsidR="00000000" w:rsidRDefault="00832D71">
            <w:pPr>
              <w:pStyle w:val="a3"/>
              <w:spacing w:before="0" w:beforeAutospacing="0" w:after="0" w:afterAutospacing="0"/>
              <w:jc w:val="right"/>
              <w:rPr>
                <w:sz w:val="20"/>
                <w:szCs w:val="20"/>
              </w:rPr>
            </w:pPr>
            <w:r>
              <w:rPr>
                <w:sz w:val="20"/>
                <w:szCs w:val="20"/>
              </w:rPr>
              <w:t>4,37</w:t>
            </w:r>
            <w:r>
              <w:rPr>
                <w:sz w:val="20"/>
                <w:szCs w:val="20"/>
              </w:rPr>
              <w:t>4</w:t>
            </w:r>
          </w:p>
        </w:tc>
        <w:tc>
          <w:tcPr>
            <w:tcW w:w="0" w:type="auto"/>
            <w:noWrap/>
            <w:vAlign w:val="bottom"/>
            <w:hideMark/>
          </w:tcPr>
          <w:p w14:paraId="13D788D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EA95527"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5134AA1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C6DDD90" w14:textId="77777777" w:rsidR="00000000" w:rsidRDefault="00832D71">
            <w:pPr>
              <w:pStyle w:val="a3"/>
              <w:spacing w:before="0" w:beforeAutospacing="0" w:after="0" w:afterAutospacing="0"/>
              <w:jc w:val="right"/>
              <w:rPr>
                <w:sz w:val="20"/>
                <w:szCs w:val="20"/>
              </w:rPr>
            </w:pPr>
            <w:r>
              <w:rPr>
                <w:sz w:val="20"/>
                <w:szCs w:val="20"/>
              </w:rPr>
              <w:t>5,24</w:t>
            </w:r>
            <w:r>
              <w:rPr>
                <w:sz w:val="20"/>
                <w:szCs w:val="20"/>
              </w:rPr>
              <w:t>4</w:t>
            </w:r>
          </w:p>
        </w:tc>
        <w:tc>
          <w:tcPr>
            <w:tcW w:w="0" w:type="auto"/>
            <w:noWrap/>
            <w:vAlign w:val="bottom"/>
            <w:hideMark/>
          </w:tcPr>
          <w:p w14:paraId="4DD9D9C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984292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E2C1ED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DA86EEF" w14:textId="77777777" w:rsidR="00000000" w:rsidRDefault="00832D71">
            <w:pPr>
              <w:pStyle w:val="a3"/>
              <w:spacing w:before="0" w:beforeAutospacing="0" w:after="0" w:afterAutospacing="0"/>
              <w:jc w:val="right"/>
              <w:rPr>
                <w:sz w:val="20"/>
                <w:szCs w:val="20"/>
              </w:rPr>
            </w:pPr>
            <w:r>
              <w:rPr>
                <w:sz w:val="20"/>
                <w:szCs w:val="20"/>
              </w:rPr>
              <w:t>5,95</w:t>
            </w:r>
            <w:r>
              <w:rPr>
                <w:sz w:val="20"/>
                <w:szCs w:val="20"/>
              </w:rPr>
              <w:t>5</w:t>
            </w:r>
          </w:p>
        </w:tc>
        <w:tc>
          <w:tcPr>
            <w:tcW w:w="0" w:type="auto"/>
            <w:noWrap/>
            <w:vAlign w:val="bottom"/>
            <w:hideMark/>
          </w:tcPr>
          <w:p w14:paraId="61B4833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51ABE4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E01A55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0300F3C" w14:textId="77777777" w:rsidR="00000000" w:rsidRDefault="00832D71">
            <w:pPr>
              <w:pStyle w:val="a3"/>
              <w:spacing w:before="0" w:beforeAutospacing="0" w:after="0" w:afterAutospacing="0"/>
              <w:jc w:val="right"/>
              <w:rPr>
                <w:sz w:val="20"/>
                <w:szCs w:val="20"/>
              </w:rPr>
            </w:pPr>
            <w:r>
              <w:rPr>
                <w:sz w:val="20"/>
                <w:szCs w:val="20"/>
              </w:rPr>
              <w:t>(</w:t>
            </w:r>
            <w:r>
              <w:rPr>
                <w:sz w:val="20"/>
                <w:szCs w:val="20"/>
              </w:rPr>
              <w:t>1,14</w:t>
            </w:r>
            <w:r>
              <w:rPr>
                <w:sz w:val="20"/>
                <w:szCs w:val="20"/>
              </w:rPr>
              <w:t>2</w:t>
            </w:r>
          </w:p>
        </w:tc>
        <w:tc>
          <w:tcPr>
            <w:tcW w:w="0" w:type="auto"/>
            <w:noWrap/>
            <w:vAlign w:val="bottom"/>
            <w:hideMark/>
          </w:tcPr>
          <w:p w14:paraId="3EC53F7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020D428"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7677DC2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F455A92" w14:textId="77777777" w:rsidR="00000000" w:rsidRDefault="00832D71">
            <w:pPr>
              <w:pStyle w:val="a3"/>
              <w:spacing w:before="0" w:beforeAutospacing="0" w:after="0" w:afterAutospacing="0"/>
              <w:jc w:val="right"/>
              <w:rPr>
                <w:sz w:val="20"/>
                <w:szCs w:val="20"/>
              </w:rPr>
            </w:pPr>
            <w:r>
              <w:rPr>
                <w:sz w:val="20"/>
                <w:szCs w:val="20"/>
              </w:rPr>
              <w:t>(</w:t>
            </w:r>
            <w:r>
              <w:rPr>
                <w:sz w:val="20"/>
                <w:szCs w:val="20"/>
              </w:rPr>
              <w:t>1,14</w:t>
            </w:r>
            <w:r>
              <w:rPr>
                <w:sz w:val="20"/>
                <w:szCs w:val="20"/>
              </w:rPr>
              <w:t>4</w:t>
            </w:r>
          </w:p>
        </w:tc>
        <w:tc>
          <w:tcPr>
            <w:tcW w:w="0" w:type="auto"/>
            <w:noWrap/>
            <w:vAlign w:val="bottom"/>
            <w:hideMark/>
          </w:tcPr>
          <w:p w14:paraId="52B078DE"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719B0C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FA034E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01AAE55" w14:textId="77777777" w:rsidR="00000000" w:rsidRDefault="00832D71">
            <w:pPr>
              <w:pStyle w:val="a3"/>
              <w:spacing w:before="0" w:beforeAutospacing="0" w:after="0" w:afterAutospacing="0"/>
              <w:jc w:val="right"/>
              <w:rPr>
                <w:sz w:val="20"/>
                <w:szCs w:val="20"/>
              </w:rPr>
            </w:pPr>
            <w:r>
              <w:rPr>
                <w:sz w:val="20"/>
                <w:szCs w:val="20"/>
              </w:rPr>
              <w:t>(</w:t>
            </w:r>
            <w:r>
              <w:rPr>
                <w:sz w:val="20"/>
                <w:szCs w:val="20"/>
              </w:rPr>
              <w:t>1,13</w:t>
            </w:r>
            <w:r>
              <w:rPr>
                <w:sz w:val="20"/>
                <w:szCs w:val="20"/>
              </w:rPr>
              <w:t>3</w:t>
            </w:r>
          </w:p>
        </w:tc>
        <w:tc>
          <w:tcPr>
            <w:tcW w:w="0" w:type="auto"/>
            <w:noWrap/>
            <w:vAlign w:val="bottom"/>
            <w:hideMark/>
          </w:tcPr>
          <w:p w14:paraId="6A9EA4A1" w14:textId="77777777" w:rsidR="00000000" w:rsidRDefault="00832D71">
            <w:pPr>
              <w:pStyle w:val="a3"/>
              <w:spacing w:before="0" w:beforeAutospacing="0" w:after="0" w:afterAutospacing="0"/>
              <w:rPr>
                <w:sz w:val="20"/>
                <w:szCs w:val="20"/>
              </w:rPr>
            </w:pPr>
            <w:r>
              <w:rPr>
                <w:sz w:val="20"/>
                <w:szCs w:val="20"/>
              </w:rPr>
              <w:t>)</w:t>
            </w:r>
          </w:p>
        </w:tc>
      </w:tr>
    </w:tbl>
    <w:p w14:paraId="29C7D5D7" w14:textId="77777777" w:rsidR="00000000" w:rsidRDefault="00832D71">
      <w:pPr>
        <w:pStyle w:val="a3"/>
        <w:spacing w:before="0" w:beforeAutospacing="0" w:after="0" w:afterAutospacing="0"/>
        <w:divId w:val="1034354723"/>
        <w:rPr>
          <w:sz w:val="20"/>
          <w:szCs w:val="20"/>
        </w:rPr>
      </w:pPr>
      <w:r>
        <w:rPr>
          <w:sz w:val="20"/>
          <w:szCs w:val="20"/>
        </w:rPr>
        <w:t> </w:t>
      </w:r>
    </w:p>
    <w:p w14:paraId="72635EB6" w14:textId="77777777" w:rsidR="00000000" w:rsidRDefault="00832D71">
      <w:pPr>
        <w:pStyle w:val="a3"/>
        <w:spacing w:before="0" w:beforeAutospacing="0" w:after="0" w:afterAutospacing="0"/>
        <w:jc w:val="both"/>
        <w:divId w:val="1034354723"/>
        <w:rPr>
          <w:sz w:val="20"/>
          <w:szCs w:val="20"/>
        </w:rPr>
      </w:pPr>
      <w:r>
        <w:rPr>
          <w:sz w:val="20"/>
          <w:szCs w:val="20"/>
        </w:rPr>
        <w:t>During fiscal 2022, fiscal 202</w:t>
      </w:r>
      <w:r>
        <w:rPr>
          <w:sz w:val="20"/>
          <w:szCs w:val="20"/>
        </w:rPr>
        <w:t>1</w:t>
      </w:r>
      <w:r>
        <w:rPr>
          <w:sz w:val="20"/>
          <w:szCs w:val="20"/>
        </w:rPr>
        <w:t xml:space="preserve"> </w:t>
      </w:r>
      <w:r>
        <w:rPr>
          <w:sz w:val="20"/>
          <w:szCs w:val="20"/>
        </w:rPr>
        <w:t xml:space="preserve">and fiscal 2020, lump sum pension settlement payments to either terminated or retired individuals amounted to </w:t>
      </w:r>
      <w:r>
        <w:rPr>
          <w:sz w:val="20"/>
          <w:szCs w:val="20"/>
        </w:rPr>
        <w:t>$</w:t>
      </w:r>
      <w:r>
        <w:rPr>
          <w:sz w:val="20"/>
          <w:szCs w:val="20"/>
        </w:rPr>
        <w:t>3,33</w:t>
      </w:r>
      <w:r>
        <w:rPr>
          <w:sz w:val="20"/>
          <w:szCs w:val="20"/>
        </w:rPr>
        <w:t>2</w:t>
      </w:r>
      <w:r>
        <w:rPr>
          <w:sz w:val="20"/>
          <w:szCs w:val="20"/>
        </w:rPr>
        <w:t xml:space="preserve">, </w:t>
      </w:r>
      <w:r>
        <w:rPr>
          <w:sz w:val="20"/>
          <w:szCs w:val="20"/>
        </w:rPr>
        <w:t>$</w:t>
      </w:r>
      <w:r>
        <w:rPr>
          <w:sz w:val="20"/>
          <w:szCs w:val="20"/>
        </w:rPr>
        <w:t>3,85</w:t>
      </w:r>
      <w:r>
        <w:rPr>
          <w:sz w:val="20"/>
          <w:szCs w:val="20"/>
        </w:rPr>
        <w:t>9</w:t>
      </w:r>
      <w:r>
        <w:rPr>
          <w:sz w:val="20"/>
          <w:szCs w:val="20"/>
        </w:rPr>
        <w:t xml:space="preserve"> and </w:t>
      </w:r>
      <w:r>
        <w:rPr>
          <w:sz w:val="20"/>
          <w:szCs w:val="20"/>
        </w:rPr>
        <w:t>$</w:t>
      </w:r>
      <w:r>
        <w:rPr>
          <w:sz w:val="20"/>
          <w:szCs w:val="20"/>
        </w:rPr>
        <w:t>3,62</w:t>
      </w:r>
      <w:r>
        <w:rPr>
          <w:sz w:val="20"/>
          <w:szCs w:val="20"/>
        </w:rPr>
        <w:t>3</w:t>
      </w:r>
      <w:r>
        <w:rPr>
          <w:sz w:val="20"/>
          <w:szCs w:val="20"/>
        </w:rPr>
        <w:t>, respectively. The settlement threshold (combined service and interest costs of net periodic pension cost) for these thr</w:t>
      </w:r>
      <w:r>
        <w:rPr>
          <w:sz w:val="20"/>
          <w:szCs w:val="20"/>
        </w:rPr>
        <w:t xml:space="preserve">ee years were </w:t>
      </w:r>
      <w:r>
        <w:rPr>
          <w:sz w:val="20"/>
          <w:szCs w:val="20"/>
        </w:rPr>
        <w:t>$</w:t>
      </w:r>
      <w:r>
        <w:rPr>
          <w:sz w:val="20"/>
          <w:szCs w:val="20"/>
        </w:rPr>
        <w:t>2,45</w:t>
      </w:r>
      <w:r>
        <w:rPr>
          <w:sz w:val="20"/>
          <w:szCs w:val="20"/>
        </w:rPr>
        <w:t>9</w:t>
      </w:r>
      <w:r>
        <w:rPr>
          <w:sz w:val="20"/>
          <w:szCs w:val="20"/>
        </w:rPr>
        <w:t xml:space="preserve">, </w:t>
      </w:r>
      <w:r>
        <w:rPr>
          <w:sz w:val="20"/>
          <w:szCs w:val="20"/>
        </w:rPr>
        <w:t>$</w:t>
      </w:r>
      <w:r>
        <w:rPr>
          <w:sz w:val="20"/>
          <w:szCs w:val="20"/>
        </w:rPr>
        <w:t>2,26</w:t>
      </w:r>
      <w:r>
        <w:rPr>
          <w:sz w:val="20"/>
          <w:szCs w:val="20"/>
        </w:rPr>
        <w:t>3</w:t>
      </w:r>
      <w:r>
        <w:rPr>
          <w:sz w:val="20"/>
          <w:szCs w:val="20"/>
        </w:rPr>
        <w:t xml:space="preserve"> and </w:t>
      </w:r>
      <w:r>
        <w:rPr>
          <w:sz w:val="20"/>
          <w:szCs w:val="20"/>
        </w:rPr>
        <w:t>$</w:t>
      </w:r>
      <w:r>
        <w:rPr>
          <w:sz w:val="20"/>
          <w:szCs w:val="20"/>
        </w:rPr>
        <w:t>2,72</w:t>
      </w:r>
      <w:r>
        <w:rPr>
          <w:sz w:val="20"/>
          <w:szCs w:val="20"/>
        </w:rPr>
        <w:t>6</w:t>
      </w:r>
      <w:r>
        <w:rPr>
          <w:sz w:val="20"/>
          <w:szCs w:val="20"/>
        </w:rPr>
        <w:t xml:space="preserve">, respectively. In fiscal 2022, fiscal 2021 and fiscal 2020, lump sum pension settlement payments exceeded the respective settlement thresholds, which required the Partnership to recognize non-cash settlement charges </w:t>
      </w:r>
      <w:r>
        <w:rPr>
          <w:sz w:val="20"/>
          <w:szCs w:val="20"/>
        </w:rPr>
        <w:t xml:space="preserve">of </w:t>
      </w:r>
      <w:r>
        <w:rPr>
          <w:sz w:val="20"/>
          <w:szCs w:val="20"/>
        </w:rPr>
        <w:t>$</w:t>
      </w:r>
      <w:r>
        <w:rPr>
          <w:sz w:val="20"/>
          <w:szCs w:val="20"/>
        </w:rPr>
        <w:t>84</w:t>
      </w:r>
      <w:r>
        <w:rPr>
          <w:sz w:val="20"/>
          <w:szCs w:val="20"/>
        </w:rPr>
        <w:t>0</w:t>
      </w:r>
      <w:r>
        <w:rPr>
          <w:sz w:val="20"/>
          <w:szCs w:val="20"/>
        </w:rPr>
        <w:t xml:space="preserve">, </w:t>
      </w:r>
      <w:r>
        <w:rPr>
          <w:sz w:val="20"/>
          <w:szCs w:val="20"/>
        </w:rPr>
        <w:t>$</w:t>
      </w:r>
      <w:r>
        <w:rPr>
          <w:sz w:val="20"/>
          <w:szCs w:val="20"/>
        </w:rPr>
        <w:t>95</w:t>
      </w:r>
      <w:r>
        <w:rPr>
          <w:sz w:val="20"/>
          <w:szCs w:val="20"/>
        </w:rPr>
        <w:t>8</w:t>
      </w:r>
      <w:r>
        <w:rPr>
          <w:sz w:val="20"/>
          <w:szCs w:val="20"/>
        </w:rPr>
        <w:t xml:space="preserve"> and </w:t>
      </w:r>
      <w:r>
        <w:rPr>
          <w:sz w:val="20"/>
          <w:szCs w:val="20"/>
        </w:rPr>
        <w:t>$</w:t>
      </w:r>
      <w:r>
        <w:rPr>
          <w:sz w:val="20"/>
          <w:szCs w:val="20"/>
        </w:rPr>
        <w:t>1,05</w:t>
      </w:r>
      <w:r>
        <w:rPr>
          <w:sz w:val="20"/>
          <w:szCs w:val="20"/>
        </w:rPr>
        <w:t>1</w:t>
      </w:r>
      <w:r>
        <w:rPr>
          <w:sz w:val="20"/>
          <w:szCs w:val="20"/>
        </w:rPr>
        <w:t xml:space="preserve"> respectively. The non-cash charges were required to accelerate recognition of a portion of cumulative unamortized losses in the defined benefit pension plan</w:t>
      </w:r>
      <w:r>
        <w:rPr>
          <w:sz w:val="20"/>
          <w:szCs w:val="20"/>
        </w:rPr>
        <w:t>.</w:t>
      </w:r>
      <w:r>
        <w:rPr>
          <w:sz w:val="20"/>
          <w:szCs w:val="20"/>
        </w:rPr>
        <w:t xml:space="preserve"> </w:t>
      </w:r>
    </w:p>
    <w:p w14:paraId="69356280" w14:textId="77777777" w:rsidR="00000000" w:rsidRDefault="00832D71">
      <w:pPr>
        <w:pStyle w:val="a3"/>
        <w:spacing w:before="200" w:beforeAutospacing="0" w:after="0" w:afterAutospacing="0"/>
        <w:jc w:val="center"/>
        <w:divId w:val="1034354723"/>
        <w:rPr>
          <w:sz w:val="20"/>
          <w:szCs w:val="20"/>
        </w:rPr>
      </w:pPr>
      <w:r>
        <w:rPr>
          <w:sz w:val="20"/>
          <w:szCs w:val="20"/>
        </w:rPr>
        <w:t>F</w:t>
      </w:r>
      <w:r>
        <w:rPr>
          <w:sz w:val="20"/>
          <w:szCs w:val="20"/>
        </w:rPr>
        <w:t>-</w:t>
      </w:r>
      <w:r>
        <w:rPr>
          <w:sz w:val="20"/>
          <w:szCs w:val="20"/>
        </w:rPr>
        <w:t>2</w:t>
      </w:r>
      <w:r>
        <w:rPr>
          <w:sz w:val="20"/>
          <w:szCs w:val="20"/>
        </w:rPr>
        <w:t>6</w:t>
      </w:r>
    </w:p>
    <w:p w14:paraId="4010C867" w14:textId="77777777" w:rsidR="00000000" w:rsidRDefault="00832D71">
      <w:pPr>
        <w:divId w:val="1034354723"/>
        <w:rPr>
          <w:rFonts w:eastAsia="Times New Roman"/>
        </w:rPr>
      </w:pPr>
      <w:r>
        <w:rPr>
          <w:rFonts w:eastAsia="Times New Roman"/>
        </w:rPr>
        <w:pict w14:anchorId="35515FEC">
          <v:rect id="_x0000_i1145" style="width:0;height:1.5pt" o:hralign="center" o:hrstd="t" o:hr="t" fillcolor="#a0a0a0" stroked="f"/>
        </w:pict>
      </w:r>
    </w:p>
    <w:p w14:paraId="5EE4F394" w14:textId="77777777" w:rsidR="00000000" w:rsidRDefault="00832D71">
      <w:pPr>
        <w:pStyle w:val="a3"/>
        <w:spacing w:before="0" w:beforeAutospacing="0" w:after="0" w:afterAutospacing="0"/>
        <w:divId w:val="1034354723"/>
        <w:rPr>
          <w:sz w:val="20"/>
          <w:szCs w:val="20"/>
        </w:rPr>
      </w:pPr>
      <w:r>
        <w:rPr>
          <w:sz w:val="20"/>
          <w:szCs w:val="20"/>
        </w:rPr>
        <w:t> </w:t>
      </w:r>
    </w:p>
    <w:p w14:paraId="10615EA4" w14:textId="77777777" w:rsidR="00000000" w:rsidRDefault="00832D71">
      <w:pPr>
        <w:pStyle w:val="a3"/>
        <w:spacing w:before="240" w:beforeAutospacing="0" w:after="0" w:afterAutospacing="0"/>
        <w:jc w:val="both"/>
        <w:divId w:val="1034354723"/>
        <w:rPr>
          <w:sz w:val="20"/>
          <w:szCs w:val="20"/>
        </w:rPr>
      </w:pPr>
      <w:r>
        <w:rPr>
          <w:b/>
          <w:bCs/>
          <w:sz w:val="20"/>
          <w:szCs w:val="20"/>
        </w:rPr>
        <w:t>Actuarial Assumptions</w:t>
      </w:r>
      <w:r>
        <w:rPr>
          <w:b/>
          <w:bCs/>
          <w:sz w:val="20"/>
          <w:szCs w:val="20"/>
        </w:rPr>
        <w:t>.</w:t>
      </w:r>
      <w:r>
        <w:rPr>
          <w:sz w:val="20"/>
          <w:szCs w:val="20"/>
        </w:rPr>
        <w:t xml:space="preserve"> </w:t>
      </w:r>
      <w:r>
        <w:rPr>
          <w:sz w:val="20"/>
          <w:szCs w:val="20"/>
        </w:rPr>
        <w:t>The assumptions used in the measurement of the Partnership’s benefit obligations as of</w:t>
      </w:r>
      <w:r>
        <w:rPr>
          <w:sz w:val="20"/>
          <w:szCs w:val="20"/>
        </w:rPr>
        <w:t xml:space="preserve"> </w:t>
      </w:r>
      <w:r>
        <w:rPr>
          <w:sz w:val="20"/>
          <w:szCs w:val="20"/>
        </w:rPr>
        <w:t>September 24, 2022 and September 25, 2021 are shown in the following table</w:t>
      </w:r>
      <w:r>
        <w:rPr>
          <w:sz w:val="20"/>
          <w:szCs w:val="20"/>
        </w:rPr>
        <w:t>:</w:t>
      </w:r>
    </w:p>
    <w:p w14:paraId="0278864F" w14:textId="77777777" w:rsidR="00000000" w:rsidRDefault="00832D71">
      <w:pPr>
        <w:pStyle w:val="a3"/>
        <w:spacing w:before="0" w:beforeAutospacing="0" w:after="0" w:afterAutospacing="0"/>
        <w:divId w:val="74864251"/>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05"/>
        <w:gridCol w:w="110"/>
        <w:gridCol w:w="110"/>
        <w:gridCol w:w="579"/>
        <w:gridCol w:w="227"/>
        <w:gridCol w:w="110"/>
        <w:gridCol w:w="110"/>
        <w:gridCol w:w="610"/>
        <w:gridCol w:w="227"/>
        <w:gridCol w:w="110"/>
        <w:gridCol w:w="110"/>
        <w:gridCol w:w="527"/>
        <w:gridCol w:w="227"/>
        <w:gridCol w:w="110"/>
        <w:gridCol w:w="110"/>
        <w:gridCol w:w="551"/>
        <w:gridCol w:w="242"/>
      </w:tblGrid>
      <w:tr w:rsidR="00000000" w14:paraId="0FE91109" w14:textId="77777777">
        <w:trPr>
          <w:divId w:val="74864251"/>
          <w:tblCellSpacing w:w="15" w:type="dxa"/>
        </w:trPr>
        <w:tc>
          <w:tcPr>
            <w:tcW w:w="2507" w:type="pct"/>
            <w:vAlign w:val="center"/>
            <w:hideMark/>
          </w:tcPr>
          <w:p w14:paraId="64C5382C" w14:textId="77777777" w:rsidR="00000000" w:rsidRDefault="00832D71">
            <w:pPr>
              <w:rPr>
                <w:sz w:val="20"/>
                <w:szCs w:val="20"/>
              </w:rPr>
            </w:pPr>
          </w:p>
        </w:tc>
        <w:tc>
          <w:tcPr>
            <w:tcW w:w="50" w:type="pct"/>
            <w:vAlign w:val="center"/>
            <w:hideMark/>
          </w:tcPr>
          <w:p w14:paraId="7D08E805" w14:textId="77777777" w:rsidR="00000000" w:rsidRDefault="00832D71">
            <w:pPr>
              <w:rPr>
                <w:rFonts w:eastAsia="Times New Roman"/>
                <w:sz w:val="20"/>
                <w:szCs w:val="20"/>
              </w:rPr>
            </w:pPr>
          </w:p>
        </w:tc>
        <w:tc>
          <w:tcPr>
            <w:tcW w:w="50" w:type="pct"/>
            <w:vAlign w:val="center"/>
            <w:hideMark/>
          </w:tcPr>
          <w:p w14:paraId="59B9F835" w14:textId="77777777" w:rsidR="00000000" w:rsidRDefault="00832D71">
            <w:pPr>
              <w:rPr>
                <w:rFonts w:eastAsia="Times New Roman"/>
                <w:sz w:val="20"/>
                <w:szCs w:val="20"/>
              </w:rPr>
            </w:pPr>
          </w:p>
        </w:tc>
        <w:tc>
          <w:tcPr>
            <w:tcW w:w="481" w:type="pct"/>
            <w:vAlign w:val="center"/>
            <w:hideMark/>
          </w:tcPr>
          <w:p w14:paraId="4E73F4C7" w14:textId="77777777" w:rsidR="00000000" w:rsidRDefault="00832D71">
            <w:pPr>
              <w:rPr>
                <w:rFonts w:eastAsia="Times New Roman"/>
                <w:sz w:val="20"/>
                <w:szCs w:val="20"/>
              </w:rPr>
            </w:pPr>
          </w:p>
        </w:tc>
        <w:tc>
          <w:tcPr>
            <w:tcW w:w="50" w:type="pct"/>
            <w:vAlign w:val="center"/>
            <w:hideMark/>
          </w:tcPr>
          <w:p w14:paraId="518242DE" w14:textId="77777777" w:rsidR="00000000" w:rsidRDefault="00832D71">
            <w:pPr>
              <w:rPr>
                <w:rFonts w:eastAsia="Times New Roman"/>
                <w:sz w:val="20"/>
                <w:szCs w:val="20"/>
              </w:rPr>
            </w:pPr>
          </w:p>
        </w:tc>
        <w:tc>
          <w:tcPr>
            <w:tcW w:w="49" w:type="pct"/>
            <w:vAlign w:val="center"/>
            <w:hideMark/>
          </w:tcPr>
          <w:p w14:paraId="0D4C30EB" w14:textId="77777777" w:rsidR="00000000" w:rsidRDefault="00832D71">
            <w:pPr>
              <w:rPr>
                <w:rFonts w:eastAsia="Times New Roman"/>
                <w:sz w:val="20"/>
                <w:szCs w:val="20"/>
              </w:rPr>
            </w:pPr>
          </w:p>
        </w:tc>
        <w:tc>
          <w:tcPr>
            <w:tcW w:w="50" w:type="pct"/>
            <w:vAlign w:val="center"/>
            <w:hideMark/>
          </w:tcPr>
          <w:p w14:paraId="3EFD5AEC" w14:textId="77777777" w:rsidR="00000000" w:rsidRDefault="00832D71">
            <w:pPr>
              <w:rPr>
                <w:rFonts w:eastAsia="Times New Roman"/>
                <w:sz w:val="20"/>
                <w:szCs w:val="20"/>
              </w:rPr>
            </w:pPr>
          </w:p>
        </w:tc>
        <w:tc>
          <w:tcPr>
            <w:tcW w:w="504" w:type="pct"/>
            <w:vAlign w:val="center"/>
            <w:hideMark/>
          </w:tcPr>
          <w:p w14:paraId="1895E861" w14:textId="77777777" w:rsidR="00000000" w:rsidRDefault="00832D71">
            <w:pPr>
              <w:rPr>
                <w:rFonts w:eastAsia="Times New Roman"/>
                <w:sz w:val="20"/>
                <w:szCs w:val="20"/>
              </w:rPr>
            </w:pPr>
          </w:p>
        </w:tc>
        <w:tc>
          <w:tcPr>
            <w:tcW w:w="50" w:type="pct"/>
            <w:vAlign w:val="center"/>
            <w:hideMark/>
          </w:tcPr>
          <w:p w14:paraId="4A008025" w14:textId="77777777" w:rsidR="00000000" w:rsidRDefault="00832D71">
            <w:pPr>
              <w:rPr>
                <w:rFonts w:eastAsia="Times New Roman"/>
                <w:sz w:val="20"/>
                <w:szCs w:val="20"/>
              </w:rPr>
            </w:pPr>
          </w:p>
        </w:tc>
        <w:tc>
          <w:tcPr>
            <w:tcW w:w="49" w:type="pct"/>
            <w:vAlign w:val="center"/>
            <w:hideMark/>
          </w:tcPr>
          <w:p w14:paraId="1040DA0B" w14:textId="77777777" w:rsidR="00000000" w:rsidRDefault="00832D71">
            <w:pPr>
              <w:rPr>
                <w:rFonts w:eastAsia="Times New Roman"/>
                <w:sz w:val="20"/>
                <w:szCs w:val="20"/>
              </w:rPr>
            </w:pPr>
          </w:p>
        </w:tc>
        <w:tc>
          <w:tcPr>
            <w:tcW w:w="50" w:type="pct"/>
            <w:vAlign w:val="center"/>
            <w:hideMark/>
          </w:tcPr>
          <w:p w14:paraId="22F9A03B" w14:textId="77777777" w:rsidR="00000000" w:rsidRDefault="00832D71">
            <w:pPr>
              <w:rPr>
                <w:rFonts w:eastAsia="Times New Roman"/>
                <w:sz w:val="20"/>
                <w:szCs w:val="20"/>
              </w:rPr>
            </w:pPr>
          </w:p>
        </w:tc>
        <w:tc>
          <w:tcPr>
            <w:tcW w:w="444" w:type="pct"/>
            <w:vAlign w:val="center"/>
            <w:hideMark/>
          </w:tcPr>
          <w:p w14:paraId="5D84AECE" w14:textId="77777777" w:rsidR="00000000" w:rsidRDefault="00832D71">
            <w:pPr>
              <w:rPr>
                <w:rFonts w:eastAsia="Times New Roman"/>
                <w:sz w:val="20"/>
                <w:szCs w:val="20"/>
              </w:rPr>
            </w:pPr>
          </w:p>
        </w:tc>
        <w:tc>
          <w:tcPr>
            <w:tcW w:w="50" w:type="pct"/>
            <w:vAlign w:val="center"/>
            <w:hideMark/>
          </w:tcPr>
          <w:p w14:paraId="4632F797" w14:textId="77777777" w:rsidR="00000000" w:rsidRDefault="00832D71">
            <w:pPr>
              <w:rPr>
                <w:rFonts w:eastAsia="Times New Roman"/>
                <w:sz w:val="20"/>
                <w:szCs w:val="20"/>
              </w:rPr>
            </w:pPr>
          </w:p>
        </w:tc>
        <w:tc>
          <w:tcPr>
            <w:tcW w:w="49" w:type="pct"/>
            <w:vAlign w:val="center"/>
            <w:hideMark/>
          </w:tcPr>
          <w:p w14:paraId="2C514522" w14:textId="77777777" w:rsidR="00000000" w:rsidRDefault="00832D71">
            <w:pPr>
              <w:rPr>
                <w:rFonts w:eastAsia="Times New Roman"/>
                <w:sz w:val="20"/>
                <w:szCs w:val="20"/>
              </w:rPr>
            </w:pPr>
          </w:p>
        </w:tc>
        <w:tc>
          <w:tcPr>
            <w:tcW w:w="50" w:type="pct"/>
            <w:vAlign w:val="center"/>
            <w:hideMark/>
          </w:tcPr>
          <w:p w14:paraId="44D5E4B2" w14:textId="77777777" w:rsidR="00000000" w:rsidRDefault="00832D71">
            <w:pPr>
              <w:rPr>
                <w:rFonts w:eastAsia="Times New Roman"/>
                <w:sz w:val="20"/>
                <w:szCs w:val="20"/>
              </w:rPr>
            </w:pPr>
          </w:p>
        </w:tc>
        <w:tc>
          <w:tcPr>
            <w:tcW w:w="461" w:type="pct"/>
            <w:vAlign w:val="center"/>
            <w:hideMark/>
          </w:tcPr>
          <w:p w14:paraId="5CB3551B" w14:textId="77777777" w:rsidR="00000000" w:rsidRDefault="00832D71">
            <w:pPr>
              <w:rPr>
                <w:rFonts w:eastAsia="Times New Roman"/>
                <w:sz w:val="20"/>
                <w:szCs w:val="20"/>
              </w:rPr>
            </w:pPr>
          </w:p>
        </w:tc>
        <w:tc>
          <w:tcPr>
            <w:tcW w:w="50" w:type="pct"/>
            <w:vAlign w:val="center"/>
            <w:hideMark/>
          </w:tcPr>
          <w:p w14:paraId="66D4E1D8" w14:textId="77777777" w:rsidR="00000000" w:rsidRDefault="00832D71">
            <w:pPr>
              <w:rPr>
                <w:rFonts w:eastAsia="Times New Roman"/>
                <w:sz w:val="20"/>
                <w:szCs w:val="20"/>
              </w:rPr>
            </w:pPr>
          </w:p>
        </w:tc>
      </w:tr>
      <w:tr w:rsidR="00000000" w14:paraId="56A91736" w14:textId="77777777">
        <w:trPr>
          <w:divId w:val="74864251"/>
          <w:trHeight w:val="160"/>
          <w:tblCellSpacing w:w="15" w:type="dxa"/>
        </w:trPr>
        <w:tc>
          <w:tcPr>
            <w:tcW w:w="0" w:type="auto"/>
            <w:vAlign w:val="bottom"/>
            <w:hideMark/>
          </w:tcPr>
          <w:p w14:paraId="7B3F3984"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38E8672" w14:textId="77777777" w:rsidR="00000000" w:rsidRDefault="00832D71">
            <w:pPr>
              <w:pStyle w:val="a3"/>
              <w:spacing w:before="0" w:beforeAutospacing="0" w:after="0" w:afterAutospacing="0"/>
              <w:rPr>
                <w:sz w:val="16"/>
                <w:szCs w:val="16"/>
              </w:rPr>
            </w:pPr>
            <w:r>
              <w:rPr>
                <w:sz w:val="16"/>
                <w:szCs w:val="16"/>
              </w:rPr>
              <w:t> </w:t>
            </w:r>
          </w:p>
        </w:tc>
        <w:tc>
          <w:tcPr>
            <w:tcW w:w="0" w:type="auto"/>
            <w:gridSpan w:val="6"/>
            <w:vAlign w:val="bottom"/>
            <w:hideMark/>
          </w:tcPr>
          <w:p w14:paraId="4DC8A93E" w14:textId="77777777" w:rsidR="00000000" w:rsidRDefault="00832D71">
            <w:pPr>
              <w:pStyle w:val="a3"/>
              <w:spacing w:before="0" w:beforeAutospacing="0" w:after="0" w:afterAutospacing="0"/>
              <w:jc w:val="center"/>
              <w:rPr>
                <w:sz w:val="16"/>
                <w:szCs w:val="16"/>
              </w:rPr>
            </w:pPr>
            <w:r>
              <w:rPr>
                <w:b/>
                <w:bCs/>
                <w:sz w:val="16"/>
                <w:szCs w:val="16"/>
              </w:rPr>
              <w:t>Pension Benefit</w:t>
            </w:r>
            <w:r>
              <w:rPr>
                <w:b/>
                <w:bCs/>
                <w:sz w:val="16"/>
                <w:szCs w:val="16"/>
              </w:rPr>
              <w:t>s</w:t>
            </w:r>
          </w:p>
        </w:tc>
        <w:tc>
          <w:tcPr>
            <w:tcW w:w="0" w:type="auto"/>
            <w:vAlign w:val="bottom"/>
            <w:hideMark/>
          </w:tcPr>
          <w:p w14:paraId="26118398"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8F2306B" w14:textId="77777777" w:rsidR="00000000" w:rsidRDefault="00832D71">
            <w:pPr>
              <w:pStyle w:val="a3"/>
              <w:spacing w:before="0" w:beforeAutospacing="0" w:after="0" w:afterAutospacing="0"/>
              <w:rPr>
                <w:sz w:val="16"/>
                <w:szCs w:val="16"/>
              </w:rPr>
            </w:pPr>
            <w:r>
              <w:rPr>
                <w:sz w:val="16"/>
                <w:szCs w:val="16"/>
              </w:rPr>
              <w:t> </w:t>
            </w:r>
          </w:p>
        </w:tc>
        <w:tc>
          <w:tcPr>
            <w:tcW w:w="0" w:type="auto"/>
            <w:gridSpan w:val="6"/>
            <w:vAlign w:val="bottom"/>
            <w:hideMark/>
          </w:tcPr>
          <w:p w14:paraId="4E383650" w14:textId="77777777" w:rsidR="00000000" w:rsidRDefault="00832D71">
            <w:pPr>
              <w:pStyle w:val="a3"/>
              <w:spacing w:before="0" w:beforeAutospacing="0" w:after="0" w:afterAutospacing="0"/>
              <w:jc w:val="center"/>
              <w:rPr>
                <w:sz w:val="16"/>
                <w:szCs w:val="16"/>
              </w:rPr>
            </w:pPr>
            <w:r>
              <w:rPr>
                <w:b/>
                <w:bCs/>
                <w:sz w:val="16"/>
                <w:szCs w:val="16"/>
              </w:rPr>
              <w:t>Retiree Health and Life Benefit</w:t>
            </w:r>
            <w:r>
              <w:rPr>
                <w:b/>
                <w:bCs/>
                <w:sz w:val="16"/>
                <w:szCs w:val="16"/>
              </w:rPr>
              <w:t>s</w:t>
            </w:r>
          </w:p>
        </w:tc>
        <w:tc>
          <w:tcPr>
            <w:tcW w:w="0" w:type="auto"/>
            <w:vAlign w:val="bottom"/>
            <w:hideMark/>
          </w:tcPr>
          <w:p w14:paraId="5D8872CD"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47A6BAF" w14:textId="77777777">
        <w:trPr>
          <w:divId w:val="74864251"/>
          <w:trHeight w:val="160"/>
          <w:tblCellSpacing w:w="15" w:type="dxa"/>
        </w:trPr>
        <w:tc>
          <w:tcPr>
            <w:tcW w:w="0" w:type="auto"/>
            <w:vAlign w:val="bottom"/>
            <w:hideMark/>
          </w:tcPr>
          <w:p w14:paraId="2FEC4C4F"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738367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28D21F4"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B5C817A"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6E01E7C"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EFE2382"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6A50F5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54B342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11CC66A"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47F488D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B3303D1"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F262817"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5DCD8EA"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0FBC000" w14:textId="77777777">
        <w:trPr>
          <w:divId w:val="74864251"/>
          <w:trHeight w:val="200"/>
          <w:tblCellSpacing w:w="15" w:type="dxa"/>
        </w:trPr>
        <w:tc>
          <w:tcPr>
            <w:tcW w:w="0" w:type="auto"/>
            <w:hideMark/>
          </w:tcPr>
          <w:p w14:paraId="1782213F" w14:textId="77777777" w:rsidR="00000000" w:rsidRDefault="00832D71">
            <w:pPr>
              <w:pStyle w:val="a3"/>
              <w:spacing w:before="0" w:beforeAutospacing="0" w:after="0" w:afterAutospacing="0"/>
              <w:rPr>
                <w:sz w:val="20"/>
                <w:szCs w:val="20"/>
              </w:rPr>
            </w:pPr>
            <w:r>
              <w:rPr>
                <w:sz w:val="20"/>
                <w:szCs w:val="20"/>
              </w:rPr>
              <w:t>Weighted-average discount rat</w:t>
            </w:r>
            <w:r>
              <w:rPr>
                <w:sz w:val="20"/>
                <w:szCs w:val="20"/>
              </w:rPr>
              <w:t>e</w:t>
            </w:r>
          </w:p>
        </w:tc>
        <w:tc>
          <w:tcPr>
            <w:tcW w:w="0" w:type="auto"/>
            <w:hideMark/>
          </w:tcPr>
          <w:p w14:paraId="76422D5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3D2A9C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3C7968D" w14:textId="77777777" w:rsidR="00000000" w:rsidRDefault="00832D71">
            <w:pPr>
              <w:pStyle w:val="a3"/>
              <w:spacing w:before="0" w:beforeAutospacing="0" w:after="0" w:afterAutospacing="0"/>
              <w:jc w:val="right"/>
              <w:rPr>
                <w:sz w:val="20"/>
                <w:szCs w:val="20"/>
              </w:rPr>
            </w:pPr>
            <w:r>
              <w:rPr>
                <w:sz w:val="20"/>
                <w:szCs w:val="20"/>
              </w:rPr>
              <w:t>5.12</w:t>
            </w:r>
            <w:r>
              <w:rPr>
                <w:sz w:val="20"/>
                <w:szCs w:val="20"/>
              </w:rPr>
              <w:t>5</w:t>
            </w:r>
          </w:p>
        </w:tc>
        <w:tc>
          <w:tcPr>
            <w:tcW w:w="0" w:type="auto"/>
            <w:noWrap/>
            <w:vAlign w:val="bottom"/>
            <w:hideMark/>
          </w:tcPr>
          <w:p w14:paraId="3AE76A9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AF16571"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79CD958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EEEA1C7" w14:textId="77777777" w:rsidR="00000000" w:rsidRDefault="00832D71">
            <w:pPr>
              <w:pStyle w:val="a3"/>
              <w:spacing w:before="0" w:beforeAutospacing="0" w:after="0" w:afterAutospacing="0"/>
              <w:jc w:val="right"/>
              <w:rPr>
                <w:sz w:val="20"/>
                <w:szCs w:val="20"/>
              </w:rPr>
            </w:pPr>
            <w:r>
              <w:rPr>
                <w:sz w:val="20"/>
                <w:szCs w:val="20"/>
              </w:rPr>
              <w:t>2.50</w:t>
            </w:r>
            <w:r>
              <w:rPr>
                <w:sz w:val="20"/>
                <w:szCs w:val="20"/>
              </w:rPr>
              <w:t>0</w:t>
            </w:r>
          </w:p>
        </w:tc>
        <w:tc>
          <w:tcPr>
            <w:tcW w:w="0" w:type="auto"/>
            <w:noWrap/>
            <w:vAlign w:val="bottom"/>
            <w:hideMark/>
          </w:tcPr>
          <w:p w14:paraId="03C136A0"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65937B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7BC66E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1C3FDC4" w14:textId="77777777" w:rsidR="00000000" w:rsidRDefault="00832D71">
            <w:pPr>
              <w:pStyle w:val="a3"/>
              <w:spacing w:before="0" w:beforeAutospacing="0" w:after="0" w:afterAutospacing="0"/>
              <w:jc w:val="right"/>
              <w:rPr>
                <w:sz w:val="20"/>
                <w:szCs w:val="20"/>
              </w:rPr>
            </w:pPr>
            <w:r>
              <w:rPr>
                <w:sz w:val="20"/>
                <w:szCs w:val="20"/>
              </w:rPr>
              <w:t>4.87</w:t>
            </w:r>
            <w:r>
              <w:rPr>
                <w:sz w:val="20"/>
                <w:szCs w:val="20"/>
              </w:rPr>
              <w:t>5</w:t>
            </w:r>
          </w:p>
        </w:tc>
        <w:tc>
          <w:tcPr>
            <w:tcW w:w="0" w:type="auto"/>
            <w:noWrap/>
            <w:vAlign w:val="bottom"/>
            <w:hideMark/>
          </w:tcPr>
          <w:p w14:paraId="76EAFFD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0670CA4"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7C5CC88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E856119" w14:textId="77777777" w:rsidR="00000000" w:rsidRDefault="00832D71">
            <w:pPr>
              <w:pStyle w:val="a3"/>
              <w:spacing w:before="0" w:beforeAutospacing="0" w:after="0" w:afterAutospacing="0"/>
              <w:jc w:val="right"/>
              <w:rPr>
                <w:sz w:val="20"/>
                <w:szCs w:val="20"/>
              </w:rPr>
            </w:pPr>
            <w:r>
              <w:rPr>
                <w:sz w:val="20"/>
                <w:szCs w:val="20"/>
              </w:rPr>
              <w:t>1.75</w:t>
            </w:r>
            <w:r>
              <w:rPr>
                <w:sz w:val="20"/>
                <w:szCs w:val="20"/>
              </w:rPr>
              <w:t>0</w:t>
            </w:r>
          </w:p>
        </w:tc>
        <w:tc>
          <w:tcPr>
            <w:tcW w:w="0" w:type="auto"/>
            <w:noWrap/>
            <w:vAlign w:val="bottom"/>
            <w:hideMark/>
          </w:tcPr>
          <w:p w14:paraId="2DEABA59" w14:textId="77777777" w:rsidR="00000000" w:rsidRDefault="00832D71">
            <w:pPr>
              <w:pStyle w:val="a3"/>
              <w:spacing w:before="0" w:beforeAutospacing="0" w:after="0" w:afterAutospacing="0"/>
              <w:rPr>
                <w:sz w:val="20"/>
                <w:szCs w:val="20"/>
              </w:rPr>
            </w:pPr>
            <w:r>
              <w:rPr>
                <w:sz w:val="20"/>
                <w:szCs w:val="20"/>
              </w:rPr>
              <w:t>%</w:t>
            </w:r>
          </w:p>
        </w:tc>
      </w:tr>
      <w:tr w:rsidR="00000000" w14:paraId="3114AAB2" w14:textId="77777777">
        <w:trPr>
          <w:divId w:val="74864251"/>
          <w:trHeight w:val="200"/>
          <w:tblCellSpacing w:w="15" w:type="dxa"/>
        </w:trPr>
        <w:tc>
          <w:tcPr>
            <w:tcW w:w="0" w:type="auto"/>
            <w:hideMark/>
          </w:tcPr>
          <w:p w14:paraId="75018767" w14:textId="77777777" w:rsidR="00000000" w:rsidRDefault="00832D71">
            <w:pPr>
              <w:pStyle w:val="a3"/>
              <w:spacing w:before="0" w:beforeAutospacing="0" w:after="0" w:afterAutospacing="0"/>
              <w:rPr>
                <w:sz w:val="20"/>
                <w:szCs w:val="20"/>
              </w:rPr>
            </w:pPr>
            <w:r>
              <w:rPr>
                <w:sz w:val="20"/>
                <w:szCs w:val="20"/>
              </w:rPr>
              <w:t>Average rate of compensation increas</w:t>
            </w:r>
            <w:r>
              <w:rPr>
                <w:sz w:val="20"/>
                <w:szCs w:val="20"/>
              </w:rPr>
              <w:t>e</w:t>
            </w:r>
          </w:p>
        </w:tc>
        <w:tc>
          <w:tcPr>
            <w:tcW w:w="0" w:type="auto"/>
            <w:hideMark/>
          </w:tcPr>
          <w:p w14:paraId="56B47E9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5695094" w14:textId="77777777" w:rsidR="00000000" w:rsidRDefault="00832D71">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14:paraId="144522E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B597374"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71AEFA0F" w14:textId="77777777" w:rsidR="00000000" w:rsidRDefault="00832D71">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14:paraId="60BC183E"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2AFAFA0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956FA3E" w14:textId="77777777" w:rsidR="00000000" w:rsidRDefault="00832D71">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14:paraId="18CB079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FEF41CA"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8BBA79E" w14:textId="77777777" w:rsidR="00000000" w:rsidRDefault="00832D71">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14:paraId="321A2BF2" w14:textId="77777777" w:rsidR="00000000" w:rsidRDefault="00832D71">
            <w:pPr>
              <w:pStyle w:val="a3"/>
              <w:spacing w:before="0" w:beforeAutospacing="0" w:after="0" w:afterAutospacing="0"/>
              <w:jc w:val="right"/>
              <w:rPr>
                <w:sz w:val="20"/>
                <w:szCs w:val="20"/>
              </w:rPr>
            </w:pPr>
            <w:r>
              <w:rPr>
                <w:sz w:val="20"/>
                <w:szCs w:val="20"/>
              </w:rPr>
              <w:t> </w:t>
            </w:r>
          </w:p>
        </w:tc>
      </w:tr>
      <w:tr w:rsidR="00000000" w14:paraId="1409EBB5" w14:textId="77777777">
        <w:trPr>
          <w:divId w:val="74864251"/>
          <w:trHeight w:val="200"/>
          <w:tblCellSpacing w:w="15" w:type="dxa"/>
        </w:trPr>
        <w:tc>
          <w:tcPr>
            <w:tcW w:w="0" w:type="auto"/>
            <w:hideMark/>
          </w:tcPr>
          <w:p w14:paraId="00E548F5" w14:textId="77777777" w:rsidR="00000000" w:rsidRDefault="00832D71">
            <w:pPr>
              <w:pStyle w:val="a3"/>
              <w:spacing w:before="0" w:beforeAutospacing="0" w:after="0" w:afterAutospacing="0"/>
              <w:rPr>
                <w:sz w:val="20"/>
                <w:szCs w:val="20"/>
              </w:rPr>
            </w:pPr>
            <w:r>
              <w:rPr>
                <w:sz w:val="20"/>
                <w:szCs w:val="20"/>
              </w:rPr>
              <w:t>Health care cost tren</w:t>
            </w:r>
            <w:r>
              <w:rPr>
                <w:sz w:val="20"/>
                <w:szCs w:val="20"/>
              </w:rPr>
              <w:t>d</w:t>
            </w:r>
          </w:p>
        </w:tc>
        <w:tc>
          <w:tcPr>
            <w:tcW w:w="0" w:type="auto"/>
            <w:hideMark/>
          </w:tcPr>
          <w:p w14:paraId="772C8DC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3473282" w14:textId="77777777" w:rsidR="00000000" w:rsidRDefault="00832D71">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14:paraId="5D695AF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DD2FF30"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29495EE" w14:textId="77777777" w:rsidR="00000000" w:rsidRDefault="00832D71">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14:paraId="6948757E"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BD05F2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3DF491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803BCBD" w14:textId="77777777" w:rsidR="00000000" w:rsidRDefault="00832D71">
            <w:pPr>
              <w:pStyle w:val="a3"/>
              <w:spacing w:before="0" w:beforeAutospacing="0" w:after="0" w:afterAutospacing="0"/>
              <w:jc w:val="right"/>
              <w:rPr>
                <w:sz w:val="20"/>
                <w:szCs w:val="20"/>
              </w:rPr>
            </w:pPr>
            <w:r>
              <w:rPr>
                <w:sz w:val="20"/>
                <w:szCs w:val="20"/>
              </w:rPr>
              <w:t>5.33</w:t>
            </w:r>
            <w:r>
              <w:rPr>
                <w:sz w:val="20"/>
                <w:szCs w:val="20"/>
              </w:rPr>
              <w:t>0</w:t>
            </w:r>
          </w:p>
        </w:tc>
        <w:tc>
          <w:tcPr>
            <w:tcW w:w="0" w:type="auto"/>
            <w:noWrap/>
            <w:vAlign w:val="bottom"/>
            <w:hideMark/>
          </w:tcPr>
          <w:p w14:paraId="526C802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77CCAFC"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7983DA3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2578AC8" w14:textId="77777777" w:rsidR="00000000" w:rsidRDefault="00832D71">
            <w:pPr>
              <w:pStyle w:val="a3"/>
              <w:spacing w:before="0" w:beforeAutospacing="0" w:after="0" w:afterAutospacing="0"/>
              <w:jc w:val="right"/>
              <w:rPr>
                <w:sz w:val="20"/>
                <w:szCs w:val="20"/>
              </w:rPr>
            </w:pPr>
            <w:r>
              <w:rPr>
                <w:sz w:val="20"/>
                <w:szCs w:val="20"/>
              </w:rPr>
              <w:t>5.40</w:t>
            </w:r>
            <w:r>
              <w:rPr>
                <w:sz w:val="20"/>
                <w:szCs w:val="20"/>
              </w:rPr>
              <w:t>0</w:t>
            </w:r>
          </w:p>
        </w:tc>
        <w:tc>
          <w:tcPr>
            <w:tcW w:w="0" w:type="auto"/>
            <w:noWrap/>
            <w:vAlign w:val="bottom"/>
            <w:hideMark/>
          </w:tcPr>
          <w:p w14:paraId="0373FEFD" w14:textId="77777777" w:rsidR="00000000" w:rsidRDefault="00832D71">
            <w:pPr>
              <w:pStyle w:val="a3"/>
              <w:spacing w:before="0" w:beforeAutospacing="0" w:after="0" w:afterAutospacing="0"/>
              <w:rPr>
                <w:sz w:val="20"/>
                <w:szCs w:val="20"/>
              </w:rPr>
            </w:pPr>
            <w:r>
              <w:rPr>
                <w:sz w:val="20"/>
                <w:szCs w:val="20"/>
              </w:rPr>
              <w:t>%</w:t>
            </w:r>
          </w:p>
        </w:tc>
      </w:tr>
    </w:tbl>
    <w:p w14:paraId="5BA43048" w14:textId="77777777" w:rsidR="00000000" w:rsidRDefault="00832D71">
      <w:pPr>
        <w:pStyle w:val="a3"/>
        <w:spacing w:before="0" w:beforeAutospacing="0" w:after="0" w:afterAutospacing="0"/>
        <w:divId w:val="74864251"/>
        <w:rPr>
          <w:sz w:val="20"/>
          <w:szCs w:val="20"/>
        </w:rPr>
      </w:pPr>
      <w:r>
        <w:rPr>
          <w:sz w:val="20"/>
          <w:szCs w:val="20"/>
        </w:rPr>
        <w:t> </w:t>
      </w:r>
    </w:p>
    <w:p w14:paraId="44DD1678" w14:textId="77777777" w:rsidR="00000000" w:rsidRDefault="00832D71">
      <w:pPr>
        <w:pStyle w:val="a3"/>
        <w:spacing w:before="40" w:beforeAutospacing="0" w:after="0" w:afterAutospacing="0"/>
        <w:jc w:val="both"/>
        <w:divId w:val="74864251"/>
        <w:rPr>
          <w:sz w:val="20"/>
          <w:szCs w:val="20"/>
        </w:rPr>
      </w:pPr>
      <w:r>
        <w:rPr>
          <w:sz w:val="20"/>
          <w:szCs w:val="20"/>
        </w:rPr>
        <w:t>The assumptions used in the measurement of net periodic pension benefit and postretirement benefit costs for fiscal 2022, 2021 and 2020 are shown in the following table</w:t>
      </w:r>
      <w:r>
        <w:rPr>
          <w:sz w:val="20"/>
          <w:szCs w:val="20"/>
        </w:rPr>
        <w:t>:</w:t>
      </w:r>
    </w:p>
    <w:p w14:paraId="70B3CB0A" w14:textId="77777777" w:rsidR="00000000" w:rsidRDefault="00832D71">
      <w:pPr>
        <w:pStyle w:val="a3"/>
        <w:spacing w:before="0" w:beforeAutospacing="0" w:after="0" w:afterAutospacing="0"/>
        <w:divId w:val="7486425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27"/>
        <w:gridCol w:w="110"/>
        <w:gridCol w:w="110"/>
        <w:gridCol w:w="536"/>
        <w:gridCol w:w="227"/>
        <w:gridCol w:w="110"/>
        <w:gridCol w:w="110"/>
        <w:gridCol w:w="536"/>
        <w:gridCol w:w="227"/>
        <w:gridCol w:w="110"/>
        <w:gridCol w:w="110"/>
        <w:gridCol w:w="569"/>
        <w:gridCol w:w="227"/>
        <w:gridCol w:w="110"/>
        <w:gridCol w:w="110"/>
        <w:gridCol w:w="536"/>
        <w:gridCol w:w="227"/>
        <w:gridCol w:w="110"/>
        <w:gridCol w:w="110"/>
        <w:gridCol w:w="536"/>
        <w:gridCol w:w="227"/>
        <w:gridCol w:w="110"/>
        <w:gridCol w:w="110"/>
        <w:gridCol w:w="569"/>
        <w:gridCol w:w="242"/>
      </w:tblGrid>
      <w:tr w:rsidR="00000000" w14:paraId="220F3EF7" w14:textId="77777777">
        <w:trPr>
          <w:divId w:val="74864251"/>
          <w:tblCellSpacing w:w="15" w:type="dxa"/>
        </w:trPr>
        <w:tc>
          <w:tcPr>
            <w:tcW w:w="1591" w:type="pct"/>
            <w:vAlign w:val="center"/>
            <w:hideMark/>
          </w:tcPr>
          <w:p w14:paraId="3C81297B" w14:textId="77777777" w:rsidR="00000000" w:rsidRDefault="00832D71">
            <w:pPr>
              <w:rPr>
                <w:sz w:val="20"/>
                <w:szCs w:val="20"/>
              </w:rPr>
            </w:pPr>
          </w:p>
        </w:tc>
        <w:tc>
          <w:tcPr>
            <w:tcW w:w="49" w:type="pct"/>
            <w:vAlign w:val="center"/>
            <w:hideMark/>
          </w:tcPr>
          <w:p w14:paraId="42212E6C" w14:textId="77777777" w:rsidR="00000000" w:rsidRDefault="00832D71">
            <w:pPr>
              <w:rPr>
                <w:rFonts w:eastAsia="Times New Roman"/>
                <w:sz w:val="20"/>
                <w:szCs w:val="20"/>
              </w:rPr>
            </w:pPr>
          </w:p>
        </w:tc>
        <w:tc>
          <w:tcPr>
            <w:tcW w:w="50" w:type="pct"/>
            <w:vAlign w:val="center"/>
            <w:hideMark/>
          </w:tcPr>
          <w:p w14:paraId="0DFEBDCE" w14:textId="77777777" w:rsidR="00000000" w:rsidRDefault="00832D71">
            <w:pPr>
              <w:rPr>
                <w:rFonts w:eastAsia="Times New Roman"/>
                <w:sz w:val="20"/>
                <w:szCs w:val="20"/>
              </w:rPr>
            </w:pPr>
          </w:p>
        </w:tc>
        <w:tc>
          <w:tcPr>
            <w:tcW w:w="412" w:type="pct"/>
            <w:vAlign w:val="center"/>
            <w:hideMark/>
          </w:tcPr>
          <w:p w14:paraId="00C42FC7" w14:textId="77777777" w:rsidR="00000000" w:rsidRDefault="00832D71">
            <w:pPr>
              <w:rPr>
                <w:rFonts w:eastAsia="Times New Roman"/>
                <w:sz w:val="20"/>
                <w:szCs w:val="20"/>
              </w:rPr>
            </w:pPr>
          </w:p>
        </w:tc>
        <w:tc>
          <w:tcPr>
            <w:tcW w:w="50" w:type="pct"/>
            <w:vAlign w:val="center"/>
            <w:hideMark/>
          </w:tcPr>
          <w:p w14:paraId="016991A8" w14:textId="77777777" w:rsidR="00000000" w:rsidRDefault="00832D71">
            <w:pPr>
              <w:rPr>
                <w:rFonts w:eastAsia="Times New Roman"/>
                <w:sz w:val="20"/>
                <w:szCs w:val="20"/>
              </w:rPr>
            </w:pPr>
          </w:p>
        </w:tc>
        <w:tc>
          <w:tcPr>
            <w:tcW w:w="49" w:type="pct"/>
            <w:vAlign w:val="center"/>
            <w:hideMark/>
          </w:tcPr>
          <w:p w14:paraId="4A057B86" w14:textId="77777777" w:rsidR="00000000" w:rsidRDefault="00832D71">
            <w:pPr>
              <w:rPr>
                <w:rFonts w:eastAsia="Times New Roman"/>
                <w:sz w:val="20"/>
                <w:szCs w:val="20"/>
              </w:rPr>
            </w:pPr>
          </w:p>
        </w:tc>
        <w:tc>
          <w:tcPr>
            <w:tcW w:w="50" w:type="pct"/>
            <w:vAlign w:val="center"/>
            <w:hideMark/>
          </w:tcPr>
          <w:p w14:paraId="4F60B06F" w14:textId="77777777" w:rsidR="00000000" w:rsidRDefault="00832D71">
            <w:pPr>
              <w:rPr>
                <w:rFonts w:eastAsia="Times New Roman"/>
                <w:sz w:val="20"/>
                <w:szCs w:val="20"/>
              </w:rPr>
            </w:pPr>
          </w:p>
        </w:tc>
        <w:tc>
          <w:tcPr>
            <w:tcW w:w="411" w:type="pct"/>
            <w:vAlign w:val="center"/>
            <w:hideMark/>
          </w:tcPr>
          <w:p w14:paraId="4B5D815E" w14:textId="77777777" w:rsidR="00000000" w:rsidRDefault="00832D71">
            <w:pPr>
              <w:rPr>
                <w:rFonts w:eastAsia="Times New Roman"/>
                <w:sz w:val="20"/>
                <w:szCs w:val="20"/>
              </w:rPr>
            </w:pPr>
          </w:p>
        </w:tc>
        <w:tc>
          <w:tcPr>
            <w:tcW w:w="50" w:type="pct"/>
            <w:vAlign w:val="center"/>
            <w:hideMark/>
          </w:tcPr>
          <w:p w14:paraId="5D38D454" w14:textId="77777777" w:rsidR="00000000" w:rsidRDefault="00832D71">
            <w:pPr>
              <w:rPr>
                <w:rFonts w:eastAsia="Times New Roman"/>
                <w:sz w:val="20"/>
                <w:szCs w:val="20"/>
              </w:rPr>
            </w:pPr>
          </w:p>
        </w:tc>
        <w:tc>
          <w:tcPr>
            <w:tcW w:w="49" w:type="pct"/>
            <w:vAlign w:val="center"/>
            <w:hideMark/>
          </w:tcPr>
          <w:p w14:paraId="68368AE8" w14:textId="77777777" w:rsidR="00000000" w:rsidRDefault="00832D71">
            <w:pPr>
              <w:rPr>
                <w:rFonts w:eastAsia="Times New Roman"/>
                <w:sz w:val="20"/>
                <w:szCs w:val="20"/>
              </w:rPr>
            </w:pPr>
          </w:p>
        </w:tc>
        <w:tc>
          <w:tcPr>
            <w:tcW w:w="50" w:type="pct"/>
            <w:vAlign w:val="center"/>
            <w:hideMark/>
          </w:tcPr>
          <w:p w14:paraId="0F7BD1CE" w14:textId="77777777" w:rsidR="00000000" w:rsidRDefault="00832D71">
            <w:pPr>
              <w:rPr>
                <w:rFonts w:eastAsia="Times New Roman"/>
                <w:sz w:val="20"/>
                <w:szCs w:val="20"/>
              </w:rPr>
            </w:pPr>
          </w:p>
        </w:tc>
        <w:tc>
          <w:tcPr>
            <w:tcW w:w="433" w:type="pct"/>
            <w:vAlign w:val="center"/>
            <w:hideMark/>
          </w:tcPr>
          <w:p w14:paraId="1C2C986A" w14:textId="77777777" w:rsidR="00000000" w:rsidRDefault="00832D71">
            <w:pPr>
              <w:rPr>
                <w:rFonts w:eastAsia="Times New Roman"/>
                <w:sz w:val="20"/>
                <w:szCs w:val="20"/>
              </w:rPr>
            </w:pPr>
          </w:p>
        </w:tc>
        <w:tc>
          <w:tcPr>
            <w:tcW w:w="50" w:type="pct"/>
            <w:vAlign w:val="center"/>
            <w:hideMark/>
          </w:tcPr>
          <w:p w14:paraId="75DFE668" w14:textId="77777777" w:rsidR="00000000" w:rsidRDefault="00832D71">
            <w:pPr>
              <w:rPr>
                <w:rFonts w:eastAsia="Times New Roman"/>
                <w:sz w:val="20"/>
                <w:szCs w:val="20"/>
              </w:rPr>
            </w:pPr>
          </w:p>
        </w:tc>
        <w:tc>
          <w:tcPr>
            <w:tcW w:w="49" w:type="pct"/>
            <w:vAlign w:val="center"/>
            <w:hideMark/>
          </w:tcPr>
          <w:p w14:paraId="2997240F" w14:textId="77777777" w:rsidR="00000000" w:rsidRDefault="00832D71">
            <w:pPr>
              <w:rPr>
                <w:rFonts w:eastAsia="Times New Roman"/>
                <w:sz w:val="20"/>
                <w:szCs w:val="20"/>
              </w:rPr>
            </w:pPr>
          </w:p>
        </w:tc>
        <w:tc>
          <w:tcPr>
            <w:tcW w:w="50" w:type="pct"/>
            <w:vAlign w:val="center"/>
            <w:hideMark/>
          </w:tcPr>
          <w:p w14:paraId="264F2C17" w14:textId="77777777" w:rsidR="00000000" w:rsidRDefault="00832D71">
            <w:pPr>
              <w:rPr>
                <w:rFonts w:eastAsia="Times New Roman"/>
                <w:sz w:val="20"/>
                <w:szCs w:val="20"/>
              </w:rPr>
            </w:pPr>
          </w:p>
        </w:tc>
        <w:tc>
          <w:tcPr>
            <w:tcW w:w="411" w:type="pct"/>
            <w:vAlign w:val="center"/>
            <w:hideMark/>
          </w:tcPr>
          <w:p w14:paraId="465B43A0" w14:textId="77777777" w:rsidR="00000000" w:rsidRDefault="00832D71">
            <w:pPr>
              <w:rPr>
                <w:rFonts w:eastAsia="Times New Roman"/>
                <w:sz w:val="20"/>
                <w:szCs w:val="20"/>
              </w:rPr>
            </w:pPr>
          </w:p>
        </w:tc>
        <w:tc>
          <w:tcPr>
            <w:tcW w:w="50" w:type="pct"/>
            <w:vAlign w:val="center"/>
            <w:hideMark/>
          </w:tcPr>
          <w:p w14:paraId="363E1FBA" w14:textId="77777777" w:rsidR="00000000" w:rsidRDefault="00832D71">
            <w:pPr>
              <w:rPr>
                <w:rFonts w:eastAsia="Times New Roman"/>
                <w:sz w:val="20"/>
                <w:szCs w:val="20"/>
              </w:rPr>
            </w:pPr>
          </w:p>
        </w:tc>
        <w:tc>
          <w:tcPr>
            <w:tcW w:w="49" w:type="pct"/>
            <w:vAlign w:val="center"/>
            <w:hideMark/>
          </w:tcPr>
          <w:p w14:paraId="0853EACE" w14:textId="77777777" w:rsidR="00000000" w:rsidRDefault="00832D71">
            <w:pPr>
              <w:rPr>
                <w:rFonts w:eastAsia="Times New Roman"/>
                <w:sz w:val="20"/>
                <w:szCs w:val="20"/>
              </w:rPr>
            </w:pPr>
          </w:p>
        </w:tc>
        <w:tc>
          <w:tcPr>
            <w:tcW w:w="50" w:type="pct"/>
            <w:vAlign w:val="center"/>
            <w:hideMark/>
          </w:tcPr>
          <w:p w14:paraId="16639836" w14:textId="77777777" w:rsidR="00000000" w:rsidRDefault="00832D71">
            <w:pPr>
              <w:rPr>
                <w:rFonts w:eastAsia="Times New Roman"/>
                <w:sz w:val="20"/>
                <w:szCs w:val="20"/>
              </w:rPr>
            </w:pPr>
          </w:p>
        </w:tc>
        <w:tc>
          <w:tcPr>
            <w:tcW w:w="411" w:type="pct"/>
            <w:vAlign w:val="center"/>
            <w:hideMark/>
          </w:tcPr>
          <w:p w14:paraId="05D30C03" w14:textId="77777777" w:rsidR="00000000" w:rsidRDefault="00832D71">
            <w:pPr>
              <w:rPr>
                <w:rFonts w:eastAsia="Times New Roman"/>
                <w:sz w:val="20"/>
                <w:szCs w:val="20"/>
              </w:rPr>
            </w:pPr>
          </w:p>
        </w:tc>
        <w:tc>
          <w:tcPr>
            <w:tcW w:w="50" w:type="pct"/>
            <w:vAlign w:val="center"/>
            <w:hideMark/>
          </w:tcPr>
          <w:p w14:paraId="0C809201" w14:textId="77777777" w:rsidR="00000000" w:rsidRDefault="00832D71">
            <w:pPr>
              <w:rPr>
                <w:rFonts w:eastAsia="Times New Roman"/>
                <w:sz w:val="20"/>
                <w:szCs w:val="20"/>
              </w:rPr>
            </w:pPr>
          </w:p>
        </w:tc>
        <w:tc>
          <w:tcPr>
            <w:tcW w:w="49" w:type="pct"/>
            <w:vAlign w:val="center"/>
            <w:hideMark/>
          </w:tcPr>
          <w:p w14:paraId="3B6DEBB5" w14:textId="77777777" w:rsidR="00000000" w:rsidRDefault="00832D71">
            <w:pPr>
              <w:rPr>
                <w:rFonts w:eastAsia="Times New Roman"/>
                <w:sz w:val="20"/>
                <w:szCs w:val="20"/>
              </w:rPr>
            </w:pPr>
          </w:p>
        </w:tc>
        <w:tc>
          <w:tcPr>
            <w:tcW w:w="50" w:type="pct"/>
            <w:vAlign w:val="center"/>
            <w:hideMark/>
          </w:tcPr>
          <w:p w14:paraId="02F85334" w14:textId="77777777" w:rsidR="00000000" w:rsidRDefault="00832D71">
            <w:pPr>
              <w:rPr>
                <w:rFonts w:eastAsia="Times New Roman"/>
                <w:sz w:val="20"/>
                <w:szCs w:val="20"/>
              </w:rPr>
            </w:pPr>
          </w:p>
        </w:tc>
        <w:tc>
          <w:tcPr>
            <w:tcW w:w="433" w:type="pct"/>
            <w:vAlign w:val="center"/>
            <w:hideMark/>
          </w:tcPr>
          <w:p w14:paraId="0B9C9A35" w14:textId="77777777" w:rsidR="00000000" w:rsidRDefault="00832D71">
            <w:pPr>
              <w:rPr>
                <w:rFonts w:eastAsia="Times New Roman"/>
                <w:sz w:val="20"/>
                <w:szCs w:val="20"/>
              </w:rPr>
            </w:pPr>
          </w:p>
        </w:tc>
        <w:tc>
          <w:tcPr>
            <w:tcW w:w="50" w:type="pct"/>
            <w:vAlign w:val="center"/>
            <w:hideMark/>
          </w:tcPr>
          <w:p w14:paraId="11D48C18" w14:textId="77777777" w:rsidR="00000000" w:rsidRDefault="00832D71">
            <w:pPr>
              <w:rPr>
                <w:rFonts w:eastAsia="Times New Roman"/>
                <w:sz w:val="20"/>
                <w:szCs w:val="20"/>
              </w:rPr>
            </w:pPr>
          </w:p>
        </w:tc>
      </w:tr>
      <w:tr w:rsidR="00000000" w14:paraId="4E9FA60D" w14:textId="77777777">
        <w:trPr>
          <w:divId w:val="74864251"/>
          <w:trHeight w:val="160"/>
          <w:tblCellSpacing w:w="15" w:type="dxa"/>
        </w:trPr>
        <w:tc>
          <w:tcPr>
            <w:tcW w:w="0" w:type="auto"/>
            <w:vAlign w:val="bottom"/>
            <w:hideMark/>
          </w:tcPr>
          <w:p w14:paraId="3DEF548C"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18B53A5" w14:textId="77777777" w:rsidR="00000000" w:rsidRDefault="00832D71">
            <w:pPr>
              <w:pStyle w:val="a3"/>
              <w:spacing w:before="0" w:beforeAutospacing="0" w:after="0" w:afterAutospacing="0"/>
              <w:rPr>
                <w:sz w:val="16"/>
                <w:szCs w:val="16"/>
              </w:rPr>
            </w:pPr>
            <w:r>
              <w:rPr>
                <w:sz w:val="16"/>
                <w:szCs w:val="16"/>
              </w:rPr>
              <w:t> </w:t>
            </w:r>
          </w:p>
        </w:tc>
        <w:tc>
          <w:tcPr>
            <w:tcW w:w="0" w:type="auto"/>
            <w:gridSpan w:val="10"/>
            <w:vAlign w:val="bottom"/>
            <w:hideMark/>
          </w:tcPr>
          <w:p w14:paraId="79149563" w14:textId="77777777" w:rsidR="00000000" w:rsidRDefault="00832D71">
            <w:pPr>
              <w:pStyle w:val="a3"/>
              <w:spacing w:before="0" w:beforeAutospacing="0" w:after="0" w:afterAutospacing="0"/>
              <w:jc w:val="center"/>
              <w:rPr>
                <w:sz w:val="16"/>
                <w:szCs w:val="16"/>
              </w:rPr>
            </w:pPr>
            <w:r>
              <w:rPr>
                <w:b/>
                <w:bCs/>
                <w:sz w:val="16"/>
                <w:szCs w:val="16"/>
              </w:rPr>
              <w:t>Pension Benefit</w:t>
            </w:r>
            <w:r>
              <w:rPr>
                <w:b/>
                <w:bCs/>
                <w:sz w:val="16"/>
                <w:szCs w:val="16"/>
              </w:rPr>
              <w:t>s</w:t>
            </w:r>
          </w:p>
        </w:tc>
        <w:tc>
          <w:tcPr>
            <w:tcW w:w="0" w:type="auto"/>
            <w:vAlign w:val="bottom"/>
            <w:hideMark/>
          </w:tcPr>
          <w:p w14:paraId="25B3FCD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4F8748B" w14:textId="77777777" w:rsidR="00000000" w:rsidRDefault="00832D71">
            <w:pPr>
              <w:pStyle w:val="a3"/>
              <w:spacing w:before="0" w:beforeAutospacing="0" w:after="0" w:afterAutospacing="0"/>
              <w:rPr>
                <w:sz w:val="16"/>
                <w:szCs w:val="16"/>
              </w:rPr>
            </w:pPr>
            <w:r>
              <w:rPr>
                <w:sz w:val="16"/>
                <w:szCs w:val="16"/>
              </w:rPr>
              <w:t> </w:t>
            </w:r>
          </w:p>
        </w:tc>
        <w:tc>
          <w:tcPr>
            <w:tcW w:w="0" w:type="auto"/>
            <w:gridSpan w:val="10"/>
            <w:vAlign w:val="bottom"/>
            <w:hideMark/>
          </w:tcPr>
          <w:p w14:paraId="4A9BAC32" w14:textId="77777777" w:rsidR="00000000" w:rsidRDefault="00832D71">
            <w:pPr>
              <w:pStyle w:val="a3"/>
              <w:spacing w:before="0" w:beforeAutospacing="0" w:after="0" w:afterAutospacing="0"/>
              <w:jc w:val="center"/>
              <w:rPr>
                <w:sz w:val="16"/>
                <w:szCs w:val="16"/>
              </w:rPr>
            </w:pPr>
            <w:r>
              <w:rPr>
                <w:b/>
                <w:bCs/>
                <w:sz w:val="16"/>
                <w:szCs w:val="16"/>
              </w:rPr>
              <w:t>Retiree Health and Life Benefit</w:t>
            </w:r>
            <w:r>
              <w:rPr>
                <w:b/>
                <w:bCs/>
                <w:sz w:val="16"/>
                <w:szCs w:val="16"/>
              </w:rPr>
              <w:t>s</w:t>
            </w:r>
          </w:p>
        </w:tc>
        <w:tc>
          <w:tcPr>
            <w:tcW w:w="0" w:type="auto"/>
            <w:vAlign w:val="bottom"/>
            <w:hideMark/>
          </w:tcPr>
          <w:p w14:paraId="5129E0BD"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42C2C7D3" w14:textId="77777777">
        <w:trPr>
          <w:divId w:val="74864251"/>
          <w:trHeight w:val="160"/>
          <w:tblCellSpacing w:w="15" w:type="dxa"/>
        </w:trPr>
        <w:tc>
          <w:tcPr>
            <w:tcW w:w="0" w:type="auto"/>
            <w:hideMark/>
          </w:tcPr>
          <w:p w14:paraId="5DB2101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31F6A1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735CF3F"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265C640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176269A"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CB3B56A"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5438AAF"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B2C3A0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ABC2D28"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201D6453"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29E835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62098FC"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1B99DE3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8EF3960"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C78FDB5"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18A9B68A"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1CC7EE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D2E7682"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5A853157"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CC213AA" w14:textId="77777777">
        <w:trPr>
          <w:divId w:val="74864251"/>
          <w:trHeight w:val="200"/>
          <w:tblCellSpacing w:w="15" w:type="dxa"/>
        </w:trPr>
        <w:tc>
          <w:tcPr>
            <w:tcW w:w="0" w:type="auto"/>
            <w:hideMark/>
          </w:tcPr>
          <w:p w14:paraId="4578AEBC" w14:textId="77777777" w:rsidR="00000000" w:rsidRDefault="00832D71">
            <w:pPr>
              <w:pStyle w:val="a3"/>
              <w:spacing w:before="0" w:beforeAutospacing="0" w:after="0" w:afterAutospacing="0"/>
              <w:rPr>
                <w:sz w:val="20"/>
                <w:szCs w:val="20"/>
              </w:rPr>
            </w:pPr>
            <w:r>
              <w:rPr>
                <w:sz w:val="20"/>
                <w:szCs w:val="20"/>
              </w:rPr>
              <w:t>Weighted-average discount rat</w:t>
            </w:r>
            <w:r>
              <w:rPr>
                <w:sz w:val="20"/>
                <w:szCs w:val="20"/>
              </w:rPr>
              <w:t>e</w:t>
            </w:r>
          </w:p>
        </w:tc>
        <w:tc>
          <w:tcPr>
            <w:tcW w:w="0" w:type="auto"/>
            <w:hideMark/>
          </w:tcPr>
          <w:p w14:paraId="41D44E4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8CB7D1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18AB4E6" w14:textId="77777777" w:rsidR="00000000" w:rsidRDefault="00832D71">
            <w:pPr>
              <w:pStyle w:val="a3"/>
              <w:spacing w:before="0" w:beforeAutospacing="0" w:after="0" w:afterAutospacing="0"/>
              <w:jc w:val="right"/>
              <w:rPr>
                <w:sz w:val="20"/>
                <w:szCs w:val="20"/>
              </w:rPr>
            </w:pPr>
            <w:r>
              <w:rPr>
                <w:sz w:val="20"/>
                <w:szCs w:val="20"/>
              </w:rPr>
              <w:t>2.50</w:t>
            </w:r>
            <w:r>
              <w:rPr>
                <w:sz w:val="20"/>
                <w:szCs w:val="20"/>
              </w:rPr>
              <w:t>0</w:t>
            </w:r>
          </w:p>
        </w:tc>
        <w:tc>
          <w:tcPr>
            <w:tcW w:w="0" w:type="auto"/>
            <w:noWrap/>
            <w:vAlign w:val="bottom"/>
            <w:hideMark/>
          </w:tcPr>
          <w:p w14:paraId="414A915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4B71391"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5E76A03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7EDC942" w14:textId="77777777" w:rsidR="00000000" w:rsidRDefault="00832D71">
            <w:pPr>
              <w:pStyle w:val="a3"/>
              <w:spacing w:before="0" w:beforeAutospacing="0" w:after="0" w:afterAutospacing="0"/>
              <w:jc w:val="right"/>
              <w:rPr>
                <w:sz w:val="20"/>
                <w:szCs w:val="20"/>
              </w:rPr>
            </w:pPr>
            <w:r>
              <w:rPr>
                <w:sz w:val="20"/>
                <w:szCs w:val="20"/>
              </w:rPr>
              <w:t>2.12</w:t>
            </w:r>
            <w:r>
              <w:rPr>
                <w:sz w:val="20"/>
                <w:szCs w:val="20"/>
              </w:rPr>
              <w:t>5</w:t>
            </w:r>
          </w:p>
        </w:tc>
        <w:tc>
          <w:tcPr>
            <w:tcW w:w="0" w:type="auto"/>
            <w:noWrap/>
            <w:vAlign w:val="bottom"/>
            <w:hideMark/>
          </w:tcPr>
          <w:p w14:paraId="484EA9F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CDA488A"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2D1D7C4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F354E5D" w14:textId="77777777" w:rsidR="00000000" w:rsidRDefault="00832D71">
            <w:pPr>
              <w:pStyle w:val="a3"/>
              <w:spacing w:before="0" w:beforeAutospacing="0" w:after="0" w:afterAutospacing="0"/>
              <w:jc w:val="right"/>
              <w:rPr>
                <w:sz w:val="20"/>
                <w:szCs w:val="20"/>
              </w:rPr>
            </w:pPr>
            <w:r>
              <w:rPr>
                <w:sz w:val="20"/>
                <w:szCs w:val="20"/>
              </w:rPr>
              <w:t>2.87</w:t>
            </w:r>
            <w:r>
              <w:rPr>
                <w:sz w:val="20"/>
                <w:szCs w:val="20"/>
              </w:rPr>
              <w:t>5</w:t>
            </w:r>
          </w:p>
        </w:tc>
        <w:tc>
          <w:tcPr>
            <w:tcW w:w="0" w:type="auto"/>
            <w:noWrap/>
            <w:vAlign w:val="bottom"/>
            <w:hideMark/>
          </w:tcPr>
          <w:p w14:paraId="1B0C23D3"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BC7078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D79AB6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FB06515" w14:textId="77777777" w:rsidR="00000000" w:rsidRDefault="00832D71">
            <w:pPr>
              <w:pStyle w:val="a3"/>
              <w:spacing w:before="0" w:beforeAutospacing="0" w:after="0" w:afterAutospacing="0"/>
              <w:jc w:val="right"/>
              <w:rPr>
                <w:sz w:val="20"/>
                <w:szCs w:val="20"/>
              </w:rPr>
            </w:pPr>
            <w:r>
              <w:rPr>
                <w:sz w:val="20"/>
                <w:szCs w:val="20"/>
              </w:rPr>
              <w:t>1.75</w:t>
            </w:r>
            <w:r>
              <w:rPr>
                <w:sz w:val="20"/>
                <w:szCs w:val="20"/>
              </w:rPr>
              <w:t>0</w:t>
            </w:r>
          </w:p>
        </w:tc>
        <w:tc>
          <w:tcPr>
            <w:tcW w:w="0" w:type="auto"/>
            <w:noWrap/>
            <w:vAlign w:val="bottom"/>
            <w:hideMark/>
          </w:tcPr>
          <w:p w14:paraId="4D229CF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3ED5EE4"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045E278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B1EF93A" w14:textId="77777777" w:rsidR="00000000" w:rsidRDefault="00832D71">
            <w:pPr>
              <w:pStyle w:val="a3"/>
              <w:spacing w:before="0" w:beforeAutospacing="0" w:after="0" w:afterAutospacing="0"/>
              <w:jc w:val="right"/>
              <w:rPr>
                <w:sz w:val="20"/>
                <w:szCs w:val="20"/>
              </w:rPr>
            </w:pPr>
            <w:r>
              <w:rPr>
                <w:sz w:val="20"/>
                <w:szCs w:val="20"/>
              </w:rPr>
              <w:t>1.37</w:t>
            </w:r>
            <w:r>
              <w:rPr>
                <w:sz w:val="20"/>
                <w:szCs w:val="20"/>
              </w:rPr>
              <w:t>5</w:t>
            </w:r>
          </w:p>
        </w:tc>
        <w:tc>
          <w:tcPr>
            <w:tcW w:w="0" w:type="auto"/>
            <w:noWrap/>
            <w:vAlign w:val="bottom"/>
            <w:hideMark/>
          </w:tcPr>
          <w:p w14:paraId="5E4BECB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1C5806D"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30DC9BC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A520F3F" w14:textId="77777777" w:rsidR="00000000" w:rsidRDefault="00832D71">
            <w:pPr>
              <w:pStyle w:val="a3"/>
              <w:spacing w:before="0" w:beforeAutospacing="0" w:after="0" w:afterAutospacing="0"/>
              <w:jc w:val="right"/>
              <w:rPr>
                <w:sz w:val="20"/>
                <w:szCs w:val="20"/>
              </w:rPr>
            </w:pPr>
            <w:r>
              <w:rPr>
                <w:sz w:val="20"/>
                <w:szCs w:val="20"/>
              </w:rPr>
              <w:t>2.37</w:t>
            </w:r>
            <w:r>
              <w:rPr>
                <w:sz w:val="20"/>
                <w:szCs w:val="20"/>
              </w:rPr>
              <w:t>5</w:t>
            </w:r>
          </w:p>
        </w:tc>
        <w:tc>
          <w:tcPr>
            <w:tcW w:w="0" w:type="auto"/>
            <w:noWrap/>
            <w:vAlign w:val="bottom"/>
            <w:hideMark/>
          </w:tcPr>
          <w:p w14:paraId="591F9C75" w14:textId="77777777" w:rsidR="00000000" w:rsidRDefault="00832D71">
            <w:pPr>
              <w:pStyle w:val="a3"/>
              <w:spacing w:before="0" w:beforeAutospacing="0" w:after="0" w:afterAutospacing="0"/>
              <w:rPr>
                <w:sz w:val="20"/>
                <w:szCs w:val="20"/>
              </w:rPr>
            </w:pPr>
            <w:r>
              <w:rPr>
                <w:sz w:val="20"/>
                <w:szCs w:val="20"/>
              </w:rPr>
              <w:t>%</w:t>
            </w:r>
          </w:p>
        </w:tc>
      </w:tr>
      <w:tr w:rsidR="00000000" w14:paraId="6B81B42C" w14:textId="77777777">
        <w:trPr>
          <w:divId w:val="74864251"/>
          <w:trHeight w:val="200"/>
          <w:tblCellSpacing w:w="15" w:type="dxa"/>
        </w:trPr>
        <w:tc>
          <w:tcPr>
            <w:tcW w:w="0" w:type="auto"/>
            <w:hideMark/>
          </w:tcPr>
          <w:p w14:paraId="2C792E76" w14:textId="77777777" w:rsidR="00000000" w:rsidRDefault="00832D71">
            <w:pPr>
              <w:pStyle w:val="a3"/>
              <w:spacing w:before="0" w:beforeAutospacing="0" w:after="0" w:afterAutospacing="0"/>
              <w:rPr>
                <w:sz w:val="20"/>
                <w:szCs w:val="20"/>
              </w:rPr>
            </w:pPr>
            <w:r>
              <w:rPr>
                <w:sz w:val="20"/>
                <w:szCs w:val="20"/>
              </w:rPr>
              <w:t>Average rate of compensation increas</w:t>
            </w:r>
            <w:r>
              <w:rPr>
                <w:sz w:val="20"/>
                <w:szCs w:val="20"/>
              </w:rPr>
              <w:t>e</w:t>
            </w:r>
          </w:p>
        </w:tc>
        <w:tc>
          <w:tcPr>
            <w:tcW w:w="0" w:type="auto"/>
            <w:hideMark/>
          </w:tcPr>
          <w:p w14:paraId="3FF82634"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DDE81B7" w14:textId="77777777" w:rsidR="00000000" w:rsidRDefault="00832D71">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14:paraId="4C2327B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BB86AD4"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CE739CE" w14:textId="77777777" w:rsidR="00000000" w:rsidRDefault="00832D71">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14:paraId="7DA1782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68BC57D"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B242B59" w14:textId="77777777" w:rsidR="00000000" w:rsidRDefault="00832D71">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14:paraId="259FAE21"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9E7F5B0"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2C948A3" w14:textId="77777777" w:rsidR="00000000" w:rsidRDefault="00832D71">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14:paraId="0EF47E0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49423E4"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231CEFF" w14:textId="77777777" w:rsidR="00000000" w:rsidRDefault="00832D71">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14:paraId="5BDEFF6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4F9DCEE"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09D5241" w14:textId="77777777" w:rsidR="00000000" w:rsidRDefault="00832D71">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14:paraId="3E695F81" w14:textId="77777777" w:rsidR="00000000" w:rsidRDefault="00832D71">
            <w:pPr>
              <w:pStyle w:val="a3"/>
              <w:spacing w:before="0" w:beforeAutospacing="0" w:after="0" w:afterAutospacing="0"/>
              <w:jc w:val="right"/>
              <w:rPr>
                <w:sz w:val="20"/>
                <w:szCs w:val="20"/>
              </w:rPr>
            </w:pPr>
            <w:r>
              <w:rPr>
                <w:sz w:val="20"/>
                <w:szCs w:val="20"/>
              </w:rPr>
              <w:t> </w:t>
            </w:r>
          </w:p>
        </w:tc>
      </w:tr>
      <w:tr w:rsidR="00000000" w14:paraId="17C6E3BB" w14:textId="77777777">
        <w:trPr>
          <w:divId w:val="74864251"/>
          <w:trHeight w:val="200"/>
          <w:tblCellSpacing w:w="15" w:type="dxa"/>
        </w:trPr>
        <w:tc>
          <w:tcPr>
            <w:tcW w:w="0" w:type="auto"/>
            <w:hideMark/>
          </w:tcPr>
          <w:p w14:paraId="69E9F3CB" w14:textId="77777777" w:rsidR="00000000" w:rsidRDefault="00832D71">
            <w:pPr>
              <w:pStyle w:val="a3"/>
              <w:spacing w:before="0" w:beforeAutospacing="0" w:after="0" w:afterAutospacing="0"/>
              <w:rPr>
                <w:sz w:val="20"/>
                <w:szCs w:val="20"/>
              </w:rPr>
            </w:pPr>
            <w:r>
              <w:rPr>
                <w:sz w:val="20"/>
                <w:szCs w:val="20"/>
              </w:rPr>
              <w:t>Weighted-average expected long-term</w:t>
            </w:r>
            <w:r>
              <w:rPr>
                <w:sz w:val="20"/>
                <w:szCs w:val="20"/>
              </w:rPr>
              <w:br/>
              <w:t>   rate of return on plan asset</w:t>
            </w:r>
            <w:r>
              <w:rPr>
                <w:sz w:val="20"/>
                <w:szCs w:val="20"/>
              </w:rPr>
              <w:t>s</w:t>
            </w:r>
          </w:p>
        </w:tc>
        <w:tc>
          <w:tcPr>
            <w:tcW w:w="0" w:type="auto"/>
            <w:hideMark/>
          </w:tcPr>
          <w:p w14:paraId="4F3A9DA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6BF8AA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D37FBB8" w14:textId="77777777" w:rsidR="00000000" w:rsidRDefault="00832D71">
            <w:pPr>
              <w:pStyle w:val="a3"/>
              <w:spacing w:before="0" w:beforeAutospacing="0" w:after="0" w:afterAutospacing="0"/>
              <w:jc w:val="right"/>
              <w:rPr>
                <w:sz w:val="20"/>
                <w:szCs w:val="20"/>
              </w:rPr>
            </w:pPr>
            <w:r>
              <w:rPr>
                <w:sz w:val="20"/>
                <w:szCs w:val="20"/>
              </w:rPr>
              <w:t>2.15</w:t>
            </w:r>
            <w:r>
              <w:rPr>
                <w:sz w:val="20"/>
                <w:szCs w:val="20"/>
              </w:rPr>
              <w:t>0</w:t>
            </w:r>
          </w:p>
        </w:tc>
        <w:tc>
          <w:tcPr>
            <w:tcW w:w="0" w:type="auto"/>
            <w:noWrap/>
            <w:vAlign w:val="bottom"/>
            <w:hideMark/>
          </w:tcPr>
          <w:p w14:paraId="77C098C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2B13F4A"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54D5DA9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B30A5FC" w14:textId="77777777" w:rsidR="00000000" w:rsidRDefault="00832D71">
            <w:pPr>
              <w:pStyle w:val="a3"/>
              <w:spacing w:before="0" w:beforeAutospacing="0" w:after="0" w:afterAutospacing="0"/>
              <w:jc w:val="right"/>
              <w:rPr>
                <w:sz w:val="20"/>
                <w:szCs w:val="20"/>
              </w:rPr>
            </w:pPr>
            <w:r>
              <w:rPr>
                <w:sz w:val="20"/>
                <w:szCs w:val="20"/>
              </w:rPr>
              <w:t>1.85</w:t>
            </w:r>
            <w:r>
              <w:rPr>
                <w:sz w:val="20"/>
                <w:szCs w:val="20"/>
              </w:rPr>
              <w:t>0</w:t>
            </w:r>
          </w:p>
        </w:tc>
        <w:tc>
          <w:tcPr>
            <w:tcW w:w="0" w:type="auto"/>
            <w:noWrap/>
            <w:vAlign w:val="bottom"/>
            <w:hideMark/>
          </w:tcPr>
          <w:p w14:paraId="045C6C1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8AAB8DE"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7882FDA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44ADEAA" w14:textId="77777777" w:rsidR="00000000" w:rsidRDefault="00832D71">
            <w:pPr>
              <w:pStyle w:val="a3"/>
              <w:spacing w:before="0" w:beforeAutospacing="0" w:after="0" w:afterAutospacing="0"/>
              <w:jc w:val="right"/>
              <w:rPr>
                <w:sz w:val="20"/>
                <w:szCs w:val="20"/>
              </w:rPr>
            </w:pPr>
            <w:r>
              <w:rPr>
                <w:sz w:val="20"/>
                <w:szCs w:val="20"/>
              </w:rPr>
              <w:t>1.80</w:t>
            </w:r>
            <w:r>
              <w:rPr>
                <w:sz w:val="20"/>
                <w:szCs w:val="20"/>
              </w:rPr>
              <w:t>0</w:t>
            </w:r>
          </w:p>
        </w:tc>
        <w:tc>
          <w:tcPr>
            <w:tcW w:w="0" w:type="auto"/>
            <w:noWrap/>
            <w:vAlign w:val="bottom"/>
            <w:hideMark/>
          </w:tcPr>
          <w:p w14:paraId="574D13AC"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2F88740"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3696CF4" w14:textId="77777777" w:rsidR="00000000" w:rsidRDefault="00832D71">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14:paraId="0E85AA2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8DD6805"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0EC5718" w14:textId="77777777" w:rsidR="00000000" w:rsidRDefault="00832D71">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14:paraId="25D5EDF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B15EF33"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386374B" w14:textId="77777777" w:rsidR="00000000" w:rsidRDefault="00832D71">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14:paraId="3F0401D3" w14:textId="77777777" w:rsidR="00000000" w:rsidRDefault="00832D71">
            <w:pPr>
              <w:pStyle w:val="a3"/>
              <w:spacing w:before="0" w:beforeAutospacing="0" w:after="0" w:afterAutospacing="0"/>
              <w:jc w:val="right"/>
              <w:rPr>
                <w:sz w:val="20"/>
                <w:szCs w:val="20"/>
              </w:rPr>
            </w:pPr>
            <w:r>
              <w:rPr>
                <w:sz w:val="20"/>
                <w:szCs w:val="20"/>
              </w:rPr>
              <w:t> </w:t>
            </w:r>
          </w:p>
        </w:tc>
      </w:tr>
      <w:tr w:rsidR="00000000" w14:paraId="2C10E8E8" w14:textId="77777777">
        <w:trPr>
          <w:divId w:val="74864251"/>
          <w:trHeight w:val="200"/>
          <w:tblCellSpacing w:w="15" w:type="dxa"/>
        </w:trPr>
        <w:tc>
          <w:tcPr>
            <w:tcW w:w="0" w:type="auto"/>
            <w:hideMark/>
          </w:tcPr>
          <w:p w14:paraId="441B3BE0" w14:textId="77777777" w:rsidR="00000000" w:rsidRDefault="00832D71">
            <w:pPr>
              <w:pStyle w:val="a3"/>
              <w:spacing w:before="0" w:beforeAutospacing="0" w:after="0" w:afterAutospacing="0"/>
              <w:rPr>
                <w:sz w:val="20"/>
                <w:szCs w:val="20"/>
              </w:rPr>
            </w:pPr>
            <w:r>
              <w:rPr>
                <w:sz w:val="20"/>
                <w:szCs w:val="20"/>
              </w:rPr>
              <w:t>Health care cost tren</w:t>
            </w:r>
            <w:r>
              <w:rPr>
                <w:sz w:val="20"/>
                <w:szCs w:val="20"/>
              </w:rPr>
              <w:t>d</w:t>
            </w:r>
          </w:p>
        </w:tc>
        <w:tc>
          <w:tcPr>
            <w:tcW w:w="0" w:type="auto"/>
            <w:hideMark/>
          </w:tcPr>
          <w:p w14:paraId="63D4CA0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5575D95" w14:textId="77777777" w:rsidR="00000000" w:rsidRDefault="00832D71">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14:paraId="33AE24A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AC1CAF4"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793BEC5" w14:textId="77777777" w:rsidR="00000000" w:rsidRDefault="00832D71">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14:paraId="3A0A540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9463675"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5A3FCE5" w14:textId="77777777" w:rsidR="00000000" w:rsidRDefault="00832D71">
            <w:pPr>
              <w:pStyle w:val="a3"/>
              <w:spacing w:before="0" w:beforeAutospacing="0" w:after="0" w:afterAutospacing="0"/>
              <w:jc w:val="right"/>
              <w:rPr>
                <w:sz w:val="20"/>
                <w:szCs w:val="20"/>
              </w:rPr>
            </w:pPr>
            <w:r>
              <w:rPr>
                <w:sz w:val="20"/>
                <w:szCs w:val="20"/>
              </w:rPr>
              <w:t>n/</w:t>
            </w:r>
            <w:r>
              <w:rPr>
                <w:sz w:val="20"/>
                <w:szCs w:val="20"/>
              </w:rPr>
              <w:t>a</w:t>
            </w:r>
          </w:p>
        </w:tc>
        <w:tc>
          <w:tcPr>
            <w:tcW w:w="0" w:type="auto"/>
            <w:vAlign w:val="bottom"/>
            <w:hideMark/>
          </w:tcPr>
          <w:p w14:paraId="0F29C798"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50DAC2F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37793F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D754B91" w14:textId="77777777" w:rsidR="00000000" w:rsidRDefault="00832D71">
            <w:pPr>
              <w:pStyle w:val="a3"/>
              <w:spacing w:before="0" w:beforeAutospacing="0" w:after="0" w:afterAutospacing="0"/>
              <w:jc w:val="right"/>
              <w:rPr>
                <w:sz w:val="20"/>
                <w:szCs w:val="20"/>
              </w:rPr>
            </w:pPr>
            <w:r>
              <w:rPr>
                <w:sz w:val="20"/>
                <w:szCs w:val="20"/>
              </w:rPr>
              <w:t>5.40</w:t>
            </w:r>
            <w:r>
              <w:rPr>
                <w:sz w:val="20"/>
                <w:szCs w:val="20"/>
              </w:rPr>
              <w:t>0</w:t>
            </w:r>
          </w:p>
        </w:tc>
        <w:tc>
          <w:tcPr>
            <w:tcW w:w="0" w:type="auto"/>
            <w:noWrap/>
            <w:vAlign w:val="bottom"/>
            <w:hideMark/>
          </w:tcPr>
          <w:p w14:paraId="27E0E0D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91EE99A"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31F4B40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3AC4159" w14:textId="77777777" w:rsidR="00000000" w:rsidRDefault="00832D71">
            <w:pPr>
              <w:pStyle w:val="a3"/>
              <w:spacing w:before="0" w:beforeAutospacing="0" w:after="0" w:afterAutospacing="0"/>
              <w:jc w:val="right"/>
              <w:rPr>
                <w:sz w:val="20"/>
                <w:szCs w:val="20"/>
              </w:rPr>
            </w:pPr>
            <w:r>
              <w:rPr>
                <w:sz w:val="20"/>
                <w:szCs w:val="20"/>
              </w:rPr>
              <w:t>5.72</w:t>
            </w:r>
            <w:r>
              <w:rPr>
                <w:sz w:val="20"/>
                <w:szCs w:val="20"/>
              </w:rPr>
              <w:t>0</w:t>
            </w:r>
          </w:p>
        </w:tc>
        <w:tc>
          <w:tcPr>
            <w:tcW w:w="0" w:type="auto"/>
            <w:noWrap/>
            <w:vAlign w:val="bottom"/>
            <w:hideMark/>
          </w:tcPr>
          <w:p w14:paraId="5253B90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0EDA571"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67F0DBD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E2E56EB" w14:textId="77777777" w:rsidR="00000000" w:rsidRDefault="00832D71">
            <w:pPr>
              <w:pStyle w:val="a3"/>
              <w:spacing w:before="0" w:beforeAutospacing="0" w:after="0" w:afterAutospacing="0"/>
              <w:jc w:val="right"/>
              <w:rPr>
                <w:sz w:val="20"/>
                <w:szCs w:val="20"/>
              </w:rPr>
            </w:pPr>
            <w:r>
              <w:rPr>
                <w:sz w:val="20"/>
                <w:szCs w:val="20"/>
              </w:rPr>
              <w:t>6.01</w:t>
            </w:r>
            <w:r>
              <w:rPr>
                <w:sz w:val="20"/>
                <w:szCs w:val="20"/>
              </w:rPr>
              <w:t>0</w:t>
            </w:r>
          </w:p>
        </w:tc>
        <w:tc>
          <w:tcPr>
            <w:tcW w:w="0" w:type="auto"/>
            <w:noWrap/>
            <w:vAlign w:val="bottom"/>
            <w:hideMark/>
          </w:tcPr>
          <w:p w14:paraId="72C9355B" w14:textId="77777777" w:rsidR="00000000" w:rsidRDefault="00832D71">
            <w:pPr>
              <w:pStyle w:val="a3"/>
              <w:spacing w:before="0" w:beforeAutospacing="0" w:after="0" w:afterAutospacing="0"/>
              <w:rPr>
                <w:sz w:val="20"/>
                <w:szCs w:val="20"/>
              </w:rPr>
            </w:pPr>
            <w:r>
              <w:rPr>
                <w:sz w:val="20"/>
                <w:szCs w:val="20"/>
              </w:rPr>
              <w:t>%</w:t>
            </w:r>
          </w:p>
        </w:tc>
      </w:tr>
    </w:tbl>
    <w:p w14:paraId="1FC3E812" w14:textId="77777777" w:rsidR="00000000" w:rsidRDefault="00832D71">
      <w:pPr>
        <w:pStyle w:val="a3"/>
        <w:spacing w:before="0" w:beforeAutospacing="0" w:after="0" w:afterAutospacing="0"/>
        <w:divId w:val="1034354723"/>
        <w:rPr>
          <w:sz w:val="20"/>
          <w:szCs w:val="20"/>
        </w:rPr>
      </w:pPr>
      <w:r>
        <w:rPr>
          <w:sz w:val="20"/>
          <w:szCs w:val="20"/>
        </w:rPr>
        <w:t> </w:t>
      </w:r>
    </w:p>
    <w:p w14:paraId="39AAC192" w14:textId="77777777" w:rsidR="00000000" w:rsidRDefault="00832D71">
      <w:pPr>
        <w:pStyle w:val="a3"/>
        <w:spacing w:before="40" w:beforeAutospacing="0" w:after="0" w:afterAutospacing="0"/>
        <w:jc w:val="both"/>
        <w:divId w:val="1034354723"/>
        <w:rPr>
          <w:sz w:val="20"/>
          <w:szCs w:val="20"/>
        </w:rPr>
      </w:pPr>
      <w:r>
        <w:rPr>
          <w:sz w:val="20"/>
          <w:szCs w:val="20"/>
        </w:rPr>
        <w:t>The discount rate assumption takes into consideration current market expectations related to long-term interest rates and the projected duration of the Partnership’s pension obligations based on a benchmark index with similar characteristics as the expecte</w:t>
      </w:r>
      <w:r>
        <w:rPr>
          <w:sz w:val="20"/>
          <w:szCs w:val="20"/>
        </w:rPr>
        <w:t>d cash flow requirements of the Partnership’s defined benefit pension plan over the long-term. The expected long-term rate of return on plan assets assumption reflects estimated future performance in the Partnership’s pension asset portfolio considering th</w:t>
      </w:r>
      <w:r>
        <w:rPr>
          <w:sz w:val="20"/>
          <w:szCs w:val="20"/>
        </w:rPr>
        <w:t>e investment mix of the pension asset portfolio and historical asset performance. The expected return on plan assets is determined based on the expected long-term rate of return on plan assets and the market-related value of plan assets. The market-related</w:t>
      </w:r>
      <w:r>
        <w:rPr>
          <w:sz w:val="20"/>
          <w:szCs w:val="20"/>
        </w:rPr>
        <w:t xml:space="preserve"> value of pension plan assets is the fair value of the assets. Unrecognized actuarial gains and losses in excess of</w:t>
      </w:r>
      <w:r>
        <w:rPr>
          <w:sz w:val="20"/>
          <w:szCs w:val="20"/>
        </w:rPr>
        <w:t xml:space="preserve"> </w:t>
      </w:r>
      <w:r>
        <w:rPr>
          <w:sz w:val="20"/>
          <w:szCs w:val="20"/>
        </w:rPr>
        <w:t>1</w:t>
      </w:r>
      <w:r>
        <w:rPr>
          <w:sz w:val="20"/>
          <w:szCs w:val="20"/>
        </w:rPr>
        <w:t>0</w:t>
      </w:r>
      <w:r>
        <w:rPr>
          <w:sz w:val="20"/>
          <w:szCs w:val="20"/>
        </w:rPr>
        <w:t>% of the greater of the projected benefit obligation and the market-related value of plan assets are amortized over the expected average r</w:t>
      </w:r>
      <w:r>
        <w:rPr>
          <w:sz w:val="20"/>
          <w:szCs w:val="20"/>
        </w:rPr>
        <w:t>emaining service period of active employees expected to receive benefits under the plan</w:t>
      </w:r>
      <w:r>
        <w:rPr>
          <w:sz w:val="20"/>
          <w:szCs w:val="20"/>
        </w:rPr>
        <w:t>.</w:t>
      </w:r>
    </w:p>
    <w:p w14:paraId="66D0DF5E" w14:textId="77777777" w:rsidR="00000000" w:rsidRDefault="00832D71">
      <w:pPr>
        <w:pStyle w:val="a3"/>
        <w:spacing w:before="240" w:beforeAutospacing="0" w:after="0" w:afterAutospacing="0"/>
        <w:jc w:val="both"/>
        <w:divId w:val="1034354723"/>
        <w:rPr>
          <w:sz w:val="20"/>
          <w:szCs w:val="20"/>
        </w:rPr>
      </w:pPr>
      <w:r>
        <w:rPr>
          <w:sz w:val="20"/>
          <w:szCs w:val="20"/>
        </w:rPr>
        <w:t>The</w:t>
      </w:r>
      <w:r>
        <w:rPr>
          <w:sz w:val="20"/>
          <w:szCs w:val="20"/>
        </w:rPr>
        <w:t xml:space="preserve"> </w:t>
      </w:r>
      <w:r>
        <w:rPr>
          <w:sz w:val="20"/>
          <w:szCs w:val="20"/>
        </w:rPr>
        <w:t>5.3</w:t>
      </w:r>
      <w:r>
        <w:rPr>
          <w:sz w:val="20"/>
          <w:szCs w:val="20"/>
        </w:rPr>
        <w:t>3</w:t>
      </w:r>
      <w:r>
        <w:rPr>
          <w:sz w:val="20"/>
          <w:szCs w:val="20"/>
        </w:rPr>
        <w:t>%</w:t>
      </w:r>
      <w:r>
        <w:rPr>
          <w:sz w:val="20"/>
          <w:szCs w:val="20"/>
        </w:rPr>
        <w:t xml:space="preserve"> increase in health care costs assumed at September 24, 2022 is assumed to decrease gradually to</w:t>
      </w:r>
      <w:r>
        <w:rPr>
          <w:sz w:val="20"/>
          <w:szCs w:val="20"/>
        </w:rPr>
        <w:t xml:space="preserve"> </w:t>
      </w:r>
      <w:r>
        <w:rPr>
          <w:sz w:val="20"/>
          <w:szCs w:val="20"/>
        </w:rPr>
        <w:t>4.0</w:t>
      </w:r>
      <w:r>
        <w:rPr>
          <w:sz w:val="20"/>
          <w:szCs w:val="20"/>
        </w:rPr>
        <w:t>0</w:t>
      </w:r>
      <w:r>
        <w:rPr>
          <w:sz w:val="20"/>
          <w:szCs w:val="20"/>
        </w:rPr>
        <w:t>%</w:t>
      </w:r>
      <w:r>
        <w:rPr>
          <w:sz w:val="20"/>
          <w:szCs w:val="20"/>
        </w:rPr>
        <w:t xml:space="preserve"> in fiscal 2046 and to remain at that level thereafter</w:t>
      </w:r>
      <w:r>
        <w:rPr>
          <w:sz w:val="20"/>
          <w:szCs w:val="20"/>
        </w:rPr>
        <w:t>.</w:t>
      </w:r>
      <w:r>
        <w:rPr>
          <w:sz w:val="20"/>
          <w:szCs w:val="20"/>
        </w:rPr>
        <w:t xml:space="preserve"> </w:t>
      </w:r>
      <w:r>
        <w:rPr>
          <w:sz w:val="20"/>
          <w:szCs w:val="20"/>
        </w:rPr>
        <w:t>An increase or decrease of the assumed health care cost trend rates by</w:t>
      </w:r>
      <w:r>
        <w:rPr>
          <w:sz w:val="20"/>
          <w:szCs w:val="20"/>
        </w:rPr>
        <w:t xml:space="preserve"> </w:t>
      </w:r>
      <w:r>
        <w:rPr>
          <w:sz w:val="20"/>
          <w:szCs w:val="20"/>
        </w:rPr>
        <w:t>1.</w:t>
      </w:r>
      <w:r>
        <w:rPr>
          <w:sz w:val="20"/>
          <w:szCs w:val="20"/>
        </w:rPr>
        <w:t>0</w:t>
      </w:r>
      <w:r>
        <w:rPr>
          <w:sz w:val="20"/>
          <w:szCs w:val="20"/>
        </w:rPr>
        <w:t>% in each year would hav</w:t>
      </w:r>
      <w:r>
        <w:rPr>
          <w:sz w:val="20"/>
          <w:szCs w:val="20"/>
        </w:rPr>
        <w:t>e</w:t>
      </w:r>
      <w:r>
        <w:rPr>
          <w:sz w:val="20"/>
          <w:szCs w:val="20"/>
        </w:rPr>
        <w:t xml:space="preserve"> no material impact to the Partnership’s benefit obligation as of September 24, 2022 nor the aggregate of service and interest components of net periodic pos</w:t>
      </w:r>
      <w:r>
        <w:rPr>
          <w:sz w:val="20"/>
          <w:szCs w:val="20"/>
        </w:rPr>
        <w:t>tretirement benefit expense for fiscal 2022. The Partnership has concluded that the prescription drug benefits within the retiree medical plan do not entitle the Partnership to an available Medicare subsidy</w:t>
      </w:r>
      <w:r>
        <w:rPr>
          <w:sz w:val="20"/>
          <w:szCs w:val="20"/>
        </w:rPr>
        <w:t>.</w:t>
      </w:r>
    </w:p>
    <w:p w14:paraId="76161779" w14:textId="77777777" w:rsidR="00000000" w:rsidRDefault="00832D71">
      <w:pPr>
        <w:pStyle w:val="a3"/>
        <w:spacing w:before="240" w:beforeAutospacing="0" w:after="0" w:afterAutospacing="0"/>
        <w:jc w:val="both"/>
        <w:divId w:val="1034354723"/>
        <w:rPr>
          <w:sz w:val="20"/>
          <w:szCs w:val="20"/>
        </w:rPr>
      </w:pPr>
      <w:r>
        <w:rPr>
          <w:b/>
          <w:bCs/>
          <w:sz w:val="20"/>
          <w:szCs w:val="20"/>
        </w:rPr>
        <w:t>Multi-Employer Pension Plans</w:t>
      </w:r>
      <w:r>
        <w:rPr>
          <w:b/>
          <w:bCs/>
          <w:sz w:val="20"/>
          <w:szCs w:val="20"/>
        </w:rPr>
        <w:t>.</w:t>
      </w:r>
      <w:r>
        <w:rPr>
          <w:sz w:val="20"/>
          <w:szCs w:val="20"/>
        </w:rPr>
        <w:t xml:space="preserve"> As a result of the</w:t>
      </w:r>
      <w:r>
        <w:rPr>
          <w:sz w:val="20"/>
          <w:szCs w:val="20"/>
        </w:rPr>
        <w:t xml:space="preserve"> acquisition of the retail propane assets of Inergy, the Partnership contributes to multi-employer pension plans (“MEPPs”) in accordance with various collective bargaining agreements covering union employees. As one of the many participating employers in t</w:t>
      </w:r>
      <w:r>
        <w:rPr>
          <w:sz w:val="20"/>
          <w:szCs w:val="20"/>
        </w:rPr>
        <w:t xml:space="preserve">hese MEPPs, the Partnership is responsible with the other participating employers for any plan underfunding. During the fourth quarter of fiscal 2021, the Partnership accrued approximately </w:t>
      </w:r>
      <w:r>
        <w:rPr>
          <w:sz w:val="20"/>
          <w:szCs w:val="20"/>
        </w:rPr>
        <w:t>$</w:t>
      </w:r>
      <w:r>
        <w:rPr>
          <w:sz w:val="20"/>
          <w:szCs w:val="20"/>
        </w:rPr>
        <w:t>4,30</w:t>
      </w:r>
      <w:r>
        <w:rPr>
          <w:sz w:val="20"/>
          <w:szCs w:val="20"/>
        </w:rPr>
        <w:t>0</w:t>
      </w:r>
      <w:r>
        <w:rPr>
          <w:sz w:val="20"/>
          <w:szCs w:val="20"/>
        </w:rPr>
        <w:t xml:space="preserve"> for its voluntary full withdrawal from</w:t>
      </w:r>
      <w:r>
        <w:rPr>
          <w:sz w:val="20"/>
          <w:szCs w:val="20"/>
        </w:rPr>
        <w:t xml:space="preserve"> </w:t>
      </w:r>
      <w:r>
        <w:rPr>
          <w:sz w:val="20"/>
          <w:szCs w:val="20"/>
        </w:rPr>
        <w:t>on</w:t>
      </w:r>
      <w:r>
        <w:rPr>
          <w:sz w:val="20"/>
          <w:szCs w:val="20"/>
        </w:rPr>
        <w:t>e</w:t>
      </w:r>
      <w:r>
        <w:rPr>
          <w:sz w:val="20"/>
          <w:szCs w:val="20"/>
        </w:rPr>
        <w:t xml:space="preserve"> MEPP. As of</w:t>
      </w:r>
      <w:r>
        <w:rPr>
          <w:sz w:val="20"/>
          <w:szCs w:val="20"/>
        </w:rPr>
        <w:t xml:space="preserve"> </w:t>
      </w:r>
      <w:r>
        <w:rPr>
          <w:sz w:val="20"/>
          <w:szCs w:val="20"/>
        </w:rPr>
        <w:t>Septe</w:t>
      </w:r>
      <w:r>
        <w:rPr>
          <w:sz w:val="20"/>
          <w:szCs w:val="20"/>
        </w:rPr>
        <w:t xml:space="preserve">mber 24, 2022 and September 25, 2021, the Partnership’s estimated obligation for MEPP established withdrawals was </w:t>
      </w:r>
      <w:r>
        <w:rPr>
          <w:sz w:val="20"/>
          <w:szCs w:val="20"/>
        </w:rPr>
        <w:t>$</w:t>
      </w:r>
      <w:r>
        <w:rPr>
          <w:sz w:val="20"/>
          <w:szCs w:val="20"/>
        </w:rPr>
        <w:t>22,49</w:t>
      </w:r>
      <w:r>
        <w:rPr>
          <w:sz w:val="20"/>
          <w:szCs w:val="20"/>
        </w:rPr>
        <w:t>6</w:t>
      </w:r>
      <w:r>
        <w:rPr>
          <w:sz w:val="20"/>
          <w:szCs w:val="20"/>
        </w:rPr>
        <w:t xml:space="preserve"> and </w:t>
      </w:r>
      <w:r>
        <w:rPr>
          <w:sz w:val="20"/>
          <w:szCs w:val="20"/>
        </w:rPr>
        <w:t>$</w:t>
      </w:r>
      <w:r>
        <w:rPr>
          <w:sz w:val="20"/>
          <w:szCs w:val="20"/>
        </w:rPr>
        <w:t>23,56</w:t>
      </w:r>
      <w:r>
        <w:rPr>
          <w:sz w:val="20"/>
          <w:szCs w:val="20"/>
        </w:rPr>
        <w:t>7</w:t>
      </w:r>
      <w:r>
        <w:rPr>
          <w:sz w:val="20"/>
          <w:szCs w:val="20"/>
        </w:rPr>
        <w:t>, respectively. Due to the uncertainty regarding future factors that could impact the withdrawal liability, the Partnership</w:t>
      </w:r>
      <w:r>
        <w:rPr>
          <w:sz w:val="20"/>
          <w:szCs w:val="20"/>
        </w:rPr>
        <w:t xml:space="preserve"> is unable to determine the timing of the payment of the future withdrawal liability, or additional future withdrawal liability, if any</w:t>
      </w:r>
      <w:r>
        <w:rPr>
          <w:sz w:val="20"/>
          <w:szCs w:val="20"/>
        </w:rPr>
        <w:t>.</w:t>
      </w:r>
    </w:p>
    <w:p w14:paraId="488F869A" w14:textId="77777777" w:rsidR="00000000" w:rsidRDefault="00832D71">
      <w:pPr>
        <w:pStyle w:val="a3"/>
        <w:spacing w:before="240" w:beforeAutospacing="0" w:after="0" w:afterAutospacing="0"/>
        <w:jc w:val="both"/>
        <w:divId w:val="1034354723"/>
        <w:rPr>
          <w:sz w:val="20"/>
          <w:szCs w:val="20"/>
        </w:rPr>
      </w:pPr>
      <w:r>
        <w:rPr>
          <w:sz w:val="20"/>
          <w:szCs w:val="20"/>
        </w:rPr>
        <w:t>The Partnership’s contributions to a particular MEPP are established by the applicable collective bargaining agreements</w:t>
      </w:r>
      <w:r>
        <w:rPr>
          <w:sz w:val="20"/>
          <w:szCs w:val="20"/>
        </w:rPr>
        <w:t xml:space="preserve"> (“CBAs”); however, the required contributions may increase based on the funded status of a MEPP and legal requirements of the Pension Protection Act of 2006 (the “PPA”), which requires substantially underfunded MEPPs to implement a funding improvement pla</w:t>
      </w:r>
      <w:r>
        <w:rPr>
          <w:sz w:val="20"/>
          <w:szCs w:val="20"/>
        </w:rPr>
        <w:t xml:space="preserve">n (“FIP”) or a rehabilitation plan (“RP”) to improve their funded status. Factors that could impact funded status of a MEPP include, without limitation, investment performance, changes in the participant demographics, decline in the number of contributing </w:t>
      </w:r>
      <w:r>
        <w:rPr>
          <w:sz w:val="20"/>
          <w:szCs w:val="20"/>
        </w:rPr>
        <w:t>employers, changes in actuarial assumptions and the utilization of extended amortization provisions</w:t>
      </w:r>
      <w:r>
        <w:rPr>
          <w:sz w:val="20"/>
          <w:szCs w:val="20"/>
        </w:rPr>
        <w:t>.</w:t>
      </w:r>
    </w:p>
    <w:p w14:paraId="452B8F59" w14:textId="77777777" w:rsidR="00000000" w:rsidRDefault="00832D71">
      <w:pPr>
        <w:pStyle w:val="a3"/>
        <w:spacing w:before="200" w:beforeAutospacing="0" w:after="0" w:afterAutospacing="0"/>
        <w:jc w:val="center"/>
        <w:divId w:val="1034354723"/>
        <w:rPr>
          <w:sz w:val="20"/>
          <w:szCs w:val="20"/>
        </w:rPr>
      </w:pPr>
      <w:r>
        <w:rPr>
          <w:sz w:val="20"/>
          <w:szCs w:val="20"/>
        </w:rPr>
        <w:t>F</w:t>
      </w:r>
      <w:r>
        <w:rPr>
          <w:sz w:val="20"/>
          <w:szCs w:val="20"/>
        </w:rPr>
        <w:t>-</w:t>
      </w:r>
      <w:r>
        <w:rPr>
          <w:sz w:val="20"/>
          <w:szCs w:val="20"/>
        </w:rPr>
        <w:t>2</w:t>
      </w:r>
      <w:r>
        <w:rPr>
          <w:sz w:val="20"/>
          <w:szCs w:val="20"/>
        </w:rPr>
        <w:t>7</w:t>
      </w:r>
    </w:p>
    <w:p w14:paraId="33271529" w14:textId="77777777" w:rsidR="00000000" w:rsidRDefault="00832D71">
      <w:pPr>
        <w:divId w:val="1034354723"/>
        <w:rPr>
          <w:rFonts w:eastAsia="Times New Roman"/>
        </w:rPr>
      </w:pPr>
      <w:r>
        <w:rPr>
          <w:rFonts w:eastAsia="Times New Roman"/>
        </w:rPr>
        <w:pict w14:anchorId="0DD99DE1">
          <v:rect id="_x0000_i1146" style="width:0;height:1.5pt" o:hralign="center" o:hrstd="t" o:hr="t" fillcolor="#a0a0a0" stroked="f"/>
        </w:pict>
      </w:r>
    </w:p>
    <w:p w14:paraId="7D6398D6" w14:textId="77777777" w:rsidR="00000000" w:rsidRDefault="00832D71">
      <w:pPr>
        <w:pStyle w:val="a3"/>
        <w:spacing w:before="0" w:beforeAutospacing="0" w:after="0" w:afterAutospacing="0"/>
        <w:divId w:val="1034354723"/>
        <w:rPr>
          <w:sz w:val="20"/>
          <w:szCs w:val="20"/>
        </w:rPr>
      </w:pPr>
      <w:r>
        <w:rPr>
          <w:sz w:val="20"/>
          <w:szCs w:val="20"/>
        </w:rPr>
        <w:t> </w:t>
      </w:r>
    </w:p>
    <w:p w14:paraId="70EB4CDD" w14:textId="77777777" w:rsidR="00000000" w:rsidRDefault="00832D71">
      <w:pPr>
        <w:pStyle w:val="a3"/>
        <w:spacing w:before="240" w:beforeAutospacing="0" w:after="0" w:afterAutospacing="0"/>
        <w:jc w:val="both"/>
        <w:divId w:val="1995722259"/>
        <w:rPr>
          <w:sz w:val="20"/>
          <w:szCs w:val="20"/>
        </w:rPr>
      </w:pPr>
      <w:r>
        <w:rPr>
          <w:sz w:val="20"/>
          <w:szCs w:val="20"/>
        </w:rPr>
        <w:t>While no multi-employer pension plan that the Partnership contributed to is individually significant to the Part</w:t>
      </w:r>
      <w:r>
        <w:rPr>
          <w:sz w:val="20"/>
          <w:szCs w:val="20"/>
        </w:rPr>
        <w:t>nership, the table below discloses the MEPPs to which the Partnership contributes. The financial health of a MEPP is indicated by the zone status, as defined by the PPA, which represents the funded status of the plan as certified by the plan's actuary. Pla</w:t>
      </w:r>
      <w:r>
        <w:rPr>
          <w:sz w:val="20"/>
          <w:szCs w:val="20"/>
        </w:rPr>
        <w:t>ns in the red zone are less than 65% funded, the yellow zone are between 65% and 80% funded, and green zone are at least 80% funded. Total contributions made by the Partnership to multi-employer pension plans for the fiscal years ended</w:t>
      </w:r>
      <w:r>
        <w:rPr>
          <w:sz w:val="20"/>
          <w:szCs w:val="20"/>
        </w:rPr>
        <w:t xml:space="preserve"> </w:t>
      </w:r>
      <w:r>
        <w:rPr>
          <w:sz w:val="20"/>
          <w:szCs w:val="20"/>
        </w:rPr>
        <w:t xml:space="preserve">September 24, 2022, </w:t>
      </w:r>
      <w:r>
        <w:rPr>
          <w:sz w:val="20"/>
          <w:szCs w:val="20"/>
        </w:rPr>
        <w:t>September 25, 2021 and September 26, 2020 are shown below</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7"/>
        <w:gridCol w:w="108"/>
        <w:gridCol w:w="923"/>
        <w:gridCol w:w="108"/>
        <w:gridCol w:w="525"/>
        <w:gridCol w:w="108"/>
        <w:gridCol w:w="525"/>
        <w:gridCol w:w="108"/>
        <w:gridCol w:w="576"/>
        <w:gridCol w:w="108"/>
        <w:gridCol w:w="155"/>
        <w:gridCol w:w="345"/>
        <w:gridCol w:w="108"/>
        <w:gridCol w:w="108"/>
        <w:gridCol w:w="155"/>
        <w:gridCol w:w="345"/>
        <w:gridCol w:w="108"/>
        <w:gridCol w:w="108"/>
        <w:gridCol w:w="155"/>
        <w:gridCol w:w="345"/>
        <w:gridCol w:w="108"/>
        <w:gridCol w:w="108"/>
        <w:gridCol w:w="1021"/>
        <w:gridCol w:w="108"/>
        <w:gridCol w:w="813"/>
      </w:tblGrid>
      <w:tr w:rsidR="00000000" w14:paraId="331AEAEE" w14:textId="77777777">
        <w:trPr>
          <w:divId w:val="1995722259"/>
          <w:tblCellSpacing w:w="15" w:type="dxa"/>
        </w:trPr>
        <w:tc>
          <w:tcPr>
            <w:tcW w:w="1248" w:type="pct"/>
            <w:vAlign w:val="center"/>
            <w:hideMark/>
          </w:tcPr>
          <w:p w14:paraId="0DF0B5B2" w14:textId="77777777" w:rsidR="00000000" w:rsidRDefault="00832D71">
            <w:pPr>
              <w:rPr>
                <w:sz w:val="20"/>
                <w:szCs w:val="20"/>
              </w:rPr>
            </w:pPr>
          </w:p>
        </w:tc>
        <w:tc>
          <w:tcPr>
            <w:tcW w:w="48" w:type="pct"/>
            <w:vAlign w:val="center"/>
            <w:hideMark/>
          </w:tcPr>
          <w:p w14:paraId="6677276F" w14:textId="77777777" w:rsidR="00000000" w:rsidRDefault="00832D71">
            <w:pPr>
              <w:rPr>
                <w:rFonts w:eastAsia="Times New Roman"/>
                <w:sz w:val="20"/>
                <w:szCs w:val="20"/>
              </w:rPr>
            </w:pPr>
          </w:p>
        </w:tc>
        <w:tc>
          <w:tcPr>
            <w:tcW w:w="498" w:type="pct"/>
            <w:vAlign w:val="center"/>
            <w:hideMark/>
          </w:tcPr>
          <w:p w14:paraId="0430A8E4" w14:textId="77777777" w:rsidR="00000000" w:rsidRDefault="00832D71">
            <w:pPr>
              <w:rPr>
                <w:rFonts w:eastAsia="Times New Roman"/>
                <w:sz w:val="20"/>
                <w:szCs w:val="20"/>
              </w:rPr>
            </w:pPr>
          </w:p>
        </w:tc>
        <w:tc>
          <w:tcPr>
            <w:tcW w:w="48" w:type="pct"/>
            <w:vAlign w:val="center"/>
            <w:hideMark/>
          </w:tcPr>
          <w:p w14:paraId="59CBE4F4" w14:textId="77777777" w:rsidR="00000000" w:rsidRDefault="00832D71">
            <w:pPr>
              <w:rPr>
                <w:rFonts w:eastAsia="Times New Roman"/>
                <w:sz w:val="20"/>
                <w:szCs w:val="20"/>
              </w:rPr>
            </w:pPr>
          </w:p>
        </w:tc>
        <w:tc>
          <w:tcPr>
            <w:tcW w:w="298" w:type="pct"/>
            <w:vAlign w:val="center"/>
            <w:hideMark/>
          </w:tcPr>
          <w:p w14:paraId="7E1B5255" w14:textId="77777777" w:rsidR="00000000" w:rsidRDefault="00832D71">
            <w:pPr>
              <w:rPr>
                <w:rFonts w:eastAsia="Times New Roman"/>
                <w:sz w:val="20"/>
                <w:szCs w:val="20"/>
              </w:rPr>
            </w:pPr>
          </w:p>
        </w:tc>
        <w:tc>
          <w:tcPr>
            <w:tcW w:w="48" w:type="pct"/>
            <w:vAlign w:val="center"/>
            <w:hideMark/>
          </w:tcPr>
          <w:p w14:paraId="79328415" w14:textId="77777777" w:rsidR="00000000" w:rsidRDefault="00832D71">
            <w:pPr>
              <w:rPr>
                <w:rFonts w:eastAsia="Times New Roman"/>
                <w:sz w:val="20"/>
                <w:szCs w:val="20"/>
              </w:rPr>
            </w:pPr>
          </w:p>
        </w:tc>
        <w:tc>
          <w:tcPr>
            <w:tcW w:w="298" w:type="pct"/>
            <w:vAlign w:val="center"/>
            <w:hideMark/>
          </w:tcPr>
          <w:p w14:paraId="2202078D" w14:textId="77777777" w:rsidR="00000000" w:rsidRDefault="00832D71">
            <w:pPr>
              <w:rPr>
                <w:rFonts w:eastAsia="Times New Roman"/>
                <w:sz w:val="20"/>
                <w:szCs w:val="20"/>
              </w:rPr>
            </w:pPr>
          </w:p>
        </w:tc>
        <w:tc>
          <w:tcPr>
            <w:tcW w:w="48" w:type="pct"/>
            <w:vAlign w:val="center"/>
            <w:hideMark/>
          </w:tcPr>
          <w:p w14:paraId="42E871AE" w14:textId="77777777" w:rsidR="00000000" w:rsidRDefault="00832D71">
            <w:pPr>
              <w:rPr>
                <w:rFonts w:eastAsia="Times New Roman"/>
                <w:sz w:val="20"/>
                <w:szCs w:val="20"/>
              </w:rPr>
            </w:pPr>
          </w:p>
        </w:tc>
        <w:tc>
          <w:tcPr>
            <w:tcW w:w="298" w:type="pct"/>
            <w:vAlign w:val="center"/>
            <w:hideMark/>
          </w:tcPr>
          <w:p w14:paraId="6A5E08A9" w14:textId="77777777" w:rsidR="00000000" w:rsidRDefault="00832D71">
            <w:pPr>
              <w:rPr>
                <w:rFonts w:eastAsia="Times New Roman"/>
                <w:sz w:val="20"/>
                <w:szCs w:val="20"/>
              </w:rPr>
            </w:pPr>
          </w:p>
        </w:tc>
        <w:tc>
          <w:tcPr>
            <w:tcW w:w="48" w:type="pct"/>
            <w:vAlign w:val="center"/>
            <w:hideMark/>
          </w:tcPr>
          <w:p w14:paraId="347F1D2D" w14:textId="77777777" w:rsidR="00000000" w:rsidRDefault="00832D71">
            <w:pPr>
              <w:rPr>
                <w:rFonts w:eastAsia="Times New Roman"/>
                <w:sz w:val="20"/>
                <w:szCs w:val="20"/>
              </w:rPr>
            </w:pPr>
          </w:p>
        </w:tc>
        <w:tc>
          <w:tcPr>
            <w:tcW w:w="50" w:type="pct"/>
            <w:vAlign w:val="center"/>
            <w:hideMark/>
          </w:tcPr>
          <w:p w14:paraId="0B8F22C4" w14:textId="77777777" w:rsidR="00000000" w:rsidRDefault="00832D71">
            <w:pPr>
              <w:rPr>
                <w:rFonts w:eastAsia="Times New Roman"/>
                <w:sz w:val="20"/>
                <w:szCs w:val="20"/>
              </w:rPr>
            </w:pPr>
          </w:p>
        </w:tc>
        <w:tc>
          <w:tcPr>
            <w:tcW w:w="197" w:type="pct"/>
            <w:vAlign w:val="center"/>
            <w:hideMark/>
          </w:tcPr>
          <w:p w14:paraId="0D355D66" w14:textId="77777777" w:rsidR="00000000" w:rsidRDefault="00832D71">
            <w:pPr>
              <w:rPr>
                <w:rFonts w:eastAsia="Times New Roman"/>
                <w:sz w:val="20"/>
                <w:szCs w:val="20"/>
              </w:rPr>
            </w:pPr>
          </w:p>
        </w:tc>
        <w:tc>
          <w:tcPr>
            <w:tcW w:w="50" w:type="pct"/>
            <w:vAlign w:val="center"/>
            <w:hideMark/>
          </w:tcPr>
          <w:p w14:paraId="534CBB44" w14:textId="77777777" w:rsidR="00000000" w:rsidRDefault="00832D71">
            <w:pPr>
              <w:rPr>
                <w:rFonts w:eastAsia="Times New Roman"/>
                <w:sz w:val="20"/>
                <w:szCs w:val="20"/>
              </w:rPr>
            </w:pPr>
          </w:p>
        </w:tc>
        <w:tc>
          <w:tcPr>
            <w:tcW w:w="48" w:type="pct"/>
            <w:vAlign w:val="center"/>
            <w:hideMark/>
          </w:tcPr>
          <w:p w14:paraId="41B8F5CC" w14:textId="77777777" w:rsidR="00000000" w:rsidRDefault="00832D71">
            <w:pPr>
              <w:rPr>
                <w:rFonts w:eastAsia="Times New Roman"/>
                <w:sz w:val="20"/>
                <w:szCs w:val="20"/>
              </w:rPr>
            </w:pPr>
          </w:p>
        </w:tc>
        <w:tc>
          <w:tcPr>
            <w:tcW w:w="50" w:type="pct"/>
            <w:vAlign w:val="center"/>
            <w:hideMark/>
          </w:tcPr>
          <w:p w14:paraId="6FBA61A2" w14:textId="77777777" w:rsidR="00000000" w:rsidRDefault="00832D71">
            <w:pPr>
              <w:rPr>
                <w:rFonts w:eastAsia="Times New Roman"/>
                <w:sz w:val="20"/>
                <w:szCs w:val="20"/>
              </w:rPr>
            </w:pPr>
          </w:p>
        </w:tc>
        <w:tc>
          <w:tcPr>
            <w:tcW w:w="198" w:type="pct"/>
            <w:vAlign w:val="center"/>
            <w:hideMark/>
          </w:tcPr>
          <w:p w14:paraId="5C406B7A" w14:textId="77777777" w:rsidR="00000000" w:rsidRDefault="00832D71">
            <w:pPr>
              <w:rPr>
                <w:rFonts w:eastAsia="Times New Roman"/>
                <w:sz w:val="20"/>
                <w:szCs w:val="20"/>
              </w:rPr>
            </w:pPr>
          </w:p>
        </w:tc>
        <w:tc>
          <w:tcPr>
            <w:tcW w:w="50" w:type="pct"/>
            <w:vAlign w:val="center"/>
            <w:hideMark/>
          </w:tcPr>
          <w:p w14:paraId="2E680941" w14:textId="77777777" w:rsidR="00000000" w:rsidRDefault="00832D71">
            <w:pPr>
              <w:rPr>
                <w:rFonts w:eastAsia="Times New Roman"/>
                <w:sz w:val="20"/>
                <w:szCs w:val="20"/>
              </w:rPr>
            </w:pPr>
          </w:p>
        </w:tc>
        <w:tc>
          <w:tcPr>
            <w:tcW w:w="48" w:type="pct"/>
            <w:vAlign w:val="center"/>
            <w:hideMark/>
          </w:tcPr>
          <w:p w14:paraId="6837C599" w14:textId="77777777" w:rsidR="00000000" w:rsidRDefault="00832D71">
            <w:pPr>
              <w:rPr>
                <w:rFonts w:eastAsia="Times New Roman"/>
                <w:sz w:val="20"/>
                <w:szCs w:val="20"/>
              </w:rPr>
            </w:pPr>
          </w:p>
        </w:tc>
        <w:tc>
          <w:tcPr>
            <w:tcW w:w="50" w:type="pct"/>
            <w:vAlign w:val="center"/>
            <w:hideMark/>
          </w:tcPr>
          <w:p w14:paraId="3EA46742" w14:textId="77777777" w:rsidR="00000000" w:rsidRDefault="00832D71">
            <w:pPr>
              <w:rPr>
                <w:rFonts w:eastAsia="Times New Roman"/>
                <w:sz w:val="20"/>
                <w:szCs w:val="20"/>
              </w:rPr>
            </w:pPr>
          </w:p>
        </w:tc>
        <w:tc>
          <w:tcPr>
            <w:tcW w:w="213" w:type="pct"/>
            <w:vAlign w:val="center"/>
            <w:hideMark/>
          </w:tcPr>
          <w:p w14:paraId="441A1F4D" w14:textId="77777777" w:rsidR="00000000" w:rsidRDefault="00832D71">
            <w:pPr>
              <w:rPr>
                <w:rFonts w:eastAsia="Times New Roman"/>
                <w:sz w:val="20"/>
                <w:szCs w:val="20"/>
              </w:rPr>
            </w:pPr>
          </w:p>
        </w:tc>
        <w:tc>
          <w:tcPr>
            <w:tcW w:w="50" w:type="pct"/>
            <w:vAlign w:val="center"/>
            <w:hideMark/>
          </w:tcPr>
          <w:p w14:paraId="392F9C06" w14:textId="77777777" w:rsidR="00000000" w:rsidRDefault="00832D71">
            <w:pPr>
              <w:rPr>
                <w:rFonts w:eastAsia="Times New Roman"/>
                <w:sz w:val="20"/>
                <w:szCs w:val="20"/>
              </w:rPr>
            </w:pPr>
          </w:p>
        </w:tc>
        <w:tc>
          <w:tcPr>
            <w:tcW w:w="48" w:type="pct"/>
            <w:vAlign w:val="center"/>
            <w:hideMark/>
          </w:tcPr>
          <w:p w14:paraId="72815DDB" w14:textId="77777777" w:rsidR="00000000" w:rsidRDefault="00832D71">
            <w:pPr>
              <w:rPr>
                <w:rFonts w:eastAsia="Times New Roman"/>
                <w:sz w:val="20"/>
                <w:szCs w:val="20"/>
              </w:rPr>
            </w:pPr>
          </w:p>
        </w:tc>
        <w:tc>
          <w:tcPr>
            <w:tcW w:w="498" w:type="pct"/>
            <w:vAlign w:val="center"/>
            <w:hideMark/>
          </w:tcPr>
          <w:p w14:paraId="67FA85EE" w14:textId="77777777" w:rsidR="00000000" w:rsidRDefault="00832D71">
            <w:pPr>
              <w:rPr>
                <w:rFonts w:eastAsia="Times New Roman"/>
                <w:sz w:val="20"/>
                <w:szCs w:val="20"/>
              </w:rPr>
            </w:pPr>
          </w:p>
        </w:tc>
        <w:tc>
          <w:tcPr>
            <w:tcW w:w="48" w:type="pct"/>
            <w:vAlign w:val="center"/>
            <w:hideMark/>
          </w:tcPr>
          <w:p w14:paraId="10F0E08B" w14:textId="77777777" w:rsidR="00000000" w:rsidRDefault="00832D71">
            <w:pPr>
              <w:rPr>
                <w:rFonts w:eastAsia="Times New Roman"/>
                <w:sz w:val="20"/>
                <w:szCs w:val="20"/>
              </w:rPr>
            </w:pPr>
          </w:p>
        </w:tc>
        <w:tc>
          <w:tcPr>
            <w:tcW w:w="515" w:type="pct"/>
            <w:vAlign w:val="center"/>
            <w:hideMark/>
          </w:tcPr>
          <w:p w14:paraId="03E2E940" w14:textId="77777777" w:rsidR="00000000" w:rsidRDefault="00832D71">
            <w:pPr>
              <w:rPr>
                <w:rFonts w:eastAsia="Times New Roman"/>
                <w:sz w:val="20"/>
                <w:szCs w:val="20"/>
              </w:rPr>
            </w:pPr>
          </w:p>
        </w:tc>
      </w:tr>
      <w:tr w:rsidR="00000000" w14:paraId="1E0F465A" w14:textId="77777777">
        <w:trPr>
          <w:divId w:val="1995722259"/>
          <w:trHeight w:val="160"/>
          <w:tblCellSpacing w:w="15" w:type="dxa"/>
        </w:trPr>
        <w:tc>
          <w:tcPr>
            <w:tcW w:w="0" w:type="auto"/>
            <w:vAlign w:val="bottom"/>
            <w:hideMark/>
          </w:tcPr>
          <w:p w14:paraId="2AB38C85"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5229EE9"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C372D41"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BD003EF" w14:textId="77777777" w:rsidR="00000000" w:rsidRDefault="00832D71">
            <w:pPr>
              <w:pStyle w:val="a3"/>
              <w:spacing w:before="0" w:beforeAutospacing="0" w:after="0" w:afterAutospacing="0"/>
              <w:rPr>
                <w:sz w:val="16"/>
                <w:szCs w:val="16"/>
              </w:rPr>
            </w:pPr>
            <w:r>
              <w:rPr>
                <w:sz w:val="16"/>
                <w:szCs w:val="16"/>
              </w:rPr>
              <w:t> </w:t>
            </w:r>
          </w:p>
        </w:tc>
        <w:tc>
          <w:tcPr>
            <w:tcW w:w="0" w:type="auto"/>
            <w:gridSpan w:val="3"/>
            <w:vAlign w:val="bottom"/>
            <w:hideMark/>
          </w:tcPr>
          <w:p w14:paraId="0633C231" w14:textId="77777777" w:rsidR="00000000" w:rsidRDefault="00832D71">
            <w:pPr>
              <w:pStyle w:val="a3"/>
              <w:spacing w:before="0" w:beforeAutospacing="0" w:after="0" w:afterAutospacing="0"/>
              <w:jc w:val="center"/>
              <w:rPr>
                <w:sz w:val="16"/>
                <w:szCs w:val="16"/>
              </w:rPr>
            </w:pPr>
            <w:r>
              <w:rPr>
                <w:b/>
                <w:bCs/>
                <w:sz w:val="16"/>
                <w:szCs w:val="16"/>
              </w:rPr>
              <w:t>PPA Zone Statu</w:t>
            </w:r>
            <w:r>
              <w:rPr>
                <w:b/>
                <w:bCs/>
                <w:sz w:val="16"/>
                <w:szCs w:val="16"/>
              </w:rPr>
              <w:t>s</w:t>
            </w:r>
          </w:p>
        </w:tc>
        <w:tc>
          <w:tcPr>
            <w:tcW w:w="0" w:type="auto"/>
            <w:hideMark/>
          </w:tcPr>
          <w:p w14:paraId="0AAD8787"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3E350296"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12B10558" w14:textId="77777777" w:rsidR="00000000" w:rsidRDefault="00832D71">
            <w:pPr>
              <w:pStyle w:val="a3"/>
              <w:spacing w:before="0" w:beforeAutospacing="0" w:after="0" w:afterAutospacing="0"/>
              <w:rPr>
                <w:sz w:val="16"/>
                <w:szCs w:val="16"/>
              </w:rPr>
            </w:pPr>
            <w:r>
              <w:rPr>
                <w:sz w:val="16"/>
                <w:szCs w:val="16"/>
              </w:rPr>
              <w:t> </w:t>
            </w:r>
          </w:p>
        </w:tc>
        <w:tc>
          <w:tcPr>
            <w:tcW w:w="0" w:type="auto"/>
            <w:gridSpan w:val="10"/>
            <w:vAlign w:val="bottom"/>
            <w:hideMark/>
          </w:tcPr>
          <w:p w14:paraId="2C26B412" w14:textId="77777777" w:rsidR="00000000" w:rsidRDefault="00832D71">
            <w:pPr>
              <w:pStyle w:val="a3"/>
              <w:spacing w:before="0" w:beforeAutospacing="0" w:after="0" w:afterAutospacing="0"/>
              <w:jc w:val="center"/>
              <w:rPr>
                <w:sz w:val="16"/>
                <w:szCs w:val="16"/>
              </w:rPr>
            </w:pPr>
            <w:r>
              <w:rPr>
                <w:b/>
                <w:bCs/>
                <w:sz w:val="16"/>
                <w:szCs w:val="16"/>
              </w:rPr>
              <w:t>Contribution</w:t>
            </w:r>
            <w:r>
              <w:rPr>
                <w:b/>
                <w:bCs/>
                <w:sz w:val="16"/>
                <w:szCs w:val="16"/>
              </w:rPr>
              <w:t>s</w:t>
            </w:r>
          </w:p>
        </w:tc>
        <w:tc>
          <w:tcPr>
            <w:tcW w:w="0" w:type="auto"/>
            <w:vAlign w:val="bottom"/>
            <w:hideMark/>
          </w:tcPr>
          <w:p w14:paraId="63D6EBB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71E52EE"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16040CF" w14:textId="77777777" w:rsidR="00000000" w:rsidRDefault="00832D71">
            <w:pPr>
              <w:pStyle w:val="a3"/>
              <w:spacing w:before="0" w:beforeAutospacing="0" w:after="0" w:afterAutospacing="0"/>
              <w:jc w:val="center"/>
              <w:rPr>
                <w:sz w:val="16"/>
                <w:szCs w:val="16"/>
              </w:rPr>
            </w:pPr>
            <w:r>
              <w:rPr>
                <w:b/>
                <w:bCs/>
                <w:sz w:val="16"/>
                <w:szCs w:val="16"/>
              </w:rPr>
              <w:t>Contributions greater than</w:t>
            </w:r>
            <w:r>
              <w:rPr>
                <w:b/>
                <w:bCs/>
                <w:sz w:val="16"/>
                <w:szCs w:val="16"/>
              </w:rPr>
              <w:br/>
              <w:t>5% o</w:t>
            </w:r>
            <w:r>
              <w:rPr>
                <w:b/>
                <w:bCs/>
                <w:sz w:val="16"/>
                <w:szCs w:val="16"/>
              </w:rPr>
              <w:t>f</w:t>
            </w:r>
          </w:p>
        </w:tc>
        <w:tc>
          <w:tcPr>
            <w:tcW w:w="0" w:type="auto"/>
            <w:vAlign w:val="bottom"/>
            <w:hideMark/>
          </w:tcPr>
          <w:p w14:paraId="14A348ED"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7316C29" w14:textId="77777777" w:rsidR="00000000" w:rsidRDefault="00832D71">
            <w:pPr>
              <w:pStyle w:val="a3"/>
              <w:spacing w:before="0" w:beforeAutospacing="0" w:after="0" w:afterAutospacing="0"/>
              <w:jc w:val="center"/>
              <w:rPr>
                <w:sz w:val="16"/>
                <w:szCs w:val="16"/>
              </w:rPr>
            </w:pPr>
            <w:r>
              <w:rPr>
                <w:b/>
                <w:bCs/>
                <w:sz w:val="16"/>
                <w:szCs w:val="16"/>
              </w:rPr>
              <w:t>Expiratio</w:t>
            </w:r>
            <w:r>
              <w:rPr>
                <w:b/>
                <w:bCs/>
                <w:sz w:val="16"/>
                <w:szCs w:val="16"/>
              </w:rPr>
              <w:t>n</w:t>
            </w:r>
          </w:p>
        </w:tc>
      </w:tr>
      <w:tr w:rsidR="00000000" w14:paraId="62B0BA0F" w14:textId="77777777">
        <w:trPr>
          <w:divId w:val="1995722259"/>
          <w:trHeight w:val="160"/>
          <w:tblCellSpacing w:w="15" w:type="dxa"/>
        </w:trPr>
        <w:tc>
          <w:tcPr>
            <w:tcW w:w="0" w:type="auto"/>
            <w:vAlign w:val="bottom"/>
            <w:hideMark/>
          </w:tcPr>
          <w:p w14:paraId="4B0A9BEC" w14:textId="77777777" w:rsidR="00000000" w:rsidRDefault="00832D71">
            <w:pPr>
              <w:pStyle w:val="a3"/>
              <w:spacing w:before="0" w:beforeAutospacing="0" w:after="0" w:afterAutospacing="0"/>
              <w:jc w:val="center"/>
              <w:rPr>
                <w:sz w:val="16"/>
                <w:szCs w:val="16"/>
              </w:rPr>
            </w:pPr>
            <w:r>
              <w:rPr>
                <w:b/>
                <w:bCs/>
                <w:sz w:val="16"/>
                <w:szCs w:val="16"/>
              </w:rPr>
              <w:t>Pension Fun</w:t>
            </w:r>
            <w:r>
              <w:rPr>
                <w:b/>
                <w:bCs/>
                <w:sz w:val="16"/>
                <w:szCs w:val="16"/>
              </w:rPr>
              <w:t>d</w:t>
            </w:r>
          </w:p>
        </w:tc>
        <w:tc>
          <w:tcPr>
            <w:tcW w:w="0" w:type="auto"/>
            <w:hideMark/>
          </w:tcPr>
          <w:p w14:paraId="710C9389"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0A84D0B4" w14:textId="77777777" w:rsidR="00000000" w:rsidRDefault="00832D71">
            <w:pPr>
              <w:pStyle w:val="a3"/>
              <w:spacing w:before="0" w:beforeAutospacing="0" w:after="0" w:afterAutospacing="0"/>
              <w:jc w:val="center"/>
              <w:rPr>
                <w:sz w:val="16"/>
                <w:szCs w:val="16"/>
              </w:rPr>
            </w:pPr>
            <w:r>
              <w:rPr>
                <w:b/>
                <w:bCs/>
                <w:sz w:val="16"/>
                <w:szCs w:val="16"/>
              </w:rPr>
              <w:t>EIN/Pension Plan Numbe</w:t>
            </w:r>
            <w:r>
              <w:rPr>
                <w:b/>
                <w:bCs/>
                <w:sz w:val="16"/>
                <w:szCs w:val="16"/>
              </w:rPr>
              <w:t>r</w:t>
            </w:r>
          </w:p>
        </w:tc>
        <w:tc>
          <w:tcPr>
            <w:tcW w:w="0" w:type="auto"/>
            <w:vAlign w:val="bottom"/>
            <w:hideMark/>
          </w:tcPr>
          <w:p w14:paraId="24474C7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E4CC76B"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hideMark/>
          </w:tcPr>
          <w:p w14:paraId="428B4670"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741A061C"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hideMark/>
          </w:tcPr>
          <w:p w14:paraId="25694EB1"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53FCB324" w14:textId="77777777" w:rsidR="00000000" w:rsidRDefault="00832D71">
            <w:pPr>
              <w:pStyle w:val="a3"/>
              <w:spacing w:before="0" w:beforeAutospacing="0" w:after="0" w:afterAutospacing="0"/>
              <w:jc w:val="center"/>
              <w:rPr>
                <w:sz w:val="16"/>
                <w:szCs w:val="16"/>
              </w:rPr>
            </w:pPr>
            <w:r>
              <w:rPr>
                <w:b/>
                <w:bCs/>
                <w:sz w:val="16"/>
                <w:szCs w:val="16"/>
              </w:rPr>
              <w:t>FIP/RP Statu</w:t>
            </w:r>
            <w:r>
              <w:rPr>
                <w:b/>
                <w:bCs/>
                <w:sz w:val="16"/>
                <w:szCs w:val="16"/>
              </w:rPr>
              <w:t>s</w:t>
            </w:r>
          </w:p>
        </w:tc>
        <w:tc>
          <w:tcPr>
            <w:tcW w:w="0" w:type="auto"/>
            <w:hideMark/>
          </w:tcPr>
          <w:p w14:paraId="207159ED"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7939784"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4286232"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C4BD75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4909013"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8F40B95"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56D356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9A7C927"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14DCB13E"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188435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38CDDDE" w14:textId="77777777" w:rsidR="00000000" w:rsidRDefault="00832D71">
            <w:pPr>
              <w:pStyle w:val="a3"/>
              <w:spacing w:before="0" w:beforeAutospacing="0" w:after="0" w:afterAutospacing="0"/>
              <w:jc w:val="center"/>
              <w:rPr>
                <w:sz w:val="16"/>
                <w:szCs w:val="16"/>
              </w:rPr>
            </w:pPr>
            <w:r>
              <w:rPr>
                <w:b/>
                <w:bCs/>
                <w:sz w:val="16"/>
                <w:szCs w:val="16"/>
              </w:rPr>
              <w:t>Total Plan Contribution</w:t>
            </w:r>
            <w:r>
              <w:rPr>
                <w:b/>
                <w:bCs/>
                <w:sz w:val="16"/>
                <w:szCs w:val="16"/>
              </w:rPr>
              <w:t>s</w:t>
            </w:r>
          </w:p>
        </w:tc>
        <w:tc>
          <w:tcPr>
            <w:tcW w:w="0" w:type="auto"/>
            <w:vAlign w:val="bottom"/>
            <w:hideMark/>
          </w:tcPr>
          <w:p w14:paraId="1E283F0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906BDEC" w14:textId="77777777" w:rsidR="00000000" w:rsidRDefault="00832D71">
            <w:pPr>
              <w:pStyle w:val="a3"/>
              <w:spacing w:before="0" w:beforeAutospacing="0" w:after="0" w:afterAutospacing="0"/>
              <w:jc w:val="center"/>
              <w:rPr>
                <w:sz w:val="16"/>
                <w:szCs w:val="16"/>
              </w:rPr>
            </w:pPr>
            <w:r>
              <w:rPr>
                <w:b/>
                <w:bCs/>
                <w:sz w:val="16"/>
                <w:szCs w:val="16"/>
              </w:rPr>
              <w:t>date of</w:t>
            </w:r>
            <w:r>
              <w:rPr>
                <w:b/>
                <w:bCs/>
                <w:sz w:val="16"/>
                <w:szCs w:val="16"/>
              </w:rPr>
              <w:br/>
              <w:t>CB</w:t>
            </w:r>
            <w:r>
              <w:rPr>
                <w:b/>
                <w:bCs/>
                <w:sz w:val="16"/>
                <w:szCs w:val="16"/>
              </w:rPr>
              <w:t>A</w:t>
            </w:r>
          </w:p>
        </w:tc>
      </w:tr>
      <w:tr w:rsidR="00000000" w14:paraId="3642296B" w14:textId="77777777">
        <w:trPr>
          <w:divId w:val="1995722259"/>
          <w:trHeight w:val="180"/>
          <w:tblCellSpacing w:w="15" w:type="dxa"/>
        </w:trPr>
        <w:tc>
          <w:tcPr>
            <w:tcW w:w="0" w:type="auto"/>
            <w:hideMark/>
          </w:tcPr>
          <w:p w14:paraId="30DEBB8D" w14:textId="77777777" w:rsidR="00000000" w:rsidRDefault="00832D71">
            <w:pPr>
              <w:pStyle w:val="a3"/>
              <w:spacing w:before="0" w:beforeAutospacing="0" w:after="0" w:afterAutospacing="0"/>
              <w:rPr>
                <w:sz w:val="20"/>
                <w:szCs w:val="20"/>
              </w:rPr>
            </w:pPr>
            <w:r>
              <w:rPr>
                <w:sz w:val="19"/>
                <w:szCs w:val="19"/>
              </w:rPr>
              <w:t>Local 282 Pension Trus</w:t>
            </w:r>
            <w:r>
              <w:rPr>
                <w:sz w:val="19"/>
                <w:szCs w:val="19"/>
              </w:rPr>
              <w:t>t</w:t>
            </w:r>
            <w:r>
              <w:rPr>
                <w:sz w:val="16"/>
                <w:szCs w:val="16"/>
              </w:rPr>
              <w:t xml:space="preserve"> (1</w:t>
            </w:r>
            <w:r>
              <w:rPr>
                <w:sz w:val="16"/>
                <w:szCs w:val="16"/>
              </w:rPr>
              <w:t>)</w:t>
            </w:r>
          </w:p>
        </w:tc>
        <w:tc>
          <w:tcPr>
            <w:tcW w:w="0" w:type="auto"/>
            <w:hideMark/>
          </w:tcPr>
          <w:p w14:paraId="6BCDCB7D"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51046E40" w14:textId="77777777" w:rsidR="00000000" w:rsidRDefault="00832D71">
            <w:pPr>
              <w:pStyle w:val="a3"/>
              <w:spacing w:before="0" w:beforeAutospacing="0" w:after="0" w:afterAutospacing="0"/>
              <w:jc w:val="center"/>
              <w:rPr>
                <w:sz w:val="20"/>
                <w:szCs w:val="20"/>
              </w:rPr>
            </w:pPr>
            <w:r>
              <w:rPr>
                <w:sz w:val="19"/>
                <w:szCs w:val="19"/>
              </w:rPr>
              <w:t>11-624531</w:t>
            </w:r>
            <w:r>
              <w:rPr>
                <w:sz w:val="19"/>
                <w:szCs w:val="19"/>
              </w:rPr>
              <w:t>3</w:t>
            </w:r>
          </w:p>
        </w:tc>
        <w:tc>
          <w:tcPr>
            <w:tcW w:w="0" w:type="auto"/>
            <w:hideMark/>
          </w:tcPr>
          <w:p w14:paraId="32066032"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39A53AED" w14:textId="77777777" w:rsidR="00000000" w:rsidRDefault="00832D71">
            <w:pPr>
              <w:pStyle w:val="a3"/>
              <w:spacing w:before="0" w:beforeAutospacing="0" w:after="0" w:afterAutospacing="0"/>
              <w:jc w:val="center"/>
              <w:rPr>
                <w:sz w:val="20"/>
                <w:szCs w:val="20"/>
              </w:rPr>
            </w:pPr>
            <w:r>
              <w:rPr>
                <w:sz w:val="19"/>
                <w:szCs w:val="19"/>
              </w:rPr>
              <w:t>Gree</w:t>
            </w:r>
            <w:r>
              <w:rPr>
                <w:sz w:val="19"/>
                <w:szCs w:val="19"/>
              </w:rPr>
              <w:t>n</w:t>
            </w:r>
          </w:p>
        </w:tc>
        <w:tc>
          <w:tcPr>
            <w:tcW w:w="0" w:type="auto"/>
            <w:hideMark/>
          </w:tcPr>
          <w:p w14:paraId="12D26AFF"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2D5F6465" w14:textId="77777777" w:rsidR="00000000" w:rsidRDefault="00832D71">
            <w:pPr>
              <w:pStyle w:val="a3"/>
              <w:spacing w:before="0" w:beforeAutospacing="0" w:after="0" w:afterAutospacing="0"/>
              <w:jc w:val="center"/>
              <w:rPr>
                <w:sz w:val="20"/>
                <w:szCs w:val="20"/>
              </w:rPr>
            </w:pPr>
            <w:r>
              <w:rPr>
                <w:sz w:val="19"/>
                <w:szCs w:val="19"/>
              </w:rPr>
              <w:t>Gree</w:t>
            </w:r>
            <w:r>
              <w:rPr>
                <w:sz w:val="19"/>
                <w:szCs w:val="19"/>
              </w:rPr>
              <w:t>n</w:t>
            </w:r>
          </w:p>
        </w:tc>
        <w:tc>
          <w:tcPr>
            <w:tcW w:w="0" w:type="auto"/>
            <w:hideMark/>
          </w:tcPr>
          <w:p w14:paraId="3F9B5387"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44E03DE8" w14:textId="77777777" w:rsidR="00000000" w:rsidRDefault="00832D71">
            <w:pPr>
              <w:pStyle w:val="a3"/>
              <w:spacing w:before="0" w:beforeAutospacing="0" w:after="0" w:afterAutospacing="0"/>
              <w:jc w:val="center"/>
              <w:rPr>
                <w:sz w:val="19"/>
                <w:szCs w:val="19"/>
              </w:rPr>
            </w:pPr>
            <w:r>
              <w:rPr>
                <w:sz w:val="19"/>
                <w:szCs w:val="19"/>
              </w:rPr>
              <w:t>n/</w:t>
            </w:r>
            <w:r>
              <w:rPr>
                <w:sz w:val="19"/>
                <w:szCs w:val="19"/>
              </w:rPr>
              <w:t>a</w:t>
            </w:r>
          </w:p>
        </w:tc>
        <w:tc>
          <w:tcPr>
            <w:tcW w:w="0" w:type="auto"/>
            <w:hideMark/>
          </w:tcPr>
          <w:p w14:paraId="69B3BB48" w14:textId="77777777" w:rsidR="00000000" w:rsidRDefault="00832D71">
            <w:pPr>
              <w:pStyle w:val="a3"/>
              <w:spacing w:before="0" w:beforeAutospacing="0" w:after="0" w:afterAutospacing="0"/>
              <w:rPr>
                <w:sz w:val="19"/>
                <w:szCs w:val="19"/>
              </w:rPr>
            </w:pPr>
            <w:r>
              <w:rPr>
                <w:sz w:val="19"/>
                <w:szCs w:val="19"/>
              </w:rPr>
              <w:t> </w:t>
            </w:r>
          </w:p>
        </w:tc>
        <w:tc>
          <w:tcPr>
            <w:tcW w:w="0" w:type="auto"/>
            <w:noWrap/>
            <w:hideMark/>
          </w:tcPr>
          <w:p w14:paraId="2F24965E" w14:textId="77777777" w:rsidR="00000000" w:rsidRDefault="00832D71">
            <w:pPr>
              <w:pStyle w:val="a3"/>
              <w:spacing w:before="0" w:beforeAutospacing="0" w:after="0" w:afterAutospacing="0"/>
              <w:rPr>
                <w:sz w:val="19"/>
                <w:szCs w:val="19"/>
              </w:rPr>
            </w:pPr>
            <w:r>
              <w:rPr>
                <w:sz w:val="19"/>
                <w:szCs w:val="19"/>
              </w:rPr>
              <w:t>$</w:t>
            </w:r>
          </w:p>
        </w:tc>
        <w:tc>
          <w:tcPr>
            <w:tcW w:w="0" w:type="auto"/>
            <w:hideMark/>
          </w:tcPr>
          <w:p w14:paraId="29A96C7E" w14:textId="77777777" w:rsidR="00000000" w:rsidRDefault="00832D71">
            <w:pPr>
              <w:pStyle w:val="a3"/>
              <w:spacing w:before="0" w:beforeAutospacing="0" w:after="0" w:afterAutospacing="0"/>
              <w:jc w:val="right"/>
              <w:rPr>
                <w:sz w:val="20"/>
                <w:szCs w:val="20"/>
              </w:rPr>
            </w:pPr>
            <w:r>
              <w:rPr>
                <w:sz w:val="19"/>
                <w:szCs w:val="19"/>
              </w:rPr>
              <w:t>29</w:t>
            </w:r>
            <w:r>
              <w:rPr>
                <w:sz w:val="19"/>
                <w:szCs w:val="19"/>
              </w:rPr>
              <w:t>5</w:t>
            </w:r>
          </w:p>
        </w:tc>
        <w:tc>
          <w:tcPr>
            <w:tcW w:w="0" w:type="auto"/>
            <w:noWrap/>
            <w:hideMark/>
          </w:tcPr>
          <w:p w14:paraId="63B3D72B"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05526BB6" w14:textId="77777777" w:rsidR="00000000" w:rsidRDefault="00832D71">
            <w:pPr>
              <w:pStyle w:val="a3"/>
              <w:spacing w:before="0" w:beforeAutospacing="0" w:after="0" w:afterAutospacing="0"/>
              <w:rPr>
                <w:sz w:val="19"/>
                <w:szCs w:val="19"/>
              </w:rPr>
            </w:pPr>
            <w:r>
              <w:rPr>
                <w:sz w:val="19"/>
                <w:szCs w:val="19"/>
              </w:rPr>
              <w:t> </w:t>
            </w:r>
          </w:p>
        </w:tc>
        <w:tc>
          <w:tcPr>
            <w:tcW w:w="0" w:type="auto"/>
            <w:noWrap/>
            <w:hideMark/>
          </w:tcPr>
          <w:p w14:paraId="45FAC57C" w14:textId="77777777" w:rsidR="00000000" w:rsidRDefault="00832D71">
            <w:pPr>
              <w:pStyle w:val="a3"/>
              <w:spacing w:before="0" w:beforeAutospacing="0" w:after="0" w:afterAutospacing="0"/>
              <w:rPr>
                <w:sz w:val="19"/>
                <w:szCs w:val="19"/>
              </w:rPr>
            </w:pPr>
            <w:r>
              <w:rPr>
                <w:sz w:val="19"/>
                <w:szCs w:val="19"/>
              </w:rPr>
              <w:t>$</w:t>
            </w:r>
          </w:p>
        </w:tc>
        <w:tc>
          <w:tcPr>
            <w:tcW w:w="0" w:type="auto"/>
            <w:hideMark/>
          </w:tcPr>
          <w:p w14:paraId="407711DE" w14:textId="77777777" w:rsidR="00000000" w:rsidRDefault="00832D71">
            <w:pPr>
              <w:pStyle w:val="a3"/>
              <w:spacing w:before="0" w:beforeAutospacing="0" w:after="0" w:afterAutospacing="0"/>
              <w:jc w:val="right"/>
              <w:rPr>
                <w:sz w:val="20"/>
                <w:szCs w:val="20"/>
              </w:rPr>
            </w:pPr>
            <w:r>
              <w:rPr>
                <w:sz w:val="19"/>
                <w:szCs w:val="19"/>
              </w:rPr>
              <w:t>27</w:t>
            </w:r>
            <w:r>
              <w:rPr>
                <w:sz w:val="19"/>
                <w:szCs w:val="19"/>
              </w:rPr>
              <w:t>7</w:t>
            </w:r>
          </w:p>
        </w:tc>
        <w:tc>
          <w:tcPr>
            <w:tcW w:w="0" w:type="auto"/>
            <w:noWrap/>
            <w:hideMark/>
          </w:tcPr>
          <w:p w14:paraId="32F55A19"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098E52DE" w14:textId="77777777" w:rsidR="00000000" w:rsidRDefault="00832D71">
            <w:pPr>
              <w:pStyle w:val="a3"/>
              <w:spacing w:before="0" w:beforeAutospacing="0" w:after="0" w:afterAutospacing="0"/>
              <w:rPr>
                <w:sz w:val="19"/>
                <w:szCs w:val="19"/>
              </w:rPr>
            </w:pPr>
            <w:r>
              <w:rPr>
                <w:sz w:val="19"/>
                <w:szCs w:val="19"/>
              </w:rPr>
              <w:t> </w:t>
            </w:r>
          </w:p>
        </w:tc>
        <w:tc>
          <w:tcPr>
            <w:tcW w:w="0" w:type="auto"/>
            <w:noWrap/>
            <w:hideMark/>
          </w:tcPr>
          <w:p w14:paraId="340DC3B3" w14:textId="77777777" w:rsidR="00000000" w:rsidRDefault="00832D71">
            <w:pPr>
              <w:pStyle w:val="a3"/>
              <w:spacing w:before="0" w:beforeAutospacing="0" w:after="0" w:afterAutospacing="0"/>
              <w:rPr>
                <w:sz w:val="19"/>
                <w:szCs w:val="19"/>
              </w:rPr>
            </w:pPr>
            <w:r>
              <w:rPr>
                <w:sz w:val="19"/>
                <w:szCs w:val="19"/>
              </w:rPr>
              <w:t>$</w:t>
            </w:r>
          </w:p>
        </w:tc>
        <w:tc>
          <w:tcPr>
            <w:tcW w:w="0" w:type="auto"/>
            <w:hideMark/>
          </w:tcPr>
          <w:p w14:paraId="0F197496" w14:textId="77777777" w:rsidR="00000000" w:rsidRDefault="00832D71">
            <w:pPr>
              <w:pStyle w:val="a3"/>
              <w:spacing w:before="0" w:beforeAutospacing="0" w:after="0" w:afterAutospacing="0"/>
              <w:jc w:val="right"/>
              <w:rPr>
                <w:sz w:val="20"/>
                <w:szCs w:val="20"/>
              </w:rPr>
            </w:pPr>
            <w:r>
              <w:rPr>
                <w:sz w:val="19"/>
                <w:szCs w:val="19"/>
              </w:rPr>
              <w:t>27</w:t>
            </w:r>
            <w:r>
              <w:rPr>
                <w:sz w:val="19"/>
                <w:szCs w:val="19"/>
              </w:rPr>
              <w:t>2</w:t>
            </w:r>
          </w:p>
        </w:tc>
        <w:tc>
          <w:tcPr>
            <w:tcW w:w="0" w:type="auto"/>
            <w:noWrap/>
            <w:hideMark/>
          </w:tcPr>
          <w:p w14:paraId="5E9A47B4"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5FBD9A7B"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07DC5593" w14:textId="77777777" w:rsidR="00000000" w:rsidRDefault="00832D71">
            <w:pPr>
              <w:pStyle w:val="a3"/>
              <w:spacing w:before="0" w:beforeAutospacing="0" w:after="0" w:afterAutospacing="0"/>
              <w:jc w:val="center"/>
              <w:rPr>
                <w:sz w:val="20"/>
                <w:szCs w:val="20"/>
              </w:rPr>
            </w:pPr>
            <w:r>
              <w:rPr>
                <w:sz w:val="19"/>
                <w:szCs w:val="19"/>
              </w:rPr>
              <w:t>N</w:t>
            </w:r>
            <w:r>
              <w:rPr>
                <w:sz w:val="19"/>
                <w:szCs w:val="19"/>
              </w:rPr>
              <w:t>o</w:t>
            </w:r>
          </w:p>
        </w:tc>
        <w:tc>
          <w:tcPr>
            <w:tcW w:w="0" w:type="auto"/>
            <w:hideMark/>
          </w:tcPr>
          <w:p w14:paraId="2ACBA9AB"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6238C09D" w14:textId="77777777" w:rsidR="00000000" w:rsidRDefault="00832D71">
            <w:pPr>
              <w:pStyle w:val="a3"/>
              <w:spacing w:before="0" w:beforeAutospacing="0" w:after="0" w:afterAutospacing="0"/>
              <w:jc w:val="center"/>
              <w:rPr>
                <w:sz w:val="20"/>
                <w:szCs w:val="20"/>
              </w:rPr>
            </w:pPr>
            <w:r>
              <w:rPr>
                <w:sz w:val="19"/>
                <w:szCs w:val="19"/>
              </w:rPr>
              <w:t>August 202</w:t>
            </w:r>
            <w:r>
              <w:rPr>
                <w:sz w:val="19"/>
                <w:szCs w:val="19"/>
              </w:rPr>
              <w:t>4</w:t>
            </w:r>
          </w:p>
        </w:tc>
      </w:tr>
      <w:tr w:rsidR="00000000" w14:paraId="6A9FADC1" w14:textId="77777777">
        <w:trPr>
          <w:divId w:val="1995722259"/>
          <w:trHeight w:val="180"/>
          <w:tblCellSpacing w:w="15" w:type="dxa"/>
        </w:trPr>
        <w:tc>
          <w:tcPr>
            <w:tcW w:w="0" w:type="auto"/>
            <w:hideMark/>
          </w:tcPr>
          <w:p w14:paraId="233BB44E" w14:textId="77777777" w:rsidR="00000000" w:rsidRDefault="00832D71">
            <w:pPr>
              <w:pStyle w:val="a3"/>
              <w:spacing w:before="0" w:beforeAutospacing="0" w:after="0" w:afterAutospacing="0"/>
              <w:rPr>
                <w:sz w:val="20"/>
                <w:szCs w:val="20"/>
              </w:rPr>
            </w:pPr>
            <w:r>
              <w:rPr>
                <w:sz w:val="19"/>
                <w:szCs w:val="19"/>
              </w:rPr>
              <w:t>Western Conference of Teamsters</w:t>
            </w:r>
            <w:r>
              <w:rPr>
                <w:sz w:val="19"/>
                <w:szCs w:val="19"/>
              </w:rPr>
              <w:br/>
              <w:t>Pension Pla</w:t>
            </w:r>
            <w:r>
              <w:rPr>
                <w:sz w:val="19"/>
                <w:szCs w:val="19"/>
              </w:rPr>
              <w:t>n</w:t>
            </w:r>
            <w:r>
              <w:rPr>
                <w:sz w:val="16"/>
                <w:szCs w:val="16"/>
              </w:rPr>
              <w:t xml:space="preserve"> (2</w:t>
            </w:r>
            <w:r>
              <w:rPr>
                <w:sz w:val="16"/>
                <w:szCs w:val="16"/>
              </w:rPr>
              <w:t>)</w:t>
            </w:r>
          </w:p>
        </w:tc>
        <w:tc>
          <w:tcPr>
            <w:tcW w:w="0" w:type="auto"/>
            <w:hideMark/>
          </w:tcPr>
          <w:p w14:paraId="4480E449"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1FC29718" w14:textId="77777777" w:rsidR="00000000" w:rsidRDefault="00832D71">
            <w:pPr>
              <w:pStyle w:val="a3"/>
              <w:spacing w:before="0" w:beforeAutospacing="0" w:after="0" w:afterAutospacing="0"/>
              <w:jc w:val="center"/>
              <w:rPr>
                <w:sz w:val="20"/>
                <w:szCs w:val="20"/>
              </w:rPr>
            </w:pPr>
            <w:r>
              <w:rPr>
                <w:sz w:val="19"/>
                <w:szCs w:val="19"/>
              </w:rPr>
              <w:t>91-614504</w:t>
            </w:r>
            <w:r>
              <w:rPr>
                <w:sz w:val="19"/>
                <w:szCs w:val="19"/>
              </w:rPr>
              <w:t>7</w:t>
            </w:r>
          </w:p>
        </w:tc>
        <w:tc>
          <w:tcPr>
            <w:tcW w:w="0" w:type="auto"/>
            <w:hideMark/>
          </w:tcPr>
          <w:p w14:paraId="072B2DA4"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1E82AFB7" w14:textId="77777777" w:rsidR="00000000" w:rsidRDefault="00832D71">
            <w:pPr>
              <w:pStyle w:val="a3"/>
              <w:spacing w:before="0" w:beforeAutospacing="0" w:after="0" w:afterAutospacing="0"/>
              <w:jc w:val="center"/>
              <w:rPr>
                <w:sz w:val="20"/>
                <w:szCs w:val="20"/>
              </w:rPr>
            </w:pPr>
            <w:r>
              <w:rPr>
                <w:sz w:val="19"/>
                <w:szCs w:val="19"/>
              </w:rPr>
              <w:t>Gree</w:t>
            </w:r>
            <w:r>
              <w:rPr>
                <w:sz w:val="19"/>
                <w:szCs w:val="19"/>
              </w:rPr>
              <w:t>n</w:t>
            </w:r>
          </w:p>
        </w:tc>
        <w:tc>
          <w:tcPr>
            <w:tcW w:w="0" w:type="auto"/>
            <w:hideMark/>
          </w:tcPr>
          <w:p w14:paraId="169BCFBB"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727D0103" w14:textId="77777777" w:rsidR="00000000" w:rsidRDefault="00832D71">
            <w:pPr>
              <w:pStyle w:val="a3"/>
              <w:spacing w:before="0" w:beforeAutospacing="0" w:after="0" w:afterAutospacing="0"/>
              <w:jc w:val="center"/>
              <w:rPr>
                <w:sz w:val="20"/>
                <w:szCs w:val="20"/>
              </w:rPr>
            </w:pPr>
            <w:r>
              <w:rPr>
                <w:sz w:val="19"/>
                <w:szCs w:val="19"/>
              </w:rPr>
              <w:t>Gree</w:t>
            </w:r>
            <w:r>
              <w:rPr>
                <w:sz w:val="19"/>
                <w:szCs w:val="19"/>
              </w:rPr>
              <w:t>n</w:t>
            </w:r>
          </w:p>
        </w:tc>
        <w:tc>
          <w:tcPr>
            <w:tcW w:w="0" w:type="auto"/>
            <w:hideMark/>
          </w:tcPr>
          <w:p w14:paraId="409CC641"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596E7052" w14:textId="77777777" w:rsidR="00000000" w:rsidRDefault="00832D71">
            <w:pPr>
              <w:pStyle w:val="a3"/>
              <w:spacing w:before="0" w:beforeAutospacing="0" w:after="0" w:afterAutospacing="0"/>
              <w:jc w:val="center"/>
              <w:rPr>
                <w:sz w:val="19"/>
                <w:szCs w:val="19"/>
              </w:rPr>
            </w:pPr>
            <w:r>
              <w:rPr>
                <w:sz w:val="19"/>
                <w:szCs w:val="19"/>
              </w:rPr>
              <w:t>n/</w:t>
            </w:r>
            <w:r>
              <w:rPr>
                <w:sz w:val="19"/>
                <w:szCs w:val="19"/>
              </w:rPr>
              <w:t>a</w:t>
            </w:r>
          </w:p>
        </w:tc>
        <w:tc>
          <w:tcPr>
            <w:tcW w:w="0" w:type="auto"/>
            <w:hideMark/>
          </w:tcPr>
          <w:p w14:paraId="7CD7E947" w14:textId="77777777" w:rsidR="00000000" w:rsidRDefault="00832D71">
            <w:pPr>
              <w:pStyle w:val="a3"/>
              <w:spacing w:before="0" w:beforeAutospacing="0" w:after="0" w:afterAutospacing="0"/>
              <w:rPr>
                <w:sz w:val="19"/>
                <w:szCs w:val="19"/>
              </w:rPr>
            </w:pPr>
            <w:r>
              <w:rPr>
                <w:sz w:val="19"/>
                <w:szCs w:val="19"/>
              </w:rPr>
              <w:t> </w:t>
            </w:r>
          </w:p>
        </w:tc>
        <w:tc>
          <w:tcPr>
            <w:tcW w:w="0" w:type="auto"/>
            <w:noWrap/>
            <w:hideMark/>
          </w:tcPr>
          <w:p w14:paraId="021D53CA"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3A241DC3" w14:textId="77777777" w:rsidR="00000000" w:rsidRDefault="00832D71">
            <w:pPr>
              <w:pStyle w:val="a3"/>
              <w:spacing w:before="0" w:beforeAutospacing="0" w:after="0" w:afterAutospacing="0"/>
              <w:jc w:val="right"/>
              <w:rPr>
                <w:sz w:val="20"/>
                <w:szCs w:val="20"/>
              </w:rPr>
            </w:pPr>
            <w:r>
              <w:rPr>
                <w:sz w:val="19"/>
                <w:szCs w:val="19"/>
              </w:rPr>
              <w:t>1</w:t>
            </w:r>
            <w:r>
              <w:rPr>
                <w:sz w:val="19"/>
                <w:szCs w:val="19"/>
              </w:rPr>
              <w:t>9</w:t>
            </w:r>
          </w:p>
        </w:tc>
        <w:tc>
          <w:tcPr>
            <w:tcW w:w="0" w:type="auto"/>
            <w:noWrap/>
            <w:hideMark/>
          </w:tcPr>
          <w:p w14:paraId="16969038"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29277EAD" w14:textId="77777777" w:rsidR="00000000" w:rsidRDefault="00832D71">
            <w:pPr>
              <w:pStyle w:val="a3"/>
              <w:spacing w:before="0" w:beforeAutospacing="0" w:after="0" w:afterAutospacing="0"/>
              <w:rPr>
                <w:sz w:val="19"/>
                <w:szCs w:val="19"/>
              </w:rPr>
            </w:pPr>
            <w:r>
              <w:rPr>
                <w:sz w:val="19"/>
                <w:szCs w:val="19"/>
              </w:rPr>
              <w:t> </w:t>
            </w:r>
          </w:p>
        </w:tc>
        <w:tc>
          <w:tcPr>
            <w:tcW w:w="0" w:type="auto"/>
            <w:noWrap/>
            <w:hideMark/>
          </w:tcPr>
          <w:p w14:paraId="6B336D84"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2EFD4369" w14:textId="77777777" w:rsidR="00000000" w:rsidRDefault="00832D71">
            <w:pPr>
              <w:pStyle w:val="a3"/>
              <w:spacing w:before="0" w:beforeAutospacing="0" w:after="0" w:afterAutospacing="0"/>
              <w:jc w:val="right"/>
              <w:rPr>
                <w:sz w:val="20"/>
                <w:szCs w:val="20"/>
              </w:rPr>
            </w:pPr>
            <w:r>
              <w:rPr>
                <w:sz w:val="19"/>
                <w:szCs w:val="19"/>
              </w:rPr>
              <w:t>1</w:t>
            </w:r>
            <w:r>
              <w:rPr>
                <w:sz w:val="19"/>
                <w:szCs w:val="19"/>
              </w:rPr>
              <w:t>7</w:t>
            </w:r>
          </w:p>
        </w:tc>
        <w:tc>
          <w:tcPr>
            <w:tcW w:w="0" w:type="auto"/>
            <w:noWrap/>
            <w:hideMark/>
          </w:tcPr>
          <w:p w14:paraId="450FE0B2"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0D2BE66E" w14:textId="77777777" w:rsidR="00000000" w:rsidRDefault="00832D71">
            <w:pPr>
              <w:pStyle w:val="a3"/>
              <w:spacing w:before="0" w:beforeAutospacing="0" w:after="0" w:afterAutospacing="0"/>
              <w:rPr>
                <w:sz w:val="19"/>
                <w:szCs w:val="19"/>
              </w:rPr>
            </w:pPr>
            <w:r>
              <w:rPr>
                <w:sz w:val="19"/>
                <w:szCs w:val="19"/>
              </w:rPr>
              <w:t> </w:t>
            </w:r>
          </w:p>
        </w:tc>
        <w:tc>
          <w:tcPr>
            <w:tcW w:w="0" w:type="auto"/>
            <w:noWrap/>
            <w:hideMark/>
          </w:tcPr>
          <w:p w14:paraId="6833D4AA"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27725B45" w14:textId="77777777" w:rsidR="00000000" w:rsidRDefault="00832D71">
            <w:pPr>
              <w:pStyle w:val="a3"/>
              <w:spacing w:before="0" w:beforeAutospacing="0" w:after="0" w:afterAutospacing="0"/>
              <w:jc w:val="right"/>
              <w:rPr>
                <w:sz w:val="20"/>
                <w:szCs w:val="20"/>
              </w:rPr>
            </w:pPr>
            <w:r>
              <w:rPr>
                <w:sz w:val="19"/>
                <w:szCs w:val="19"/>
              </w:rPr>
              <w:t>2</w:t>
            </w:r>
            <w:r>
              <w:rPr>
                <w:sz w:val="19"/>
                <w:szCs w:val="19"/>
              </w:rPr>
              <w:t>4</w:t>
            </w:r>
          </w:p>
        </w:tc>
        <w:tc>
          <w:tcPr>
            <w:tcW w:w="0" w:type="auto"/>
            <w:noWrap/>
            <w:hideMark/>
          </w:tcPr>
          <w:p w14:paraId="692433EA"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2CE88DA6"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708ED385" w14:textId="77777777" w:rsidR="00000000" w:rsidRDefault="00832D71">
            <w:pPr>
              <w:pStyle w:val="a3"/>
              <w:spacing w:before="0" w:beforeAutospacing="0" w:after="0" w:afterAutospacing="0"/>
              <w:jc w:val="center"/>
              <w:rPr>
                <w:sz w:val="20"/>
                <w:szCs w:val="20"/>
              </w:rPr>
            </w:pPr>
            <w:r>
              <w:rPr>
                <w:sz w:val="19"/>
                <w:szCs w:val="19"/>
              </w:rPr>
              <w:t>N</w:t>
            </w:r>
            <w:r>
              <w:rPr>
                <w:sz w:val="19"/>
                <w:szCs w:val="19"/>
              </w:rPr>
              <w:t>o</w:t>
            </w:r>
          </w:p>
        </w:tc>
        <w:tc>
          <w:tcPr>
            <w:tcW w:w="0" w:type="auto"/>
            <w:hideMark/>
          </w:tcPr>
          <w:p w14:paraId="32559AB1"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191C3811" w14:textId="77777777" w:rsidR="00000000" w:rsidRDefault="00832D71">
            <w:pPr>
              <w:pStyle w:val="a3"/>
              <w:spacing w:before="0" w:beforeAutospacing="0" w:after="0" w:afterAutospacing="0"/>
              <w:jc w:val="center"/>
              <w:rPr>
                <w:sz w:val="20"/>
                <w:szCs w:val="20"/>
              </w:rPr>
            </w:pPr>
            <w:r>
              <w:rPr>
                <w:sz w:val="19"/>
                <w:szCs w:val="19"/>
              </w:rPr>
              <w:t>February 202</w:t>
            </w:r>
            <w:r>
              <w:rPr>
                <w:sz w:val="19"/>
                <w:szCs w:val="19"/>
              </w:rPr>
              <w:t>4</w:t>
            </w:r>
          </w:p>
        </w:tc>
      </w:tr>
      <w:tr w:rsidR="00000000" w14:paraId="4B555947" w14:textId="77777777">
        <w:trPr>
          <w:divId w:val="1995722259"/>
          <w:trHeight w:val="180"/>
          <w:tblCellSpacing w:w="15" w:type="dxa"/>
        </w:trPr>
        <w:tc>
          <w:tcPr>
            <w:tcW w:w="0" w:type="auto"/>
            <w:hideMark/>
          </w:tcPr>
          <w:p w14:paraId="0AD9AD31"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5BD5EFBD"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395B15AE" w14:textId="77777777" w:rsidR="00000000" w:rsidRDefault="00832D71">
            <w:pPr>
              <w:pStyle w:val="a3"/>
              <w:spacing w:before="0" w:beforeAutospacing="0" w:after="0" w:afterAutospacing="0"/>
              <w:jc w:val="center"/>
              <w:rPr>
                <w:sz w:val="19"/>
                <w:szCs w:val="19"/>
              </w:rPr>
            </w:pPr>
            <w:r>
              <w:rPr>
                <w:sz w:val="19"/>
                <w:szCs w:val="19"/>
              </w:rPr>
              <w:t> </w:t>
            </w:r>
          </w:p>
        </w:tc>
        <w:tc>
          <w:tcPr>
            <w:tcW w:w="0" w:type="auto"/>
            <w:vAlign w:val="bottom"/>
            <w:hideMark/>
          </w:tcPr>
          <w:p w14:paraId="765B7CE3"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2ED31803" w14:textId="77777777" w:rsidR="00000000" w:rsidRDefault="00832D71">
            <w:pPr>
              <w:pStyle w:val="a3"/>
              <w:spacing w:before="0" w:beforeAutospacing="0" w:after="0" w:afterAutospacing="0"/>
              <w:jc w:val="center"/>
              <w:rPr>
                <w:sz w:val="19"/>
                <w:szCs w:val="19"/>
              </w:rPr>
            </w:pPr>
            <w:r>
              <w:rPr>
                <w:sz w:val="19"/>
                <w:szCs w:val="19"/>
              </w:rPr>
              <w:t> </w:t>
            </w:r>
          </w:p>
        </w:tc>
        <w:tc>
          <w:tcPr>
            <w:tcW w:w="0" w:type="auto"/>
            <w:hideMark/>
          </w:tcPr>
          <w:p w14:paraId="734CF531"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6A674B4A"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17C044B4" w14:textId="77777777" w:rsidR="00000000" w:rsidRDefault="00832D71">
            <w:pPr>
              <w:pStyle w:val="a3"/>
              <w:spacing w:before="0" w:beforeAutospacing="0" w:after="0" w:afterAutospacing="0"/>
              <w:rPr>
                <w:sz w:val="19"/>
                <w:szCs w:val="19"/>
              </w:rPr>
            </w:pPr>
            <w:r>
              <w:rPr>
                <w:sz w:val="19"/>
                <w:szCs w:val="19"/>
              </w:rPr>
              <w:t> </w:t>
            </w:r>
          </w:p>
        </w:tc>
        <w:tc>
          <w:tcPr>
            <w:tcW w:w="0" w:type="auto"/>
            <w:vAlign w:val="bottom"/>
            <w:hideMark/>
          </w:tcPr>
          <w:p w14:paraId="461879AB" w14:textId="77777777" w:rsidR="00000000" w:rsidRDefault="00832D71">
            <w:pPr>
              <w:pStyle w:val="a3"/>
              <w:spacing w:before="0" w:beforeAutospacing="0" w:after="0" w:afterAutospacing="0"/>
              <w:jc w:val="right"/>
              <w:rPr>
                <w:sz w:val="19"/>
                <w:szCs w:val="19"/>
              </w:rPr>
            </w:pPr>
            <w:r>
              <w:rPr>
                <w:sz w:val="19"/>
                <w:szCs w:val="19"/>
              </w:rPr>
              <w:t> </w:t>
            </w:r>
          </w:p>
        </w:tc>
        <w:tc>
          <w:tcPr>
            <w:tcW w:w="0" w:type="auto"/>
            <w:hideMark/>
          </w:tcPr>
          <w:p w14:paraId="34006B84"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0F296AFE"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42FA430D" w14:textId="77777777" w:rsidR="00000000" w:rsidRDefault="00832D71">
            <w:pPr>
              <w:pStyle w:val="a3"/>
              <w:spacing w:before="0" w:beforeAutospacing="0" w:after="0" w:afterAutospacing="0"/>
              <w:jc w:val="right"/>
              <w:rPr>
                <w:sz w:val="20"/>
                <w:szCs w:val="20"/>
              </w:rPr>
            </w:pPr>
            <w:r>
              <w:rPr>
                <w:sz w:val="19"/>
                <w:szCs w:val="19"/>
              </w:rPr>
              <w:t>31</w:t>
            </w:r>
            <w:r>
              <w:rPr>
                <w:sz w:val="19"/>
                <w:szCs w:val="19"/>
              </w:rPr>
              <w:t>4</w:t>
            </w:r>
          </w:p>
        </w:tc>
        <w:tc>
          <w:tcPr>
            <w:tcW w:w="0" w:type="auto"/>
            <w:noWrap/>
            <w:vAlign w:val="bottom"/>
            <w:hideMark/>
          </w:tcPr>
          <w:p w14:paraId="15EB2D15"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7A2D2C8F"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3213510D"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2A19372A" w14:textId="77777777" w:rsidR="00000000" w:rsidRDefault="00832D71">
            <w:pPr>
              <w:pStyle w:val="a3"/>
              <w:spacing w:before="0" w:beforeAutospacing="0" w:after="0" w:afterAutospacing="0"/>
              <w:jc w:val="right"/>
              <w:rPr>
                <w:sz w:val="20"/>
                <w:szCs w:val="20"/>
              </w:rPr>
            </w:pPr>
            <w:r>
              <w:rPr>
                <w:sz w:val="19"/>
                <w:szCs w:val="19"/>
              </w:rPr>
              <w:t>29</w:t>
            </w:r>
            <w:r>
              <w:rPr>
                <w:sz w:val="19"/>
                <w:szCs w:val="19"/>
              </w:rPr>
              <w:t>4</w:t>
            </w:r>
          </w:p>
        </w:tc>
        <w:tc>
          <w:tcPr>
            <w:tcW w:w="0" w:type="auto"/>
            <w:noWrap/>
            <w:vAlign w:val="bottom"/>
            <w:hideMark/>
          </w:tcPr>
          <w:p w14:paraId="24661F20"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7CC4D26F" w14:textId="77777777" w:rsidR="00000000" w:rsidRDefault="00832D71">
            <w:pPr>
              <w:pStyle w:val="a3"/>
              <w:spacing w:before="0" w:beforeAutospacing="0" w:after="0" w:afterAutospacing="0"/>
              <w:rPr>
                <w:sz w:val="19"/>
                <w:szCs w:val="19"/>
              </w:rPr>
            </w:pPr>
            <w:r>
              <w:rPr>
                <w:sz w:val="19"/>
                <w:szCs w:val="19"/>
              </w:rPr>
              <w:t> </w:t>
            </w:r>
          </w:p>
        </w:tc>
        <w:tc>
          <w:tcPr>
            <w:tcW w:w="0" w:type="auto"/>
            <w:noWrap/>
            <w:vAlign w:val="bottom"/>
            <w:hideMark/>
          </w:tcPr>
          <w:p w14:paraId="25C9D4ED" w14:textId="77777777" w:rsidR="00000000" w:rsidRDefault="00832D71">
            <w:pPr>
              <w:pStyle w:val="a3"/>
              <w:spacing w:before="0" w:beforeAutospacing="0" w:after="0" w:afterAutospacing="0"/>
              <w:rPr>
                <w:sz w:val="19"/>
                <w:szCs w:val="19"/>
              </w:rPr>
            </w:pPr>
            <w:r>
              <w:rPr>
                <w:sz w:val="19"/>
                <w:szCs w:val="19"/>
              </w:rPr>
              <w:t>$</w:t>
            </w:r>
          </w:p>
        </w:tc>
        <w:tc>
          <w:tcPr>
            <w:tcW w:w="0" w:type="auto"/>
            <w:vAlign w:val="bottom"/>
            <w:hideMark/>
          </w:tcPr>
          <w:p w14:paraId="4AFA5174" w14:textId="77777777" w:rsidR="00000000" w:rsidRDefault="00832D71">
            <w:pPr>
              <w:pStyle w:val="a3"/>
              <w:spacing w:before="0" w:beforeAutospacing="0" w:after="0" w:afterAutospacing="0"/>
              <w:jc w:val="right"/>
              <w:rPr>
                <w:sz w:val="20"/>
                <w:szCs w:val="20"/>
              </w:rPr>
            </w:pPr>
            <w:r>
              <w:rPr>
                <w:sz w:val="19"/>
                <w:szCs w:val="19"/>
              </w:rPr>
              <w:t>29</w:t>
            </w:r>
            <w:r>
              <w:rPr>
                <w:sz w:val="19"/>
                <w:szCs w:val="19"/>
              </w:rPr>
              <w:t>6</w:t>
            </w:r>
          </w:p>
        </w:tc>
        <w:tc>
          <w:tcPr>
            <w:tcW w:w="0" w:type="auto"/>
            <w:noWrap/>
            <w:vAlign w:val="bottom"/>
            <w:hideMark/>
          </w:tcPr>
          <w:p w14:paraId="0013A251"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0C46A25E"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0CCFB8AF"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17ECCC1D" w14:textId="77777777" w:rsidR="00000000" w:rsidRDefault="00832D71">
            <w:pPr>
              <w:pStyle w:val="a3"/>
              <w:spacing w:before="0" w:beforeAutospacing="0" w:after="0" w:afterAutospacing="0"/>
              <w:rPr>
                <w:sz w:val="19"/>
                <w:szCs w:val="19"/>
              </w:rPr>
            </w:pPr>
            <w:r>
              <w:rPr>
                <w:sz w:val="19"/>
                <w:szCs w:val="19"/>
              </w:rPr>
              <w:t> </w:t>
            </w:r>
          </w:p>
        </w:tc>
        <w:tc>
          <w:tcPr>
            <w:tcW w:w="0" w:type="auto"/>
            <w:hideMark/>
          </w:tcPr>
          <w:p w14:paraId="725F4134" w14:textId="77777777" w:rsidR="00000000" w:rsidRDefault="00832D71">
            <w:pPr>
              <w:pStyle w:val="a3"/>
              <w:spacing w:before="0" w:beforeAutospacing="0" w:after="0" w:afterAutospacing="0"/>
              <w:rPr>
                <w:sz w:val="19"/>
                <w:szCs w:val="19"/>
              </w:rPr>
            </w:pPr>
            <w:r>
              <w:rPr>
                <w:sz w:val="19"/>
                <w:szCs w:val="19"/>
              </w:rPr>
              <w:t> </w:t>
            </w:r>
          </w:p>
        </w:tc>
      </w:tr>
    </w:tbl>
    <w:p w14:paraId="244EC419" w14:textId="77777777" w:rsidR="00000000" w:rsidRDefault="00832D71">
      <w:pPr>
        <w:pStyle w:val="a3"/>
        <w:spacing w:before="0" w:beforeAutospacing="0" w:after="0" w:afterAutospacing="0"/>
        <w:divId w:val="1995722259"/>
        <w:rPr>
          <w:sz w:val="20"/>
          <w:szCs w:val="20"/>
        </w:rPr>
      </w:pPr>
      <w:r>
        <w:rPr>
          <w:sz w:val="20"/>
          <w:szCs w:val="20"/>
        </w:rPr>
        <w:t> </w:t>
      </w:r>
    </w:p>
    <w:p w14:paraId="7CC5BB9C" w14:textId="77777777" w:rsidR="00000000" w:rsidRDefault="00832D71">
      <w:pPr>
        <w:pStyle w:val="a3"/>
        <w:spacing w:before="40" w:beforeAutospacing="0" w:after="0" w:afterAutospacing="0"/>
        <w:ind w:hanging="581"/>
        <w:jc w:val="both"/>
        <w:divId w:val="1995722259"/>
        <w:rPr>
          <w:sz w:val="20"/>
          <w:szCs w:val="20"/>
        </w:rPr>
      </w:pPr>
      <w:r>
        <w:rPr>
          <w:sz w:val="20"/>
          <w:szCs w:val="20"/>
        </w:rPr>
        <w:t>(1)</w:t>
      </w:r>
      <w:r>
        <w:rPr>
          <w:sz w:val="20"/>
          <w:szCs w:val="20"/>
        </w:rPr>
        <w:t xml:space="preserve"> </w:t>
      </w:r>
      <w:r>
        <w:rPr>
          <w:sz w:val="20"/>
          <w:szCs w:val="20"/>
        </w:rPr>
        <w:t>Based on most recent available valuation information for plan year ended February 2022</w:t>
      </w:r>
      <w:r>
        <w:rPr>
          <w:sz w:val="20"/>
          <w:szCs w:val="20"/>
        </w:rPr>
        <w:t>.</w:t>
      </w:r>
    </w:p>
    <w:p w14:paraId="48BB4948" w14:textId="77777777" w:rsidR="00000000" w:rsidRDefault="00832D71">
      <w:pPr>
        <w:pStyle w:val="a3"/>
        <w:spacing w:before="120" w:beforeAutospacing="0" w:after="0" w:afterAutospacing="0"/>
        <w:ind w:hanging="581"/>
        <w:jc w:val="both"/>
        <w:divId w:val="1995722259"/>
        <w:rPr>
          <w:sz w:val="20"/>
          <w:szCs w:val="20"/>
        </w:rPr>
      </w:pPr>
      <w:r>
        <w:rPr>
          <w:sz w:val="20"/>
          <w:szCs w:val="20"/>
        </w:rPr>
        <w:t>(2)</w:t>
      </w:r>
      <w:r>
        <w:rPr>
          <w:sz w:val="20"/>
          <w:szCs w:val="20"/>
        </w:rPr>
        <w:t xml:space="preserve"> </w:t>
      </w:r>
      <w:r>
        <w:rPr>
          <w:sz w:val="20"/>
          <w:szCs w:val="20"/>
        </w:rPr>
        <w:t>Based on most recent available valuation information for plan year ended December 2021</w:t>
      </w:r>
      <w:r>
        <w:rPr>
          <w:sz w:val="20"/>
          <w:szCs w:val="20"/>
        </w:rPr>
        <w:t>.</w:t>
      </w:r>
    </w:p>
    <w:p w14:paraId="53F72180" w14:textId="77777777" w:rsidR="00000000" w:rsidRDefault="00832D71">
      <w:pPr>
        <w:pStyle w:val="a3"/>
        <w:spacing w:before="0" w:beforeAutospacing="0" w:after="0" w:afterAutospacing="0"/>
        <w:jc w:val="both"/>
        <w:divId w:val="1034354723"/>
        <w:rPr>
          <w:sz w:val="20"/>
          <w:szCs w:val="20"/>
        </w:rPr>
      </w:pPr>
      <w:r>
        <w:rPr>
          <w:sz w:val="20"/>
          <w:szCs w:val="20"/>
        </w:rPr>
        <w:t> </w:t>
      </w:r>
    </w:p>
    <w:p w14:paraId="4ACD1D3E" w14:textId="77777777" w:rsidR="00000000" w:rsidRDefault="00832D71">
      <w:pPr>
        <w:pStyle w:val="a3"/>
        <w:spacing w:before="40" w:beforeAutospacing="0" w:after="0" w:afterAutospacing="0"/>
        <w:jc w:val="both"/>
        <w:divId w:val="1034354723"/>
        <w:rPr>
          <w:sz w:val="20"/>
          <w:szCs w:val="20"/>
        </w:rPr>
      </w:pPr>
      <w:r>
        <w:rPr>
          <w:sz w:val="20"/>
          <w:szCs w:val="20"/>
        </w:rPr>
        <w:t>Additionally, the Partnership contributes to certain multi-employer plans that provide health and welfare benefits and defined annuity plans. Contributions to those p</w:t>
      </w:r>
      <w:r>
        <w:rPr>
          <w:sz w:val="20"/>
          <w:szCs w:val="20"/>
        </w:rPr>
        <w:t xml:space="preserve">lans were </w:t>
      </w:r>
      <w:r>
        <w:rPr>
          <w:sz w:val="20"/>
          <w:szCs w:val="20"/>
        </w:rPr>
        <w:t>$</w:t>
      </w:r>
      <w:r>
        <w:rPr>
          <w:sz w:val="20"/>
          <w:szCs w:val="20"/>
        </w:rPr>
        <w:t>1,04</w:t>
      </w:r>
      <w:r>
        <w:rPr>
          <w:sz w:val="20"/>
          <w:szCs w:val="20"/>
        </w:rPr>
        <w:t>5</w:t>
      </w:r>
      <w:r>
        <w:rPr>
          <w:sz w:val="20"/>
          <w:szCs w:val="20"/>
        </w:rPr>
        <w:t xml:space="preserve">, </w:t>
      </w:r>
      <w:r>
        <w:rPr>
          <w:sz w:val="20"/>
          <w:szCs w:val="20"/>
        </w:rPr>
        <w:t>$</w:t>
      </w:r>
      <w:r>
        <w:rPr>
          <w:sz w:val="20"/>
          <w:szCs w:val="20"/>
        </w:rPr>
        <w:t>1,24</w:t>
      </w:r>
      <w:r>
        <w:rPr>
          <w:sz w:val="20"/>
          <w:szCs w:val="20"/>
        </w:rPr>
        <w:t>1</w:t>
      </w:r>
      <w:r>
        <w:rPr>
          <w:sz w:val="20"/>
          <w:szCs w:val="20"/>
        </w:rPr>
        <w:t xml:space="preserve"> and </w:t>
      </w:r>
      <w:r>
        <w:rPr>
          <w:sz w:val="20"/>
          <w:szCs w:val="20"/>
        </w:rPr>
        <w:t>$</w:t>
      </w:r>
      <w:r>
        <w:rPr>
          <w:sz w:val="20"/>
          <w:szCs w:val="20"/>
        </w:rPr>
        <w:t>1,15</w:t>
      </w:r>
      <w:r>
        <w:rPr>
          <w:sz w:val="20"/>
          <w:szCs w:val="20"/>
        </w:rPr>
        <w:t>1</w:t>
      </w:r>
      <w:r>
        <w:rPr>
          <w:sz w:val="20"/>
          <w:szCs w:val="20"/>
        </w:rPr>
        <w:t xml:space="preserve"> for fiscal 2022, 202</w:t>
      </w:r>
      <w:r>
        <w:rPr>
          <w:sz w:val="20"/>
          <w:szCs w:val="20"/>
        </w:rPr>
        <w:t>1</w:t>
      </w:r>
      <w:r>
        <w:rPr>
          <w:sz w:val="20"/>
          <w:szCs w:val="20"/>
        </w:rPr>
        <w:t xml:space="preserve"> and 2020, respectively</w:t>
      </w:r>
      <w:r>
        <w:rPr>
          <w:sz w:val="20"/>
          <w:szCs w:val="20"/>
        </w:rPr>
        <w:t>.</w:t>
      </w:r>
    </w:p>
    <w:p w14:paraId="39E7A306" w14:textId="77777777" w:rsidR="00000000" w:rsidRDefault="00832D71">
      <w:pPr>
        <w:pStyle w:val="a3"/>
        <w:spacing w:before="0" w:beforeAutospacing="0" w:after="0" w:afterAutospacing="0"/>
        <w:rPr>
          <w:sz w:val="20"/>
          <w:szCs w:val="20"/>
        </w:rPr>
      </w:pPr>
      <w:r>
        <w:rPr>
          <w:sz w:val="20"/>
          <w:szCs w:val="20"/>
        </w:rPr>
        <w:t> </w:t>
      </w:r>
    </w:p>
    <w:p w14:paraId="0665EC4F" w14:textId="77777777" w:rsidR="00000000" w:rsidRDefault="00832D71">
      <w:pPr>
        <w:pStyle w:val="a3"/>
        <w:spacing w:before="160" w:beforeAutospacing="0" w:after="0" w:afterAutospacing="0"/>
        <w:ind w:hanging="581"/>
        <w:jc w:val="both"/>
        <w:divId w:val="1762481692"/>
        <w:rPr>
          <w:sz w:val="20"/>
          <w:szCs w:val="20"/>
        </w:rPr>
      </w:pPr>
      <w:r>
        <w:rPr>
          <w:b/>
          <w:bCs/>
          <w:sz w:val="20"/>
          <w:szCs w:val="20"/>
        </w:rPr>
        <w:t>13. Financial Instruments and Risk Managemen</w:t>
      </w:r>
      <w:r>
        <w:rPr>
          <w:b/>
          <w:bCs/>
          <w:sz w:val="20"/>
          <w:szCs w:val="20"/>
        </w:rPr>
        <w:t>t</w:t>
      </w:r>
    </w:p>
    <w:p w14:paraId="0F273EFC" w14:textId="77777777" w:rsidR="00000000" w:rsidRDefault="00832D71">
      <w:pPr>
        <w:pStyle w:val="a3"/>
        <w:spacing w:before="120" w:beforeAutospacing="0" w:after="0" w:afterAutospacing="0"/>
        <w:jc w:val="both"/>
        <w:divId w:val="1762481692"/>
        <w:rPr>
          <w:sz w:val="20"/>
          <w:szCs w:val="20"/>
        </w:rPr>
      </w:pPr>
      <w:r>
        <w:rPr>
          <w:b/>
          <w:bCs/>
          <w:sz w:val="20"/>
          <w:szCs w:val="20"/>
        </w:rPr>
        <w:t>Cash and Cash Equivalents</w:t>
      </w:r>
      <w:r>
        <w:rPr>
          <w:b/>
          <w:bCs/>
          <w:sz w:val="20"/>
          <w:szCs w:val="20"/>
        </w:rPr>
        <w:t>.</w:t>
      </w:r>
      <w:r>
        <w:rPr>
          <w:sz w:val="20"/>
          <w:szCs w:val="20"/>
        </w:rPr>
        <w:t xml:space="preserve"> The fair value of cash and cash equivalents is not materially different from their carrying amount </w:t>
      </w:r>
      <w:r>
        <w:rPr>
          <w:sz w:val="20"/>
          <w:szCs w:val="20"/>
        </w:rPr>
        <w:t>because of the short-term maturity of these instruments</w:t>
      </w:r>
      <w:r>
        <w:rPr>
          <w:sz w:val="20"/>
          <w:szCs w:val="20"/>
        </w:rPr>
        <w:t>.</w:t>
      </w:r>
    </w:p>
    <w:p w14:paraId="6FA80A6F" w14:textId="77777777" w:rsidR="00000000" w:rsidRDefault="00832D71">
      <w:pPr>
        <w:pStyle w:val="a3"/>
        <w:spacing w:before="240" w:beforeAutospacing="0" w:after="0" w:afterAutospacing="0"/>
        <w:jc w:val="both"/>
        <w:divId w:val="1762481692"/>
        <w:rPr>
          <w:sz w:val="20"/>
          <w:szCs w:val="20"/>
        </w:rPr>
      </w:pPr>
      <w:r>
        <w:rPr>
          <w:b/>
          <w:bCs/>
          <w:sz w:val="20"/>
          <w:szCs w:val="20"/>
        </w:rPr>
        <w:t>Derivative Instruments and Hedging Activities</w:t>
      </w:r>
      <w:r>
        <w:rPr>
          <w:b/>
          <w:bCs/>
          <w:sz w:val="20"/>
          <w:szCs w:val="20"/>
        </w:rPr>
        <w:t>.</w:t>
      </w:r>
      <w:r>
        <w:rPr>
          <w:sz w:val="20"/>
          <w:szCs w:val="20"/>
        </w:rPr>
        <w:t xml:space="preserve"> The Partnership measures the fair value of its exchange-traded commodity-related options and futures contracts using Level 1 inputs, the fair value of i</w:t>
      </w:r>
      <w:r>
        <w:rPr>
          <w:sz w:val="20"/>
          <w:szCs w:val="20"/>
        </w:rPr>
        <w:t>ts commodity-related swap contracts and interest rate swaps using Level 2 inputs and the fair value of its over-the-counter commodity-related options contracts using Level 3 inputs. The Partnership’s over-the-counter options contracts are valued based on a</w:t>
      </w:r>
      <w:r>
        <w:rPr>
          <w:sz w:val="20"/>
          <w:szCs w:val="20"/>
        </w:rPr>
        <w:t>n internal option model. The inputs utilized in the model are based on publicly available information, as well as broker quotes</w:t>
      </w:r>
      <w:r>
        <w:rPr>
          <w:sz w:val="20"/>
          <w:szCs w:val="20"/>
        </w:rPr>
        <w:t>.</w:t>
      </w:r>
    </w:p>
    <w:p w14:paraId="1CA529B4" w14:textId="77777777" w:rsidR="00000000" w:rsidRDefault="00832D71">
      <w:pPr>
        <w:pStyle w:val="a3"/>
        <w:spacing w:before="240" w:beforeAutospacing="0" w:after="0" w:afterAutospacing="0"/>
        <w:jc w:val="both"/>
        <w:divId w:val="1147477556"/>
        <w:rPr>
          <w:sz w:val="20"/>
          <w:szCs w:val="20"/>
        </w:rPr>
      </w:pPr>
      <w:r>
        <w:rPr>
          <w:sz w:val="20"/>
          <w:szCs w:val="20"/>
        </w:rPr>
        <w:t>The following summarizes the fair value of the Partnership’s derivative instruments and their location in the consolidated bala</w:t>
      </w:r>
      <w:r>
        <w:rPr>
          <w:sz w:val="20"/>
          <w:szCs w:val="20"/>
        </w:rPr>
        <w:t>nce sheets as of</w:t>
      </w:r>
      <w:r>
        <w:rPr>
          <w:sz w:val="20"/>
          <w:szCs w:val="20"/>
        </w:rPr>
        <w:t xml:space="preserve"> </w:t>
      </w:r>
      <w:r>
        <w:rPr>
          <w:sz w:val="20"/>
          <w:szCs w:val="20"/>
        </w:rPr>
        <w:t>September 24, 2022 and September 25, 2021, respectively</w:t>
      </w:r>
      <w:r>
        <w:rPr>
          <w:sz w:val="20"/>
          <w:szCs w:val="20"/>
        </w:rPr>
        <w:t>:</w:t>
      </w:r>
    </w:p>
    <w:p w14:paraId="073DAF18" w14:textId="77777777" w:rsidR="00000000" w:rsidRDefault="00832D71">
      <w:pPr>
        <w:pStyle w:val="a3"/>
        <w:spacing w:before="0" w:beforeAutospacing="0" w:after="0" w:afterAutospacing="0"/>
        <w:divId w:val="1147477556"/>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291"/>
        <w:gridCol w:w="110"/>
        <w:gridCol w:w="1413"/>
        <w:gridCol w:w="110"/>
        <w:gridCol w:w="160"/>
        <w:gridCol w:w="660"/>
        <w:gridCol w:w="110"/>
        <w:gridCol w:w="110"/>
        <w:gridCol w:w="1382"/>
        <w:gridCol w:w="110"/>
        <w:gridCol w:w="160"/>
        <w:gridCol w:w="734"/>
        <w:gridCol w:w="125"/>
      </w:tblGrid>
      <w:tr w:rsidR="00000000" w14:paraId="447C3346" w14:textId="77777777">
        <w:trPr>
          <w:divId w:val="1147477556"/>
          <w:tblCellSpacing w:w="15" w:type="dxa"/>
        </w:trPr>
        <w:tc>
          <w:tcPr>
            <w:tcW w:w="1611" w:type="pct"/>
            <w:vAlign w:val="center"/>
            <w:hideMark/>
          </w:tcPr>
          <w:p w14:paraId="6472D0E2" w14:textId="77777777" w:rsidR="00000000" w:rsidRDefault="00832D71">
            <w:pPr>
              <w:rPr>
                <w:sz w:val="20"/>
                <w:szCs w:val="20"/>
              </w:rPr>
            </w:pPr>
          </w:p>
        </w:tc>
        <w:tc>
          <w:tcPr>
            <w:tcW w:w="56" w:type="pct"/>
            <w:vAlign w:val="center"/>
            <w:hideMark/>
          </w:tcPr>
          <w:p w14:paraId="23C44B8A" w14:textId="77777777" w:rsidR="00000000" w:rsidRDefault="00832D71">
            <w:pPr>
              <w:rPr>
                <w:rFonts w:eastAsia="Times New Roman"/>
                <w:sz w:val="20"/>
                <w:szCs w:val="20"/>
              </w:rPr>
            </w:pPr>
          </w:p>
        </w:tc>
        <w:tc>
          <w:tcPr>
            <w:tcW w:w="1000" w:type="pct"/>
            <w:vAlign w:val="center"/>
            <w:hideMark/>
          </w:tcPr>
          <w:p w14:paraId="3C92B404" w14:textId="77777777" w:rsidR="00000000" w:rsidRDefault="00832D71">
            <w:pPr>
              <w:rPr>
                <w:rFonts w:eastAsia="Times New Roman"/>
                <w:sz w:val="20"/>
                <w:szCs w:val="20"/>
              </w:rPr>
            </w:pPr>
          </w:p>
        </w:tc>
        <w:tc>
          <w:tcPr>
            <w:tcW w:w="56" w:type="pct"/>
            <w:vAlign w:val="center"/>
            <w:hideMark/>
          </w:tcPr>
          <w:p w14:paraId="6310D0D9" w14:textId="77777777" w:rsidR="00000000" w:rsidRDefault="00832D71">
            <w:pPr>
              <w:rPr>
                <w:rFonts w:eastAsia="Times New Roman"/>
                <w:sz w:val="20"/>
                <w:szCs w:val="20"/>
              </w:rPr>
            </w:pPr>
          </w:p>
        </w:tc>
        <w:tc>
          <w:tcPr>
            <w:tcW w:w="50" w:type="pct"/>
            <w:vAlign w:val="center"/>
            <w:hideMark/>
          </w:tcPr>
          <w:p w14:paraId="1728F50B" w14:textId="77777777" w:rsidR="00000000" w:rsidRDefault="00832D71">
            <w:pPr>
              <w:rPr>
                <w:rFonts w:eastAsia="Times New Roman"/>
                <w:sz w:val="20"/>
                <w:szCs w:val="20"/>
              </w:rPr>
            </w:pPr>
          </w:p>
        </w:tc>
        <w:tc>
          <w:tcPr>
            <w:tcW w:w="466" w:type="pct"/>
            <w:vAlign w:val="center"/>
            <w:hideMark/>
          </w:tcPr>
          <w:p w14:paraId="194D632B" w14:textId="77777777" w:rsidR="00000000" w:rsidRDefault="00832D71">
            <w:pPr>
              <w:rPr>
                <w:rFonts w:eastAsia="Times New Roman"/>
                <w:sz w:val="20"/>
                <w:szCs w:val="20"/>
              </w:rPr>
            </w:pPr>
          </w:p>
        </w:tc>
        <w:tc>
          <w:tcPr>
            <w:tcW w:w="50" w:type="pct"/>
            <w:vAlign w:val="center"/>
            <w:hideMark/>
          </w:tcPr>
          <w:p w14:paraId="48E216A0" w14:textId="77777777" w:rsidR="00000000" w:rsidRDefault="00832D71">
            <w:pPr>
              <w:rPr>
                <w:rFonts w:eastAsia="Times New Roman"/>
                <w:sz w:val="20"/>
                <w:szCs w:val="20"/>
              </w:rPr>
            </w:pPr>
          </w:p>
        </w:tc>
        <w:tc>
          <w:tcPr>
            <w:tcW w:w="56" w:type="pct"/>
            <w:vAlign w:val="center"/>
            <w:hideMark/>
          </w:tcPr>
          <w:p w14:paraId="248AE632" w14:textId="77777777" w:rsidR="00000000" w:rsidRDefault="00832D71">
            <w:pPr>
              <w:rPr>
                <w:rFonts w:eastAsia="Times New Roman"/>
                <w:sz w:val="20"/>
                <w:szCs w:val="20"/>
              </w:rPr>
            </w:pPr>
          </w:p>
        </w:tc>
        <w:tc>
          <w:tcPr>
            <w:tcW w:w="978" w:type="pct"/>
            <w:vAlign w:val="center"/>
            <w:hideMark/>
          </w:tcPr>
          <w:p w14:paraId="7FADDF7B" w14:textId="77777777" w:rsidR="00000000" w:rsidRDefault="00832D71">
            <w:pPr>
              <w:rPr>
                <w:rFonts w:eastAsia="Times New Roman"/>
                <w:sz w:val="20"/>
                <w:szCs w:val="20"/>
              </w:rPr>
            </w:pPr>
          </w:p>
        </w:tc>
        <w:tc>
          <w:tcPr>
            <w:tcW w:w="56" w:type="pct"/>
            <w:vAlign w:val="center"/>
            <w:hideMark/>
          </w:tcPr>
          <w:p w14:paraId="4C637149" w14:textId="77777777" w:rsidR="00000000" w:rsidRDefault="00832D71">
            <w:pPr>
              <w:rPr>
                <w:rFonts w:eastAsia="Times New Roman"/>
                <w:sz w:val="20"/>
                <w:szCs w:val="20"/>
              </w:rPr>
            </w:pPr>
          </w:p>
        </w:tc>
        <w:tc>
          <w:tcPr>
            <w:tcW w:w="50" w:type="pct"/>
            <w:vAlign w:val="center"/>
            <w:hideMark/>
          </w:tcPr>
          <w:p w14:paraId="1DFDE440" w14:textId="77777777" w:rsidR="00000000" w:rsidRDefault="00832D71">
            <w:pPr>
              <w:rPr>
                <w:rFonts w:eastAsia="Times New Roman"/>
                <w:sz w:val="20"/>
                <w:szCs w:val="20"/>
              </w:rPr>
            </w:pPr>
          </w:p>
        </w:tc>
        <w:tc>
          <w:tcPr>
            <w:tcW w:w="519" w:type="pct"/>
            <w:vAlign w:val="center"/>
            <w:hideMark/>
          </w:tcPr>
          <w:p w14:paraId="302A1FDA" w14:textId="77777777" w:rsidR="00000000" w:rsidRDefault="00832D71">
            <w:pPr>
              <w:rPr>
                <w:rFonts w:eastAsia="Times New Roman"/>
                <w:sz w:val="20"/>
                <w:szCs w:val="20"/>
              </w:rPr>
            </w:pPr>
          </w:p>
        </w:tc>
        <w:tc>
          <w:tcPr>
            <w:tcW w:w="50" w:type="pct"/>
            <w:vAlign w:val="center"/>
            <w:hideMark/>
          </w:tcPr>
          <w:p w14:paraId="5B14B54D" w14:textId="77777777" w:rsidR="00000000" w:rsidRDefault="00832D71">
            <w:pPr>
              <w:rPr>
                <w:rFonts w:eastAsia="Times New Roman"/>
                <w:sz w:val="20"/>
                <w:szCs w:val="20"/>
              </w:rPr>
            </w:pPr>
          </w:p>
        </w:tc>
      </w:tr>
      <w:tr w:rsidR="00000000" w14:paraId="0D80DB2F" w14:textId="77777777">
        <w:trPr>
          <w:divId w:val="1147477556"/>
          <w:trHeight w:val="160"/>
          <w:tblCellSpacing w:w="15" w:type="dxa"/>
        </w:trPr>
        <w:tc>
          <w:tcPr>
            <w:tcW w:w="0" w:type="auto"/>
            <w:vAlign w:val="bottom"/>
            <w:hideMark/>
          </w:tcPr>
          <w:p w14:paraId="6BC7D84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CC0D915"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4"/>
            <w:vAlign w:val="bottom"/>
            <w:hideMark/>
          </w:tcPr>
          <w:p w14:paraId="3D54EAF2" w14:textId="77777777" w:rsidR="00000000" w:rsidRDefault="00832D71">
            <w:pPr>
              <w:pStyle w:val="a3"/>
              <w:spacing w:before="0" w:beforeAutospacing="0" w:after="0" w:afterAutospacing="0"/>
              <w:jc w:val="center"/>
              <w:rPr>
                <w:sz w:val="16"/>
                <w:szCs w:val="16"/>
              </w:rPr>
            </w:pPr>
            <w:r>
              <w:rPr>
                <w:b/>
                <w:bCs/>
                <w:sz w:val="16"/>
                <w:szCs w:val="16"/>
              </w:rPr>
              <w:t>As of September 24, 202</w:t>
            </w:r>
            <w:r>
              <w:rPr>
                <w:b/>
                <w:bCs/>
                <w:sz w:val="16"/>
                <w:szCs w:val="16"/>
              </w:rPr>
              <w:t>2</w:t>
            </w:r>
          </w:p>
        </w:tc>
        <w:tc>
          <w:tcPr>
            <w:tcW w:w="0" w:type="auto"/>
            <w:vAlign w:val="bottom"/>
            <w:hideMark/>
          </w:tcPr>
          <w:p w14:paraId="7DC62A8A"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65AEE2A"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4"/>
            <w:vAlign w:val="bottom"/>
            <w:hideMark/>
          </w:tcPr>
          <w:p w14:paraId="596F88D0" w14:textId="77777777" w:rsidR="00000000" w:rsidRDefault="00832D71">
            <w:pPr>
              <w:pStyle w:val="a3"/>
              <w:spacing w:before="0" w:beforeAutospacing="0" w:after="0" w:afterAutospacing="0"/>
              <w:jc w:val="center"/>
              <w:rPr>
                <w:sz w:val="16"/>
                <w:szCs w:val="16"/>
              </w:rPr>
            </w:pPr>
            <w:r>
              <w:rPr>
                <w:b/>
                <w:bCs/>
                <w:sz w:val="16"/>
                <w:szCs w:val="16"/>
              </w:rPr>
              <w:t>As of September 25, 202</w:t>
            </w:r>
            <w:r>
              <w:rPr>
                <w:b/>
                <w:bCs/>
                <w:sz w:val="16"/>
                <w:szCs w:val="16"/>
              </w:rPr>
              <w:t>1</w:t>
            </w:r>
          </w:p>
        </w:tc>
        <w:tc>
          <w:tcPr>
            <w:tcW w:w="0" w:type="auto"/>
            <w:vAlign w:val="bottom"/>
            <w:hideMark/>
          </w:tcPr>
          <w:p w14:paraId="26E07F50"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523C32F1" w14:textId="77777777">
        <w:trPr>
          <w:divId w:val="1147477556"/>
          <w:trHeight w:val="160"/>
          <w:tblCellSpacing w:w="15" w:type="dxa"/>
        </w:trPr>
        <w:tc>
          <w:tcPr>
            <w:tcW w:w="0" w:type="auto"/>
            <w:vAlign w:val="bottom"/>
            <w:hideMark/>
          </w:tcPr>
          <w:p w14:paraId="2365599E" w14:textId="77777777" w:rsidR="00000000" w:rsidRDefault="00832D71">
            <w:pPr>
              <w:pStyle w:val="a3"/>
              <w:spacing w:before="0" w:beforeAutospacing="0" w:after="0" w:afterAutospacing="0"/>
              <w:rPr>
                <w:sz w:val="16"/>
                <w:szCs w:val="16"/>
              </w:rPr>
            </w:pPr>
            <w:r>
              <w:rPr>
                <w:b/>
                <w:bCs/>
                <w:sz w:val="16"/>
                <w:szCs w:val="16"/>
              </w:rPr>
              <w:t>Asset Derivative</w:t>
            </w:r>
            <w:r>
              <w:rPr>
                <w:b/>
                <w:bCs/>
                <w:sz w:val="16"/>
                <w:szCs w:val="16"/>
              </w:rPr>
              <w:t>s</w:t>
            </w:r>
          </w:p>
        </w:tc>
        <w:tc>
          <w:tcPr>
            <w:tcW w:w="0" w:type="auto"/>
            <w:vAlign w:val="bottom"/>
            <w:hideMark/>
          </w:tcPr>
          <w:p w14:paraId="022BB714"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21B21FA" w14:textId="77777777" w:rsidR="00000000" w:rsidRDefault="00832D71">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14:paraId="45F35800"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383E339" w14:textId="77777777" w:rsidR="00000000" w:rsidRDefault="00832D71">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14:paraId="15B0D8C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C790051"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90DFBD8" w14:textId="77777777" w:rsidR="00000000" w:rsidRDefault="00832D71">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14:paraId="78834DD4"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04DBF57" w14:textId="77777777" w:rsidR="00000000" w:rsidRDefault="00832D71">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14:paraId="21B25A3A"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144AB53" w14:textId="77777777">
        <w:trPr>
          <w:divId w:val="1147477556"/>
          <w:trHeight w:val="200"/>
          <w:tblCellSpacing w:w="15" w:type="dxa"/>
        </w:trPr>
        <w:tc>
          <w:tcPr>
            <w:tcW w:w="0" w:type="auto"/>
            <w:vAlign w:val="bottom"/>
            <w:hideMark/>
          </w:tcPr>
          <w:p w14:paraId="6A7B3984" w14:textId="77777777" w:rsidR="00000000" w:rsidRDefault="00832D71">
            <w:pPr>
              <w:pStyle w:val="a3"/>
              <w:spacing w:before="0" w:beforeAutospacing="0" w:after="0" w:afterAutospacing="0"/>
              <w:rPr>
                <w:sz w:val="20"/>
                <w:szCs w:val="20"/>
              </w:rPr>
            </w:pPr>
            <w:r>
              <w:rPr>
                <w:sz w:val="20"/>
                <w:szCs w:val="20"/>
              </w:rPr>
              <w:t>Derivatives not designated as hedging</w:t>
            </w:r>
            <w:r>
              <w:rPr>
                <w:sz w:val="20"/>
                <w:szCs w:val="20"/>
              </w:rPr>
              <w:br/>
              <w:t>   instruments</w:t>
            </w:r>
            <w:r>
              <w:rPr>
                <w:sz w:val="20"/>
                <w:szCs w:val="20"/>
              </w:rPr>
              <w:t>:</w:t>
            </w:r>
          </w:p>
        </w:tc>
        <w:tc>
          <w:tcPr>
            <w:tcW w:w="0" w:type="auto"/>
            <w:vAlign w:val="bottom"/>
            <w:hideMark/>
          </w:tcPr>
          <w:p w14:paraId="145A615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A55C92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813E3D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E18B22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477768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60B1C9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355B1B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9907F7F"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777EAD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E7889A1" w14:textId="77777777" w:rsidR="00000000" w:rsidRDefault="00832D71">
            <w:pPr>
              <w:pStyle w:val="a3"/>
              <w:spacing w:before="0" w:beforeAutospacing="0" w:after="0" w:afterAutospacing="0"/>
              <w:rPr>
                <w:sz w:val="20"/>
                <w:szCs w:val="20"/>
              </w:rPr>
            </w:pPr>
            <w:r>
              <w:rPr>
                <w:sz w:val="20"/>
                <w:szCs w:val="20"/>
              </w:rPr>
              <w:t> </w:t>
            </w:r>
          </w:p>
        </w:tc>
      </w:tr>
      <w:tr w:rsidR="00000000" w14:paraId="6F736639" w14:textId="77777777">
        <w:trPr>
          <w:divId w:val="1147477556"/>
          <w:trHeight w:val="200"/>
          <w:tblCellSpacing w:w="15" w:type="dxa"/>
        </w:trPr>
        <w:tc>
          <w:tcPr>
            <w:tcW w:w="0" w:type="auto"/>
            <w:vAlign w:val="bottom"/>
            <w:hideMark/>
          </w:tcPr>
          <w:p w14:paraId="326D4DB8" w14:textId="77777777" w:rsidR="00000000" w:rsidRDefault="00832D71">
            <w:pPr>
              <w:pStyle w:val="a3"/>
              <w:spacing w:before="0" w:beforeAutospacing="0" w:after="0" w:afterAutospacing="0"/>
              <w:ind w:left="200"/>
              <w:rPr>
                <w:sz w:val="20"/>
                <w:szCs w:val="20"/>
              </w:rPr>
            </w:pPr>
            <w:r>
              <w:rPr>
                <w:sz w:val="20"/>
                <w:szCs w:val="20"/>
              </w:rPr>
              <w:t>Commodity-related derivative</w:t>
            </w:r>
            <w:r>
              <w:rPr>
                <w:sz w:val="20"/>
                <w:szCs w:val="20"/>
              </w:rPr>
              <w:t>s</w:t>
            </w:r>
          </w:p>
        </w:tc>
        <w:tc>
          <w:tcPr>
            <w:tcW w:w="0" w:type="auto"/>
            <w:vAlign w:val="bottom"/>
            <w:hideMark/>
          </w:tcPr>
          <w:p w14:paraId="264B5906"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33A2F21A" w14:textId="77777777" w:rsidR="00000000" w:rsidRDefault="00832D71">
            <w:pPr>
              <w:pStyle w:val="a3"/>
              <w:spacing w:before="0" w:beforeAutospacing="0" w:after="0" w:afterAutospacing="0"/>
              <w:rPr>
                <w:sz w:val="20"/>
                <w:szCs w:val="20"/>
              </w:rPr>
            </w:pPr>
            <w:r>
              <w:rPr>
                <w:sz w:val="20"/>
                <w:szCs w:val="20"/>
              </w:rPr>
              <w:t>Other current asset</w:t>
            </w:r>
            <w:r>
              <w:rPr>
                <w:sz w:val="20"/>
                <w:szCs w:val="20"/>
              </w:rPr>
              <w:t>s</w:t>
            </w:r>
          </w:p>
        </w:tc>
        <w:tc>
          <w:tcPr>
            <w:tcW w:w="0" w:type="auto"/>
            <w:vAlign w:val="bottom"/>
            <w:hideMark/>
          </w:tcPr>
          <w:p w14:paraId="0D2EAEC2"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52F2FDC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EFD8E35" w14:textId="77777777" w:rsidR="00000000" w:rsidRDefault="00832D71">
            <w:pPr>
              <w:pStyle w:val="a3"/>
              <w:spacing w:before="0" w:beforeAutospacing="0" w:after="0" w:afterAutospacing="0"/>
              <w:jc w:val="right"/>
              <w:rPr>
                <w:sz w:val="20"/>
                <w:szCs w:val="20"/>
              </w:rPr>
            </w:pPr>
            <w:r>
              <w:rPr>
                <w:sz w:val="20"/>
                <w:szCs w:val="20"/>
              </w:rPr>
              <w:t>18,26</w:t>
            </w:r>
            <w:r>
              <w:rPr>
                <w:sz w:val="20"/>
                <w:szCs w:val="20"/>
              </w:rPr>
              <w:t>3</w:t>
            </w:r>
          </w:p>
        </w:tc>
        <w:tc>
          <w:tcPr>
            <w:tcW w:w="0" w:type="auto"/>
            <w:noWrap/>
            <w:vAlign w:val="bottom"/>
            <w:hideMark/>
          </w:tcPr>
          <w:p w14:paraId="704570D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3064C3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3A75DC3" w14:textId="77777777" w:rsidR="00000000" w:rsidRDefault="00832D71">
            <w:pPr>
              <w:pStyle w:val="a3"/>
              <w:spacing w:before="0" w:beforeAutospacing="0" w:after="0" w:afterAutospacing="0"/>
              <w:rPr>
                <w:sz w:val="20"/>
                <w:szCs w:val="20"/>
              </w:rPr>
            </w:pPr>
            <w:r>
              <w:rPr>
                <w:sz w:val="20"/>
                <w:szCs w:val="20"/>
              </w:rPr>
              <w:t>Other current asset</w:t>
            </w:r>
            <w:r>
              <w:rPr>
                <w:sz w:val="20"/>
                <w:szCs w:val="20"/>
              </w:rPr>
              <w:t>s</w:t>
            </w:r>
          </w:p>
        </w:tc>
        <w:tc>
          <w:tcPr>
            <w:tcW w:w="0" w:type="auto"/>
            <w:vAlign w:val="bottom"/>
            <w:hideMark/>
          </w:tcPr>
          <w:p w14:paraId="16C4ABA7"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11F9E6C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B175A94" w14:textId="77777777" w:rsidR="00000000" w:rsidRDefault="00832D71">
            <w:pPr>
              <w:pStyle w:val="a3"/>
              <w:spacing w:before="0" w:beforeAutospacing="0" w:after="0" w:afterAutospacing="0"/>
              <w:jc w:val="right"/>
              <w:rPr>
                <w:sz w:val="20"/>
                <w:szCs w:val="20"/>
              </w:rPr>
            </w:pPr>
            <w:r>
              <w:rPr>
                <w:sz w:val="20"/>
                <w:szCs w:val="20"/>
              </w:rPr>
              <w:t>53,01</w:t>
            </w:r>
            <w:r>
              <w:rPr>
                <w:sz w:val="20"/>
                <w:szCs w:val="20"/>
              </w:rPr>
              <w:t>9</w:t>
            </w:r>
          </w:p>
        </w:tc>
        <w:tc>
          <w:tcPr>
            <w:tcW w:w="0" w:type="auto"/>
            <w:noWrap/>
            <w:vAlign w:val="bottom"/>
            <w:hideMark/>
          </w:tcPr>
          <w:p w14:paraId="09FAA407" w14:textId="77777777" w:rsidR="00000000" w:rsidRDefault="00832D71">
            <w:pPr>
              <w:pStyle w:val="a3"/>
              <w:spacing w:before="0" w:beforeAutospacing="0" w:after="0" w:afterAutospacing="0"/>
              <w:rPr>
                <w:sz w:val="20"/>
                <w:szCs w:val="20"/>
              </w:rPr>
            </w:pPr>
            <w:r>
              <w:rPr>
                <w:sz w:val="20"/>
                <w:szCs w:val="20"/>
              </w:rPr>
              <w:t> </w:t>
            </w:r>
          </w:p>
        </w:tc>
      </w:tr>
      <w:tr w:rsidR="00000000" w14:paraId="53B978B0" w14:textId="77777777">
        <w:trPr>
          <w:divId w:val="1147477556"/>
          <w:trHeight w:val="200"/>
          <w:tblCellSpacing w:w="15" w:type="dxa"/>
        </w:trPr>
        <w:tc>
          <w:tcPr>
            <w:tcW w:w="0" w:type="auto"/>
            <w:vAlign w:val="bottom"/>
            <w:hideMark/>
          </w:tcPr>
          <w:p w14:paraId="3925961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1FAB94E" w14:textId="77777777" w:rsidR="00000000" w:rsidRDefault="00832D71">
            <w:pPr>
              <w:pStyle w:val="a3"/>
              <w:spacing w:before="0" w:beforeAutospacing="0" w:after="0" w:afterAutospacing="0"/>
              <w:jc w:val="center"/>
              <w:rPr>
                <w:sz w:val="20"/>
                <w:szCs w:val="20"/>
              </w:rPr>
            </w:pPr>
            <w:r>
              <w:rPr>
                <w:sz w:val="20"/>
                <w:szCs w:val="20"/>
              </w:rPr>
              <w:t> </w:t>
            </w:r>
          </w:p>
        </w:tc>
        <w:tc>
          <w:tcPr>
            <w:tcW w:w="0" w:type="auto"/>
            <w:vAlign w:val="bottom"/>
            <w:hideMark/>
          </w:tcPr>
          <w:p w14:paraId="3AA3C8D7" w14:textId="77777777" w:rsidR="00000000" w:rsidRDefault="00832D71">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14:paraId="385CC256"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59983C1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04689A3" w14:textId="77777777" w:rsidR="00000000" w:rsidRDefault="00832D71">
            <w:pPr>
              <w:pStyle w:val="a3"/>
              <w:spacing w:before="0" w:beforeAutospacing="0" w:after="0" w:afterAutospacing="0"/>
              <w:jc w:val="right"/>
              <w:rPr>
                <w:sz w:val="20"/>
                <w:szCs w:val="20"/>
              </w:rPr>
            </w:pPr>
            <w:r>
              <w:rPr>
                <w:sz w:val="20"/>
                <w:szCs w:val="20"/>
              </w:rPr>
              <w:t>16,43</w:t>
            </w:r>
            <w:r>
              <w:rPr>
                <w:sz w:val="20"/>
                <w:szCs w:val="20"/>
              </w:rPr>
              <w:t>0</w:t>
            </w:r>
          </w:p>
        </w:tc>
        <w:tc>
          <w:tcPr>
            <w:tcW w:w="0" w:type="auto"/>
            <w:noWrap/>
            <w:vAlign w:val="bottom"/>
            <w:hideMark/>
          </w:tcPr>
          <w:p w14:paraId="6D1B040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076B49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4FB17A4" w14:textId="77777777" w:rsidR="00000000" w:rsidRDefault="00832D71">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14:paraId="4FC6C20C"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170F2D8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C52BF2E" w14:textId="77777777" w:rsidR="00000000" w:rsidRDefault="00832D71">
            <w:pPr>
              <w:pStyle w:val="a3"/>
              <w:spacing w:before="0" w:beforeAutospacing="0" w:after="0" w:afterAutospacing="0"/>
              <w:jc w:val="right"/>
              <w:rPr>
                <w:sz w:val="20"/>
                <w:szCs w:val="20"/>
              </w:rPr>
            </w:pPr>
            <w:r>
              <w:rPr>
                <w:sz w:val="20"/>
                <w:szCs w:val="20"/>
              </w:rPr>
              <w:t>1,81</w:t>
            </w:r>
            <w:r>
              <w:rPr>
                <w:sz w:val="20"/>
                <w:szCs w:val="20"/>
              </w:rPr>
              <w:t>3</w:t>
            </w:r>
          </w:p>
        </w:tc>
        <w:tc>
          <w:tcPr>
            <w:tcW w:w="0" w:type="auto"/>
            <w:noWrap/>
            <w:vAlign w:val="bottom"/>
            <w:hideMark/>
          </w:tcPr>
          <w:p w14:paraId="4D7D1C74" w14:textId="77777777" w:rsidR="00000000" w:rsidRDefault="00832D71">
            <w:pPr>
              <w:pStyle w:val="a3"/>
              <w:spacing w:before="0" w:beforeAutospacing="0" w:after="0" w:afterAutospacing="0"/>
              <w:rPr>
                <w:sz w:val="20"/>
                <w:szCs w:val="20"/>
              </w:rPr>
            </w:pPr>
            <w:r>
              <w:rPr>
                <w:sz w:val="20"/>
                <w:szCs w:val="20"/>
              </w:rPr>
              <w:t> </w:t>
            </w:r>
          </w:p>
        </w:tc>
      </w:tr>
      <w:tr w:rsidR="00000000" w14:paraId="7A36F075" w14:textId="77777777">
        <w:trPr>
          <w:divId w:val="1147477556"/>
          <w:trHeight w:val="200"/>
          <w:tblCellSpacing w:w="15" w:type="dxa"/>
        </w:trPr>
        <w:tc>
          <w:tcPr>
            <w:tcW w:w="0" w:type="auto"/>
            <w:vAlign w:val="bottom"/>
            <w:hideMark/>
          </w:tcPr>
          <w:p w14:paraId="0D57DD0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EC6BD9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96338B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E83CAF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10EB46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C2AEC18" w14:textId="77777777" w:rsidR="00000000" w:rsidRDefault="00832D71">
            <w:pPr>
              <w:pStyle w:val="a3"/>
              <w:spacing w:before="0" w:beforeAutospacing="0" w:after="0" w:afterAutospacing="0"/>
              <w:jc w:val="right"/>
              <w:rPr>
                <w:sz w:val="20"/>
                <w:szCs w:val="20"/>
              </w:rPr>
            </w:pPr>
            <w:r>
              <w:rPr>
                <w:sz w:val="20"/>
                <w:szCs w:val="20"/>
              </w:rPr>
              <w:t>34,69</w:t>
            </w:r>
            <w:r>
              <w:rPr>
                <w:sz w:val="20"/>
                <w:szCs w:val="20"/>
              </w:rPr>
              <w:t>3</w:t>
            </w:r>
          </w:p>
        </w:tc>
        <w:tc>
          <w:tcPr>
            <w:tcW w:w="0" w:type="auto"/>
            <w:noWrap/>
            <w:vAlign w:val="bottom"/>
            <w:hideMark/>
          </w:tcPr>
          <w:p w14:paraId="05B01C0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031011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302BF4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B71F87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E56B57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F7D8AB3" w14:textId="77777777" w:rsidR="00000000" w:rsidRDefault="00832D71">
            <w:pPr>
              <w:pStyle w:val="a3"/>
              <w:spacing w:before="0" w:beforeAutospacing="0" w:after="0" w:afterAutospacing="0"/>
              <w:jc w:val="right"/>
              <w:rPr>
                <w:sz w:val="20"/>
                <w:szCs w:val="20"/>
              </w:rPr>
            </w:pPr>
            <w:r>
              <w:rPr>
                <w:sz w:val="20"/>
                <w:szCs w:val="20"/>
              </w:rPr>
              <w:t>54,83</w:t>
            </w:r>
            <w:r>
              <w:rPr>
                <w:sz w:val="20"/>
                <w:szCs w:val="20"/>
              </w:rPr>
              <w:t>2</w:t>
            </w:r>
          </w:p>
        </w:tc>
        <w:tc>
          <w:tcPr>
            <w:tcW w:w="0" w:type="auto"/>
            <w:noWrap/>
            <w:vAlign w:val="bottom"/>
            <w:hideMark/>
          </w:tcPr>
          <w:p w14:paraId="6E3ECC77" w14:textId="77777777" w:rsidR="00000000" w:rsidRDefault="00832D71">
            <w:pPr>
              <w:pStyle w:val="a3"/>
              <w:spacing w:before="0" w:beforeAutospacing="0" w:after="0" w:afterAutospacing="0"/>
              <w:rPr>
                <w:sz w:val="20"/>
                <w:szCs w:val="20"/>
              </w:rPr>
            </w:pPr>
            <w:r>
              <w:rPr>
                <w:sz w:val="20"/>
                <w:szCs w:val="20"/>
              </w:rPr>
              <w:t> </w:t>
            </w:r>
          </w:p>
        </w:tc>
      </w:tr>
      <w:tr w:rsidR="00000000" w14:paraId="5033EB9D" w14:textId="77777777">
        <w:trPr>
          <w:divId w:val="1147477556"/>
          <w:tblCellSpacing w:w="15" w:type="dxa"/>
        </w:trPr>
        <w:tc>
          <w:tcPr>
            <w:tcW w:w="0" w:type="auto"/>
            <w:vAlign w:val="bottom"/>
            <w:hideMark/>
          </w:tcPr>
          <w:p w14:paraId="28B3A2D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E7A6F4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A0B4BC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E672DD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75595E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965674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23737B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B61B20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DF6F5F4"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6467BD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908C32A" w14:textId="77777777" w:rsidR="00000000" w:rsidRDefault="00832D71">
            <w:pPr>
              <w:pStyle w:val="a3"/>
              <w:spacing w:before="0" w:beforeAutospacing="0" w:after="0" w:afterAutospacing="0"/>
              <w:jc w:val="right"/>
              <w:rPr>
                <w:sz w:val="20"/>
                <w:szCs w:val="20"/>
              </w:rPr>
            </w:pPr>
            <w:r>
              <w:rPr>
                <w:sz w:val="20"/>
                <w:szCs w:val="20"/>
              </w:rPr>
              <w:t> </w:t>
            </w:r>
          </w:p>
        </w:tc>
      </w:tr>
      <w:tr w:rsidR="00000000" w14:paraId="5F715BC3" w14:textId="77777777">
        <w:trPr>
          <w:divId w:val="1147477556"/>
          <w:trHeight w:val="160"/>
          <w:tblCellSpacing w:w="15" w:type="dxa"/>
        </w:trPr>
        <w:tc>
          <w:tcPr>
            <w:tcW w:w="0" w:type="auto"/>
            <w:vAlign w:val="bottom"/>
            <w:hideMark/>
          </w:tcPr>
          <w:p w14:paraId="72E2B934" w14:textId="77777777" w:rsidR="00000000" w:rsidRDefault="00832D71">
            <w:pPr>
              <w:pStyle w:val="a3"/>
              <w:spacing w:before="0" w:beforeAutospacing="0" w:after="0" w:afterAutospacing="0"/>
              <w:rPr>
                <w:sz w:val="16"/>
                <w:szCs w:val="16"/>
              </w:rPr>
            </w:pPr>
            <w:r>
              <w:rPr>
                <w:b/>
                <w:bCs/>
                <w:sz w:val="16"/>
                <w:szCs w:val="16"/>
              </w:rPr>
              <w:t>Liability Derivative</w:t>
            </w:r>
            <w:r>
              <w:rPr>
                <w:b/>
                <w:bCs/>
                <w:sz w:val="16"/>
                <w:szCs w:val="16"/>
              </w:rPr>
              <w:t>s</w:t>
            </w:r>
          </w:p>
        </w:tc>
        <w:tc>
          <w:tcPr>
            <w:tcW w:w="0" w:type="auto"/>
            <w:vAlign w:val="bottom"/>
            <w:hideMark/>
          </w:tcPr>
          <w:p w14:paraId="7EE7F18E"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32AC38F" w14:textId="77777777" w:rsidR="00000000" w:rsidRDefault="00832D71">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14:paraId="3A9CF8E0"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3047E7F" w14:textId="77777777" w:rsidR="00000000" w:rsidRDefault="00832D71">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14:paraId="4E758ECD"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EF41EF3"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465406E6" w14:textId="77777777" w:rsidR="00000000" w:rsidRDefault="00832D71">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14:paraId="20998F5B"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E1D5BD1" w14:textId="77777777" w:rsidR="00000000" w:rsidRDefault="00832D71">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14:paraId="07583EE4"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DDF01A9" w14:textId="77777777">
        <w:trPr>
          <w:divId w:val="1147477556"/>
          <w:trHeight w:val="200"/>
          <w:tblCellSpacing w:w="15" w:type="dxa"/>
        </w:trPr>
        <w:tc>
          <w:tcPr>
            <w:tcW w:w="0" w:type="auto"/>
            <w:vAlign w:val="bottom"/>
            <w:hideMark/>
          </w:tcPr>
          <w:p w14:paraId="1ADA24C1" w14:textId="77777777" w:rsidR="00000000" w:rsidRDefault="00832D71">
            <w:pPr>
              <w:pStyle w:val="a3"/>
              <w:spacing w:before="0" w:beforeAutospacing="0" w:after="0" w:afterAutospacing="0"/>
              <w:rPr>
                <w:sz w:val="20"/>
                <w:szCs w:val="20"/>
              </w:rPr>
            </w:pPr>
            <w:r>
              <w:rPr>
                <w:sz w:val="20"/>
                <w:szCs w:val="20"/>
              </w:rPr>
              <w:t>Derivatives not designated as hedging</w:t>
            </w:r>
            <w:r>
              <w:rPr>
                <w:sz w:val="20"/>
                <w:szCs w:val="20"/>
              </w:rPr>
              <w:br/>
              <w:t>   instruments</w:t>
            </w:r>
            <w:r>
              <w:rPr>
                <w:sz w:val="20"/>
                <w:szCs w:val="20"/>
              </w:rPr>
              <w:t>:</w:t>
            </w:r>
          </w:p>
        </w:tc>
        <w:tc>
          <w:tcPr>
            <w:tcW w:w="0" w:type="auto"/>
            <w:vAlign w:val="bottom"/>
            <w:hideMark/>
          </w:tcPr>
          <w:p w14:paraId="3DC0BC9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60F6A0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862AC50"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C794DE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4ADA24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436789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8BC548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C03909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FCDD62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69C8675" w14:textId="77777777" w:rsidR="00000000" w:rsidRDefault="00832D71">
            <w:pPr>
              <w:pStyle w:val="a3"/>
              <w:spacing w:before="0" w:beforeAutospacing="0" w:after="0" w:afterAutospacing="0"/>
              <w:rPr>
                <w:sz w:val="20"/>
                <w:szCs w:val="20"/>
              </w:rPr>
            </w:pPr>
            <w:r>
              <w:rPr>
                <w:sz w:val="20"/>
                <w:szCs w:val="20"/>
              </w:rPr>
              <w:t> </w:t>
            </w:r>
          </w:p>
        </w:tc>
      </w:tr>
      <w:tr w:rsidR="00000000" w14:paraId="474DAEB5" w14:textId="77777777">
        <w:trPr>
          <w:divId w:val="1147477556"/>
          <w:trHeight w:val="200"/>
          <w:tblCellSpacing w:w="15" w:type="dxa"/>
        </w:trPr>
        <w:tc>
          <w:tcPr>
            <w:tcW w:w="0" w:type="auto"/>
            <w:vAlign w:val="bottom"/>
            <w:hideMark/>
          </w:tcPr>
          <w:p w14:paraId="3F4F6AFD" w14:textId="77777777" w:rsidR="00000000" w:rsidRDefault="00832D71">
            <w:pPr>
              <w:pStyle w:val="a3"/>
              <w:spacing w:before="0" w:beforeAutospacing="0" w:after="0" w:afterAutospacing="0"/>
              <w:ind w:left="200"/>
              <w:rPr>
                <w:sz w:val="20"/>
                <w:szCs w:val="20"/>
              </w:rPr>
            </w:pPr>
            <w:r>
              <w:rPr>
                <w:sz w:val="20"/>
                <w:szCs w:val="20"/>
              </w:rPr>
              <w:t>Commodity-related derivative</w:t>
            </w:r>
            <w:r>
              <w:rPr>
                <w:sz w:val="20"/>
                <w:szCs w:val="20"/>
              </w:rPr>
              <w:t>s</w:t>
            </w:r>
          </w:p>
        </w:tc>
        <w:tc>
          <w:tcPr>
            <w:tcW w:w="0" w:type="auto"/>
            <w:vAlign w:val="bottom"/>
            <w:hideMark/>
          </w:tcPr>
          <w:p w14:paraId="64C8476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267E593" w14:textId="77777777" w:rsidR="00000000" w:rsidRDefault="00832D71">
            <w:pPr>
              <w:pStyle w:val="a3"/>
              <w:spacing w:before="0" w:beforeAutospacing="0" w:after="0" w:afterAutospacing="0"/>
              <w:rPr>
                <w:sz w:val="20"/>
                <w:szCs w:val="20"/>
              </w:rPr>
            </w:pPr>
            <w:r>
              <w:rPr>
                <w:sz w:val="20"/>
                <w:szCs w:val="20"/>
              </w:rPr>
              <w:t>Other current liabilitie</w:t>
            </w:r>
            <w:r>
              <w:rPr>
                <w:sz w:val="20"/>
                <w:szCs w:val="20"/>
              </w:rPr>
              <w:t>s</w:t>
            </w:r>
          </w:p>
        </w:tc>
        <w:tc>
          <w:tcPr>
            <w:tcW w:w="0" w:type="auto"/>
            <w:vAlign w:val="bottom"/>
            <w:hideMark/>
          </w:tcPr>
          <w:p w14:paraId="16DF2A3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A637CE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5BAE270" w14:textId="77777777" w:rsidR="00000000" w:rsidRDefault="00832D71">
            <w:pPr>
              <w:pStyle w:val="a3"/>
              <w:spacing w:before="0" w:beforeAutospacing="0" w:after="0" w:afterAutospacing="0"/>
              <w:jc w:val="right"/>
              <w:rPr>
                <w:sz w:val="20"/>
                <w:szCs w:val="20"/>
              </w:rPr>
            </w:pPr>
            <w:r>
              <w:rPr>
                <w:sz w:val="20"/>
                <w:szCs w:val="20"/>
              </w:rPr>
              <w:t>16,95</w:t>
            </w:r>
            <w:r>
              <w:rPr>
                <w:sz w:val="20"/>
                <w:szCs w:val="20"/>
              </w:rPr>
              <w:t>7</w:t>
            </w:r>
          </w:p>
        </w:tc>
        <w:tc>
          <w:tcPr>
            <w:tcW w:w="0" w:type="auto"/>
            <w:noWrap/>
            <w:vAlign w:val="bottom"/>
            <w:hideMark/>
          </w:tcPr>
          <w:p w14:paraId="0D8DB19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FE2AB9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5DDD9D6" w14:textId="77777777" w:rsidR="00000000" w:rsidRDefault="00832D71">
            <w:pPr>
              <w:pStyle w:val="a3"/>
              <w:spacing w:before="0" w:beforeAutospacing="0" w:after="0" w:afterAutospacing="0"/>
              <w:rPr>
                <w:sz w:val="20"/>
                <w:szCs w:val="20"/>
              </w:rPr>
            </w:pPr>
            <w:r>
              <w:rPr>
                <w:sz w:val="20"/>
                <w:szCs w:val="20"/>
              </w:rPr>
              <w:t>Other current liabilitie</w:t>
            </w:r>
            <w:r>
              <w:rPr>
                <w:sz w:val="20"/>
                <w:szCs w:val="20"/>
              </w:rPr>
              <w:t>s</w:t>
            </w:r>
          </w:p>
        </w:tc>
        <w:tc>
          <w:tcPr>
            <w:tcW w:w="0" w:type="auto"/>
            <w:vAlign w:val="bottom"/>
            <w:hideMark/>
          </w:tcPr>
          <w:p w14:paraId="2AFAA4A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C8AB60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07679A6" w14:textId="77777777" w:rsidR="00000000" w:rsidRDefault="00832D71">
            <w:pPr>
              <w:pStyle w:val="a3"/>
              <w:spacing w:before="0" w:beforeAutospacing="0" w:after="0" w:afterAutospacing="0"/>
              <w:jc w:val="right"/>
              <w:rPr>
                <w:sz w:val="20"/>
                <w:szCs w:val="20"/>
              </w:rPr>
            </w:pPr>
            <w:r>
              <w:rPr>
                <w:sz w:val="20"/>
                <w:szCs w:val="20"/>
              </w:rPr>
              <w:t>8,71</w:t>
            </w:r>
            <w:r>
              <w:rPr>
                <w:sz w:val="20"/>
                <w:szCs w:val="20"/>
              </w:rPr>
              <w:t>5</w:t>
            </w:r>
          </w:p>
        </w:tc>
        <w:tc>
          <w:tcPr>
            <w:tcW w:w="0" w:type="auto"/>
            <w:noWrap/>
            <w:vAlign w:val="bottom"/>
            <w:hideMark/>
          </w:tcPr>
          <w:p w14:paraId="7C258AE0" w14:textId="77777777" w:rsidR="00000000" w:rsidRDefault="00832D71">
            <w:pPr>
              <w:pStyle w:val="a3"/>
              <w:spacing w:before="0" w:beforeAutospacing="0" w:after="0" w:afterAutospacing="0"/>
              <w:rPr>
                <w:sz w:val="20"/>
                <w:szCs w:val="20"/>
              </w:rPr>
            </w:pPr>
            <w:r>
              <w:rPr>
                <w:sz w:val="20"/>
                <w:szCs w:val="20"/>
              </w:rPr>
              <w:t> </w:t>
            </w:r>
          </w:p>
        </w:tc>
      </w:tr>
      <w:tr w:rsidR="00000000" w14:paraId="5BDEDC4A" w14:textId="77777777">
        <w:trPr>
          <w:divId w:val="1147477556"/>
          <w:trHeight w:val="200"/>
          <w:tblCellSpacing w:w="15" w:type="dxa"/>
        </w:trPr>
        <w:tc>
          <w:tcPr>
            <w:tcW w:w="0" w:type="auto"/>
            <w:vAlign w:val="bottom"/>
            <w:hideMark/>
          </w:tcPr>
          <w:p w14:paraId="0A342EF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EFBACE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825D417" w14:textId="77777777" w:rsidR="00000000" w:rsidRDefault="00832D71">
            <w:pPr>
              <w:pStyle w:val="a3"/>
              <w:spacing w:before="0" w:beforeAutospacing="0" w:after="0" w:afterAutospacing="0"/>
              <w:rPr>
                <w:sz w:val="20"/>
                <w:szCs w:val="20"/>
              </w:rPr>
            </w:pPr>
            <w:r>
              <w:rPr>
                <w:sz w:val="20"/>
                <w:szCs w:val="20"/>
              </w:rPr>
              <w:t>Other liabilitie</w:t>
            </w:r>
            <w:r>
              <w:rPr>
                <w:sz w:val="20"/>
                <w:szCs w:val="20"/>
              </w:rPr>
              <w:t>s</w:t>
            </w:r>
          </w:p>
        </w:tc>
        <w:tc>
          <w:tcPr>
            <w:tcW w:w="0" w:type="auto"/>
            <w:vAlign w:val="bottom"/>
            <w:hideMark/>
          </w:tcPr>
          <w:p w14:paraId="0E4667F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E0E96D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0BD8D79" w14:textId="77777777" w:rsidR="00000000" w:rsidRDefault="00832D71">
            <w:pPr>
              <w:pStyle w:val="a3"/>
              <w:spacing w:before="0" w:beforeAutospacing="0" w:after="0" w:afterAutospacing="0"/>
              <w:jc w:val="right"/>
              <w:rPr>
                <w:sz w:val="20"/>
                <w:szCs w:val="20"/>
              </w:rPr>
            </w:pPr>
            <w:r>
              <w:rPr>
                <w:sz w:val="20"/>
                <w:szCs w:val="20"/>
              </w:rPr>
              <w:t>1,89</w:t>
            </w:r>
            <w:r>
              <w:rPr>
                <w:sz w:val="20"/>
                <w:szCs w:val="20"/>
              </w:rPr>
              <w:t>5</w:t>
            </w:r>
          </w:p>
        </w:tc>
        <w:tc>
          <w:tcPr>
            <w:tcW w:w="0" w:type="auto"/>
            <w:noWrap/>
            <w:vAlign w:val="bottom"/>
            <w:hideMark/>
          </w:tcPr>
          <w:p w14:paraId="12E92CD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66A957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F5C4A3" w14:textId="77777777" w:rsidR="00000000" w:rsidRDefault="00832D71">
            <w:pPr>
              <w:pStyle w:val="a3"/>
              <w:spacing w:before="0" w:beforeAutospacing="0" w:after="0" w:afterAutospacing="0"/>
              <w:rPr>
                <w:sz w:val="20"/>
                <w:szCs w:val="20"/>
              </w:rPr>
            </w:pPr>
            <w:r>
              <w:rPr>
                <w:sz w:val="20"/>
                <w:szCs w:val="20"/>
              </w:rPr>
              <w:t>Other liabilitie</w:t>
            </w:r>
            <w:r>
              <w:rPr>
                <w:sz w:val="20"/>
                <w:szCs w:val="20"/>
              </w:rPr>
              <w:t>s</w:t>
            </w:r>
          </w:p>
        </w:tc>
        <w:tc>
          <w:tcPr>
            <w:tcW w:w="0" w:type="auto"/>
            <w:vAlign w:val="bottom"/>
            <w:hideMark/>
          </w:tcPr>
          <w:p w14:paraId="1C856E1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5DD502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657F1C8" w14:textId="77777777" w:rsidR="00000000" w:rsidRDefault="00832D71">
            <w:pPr>
              <w:pStyle w:val="a3"/>
              <w:spacing w:before="0" w:beforeAutospacing="0" w:after="0" w:afterAutospacing="0"/>
              <w:jc w:val="right"/>
              <w:rPr>
                <w:sz w:val="20"/>
                <w:szCs w:val="20"/>
              </w:rPr>
            </w:pPr>
            <w:r>
              <w:rPr>
                <w:sz w:val="20"/>
                <w:szCs w:val="20"/>
              </w:rPr>
              <w:t>1,63</w:t>
            </w:r>
            <w:r>
              <w:rPr>
                <w:sz w:val="20"/>
                <w:szCs w:val="20"/>
              </w:rPr>
              <w:t>2</w:t>
            </w:r>
          </w:p>
        </w:tc>
        <w:tc>
          <w:tcPr>
            <w:tcW w:w="0" w:type="auto"/>
            <w:noWrap/>
            <w:vAlign w:val="bottom"/>
            <w:hideMark/>
          </w:tcPr>
          <w:p w14:paraId="06E35FCC" w14:textId="77777777" w:rsidR="00000000" w:rsidRDefault="00832D71">
            <w:pPr>
              <w:pStyle w:val="a3"/>
              <w:spacing w:before="0" w:beforeAutospacing="0" w:after="0" w:afterAutospacing="0"/>
              <w:rPr>
                <w:sz w:val="20"/>
                <w:szCs w:val="20"/>
              </w:rPr>
            </w:pPr>
            <w:r>
              <w:rPr>
                <w:sz w:val="20"/>
                <w:szCs w:val="20"/>
              </w:rPr>
              <w:t> </w:t>
            </w:r>
          </w:p>
        </w:tc>
      </w:tr>
      <w:tr w:rsidR="00000000" w14:paraId="0594EA4F" w14:textId="77777777">
        <w:trPr>
          <w:divId w:val="1147477556"/>
          <w:trHeight w:val="200"/>
          <w:tblCellSpacing w:w="15" w:type="dxa"/>
        </w:trPr>
        <w:tc>
          <w:tcPr>
            <w:tcW w:w="0" w:type="auto"/>
            <w:vAlign w:val="bottom"/>
            <w:hideMark/>
          </w:tcPr>
          <w:p w14:paraId="0FB5F22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21791E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D44BBD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0E7AD3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2EC8C6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7D3A742" w14:textId="77777777" w:rsidR="00000000" w:rsidRDefault="00832D71">
            <w:pPr>
              <w:pStyle w:val="a3"/>
              <w:spacing w:before="0" w:beforeAutospacing="0" w:after="0" w:afterAutospacing="0"/>
              <w:jc w:val="right"/>
              <w:rPr>
                <w:sz w:val="20"/>
                <w:szCs w:val="20"/>
              </w:rPr>
            </w:pPr>
            <w:r>
              <w:rPr>
                <w:sz w:val="20"/>
                <w:szCs w:val="20"/>
              </w:rPr>
              <w:t>18,85</w:t>
            </w:r>
            <w:r>
              <w:rPr>
                <w:sz w:val="20"/>
                <w:szCs w:val="20"/>
              </w:rPr>
              <w:t>2</w:t>
            </w:r>
          </w:p>
        </w:tc>
        <w:tc>
          <w:tcPr>
            <w:tcW w:w="0" w:type="auto"/>
            <w:noWrap/>
            <w:vAlign w:val="bottom"/>
            <w:hideMark/>
          </w:tcPr>
          <w:p w14:paraId="6DC471B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44BFC3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2175F0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5A5B7A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1847F2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30DE490" w14:textId="77777777" w:rsidR="00000000" w:rsidRDefault="00832D71">
            <w:pPr>
              <w:pStyle w:val="a3"/>
              <w:spacing w:before="0" w:beforeAutospacing="0" w:after="0" w:afterAutospacing="0"/>
              <w:jc w:val="right"/>
              <w:rPr>
                <w:sz w:val="20"/>
                <w:szCs w:val="20"/>
              </w:rPr>
            </w:pPr>
            <w:r>
              <w:rPr>
                <w:sz w:val="20"/>
                <w:szCs w:val="20"/>
              </w:rPr>
              <w:t>10,34</w:t>
            </w:r>
            <w:r>
              <w:rPr>
                <w:sz w:val="20"/>
                <w:szCs w:val="20"/>
              </w:rPr>
              <w:t>7</w:t>
            </w:r>
          </w:p>
        </w:tc>
        <w:tc>
          <w:tcPr>
            <w:tcW w:w="0" w:type="auto"/>
            <w:noWrap/>
            <w:vAlign w:val="bottom"/>
            <w:hideMark/>
          </w:tcPr>
          <w:p w14:paraId="37063E68" w14:textId="77777777" w:rsidR="00000000" w:rsidRDefault="00832D71">
            <w:pPr>
              <w:pStyle w:val="a3"/>
              <w:spacing w:before="0" w:beforeAutospacing="0" w:after="0" w:afterAutospacing="0"/>
              <w:rPr>
                <w:sz w:val="20"/>
                <w:szCs w:val="20"/>
              </w:rPr>
            </w:pPr>
            <w:r>
              <w:rPr>
                <w:sz w:val="20"/>
                <w:szCs w:val="20"/>
              </w:rPr>
              <w:t> </w:t>
            </w:r>
          </w:p>
        </w:tc>
      </w:tr>
    </w:tbl>
    <w:p w14:paraId="3CED99F6" w14:textId="77777777" w:rsidR="00000000" w:rsidRDefault="00832D71">
      <w:pPr>
        <w:pStyle w:val="a3"/>
        <w:spacing w:before="0" w:beforeAutospacing="0" w:after="0" w:afterAutospacing="0"/>
        <w:divId w:val="1762481692"/>
        <w:rPr>
          <w:sz w:val="20"/>
          <w:szCs w:val="20"/>
        </w:rPr>
      </w:pPr>
      <w:r>
        <w:rPr>
          <w:sz w:val="20"/>
          <w:szCs w:val="20"/>
        </w:rPr>
        <w:t> </w:t>
      </w:r>
    </w:p>
    <w:p w14:paraId="0238543A" w14:textId="77777777" w:rsidR="00000000" w:rsidRDefault="00832D71">
      <w:pPr>
        <w:pStyle w:val="a3"/>
        <w:spacing w:before="200" w:beforeAutospacing="0" w:after="0" w:afterAutospacing="0"/>
        <w:jc w:val="center"/>
        <w:divId w:val="1762481692"/>
        <w:rPr>
          <w:sz w:val="20"/>
          <w:szCs w:val="20"/>
        </w:rPr>
      </w:pPr>
      <w:r>
        <w:rPr>
          <w:sz w:val="20"/>
          <w:szCs w:val="20"/>
        </w:rPr>
        <w:t>F</w:t>
      </w:r>
      <w:r>
        <w:rPr>
          <w:sz w:val="20"/>
          <w:szCs w:val="20"/>
        </w:rPr>
        <w:t>-</w:t>
      </w:r>
      <w:r>
        <w:rPr>
          <w:sz w:val="20"/>
          <w:szCs w:val="20"/>
        </w:rPr>
        <w:t>2</w:t>
      </w:r>
      <w:r>
        <w:rPr>
          <w:sz w:val="20"/>
          <w:szCs w:val="20"/>
        </w:rPr>
        <w:t>8</w:t>
      </w:r>
    </w:p>
    <w:p w14:paraId="4603F116" w14:textId="77777777" w:rsidR="00000000" w:rsidRDefault="00832D71">
      <w:pPr>
        <w:divId w:val="1762481692"/>
        <w:rPr>
          <w:rFonts w:eastAsia="Times New Roman"/>
          <w:sz w:val="20"/>
          <w:szCs w:val="20"/>
        </w:rPr>
      </w:pPr>
      <w:r>
        <w:rPr>
          <w:rFonts w:eastAsia="Times New Roman"/>
          <w:sz w:val="20"/>
          <w:szCs w:val="20"/>
        </w:rPr>
        <w:pict w14:anchorId="708A7C9A">
          <v:rect id="_x0000_i1147" style="width:0;height:1.5pt" o:hralign="center" o:hrstd="t" o:hr="t" fillcolor="#a0a0a0" stroked="f"/>
        </w:pict>
      </w:r>
    </w:p>
    <w:p w14:paraId="2044C5CB" w14:textId="77777777" w:rsidR="00000000" w:rsidRDefault="00832D71">
      <w:pPr>
        <w:pStyle w:val="a3"/>
        <w:spacing w:before="0" w:beforeAutospacing="0" w:after="0" w:afterAutospacing="0"/>
        <w:divId w:val="1762481692"/>
        <w:rPr>
          <w:sz w:val="20"/>
          <w:szCs w:val="20"/>
        </w:rPr>
      </w:pPr>
      <w:r>
        <w:rPr>
          <w:sz w:val="20"/>
          <w:szCs w:val="20"/>
        </w:rPr>
        <w:t> </w:t>
      </w:r>
    </w:p>
    <w:p w14:paraId="0964BD57" w14:textId="77777777" w:rsidR="00000000" w:rsidRDefault="00832D71">
      <w:pPr>
        <w:pStyle w:val="a3"/>
        <w:spacing w:before="40" w:beforeAutospacing="0" w:after="0" w:afterAutospacing="0"/>
        <w:jc w:val="both"/>
        <w:divId w:val="155192581"/>
        <w:rPr>
          <w:sz w:val="20"/>
          <w:szCs w:val="20"/>
        </w:rPr>
      </w:pPr>
      <w:r>
        <w:rPr>
          <w:sz w:val="20"/>
          <w:szCs w:val="20"/>
        </w:rPr>
        <w:t>The following summarizes the reconciliation of the beginning and ending balances of assets and liabilities measured at fair value on a recurring basis using significant unobservable inputs</w:t>
      </w:r>
      <w:r>
        <w:rPr>
          <w:sz w:val="20"/>
          <w:szCs w:val="20"/>
        </w:rPr>
        <w:t>:</w:t>
      </w:r>
    </w:p>
    <w:p w14:paraId="78C055BE" w14:textId="77777777" w:rsidR="00000000" w:rsidRDefault="00832D71">
      <w:pPr>
        <w:pStyle w:val="a3"/>
        <w:spacing w:before="0" w:beforeAutospacing="0" w:after="0" w:afterAutospacing="0"/>
        <w:divId w:val="155192581"/>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90"/>
        <w:gridCol w:w="110"/>
        <w:gridCol w:w="160"/>
        <w:gridCol w:w="589"/>
        <w:gridCol w:w="127"/>
        <w:gridCol w:w="110"/>
        <w:gridCol w:w="161"/>
        <w:gridCol w:w="648"/>
        <w:gridCol w:w="127"/>
        <w:gridCol w:w="110"/>
        <w:gridCol w:w="160"/>
        <w:gridCol w:w="530"/>
        <w:gridCol w:w="110"/>
        <w:gridCol w:w="110"/>
        <w:gridCol w:w="161"/>
        <w:gridCol w:w="647"/>
        <w:gridCol w:w="125"/>
      </w:tblGrid>
      <w:tr w:rsidR="00000000" w14:paraId="37BD9C22" w14:textId="77777777">
        <w:trPr>
          <w:divId w:val="155192581"/>
          <w:tblCellSpacing w:w="15" w:type="dxa"/>
        </w:trPr>
        <w:tc>
          <w:tcPr>
            <w:tcW w:w="2519" w:type="pct"/>
            <w:vAlign w:val="center"/>
            <w:hideMark/>
          </w:tcPr>
          <w:p w14:paraId="05A6617F" w14:textId="77777777" w:rsidR="00000000" w:rsidRDefault="00832D71">
            <w:pPr>
              <w:rPr>
                <w:sz w:val="20"/>
                <w:szCs w:val="20"/>
              </w:rPr>
            </w:pPr>
          </w:p>
        </w:tc>
        <w:tc>
          <w:tcPr>
            <w:tcW w:w="61" w:type="pct"/>
            <w:vAlign w:val="center"/>
            <w:hideMark/>
          </w:tcPr>
          <w:p w14:paraId="5AF70832" w14:textId="77777777" w:rsidR="00000000" w:rsidRDefault="00832D71">
            <w:pPr>
              <w:rPr>
                <w:rFonts w:eastAsia="Times New Roman"/>
                <w:sz w:val="20"/>
                <w:szCs w:val="20"/>
              </w:rPr>
            </w:pPr>
          </w:p>
        </w:tc>
        <w:tc>
          <w:tcPr>
            <w:tcW w:w="50" w:type="pct"/>
            <w:vAlign w:val="center"/>
            <w:hideMark/>
          </w:tcPr>
          <w:p w14:paraId="520255CE" w14:textId="77777777" w:rsidR="00000000" w:rsidRDefault="00832D71">
            <w:pPr>
              <w:rPr>
                <w:rFonts w:eastAsia="Times New Roman"/>
                <w:sz w:val="20"/>
                <w:szCs w:val="20"/>
              </w:rPr>
            </w:pPr>
          </w:p>
        </w:tc>
        <w:tc>
          <w:tcPr>
            <w:tcW w:w="463" w:type="pct"/>
            <w:vAlign w:val="center"/>
            <w:hideMark/>
          </w:tcPr>
          <w:p w14:paraId="3EA2B267" w14:textId="77777777" w:rsidR="00000000" w:rsidRDefault="00832D71">
            <w:pPr>
              <w:rPr>
                <w:rFonts w:eastAsia="Times New Roman"/>
                <w:sz w:val="20"/>
                <w:szCs w:val="20"/>
              </w:rPr>
            </w:pPr>
          </w:p>
        </w:tc>
        <w:tc>
          <w:tcPr>
            <w:tcW w:w="50" w:type="pct"/>
            <w:vAlign w:val="center"/>
            <w:hideMark/>
          </w:tcPr>
          <w:p w14:paraId="02A2E8D9" w14:textId="77777777" w:rsidR="00000000" w:rsidRDefault="00832D71">
            <w:pPr>
              <w:rPr>
                <w:rFonts w:eastAsia="Times New Roman"/>
                <w:sz w:val="20"/>
                <w:szCs w:val="20"/>
              </w:rPr>
            </w:pPr>
          </w:p>
        </w:tc>
        <w:tc>
          <w:tcPr>
            <w:tcW w:w="61" w:type="pct"/>
            <w:vAlign w:val="center"/>
            <w:hideMark/>
          </w:tcPr>
          <w:p w14:paraId="3ECB6EA0" w14:textId="77777777" w:rsidR="00000000" w:rsidRDefault="00832D71">
            <w:pPr>
              <w:rPr>
                <w:rFonts w:eastAsia="Times New Roman"/>
                <w:sz w:val="20"/>
                <w:szCs w:val="20"/>
              </w:rPr>
            </w:pPr>
          </w:p>
        </w:tc>
        <w:tc>
          <w:tcPr>
            <w:tcW w:w="50" w:type="pct"/>
            <w:vAlign w:val="center"/>
            <w:hideMark/>
          </w:tcPr>
          <w:p w14:paraId="1D5FC6E6" w14:textId="77777777" w:rsidR="00000000" w:rsidRDefault="00832D71">
            <w:pPr>
              <w:rPr>
                <w:rFonts w:eastAsia="Times New Roman"/>
                <w:sz w:val="20"/>
                <w:szCs w:val="20"/>
              </w:rPr>
            </w:pPr>
          </w:p>
        </w:tc>
        <w:tc>
          <w:tcPr>
            <w:tcW w:w="463" w:type="pct"/>
            <w:vAlign w:val="center"/>
            <w:hideMark/>
          </w:tcPr>
          <w:p w14:paraId="7E5E16B4" w14:textId="77777777" w:rsidR="00000000" w:rsidRDefault="00832D71">
            <w:pPr>
              <w:rPr>
                <w:rFonts w:eastAsia="Times New Roman"/>
                <w:sz w:val="20"/>
                <w:szCs w:val="20"/>
              </w:rPr>
            </w:pPr>
          </w:p>
        </w:tc>
        <w:tc>
          <w:tcPr>
            <w:tcW w:w="50" w:type="pct"/>
            <w:vAlign w:val="center"/>
            <w:hideMark/>
          </w:tcPr>
          <w:p w14:paraId="7A99FD95" w14:textId="77777777" w:rsidR="00000000" w:rsidRDefault="00832D71">
            <w:pPr>
              <w:rPr>
                <w:rFonts w:eastAsia="Times New Roman"/>
                <w:sz w:val="20"/>
                <w:szCs w:val="20"/>
              </w:rPr>
            </w:pPr>
          </w:p>
        </w:tc>
        <w:tc>
          <w:tcPr>
            <w:tcW w:w="61" w:type="pct"/>
            <w:vAlign w:val="center"/>
            <w:hideMark/>
          </w:tcPr>
          <w:p w14:paraId="00A249A0" w14:textId="77777777" w:rsidR="00000000" w:rsidRDefault="00832D71">
            <w:pPr>
              <w:rPr>
                <w:rFonts w:eastAsia="Times New Roman"/>
                <w:sz w:val="20"/>
                <w:szCs w:val="20"/>
              </w:rPr>
            </w:pPr>
          </w:p>
        </w:tc>
        <w:tc>
          <w:tcPr>
            <w:tcW w:w="50" w:type="pct"/>
            <w:vAlign w:val="center"/>
            <w:hideMark/>
          </w:tcPr>
          <w:p w14:paraId="6CEF226A" w14:textId="77777777" w:rsidR="00000000" w:rsidRDefault="00832D71">
            <w:pPr>
              <w:rPr>
                <w:rFonts w:eastAsia="Times New Roman"/>
                <w:sz w:val="20"/>
                <w:szCs w:val="20"/>
              </w:rPr>
            </w:pPr>
          </w:p>
        </w:tc>
        <w:tc>
          <w:tcPr>
            <w:tcW w:w="449" w:type="pct"/>
            <w:vAlign w:val="center"/>
            <w:hideMark/>
          </w:tcPr>
          <w:p w14:paraId="2D082B8E" w14:textId="77777777" w:rsidR="00000000" w:rsidRDefault="00832D71">
            <w:pPr>
              <w:rPr>
                <w:rFonts w:eastAsia="Times New Roman"/>
                <w:sz w:val="20"/>
                <w:szCs w:val="20"/>
              </w:rPr>
            </w:pPr>
          </w:p>
        </w:tc>
        <w:tc>
          <w:tcPr>
            <w:tcW w:w="50" w:type="pct"/>
            <w:vAlign w:val="center"/>
            <w:hideMark/>
          </w:tcPr>
          <w:p w14:paraId="2D7BACF2" w14:textId="77777777" w:rsidR="00000000" w:rsidRDefault="00832D71">
            <w:pPr>
              <w:rPr>
                <w:rFonts w:eastAsia="Times New Roman"/>
                <w:sz w:val="20"/>
                <w:szCs w:val="20"/>
              </w:rPr>
            </w:pPr>
          </w:p>
        </w:tc>
        <w:tc>
          <w:tcPr>
            <w:tcW w:w="61" w:type="pct"/>
            <w:vAlign w:val="center"/>
            <w:hideMark/>
          </w:tcPr>
          <w:p w14:paraId="7CA688E4" w14:textId="77777777" w:rsidR="00000000" w:rsidRDefault="00832D71">
            <w:pPr>
              <w:rPr>
                <w:rFonts w:eastAsia="Times New Roman"/>
                <w:sz w:val="20"/>
                <w:szCs w:val="20"/>
              </w:rPr>
            </w:pPr>
          </w:p>
        </w:tc>
        <w:tc>
          <w:tcPr>
            <w:tcW w:w="50" w:type="pct"/>
            <w:vAlign w:val="center"/>
            <w:hideMark/>
          </w:tcPr>
          <w:p w14:paraId="1BDE8FE3" w14:textId="77777777" w:rsidR="00000000" w:rsidRDefault="00832D71">
            <w:pPr>
              <w:rPr>
                <w:rFonts w:eastAsia="Times New Roman"/>
                <w:sz w:val="20"/>
                <w:szCs w:val="20"/>
              </w:rPr>
            </w:pPr>
          </w:p>
        </w:tc>
        <w:tc>
          <w:tcPr>
            <w:tcW w:w="458" w:type="pct"/>
            <w:vAlign w:val="center"/>
            <w:hideMark/>
          </w:tcPr>
          <w:p w14:paraId="4442B116" w14:textId="77777777" w:rsidR="00000000" w:rsidRDefault="00832D71">
            <w:pPr>
              <w:rPr>
                <w:rFonts w:eastAsia="Times New Roman"/>
                <w:sz w:val="20"/>
                <w:szCs w:val="20"/>
              </w:rPr>
            </w:pPr>
          </w:p>
        </w:tc>
        <w:tc>
          <w:tcPr>
            <w:tcW w:w="50" w:type="pct"/>
            <w:vAlign w:val="center"/>
            <w:hideMark/>
          </w:tcPr>
          <w:p w14:paraId="4D90669E" w14:textId="77777777" w:rsidR="00000000" w:rsidRDefault="00832D71">
            <w:pPr>
              <w:rPr>
                <w:rFonts w:eastAsia="Times New Roman"/>
                <w:sz w:val="20"/>
                <w:szCs w:val="20"/>
              </w:rPr>
            </w:pPr>
          </w:p>
        </w:tc>
      </w:tr>
      <w:tr w:rsidR="00000000" w14:paraId="24D5DD0B" w14:textId="77777777">
        <w:trPr>
          <w:divId w:val="155192581"/>
          <w:trHeight w:val="160"/>
          <w:tblCellSpacing w:w="15" w:type="dxa"/>
        </w:trPr>
        <w:tc>
          <w:tcPr>
            <w:tcW w:w="0" w:type="auto"/>
            <w:vAlign w:val="bottom"/>
            <w:hideMark/>
          </w:tcPr>
          <w:p w14:paraId="001B8AF0"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BADD0B6" w14:textId="77777777" w:rsidR="00000000" w:rsidRDefault="00832D71">
            <w:pPr>
              <w:pStyle w:val="a3"/>
              <w:spacing w:before="0" w:beforeAutospacing="0" w:after="0" w:afterAutospacing="0"/>
              <w:rPr>
                <w:sz w:val="16"/>
                <w:szCs w:val="16"/>
              </w:rPr>
            </w:pPr>
            <w:r>
              <w:rPr>
                <w:sz w:val="16"/>
                <w:szCs w:val="16"/>
              </w:rPr>
              <w:t> </w:t>
            </w:r>
          </w:p>
        </w:tc>
        <w:tc>
          <w:tcPr>
            <w:tcW w:w="0" w:type="auto"/>
            <w:gridSpan w:val="14"/>
            <w:vAlign w:val="bottom"/>
            <w:hideMark/>
          </w:tcPr>
          <w:p w14:paraId="162CA073" w14:textId="77777777" w:rsidR="00000000" w:rsidRDefault="00832D71">
            <w:pPr>
              <w:pStyle w:val="a3"/>
              <w:spacing w:before="0" w:beforeAutospacing="0" w:after="0" w:afterAutospacing="0"/>
              <w:jc w:val="center"/>
              <w:rPr>
                <w:sz w:val="16"/>
                <w:szCs w:val="16"/>
              </w:rPr>
            </w:pPr>
            <w:r>
              <w:rPr>
                <w:b/>
                <w:bCs/>
                <w:sz w:val="16"/>
                <w:szCs w:val="16"/>
              </w:rPr>
              <w:t xml:space="preserve">Fair Value Measurement Using Significant </w:t>
            </w:r>
            <w:r>
              <w:rPr>
                <w:b/>
                <w:bCs/>
                <w:sz w:val="16"/>
                <w:szCs w:val="16"/>
              </w:rPr>
              <w:br/>
              <w:t>Unobservable Inputs (Level 3</w:t>
            </w:r>
            <w:r>
              <w:rPr>
                <w:b/>
                <w:bCs/>
                <w:sz w:val="16"/>
                <w:szCs w:val="16"/>
              </w:rPr>
              <w:t>)</w:t>
            </w:r>
          </w:p>
        </w:tc>
        <w:tc>
          <w:tcPr>
            <w:tcW w:w="0" w:type="auto"/>
            <w:vAlign w:val="bottom"/>
            <w:hideMark/>
          </w:tcPr>
          <w:p w14:paraId="491424D5"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56208BD" w14:textId="77777777">
        <w:trPr>
          <w:divId w:val="155192581"/>
          <w:trHeight w:val="160"/>
          <w:tblCellSpacing w:w="15" w:type="dxa"/>
        </w:trPr>
        <w:tc>
          <w:tcPr>
            <w:tcW w:w="0" w:type="auto"/>
            <w:vAlign w:val="bottom"/>
            <w:hideMark/>
          </w:tcPr>
          <w:p w14:paraId="3B8DA46C"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3E98A44" w14:textId="77777777" w:rsidR="00000000" w:rsidRDefault="00832D71">
            <w:pPr>
              <w:pStyle w:val="a3"/>
              <w:spacing w:before="0" w:beforeAutospacing="0" w:after="0" w:afterAutospacing="0"/>
              <w:rPr>
                <w:sz w:val="16"/>
                <w:szCs w:val="16"/>
              </w:rPr>
            </w:pPr>
            <w:r>
              <w:rPr>
                <w:sz w:val="16"/>
                <w:szCs w:val="16"/>
              </w:rPr>
              <w:t> </w:t>
            </w:r>
          </w:p>
        </w:tc>
        <w:tc>
          <w:tcPr>
            <w:tcW w:w="0" w:type="auto"/>
            <w:gridSpan w:val="6"/>
            <w:vAlign w:val="bottom"/>
            <w:hideMark/>
          </w:tcPr>
          <w:p w14:paraId="716A3408" w14:textId="77777777" w:rsidR="00000000" w:rsidRDefault="00832D71">
            <w:pPr>
              <w:pStyle w:val="a3"/>
              <w:spacing w:before="0" w:beforeAutospacing="0" w:after="0" w:afterAutospacing="0"/>
              <w:jc w:val="center"/>
              <w:rPr>
                <w:sz w:val="16"/>
                <w:szCs w:val="16"/>
              </w:rPr>
            </w:pPr>
            <w:r>
              <w:rPr>
                <w:b/>
                <w:bCs/>
                <w:sz w:val="16"/>
                <w:szCs w:val="16"/>
              </w:rPr>
              <w:t>Fiscal 202</w:t>
            </w:r>
            <w:r>
              <w:rPr>
                <w:b/>
                <w:bCs/>
                <w:sz w:val="16"/>
                <w:szCs w:val="16"/>
              </w:rPr>
              <w:t>2</w:t>
            </w:r>
          </w:p>
        </w:tc>
        <w:tc>
          <w:tcPr>
            <w:tcW w:w="0" w:type="auto"/>
            <w:vAlign w:val="bottom"/>
            <w:hideMark/>
          </w:tcPr>
          <w:p w14:paraId="125B153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B4A823A" w14:textId="77777777" w:rsidR="00000000" w:rsidRDefault="00832D71">
            <w:pPr>
              <w:pStyle w:val="a3"/>
              <w:spacing w:before="0" w:beforeAutospacing="0" w:after="0" w:afterAutospacing="0"/>
              <w:rPr>
                <w:sz w:val="16"/>
                <w:szCs w:val="16"/>
              </w:rPr>
            </w:pPr>
            <w:r>
              <w:rPr>
                <w:sz w:val="16"/>
                <w:szCs w:val="16"/>
              </w:rPr>
              <w:t> </w:t>
            </w:r>
          </w:p>
        </w:tc>
        <w:tc>
          <w:tcPr>
            <w:tcW w:w="0" w:type="auto"/>
            <w:gridSpan w:val="6"/>
            <w:vAlign w:val="bottom"/>
            <w:hideMark/>
          </w:tcPr>
          <w:p w14:paraId="0472C656" w14:textId="77777777" w:rsidR="00000000" w:rsidRDefault="00832D71">
            <w:pPr>
              <w:pStyle w:val="a3"/>
              <w:spacing w:before="0" w:beforeAutospacing="0" w:after="0" w:afterAutospacing="0"/>
              <w:jc w:val="center"/>
              <w:rPr>
                <w:sz w:val="16"/>
                <w:szCs w:val="16"/>
              </w:rPr>
            </w:pPr>
            <w:r>
              <w:rPr>
                <w:b/>
                <w:bCs/>
                <w:sz w:val="16"/>
                <w:szCs w:val="16"/>
              </w:rPr>
              <w:t>Fiscal 202</w:t>
            </w:r>
            <w:r>
              <w:rPr>
                <w:b/>
                <w:bCs/>
                <w:sz w:val="16"/>
                <w:szCs w:val="16"/>
              </w:rPr>
              <w:t>1</w:t>
            </w:r>
          </w:p>
        </w:tc>
        <w:tc>
          <w:tcPr>
            <w:tcW w:w="0" w:type="auto"/>
            <w:vAlign w:val="bottom"/>
            <w:hideMark/>
          </w:tcPr>
          <w:p w14:paraId="422F8DDC"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8D85B61" w14:textId="77777777">
        <w:trPr>
          <w:divId w:val="155192581"/>
          <w:trHeight w:val="160"/>
          <w:tblCellSpacing w:w="15" w:type="dxa"/>
        </w:trPr>
        <w:tc>
          <w:tcPr>
            <w:tcW w:w="0" w:type="auto"/>
            <w:vAlign w:val="bottom"/>
            <w:hideMark/>
          </w:tcPr>
          <w:p w14:paraId="0CF61002"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6D0CBE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32C53F0" w14:textId="77777777" w:rsidR="00000000" w:rsidRDefault="00832D71">
            <w:pPr>
              <w:pStyle w:val="a3"/>
              <w:spacing w:before="0" w:beforeAutospacing="0" w:after="0" w:afterAutospacing="0"/>
              <w:jc w:val="center"/>
              <w:rPr>
                <w:sz w:val="16"/>
                <w:szCs w:val="16"/>
              </w:rPr>
            </w:pPr>
            <w:r>
              <w:rPr>
                <w:b/>
                <w:bCs/>
                <w:sz w:val="16"/>
                <w:szCs w:val="16"/>
              </w:rPr>
              <w:t>Asset</w:t>
            </w:r>
            <w:r>
              <w:rPr>
                <w:b/>
                <w:bCs/>
                <w:sz w:val="16"/>
                <w:szCs w:val="16"/>
              </w:rPr>
              <w:t>s</w:t>
            </w:r>
          </w:p>
        </w:tc>
        <w:tc>
          <w:tcPr>
            <w:tcW w:w="0" w:type="auto"/>
            <w:vAlign w:val="bottom"/>
            <w:hideMark/>
          </w:tcPr>
          <w:p w14:paraId="769CD5EE"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79C8110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B434132" w14:textId="77777777" w:rsidR="00000000" w:rsidRDefault="00832D71">
            <w:pPr>
              <w:pStyle w:val="a3"/>
              <w:spacing w:before="0" w:beforeAutospacing="0" w:after="0" w:afterAutospacing="0"/>
              <w:jc w:val="center"/>
              <w:rPr>
                <w:sz w:val="16"/>
                <w:szCs w:val="16"/>
              </w:rPr>
            </w:pPr>
            <w:r>
              <w:rPr>
                <w:b/>
                <w:bCs/>
                <w:sz w:val="16"/>
                <w:szCs w:val="16"/>
              </w:rPr>
              <w:t>Liabilitie</w:t>
            </w:r>
            <w:r>
              <w:rPr>
                <w:b/>
                <w:bCs/>
                <w:sz w:val="16"/>
                <w:szCs w:val="16"/>
              </w:rPr>
              <w:t>s</w:t>
            </w:r>
          </w:p>
        </w:tc>
        <w:tc>
          <w:tcPr>
            <w:tcW w:w="0" w:type="auto"/>
            <w:vAlign w:val="bottom"/>
            <w:hideMark/>
          </w:tcPr>
          <w:p w14:paraId="2E28DF6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71101E47"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2668727" w14:textId="77777777" w:rsidR="00000000" w:rsidRDefault="00832D71">
            <w:pPr>
              <w:pStyle w:val="a3"/>
              <w:spacing w:before="0" w:beforeAutospacing="0" w:after="0" w:afterAutospacing="0"/>
              <w:jc w:val="center"/>
              <w:rPr>
                <w:sz w:val="16"/>
                <w:szCs w:val="16"/>
              </w:rPr>
            </w:pPr>
            <w:r>
              <w:rPr>
                <w:b/>
                <w:bCs/>
                <w:sz w:val="16"/>
                <w:szCs w:val="16"/>
              </w:rPr>
              <w:t>Asset</w:t>
            </w:r>
            <w:r>
              <w:rPr>
                <w:b/>
                <w:bCs/>
                <w:sz w:val="16"/>
                <w:szCs w:val="16"/>
              </w:rPr>
              <w:t>s</w:t>
            </w:r>
          </w:p>
        </w:tc>
        <w:tc>
          <w:tcPr>
            <w:tcW w:w="0" w:type="auto"/>
            <w:vAlign w:val="bottom"/>
            <w:hideMark/>
          </w:tcPr>
          <w:p w14:paraId="025B924D"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E08511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01CA7C4" w14:textId="77777777" w:rsidR="00000000" w:rsidRDefault="00832D71">
            <w:pPr>
              <w:pStyle w:val="a3"/>
              <w:spacing w:before="0" w:beforeAutospacing="0" w:after="0" w:afterAutospacing="0"/>
              <w:jc w:val="center"/>
              <w:rPr>
                <w:sz w:val="16"/>
                <w:szCs w:val="16"/>
              </w:rPr>
            </w:pPr>
            <w:r>
              <w:rPr>
                <w:b/>
                <w:bCs/>
                <w:sz w:val="16"/>
                <w:szCs w:val="16"/>
              </w:rPr>
              <w:t>Liabilitie</w:t>
            </w:r>
            <w:r>
              <w:rPr>
                <w:b/>
                <w:bCs/>
                <w:sz w:val="16"/>
                <w:szCs w:val="16"/>
              </w:rPr>
              <w:t>s</w:t>
            </w:r>
          </w:p>
        </w:tc>
        <w:tc>
          <w:tcPr>
            <w:tcW w:w="0" w:type="auto"/>
            <w:vAlign w:val="bottom"/>
            <w:hideMark/>
          </w:tcPr>
          <w:p w14:paraId="165D0011"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F5C6BA8" w14:textId="77777777">
        <w:trPr>
          <w:divId w:val="155192581"/>
          <w:trHeight w:val="200"/>
          <w:tblCellSpacing w:w="15" w:type="dxa"/>
        </w:trPr>
        <w:tc>
          <w:tcPr>
            <w:tcW w:w="0" w:type="auto"/>
            <w:hideMark/>
          </w:tcPr>
          <w:p w14:paraId="6F364B7D" w14:textId="77777777" w:rsidR="00000000" w:rsidRDefault="00832D71">
            <w:pPr>
              <w:pStyle w:val="a3"/>
              <w:spacing w:before="0" w:beforeAutospacing="0" w:after="0" w:afterAutospacing="0"/>
              <w:rPr>
                <w:sz w:val="20"/>
                <w:szCs w:val="20"/>
              </w:rPr>
            </w:pPr>
            <w:r>
              <w:rPr>
                <w:sz w:val="20"/>
                <w:szCs w:val="20"/>
              </w:rPr>
              <w:t>Beginning balance of over-the-counter option</w:t>
            </w:r>
            <w:r>
              <w:rPr>
                <w:sz w:val="20"/>
                <w:szCs w:val="20"/>
              </w:rPr>
              <w:t>s</w:t>
            </w:r>
          </w:p>
        </w:tc>
        <w:tc>
          <w:tcPr>
            <w:tcW w:w="0" w:type="auto"/>
            <w:hideMark/>
          </w:tcPr>
          <w:p w14:paraId="10FADD8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311DCF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F569D6F" w14:textId="77777777" w:rsidR="00000000" w:rsidRDefault="00832D71">
            <w:pPr>
              <w:pStyle w:val="a3"/>
              <w:spacing w:before="0" w:beforeAutospacing="0" w:after="0" w:afterAutospacing="0"/>
              <w:jc w:val="right"/>
              <w:rPr>
                <w:sz w:val="20"/>
                <w:szCs w:val="20"/>
              </w:rPr>
            </w:pPr>
            <w:r>
              <w:rPr>
                <w:sz w:val="20"/>
                <w:szCs w:val="20"/>
              </w:rPr>
              <w:t>4,62</w:t>
            </w:r>
            <w:r>
              <w:rPr>
                <w:sz w:val="20"/>
                <w:szCs w:val="20"/>
              </w:rPr>
              <w:t>6</w:t>
            </w:r>
          </w:p>
        </w:tc>
        <w:tc>
          <w:tcPr>
            <w:tcW w:w="0" w:type="auto"/>
            <w:noWrap/>
            <w:vAlign w:val="bottom"/>
            <w:hideMark/>
          </w:tcPr>
          <w:p w14:paraId="18E2A3E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9B60FE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88D2C5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AEA14FE" w14:textId="77777777" w:rsidR="00000000" w:rsidRDefault="00832D71">
            <w:pPr>
              <w:pStyle w:val="a3"/>
              <w:spacing w:before="0" w:beforeAutospacing="0" w:after="0" w:afterAutospacing="0"/>
              <w:jc w:val="right"/>
              <w:rPr>
                <w:sz w:val="20"/>
                <w:szCs w:val="20"/>
              </w:rPr>
            </w:pPr>
            <w:r>
              <w:rPr>
                <w:sz w:val="20"/>
                <w:szCs w:val="20"/>
              </w:rPr>
              <w:t>45</w:t>
            </w:r>
            <w:r>
              <w:rPr>
                <w:sz w:val="20"/>
                <w:szCs w:val="20"/>
              </w:rPr>
              <w:t>1</w:t>
            </w:r>
          </w:p>
        </w:tc>
        <w:tc>
          <w:tcPr>
            <w:tcW w:w="0" w:type="auto"/>
            <w:noWrap/>
            <w:vAlign w:val="bottom"/>
            <w:hideMark/>
          </w:tcPr>
          <w:p w14:paraId="5134078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41182C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ED424F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B9A71BD"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1F0A5C5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B85590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5B5898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06A0989"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EFCB29A" w14:textId="77777777" w:rsidR="00000000" w:rsidRDefault="00832D71">
            <w:pPr>
              <w:pStyle w:val="a3"/>
              <w:spacing w:before="0" w:beforeAutospacing="0" w:after="0" w:afterAutospacing="0"/>
              <w:rPr>
                <w:sz w:val="20"/>
                <w:szCs w:val="20"/>
              </w:rPr>
            </w:pPr>
            <w:r>
              <w:rPr>
                <w:sz w:val="20"/>
                <w:szCs w:val="20"/>
              </w:rPr>
              <w:t> </w:t>
            </w:r>
          </w:p>
        </w:tc>
      </w:tr>
      <w:tr w:rsidR="00000000" w14:paraId="7330B7C7" w14:textId="77777777">
        <w:trPr>
          <w:divId w:val="155192581"/>
          <w:trHeight w:val="200"/>
          <w:tblCellSpacing w:w="15" w:type="dxa"/>
        </w:trPr>
        <w:tc>
          <w:tcPr>
            <w:tcW w:w="0" w:type="auto"/>
            <w:hideMark/>
          </w:tcPr>
          <w:p w14:paraId="679AB7DD" w14:textId="77777777" w:rsidR="00000000" w:rsidRDefault="00832D71">
            <w:pPr>
              <w:pStyle w:val="a3"/>
              <w:spacing w:before="0" w:beforeAutospacing="0" w:after="0" w:afterAutospacing="0"/>
              <w:ind w:left="200"/>
              <w:rPr>
                <w:sz w:val="20"/>
                <w:szCs w:val="20"/>
              </w:rPr>
            </w:pPr>
            <w:r>
              <w:rPr>
                <w:sz w:val="20"/>
                <w:szCs w:val="20"/>
              </w:rPr>
              <w:t>Beginning balance realized during the perio</w:t>
            </w:r>
            <w:r>
              <w:rPr>
                <w:sz w:val="20"/>
                <w:szCs w:val="20"/>
              </w:rPr>
              <w:t>d</w:t>
            </w:r>
          </w:p>
        </w:tc>
        <w:tc>
          <w:tcPr>
            <w:tcW w:w="0" w:type="auto"/>
            <w:hideMark/>
          </w:tcPr>
          <w:p w14:paraId="358C7D1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9A7B31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18E9475" w14:textId="77777777" w:rsidR="00000000" w:rsidRDefault="00832D71">
            <w:pPr>
              <w:pStyle w:val="a3"/>
              <w:spacing w:before="0" w:beforeAutospacing="0" w:after="0" w:afterAutospacing="0"/>
              <w:jc w:val="right"/>
              <w:rPr>
                <w:sz w:val="20"/>
                <w:szCs w:val="20"/>
              </w:rPr>
            </w:pPr>
            <w:r>
              <w:rPr>
                <w:sz w:val="20"/>
                <w:szCs w:val="20"/>
              </w:rPr>
              <w:t>(</w:t>
            </w:r>
            <w:r>
              <w:rPr>
                <w:sz w:val="20"/>
                <w:szCs w:val="20"/>
              </w:rPr>
              <w:t>4,62</w:t>
            </w:r>
            <w:r>
              <w:rPr>
                <w:sz w:val="20"/>
                <w:szCs w:val="20"/>
              </w:rPr>
              <w:t>6</w:t>
            </w:r>
          </w:p>
        </w:tc>
        <w:tc>
          <w:tcPr>
            <w:tcW w:w="0" w:type="auto"/>
            <w:noWrap/>
            <w:vAlign w:val="bottom"/>
            <w:hideMark/>
          </w:tcPr>
          <w:p w14:paraId="35E22632"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FE00FE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1CECC3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57C1AEA" w14:textId="77777777" w:rsidR="00000000" w:rsidRDefault="00832D71">
            <w:pPr>
              <w:pStyle w:val="a3"/>
              <w:spacing w:before="0" w:beforeAutospacing="0" w:after="0" w:afterAutospacing="0"/>
              <w:jc w:val="right"/>
              <w:rPr>
                <w:sz w:val="20"/>
                <w:szCs w:val="20"/>
              </w:rPr>
            </w:pPr>
            <w:r>
              <w:rPr>
                <w:sz w:val="20"/>
                <w:szCs w:val="20"/>
              </w:rPr>
              <w:t>(</w:t>
            </w:r>
            <w:r>
              <w:rPr>
                <w:sz w:val="20"/>
                <w:szCs w:val="20"/>
              </w:rPr>
              <w:t>21</w:t>
            </w:r>
            <w:r>
              <w:rPr>
                <w:sz w:val="20"/>
                <w:szCs w:val="20"/>
              </w:rPr>
              <w:t>9</w:t>
            </w:r>
          </w:p>
        </w:tc>
        <w:tc>
          <w:tcPr>
            <w:tcW w:w="0" w:type="auto"/>
            <w:noWrap/>
            <w:vAlign w:val="bottom"/>
            <w:hideMark/>
          </w:tcPr>
          <w:p w14:paraId="452155CE"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AE58EA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39EC68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D3320C7"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6D7D562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C5FB4B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EA3DAE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F124382"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2AB4BFD9" w14:textId="77777777" w:rsidR="00000000" w:rsidRDefault="00832D71">
            <w:pPr>
              <w:pStyle w:val="a3"/>
              <w:spacing w:before="0" w:beforeAutospacing="0" w:after="0" w:afterAutospacing="0"/>
              <w:rPr>
                <w:sz w:val="20"/>
                <w:szCs w:val="20"/>
              </w:rPr>
            </w:pPr>
            <w:r>
              <w:rPr>
                <w:sz w:val="20"/>
                <w:szCs w:val="20"/>
              </w:rPr>
              <w:t> </w:t>
            </w:r>
          </w:p>
        </w:tc>
      </w:tr>
      <w:tr w:rsidR="00000000" w14:paraId="718E4029" w14:textId="77777777">
        <w:trPr>
          <w:divId w:val="155192581"/>
          <w:trHeight w:val="200"/>
          <w:tblCellSpacing w:w="15" w:type="dxa"/>
        </w:trPr>
        <w:tc>
          <w:tcPr>
            <w:tcW w:w="0" w:type="auto"/>
            <w:hideMark/>
          </w:tcPr>
          <w:p w14:paraId="2F07463B" w14:textId="77777777" w:rsidR="00000000" w:rsidRDefault="00832D71">
            <w:pPr>
              <w:pStyle w:val="a3"/>
              <w:spacing w:before="0" w:beforeAutospacing="0" w:after="0" w:afterAutospacing="0"/>
              <w:ind w:left="200"/>
              <w:rPr>
                <w:sz w:val="20"/>
                <w:szCs w:val="20"/>
              </w:rPr>
            </w:pPr>
            <w:r>
              <w:rPr>
                <w:sz w:val="20"/>
                <w:szCs w:val="20"/>
              </w:rPr>
              <w:t>Contracts purchased during the perio</w:t>
            </w:r>
            <w:r>
              <w:rPr>
                <w:sz w:val="20"/>
                <w:szCs w:val="20"/>
              </w:rPr>
              <w:t>d</w:t>
            </w:r>
          </w:p>
        </w:tc>
        <w:tc>
          <w:tcPr>
            <w:tcW w:w="0" w:type="auto"/>
            <w:hideMark/>
          </w:tcPr>
          <w:p w14:paraId="451DFF8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ADFC8F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62C6731" w14:textId="77777777" w:rsidR="00000000" w:rsidRDefault="00832D71">
            <w:pPr>
              <w:pStyle w:val="a3"/>
              <w:spacing w:before="0" w:beforeAutospacing="0" w:after="0" w:afterAutospacing="0"/>
              <w:jc w:val="right"/>
              <w:rPr>
                <w:sz w:val="20"/>
                <w:szCs w:val="20"/>
              </w:rPr>
            </w:pPr>
            <w:r>
              <w:rPr>
                <w:sz w:val="20"/>
                <w:szCs w:val="20"/>
              </w:rPr>
              <w:t>22</w:t>
            </w:r>
            <w:r>
              <w:rPr>
                <w:sz w:val="20"/>
                <w:szCs w:val="20"/>
              </w:rPr>
              <w:t>2</w:t>
            </w:r>
          </w:p>
        </w:tc>
        <w:tc>
          <w:tcPr>
            <w:tcW w:w="0" w:type="auto"/>
            <w:noWrap/>
            <w:vAlign w:val="bottom"/>
            <w:hideMark/>
          </w:tcPr>
          <w:p w14:paraId="507FB1F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DDC4C6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76B807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22CB498" w14:textId="77777777" w:rsidR="00000000" w:rsidRDefault="00832D71">
            <w:pPr>
              <w:pStyle w:val="a3"/>
              <w:spacing w:before="0" w:beforeAutospacing="0" w:after="0" w:afterAutospacing="0"/>
              <w:jc w:val="right"/>
              <w:rPr>
                <w:sz w:val="20"/>
                <w:szCs w:val="20"/>
              </w:rPr>
            </w:pPr>
            <w:r>
              <w:rPr>
                <w:sz w:val="20"/>
                <w:szCs w:val="20"/>
              </w:rPr>
              <w:t>3,29</w:t>
            </w:r>
            <w:r>
              <w:rPr>
                <w:sz w:val="20"/>
                <w:szCs w:val="20"/>
              </w:rPr>
              <w:t>5</w:t>
            </w:r>
          </w:p>
        </w:tc>
        <w:tc>
          <w:tcPr>
            <w:tcW w:w="0" w:type="auto"/>
            <w:noWrap/>
            <w:vAlign w:val="bottom"/>
            <w:hideMark/>
          </w:tcPr>
          <w:p w14:paraId="5818F0C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FD8E52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EDC804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C3225F1" w14:textId="77777777" w:rsidR="00000000" w:rsidRDefault="00832D71">
            <w:pPr>
              <w:pStyle w:val="a3"/>
              <w:spacing w:before="0" w:beforeAutospacing="0" w:after="0" w:afterAutospacing="0"/>
              <w:jc w:val="right"/>
              <w:rPr>
                <w:sz w:val="20"/>
                <w:szCs w:val="20"/>
              </w:rPr>
            </w:pPr>
            <w:r>
              <w:rPr>
                <w:sz w:val="20"/>
                <w:szCs w:val="20"/>
              </w:rPr>
              <w:t>4,62</w:t>
            </w:r>
            <w:r>
              <w:rPr>
                <w:sz w:val="20"/>
                <w:szCs w:val="20"/>
              </w:rPr>
              <w:t>6</w:t>
            </w:r>
          </w:p>
        </w:tc>
        <w:tc>
          <w:tcPr>
            <w:tcW w:w="0" w:type="auto"/>
            <w:noWrap/>
            <w:vAlign w:val="bottom"/>
            <w:hideMark/>
          </w:tcPr>
          <w:p w14:paraId="2AE67BF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72DD43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4344CD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5752A7A" w14:textId="77777777" w:rsidR="00000000" w:rsidRDefault="00832D71">
            <w:pPr>
              <w:pStyle w:val="a3"/>
              <w:spacing w:before="0" w:beforeAutospacing="0" w:after="0" w:afterAutospacing="0"/>
              <w:jc w:val="right"/>
              <w:rPr>
                <w:sz w:val="20"/>
                <w:szCs w:val="20"/>
              </w:rPr>
            </w:pPr>
            <w:r>
              <w:rPr>
                <w:sz w:val="20"/>
                <w:szCs w:val="20"/>
              </w:rPr>
              <w:t>45</w:t>
            </w:r>
            <w:r>
              <w:rPr>
                <w:sz w:val="20"/>
                <w:szCs w:val="20"/>
              </w:rPr>
              <w:t>1</w:t>
            </w:r>
          </w:p>
        </w:tc>
        <w:tc>
          <w:tcPr>
            <w:tcW w:w="0" w:type="auto"/>
            <w:noWrap/>
            <w:vAlign w:val="bottom"/>
            <w:hideMark/>
          </w:tcPr>
          <w:p w14:paraId="3AEB57A6" w14:textId="77777777" w:rsidR="00000000" w:rsidRDefault="00832D71">
            <w:pPr>
              <w:pStyle w:val="a3"/>
              <w:spacing w:before="0" w:beforeAutospacing="0" w:after="0" w:afterAutospacing="0"/>
              <w:rPr>
                <w:sz w:val="20"/>
                <w:szCs w:val="20"/>
              </w:rPr>
            </w:pPr>
            <w:r>
              <w:rPr>
                <w:sz w:val="20"/>
                <w:szCs w:val="20"/>
              </w:rPr>
              <w:t> </w:t>
            </w:r>
          </w:p>
        </w:tc>
      </w:tr>
      <w:tr w:rsidR="00000000" w14:paraId="763D16ED" w14:textId="77777777">
        <w:trPr>
          <w:divId w:val="155192581"/>
          <w:trHeight w:val="200"/>
          <w:tblCellSpacing w:w="15" w:type="dxa"/>
        </w:trPr>
        <w:tc>
          <w:tcPr>
            <w:tcW w:w="0" w:type="auto"/>
            <w:hideMark/>
          </w:tcPr>
          <w:p w14:paraId="79406252" w14:textId="77777777" w:rsidR="00000000" w:rsidRDefault="00832D71">
            <w:pPr>
              <w:pStyle w:val="a3"/>
              <w:spacing w:before="0" w:beforeAutospacing="0" w:after="0" w:afterAutospacing="0"/>
              <w:ind w:left="200"/>
              <w:rPr>
                <w:sz w:val="20"/>
                <w:szCs w:val="20"/>
              </w:rPr>
            </w:pPr>
            <w:r>
              <w:rPr>
                <w:sz w:val="20"/>
                <w:szCs w:val="20"/>
              </w:rPr>
              <w:t>Change in the fair value of outstanding contract</w:t>
            </w:r>
            <w:r>
              <w:rPr>
                <w:sz w:val="20"/>
                <w:szCs w:val="20"/>
              </w:rPr>
              <w:t>s</w:t>
            </w:r>
          </w:p>
        </w:tc>
        <w:tc>
          <w:tcPr>
            <w:tcW w:w="0" w:type="auto"/>
            <w:hideMark/>
          </w:tcPr>
          <w:p w14:paraId="3608E6B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E86D45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58DD93C"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DD3D0C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1FC3C8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4ABCF2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E36F485" w14:textId="77777777" w:rsidR="00000000" w:rsidRDefault="00832D71">
            <w:pPr>
              <w:pStyle w:val="a3"/>
              <w:spacing w:before="0" w:beforeAutospacing="0" w:after="0" w:afterAutospacing="0"/>
              <w:jc w:val="right"/>
              <w:rPr>
                <w:sz w:val="20"/>
                <w:szCs w:val="20"/>
              </w:rPr>
            </w:pPr>
            <w:r>
              <w:rPr>
                <w:sz w:val="20"/>
                <w:szCs w:val="20"/>
              </w:rPr>
              <w:t>(</w:t>
            </w:r>
            <w:r>
              <w:rPr>
                <w:sz w:val="20"/>
                <w:szCs w:val="20"/>
              </w:rPr>
              <w:t>11</w:t>
            </w:r>
            <w:r>
              <w:rPr>
                <w:sz w:val="20"/>
                <w:szCs w:val="20"/>
              </w:rPr>
              <w:t>9</w:t>
            </w:r>
          </w:p>
        </w:tc>
        <w:tc>
          <w:tcPr>
            <w:tcW w:w="0" w:type="auto"/>
            <w:noWrap/>
            <w:vAlign w:val="bottom"/>
            <w:hideMark/>
          </w:tcPr>
          <w:p w14:paraId="3D4F54A1"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76E74D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3841E9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E9738B7"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5A67897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112656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9C967A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E9A4AD5"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1035AD11" w14:textId="77777777" w:rsidR="00000000" w:rsidRDefault="00832D71">
            <w:pPr>
              <w:pStyle w:val="a3"/>
              <w:spacing w:before="0" w:beforeAutospacing="0" w:after="0" w:afterAutospacing="0"/>
              <w:rPr>
                <w:sz w:val="20"/>
                <w:szCs w:val="20"/>
              </w:rPr>
            </w:pPr>
            <w:r>
              <w:rPr>
                <w:sz w:val="20"/>
                <w:szCs w:val="20"/>
              </w:rPr>
              <w:t> </w:t>
            </w:r>
          </w:p>
        </w:tc>
      </w:tr>
      <w:tr w:rsidR="00000000" w14:paraId="4EA45D15" w14:textId="77777777">
        <w:trPr>
          <w:divId w:val="155192581"/>
          <w:trHeight w:val="200"/>
          <w:tblCellSpacing w:w="15" w:type="dxa"/>
        </w:trPr>
        <w:tc>
          <w:tcPr>
            <w:tcW w:w="0" w:type="auto"/>
            <w:hideMark/>
          </w:tcPr>
          <w:p w14:paraId="20A57351" w14:textId="77777777" w:rsidR="00000000" w:rsidRDefault="00832D71">
            <w:pPr>
              <w:pStyle w:val="a3"/>
              <w:spacing w:before="0" w:beforeAutospacing="0" w:after="0" w:afterAutospacing="0"/>
              <w:rPr>
                <w:sz w:val="20"/>
                <w:szCs w:val="20"/>
              </w:rPr>
            </w:pPr>
            <w:r>
              <w:rPr>
                <w:sz w:val="20"/>
                <w:szCs w:val="20"/>
              </w:rPr>
              <w:t>Ending balance of over-the-counter option</w:t>
            </w:r>
            <w:r>
              <w:rPr>
                <w:sz w:val="20"/>
                <w:szCs w:val="20"/>
              </w:rPr>
              <w:t>s</w:t>
            </w:r>
          </w:p>
        </w:tc>
        <w:tc>
          <w:tcPr>
            <w:tcW w:w="0" w:type="auto"/>
            <w:hideMark/>
          </w:tcPr>
          <w:p w14:paraId="0645AF9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A6DDA1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353B072" w14:textId="77777777" w:rsidR="00000000" w:rsidRDefault="00832D71">
            <w:pPr>
              <w:pStyle w:val="a3"/>
              <w:spacing w:before="0" w:beforeAutospacing="0" w:after="0" w:afterAutospacing="0"/>
              <w:jc w:val="right"/>
              <w:rPr>
                <w:sz w:val="20"/>
                <w:szCs w:val="20"/>
              </w:rPr>
            </w:pPr>
            <w:r>
              <w:rPr>
                <w:sz w:val="20"/>
                <w:szCs w:val="20"/>
              </w:rPr>
              <w:t>22</w:t>
            </w:r>
            <w:r>
              <w:rPr>
                <w:sz w:val="20"/>
                <w:szCs w:val="20"/>
              </w:rPr>
              <w:t>2</w:t>
            </w:r>
          </w:p>
        </w:tc>
        <w:tc>
          <w:tcPr>
            <w:tcW w:w="0" w:type="auto"/>
            <w:noWrap/>
            <w:vAlign w:val="bottom"/>
            <w:hideMark/>
          </w:tcPr>
          <w:p w14:paraId="5CA4B8F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658B45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40C75C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D0F4841" w14:textId="77777777" w:rsidR="00000000" w:rsidRDefault="00832D71">
            <w:pPr>
              <w:pStyle w:val="a3"/>
              <w:spacing w:before="0" w:beforeAutospacing="0" w:after="0" w:afterAutospacing="0"/>
              <w:jc w:val="right"/>
              <w:rPr>
                <w:sz w:val="20"/>
                <w:szCs w:val="20"/>
              </w:rPr>
            </w:pPr>
            <w:r>
              <w:rPr>
                <w:sz w:val="20"/>
                <w:szCs w:val="20"/>
              </w:rPr>
              <w:t>3,40</w:t>
            </w:r>
            <w:r>
              <w:rPr>
                <w:sz w:val="20"/>
                <w:szCs w:val="20"/>
              </w:rPr>
              <w:t>8</w:t>
            </w:r>
          </w:p>
        </w:tc>
        <w:tc>
          <w:tcPr>
            <w:tcW w:w="0" w:type="auto"/>
            <w:noWrap/>
            <w:vAlign w:val="bottom"/>
            <w:hideMark/>
          </w:tcPr>
          <w:p w14:paraId="7E53D43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100D2F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7AB16B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99440FB" w14:textId="77777777" w:rsidR="00000000" w:rsidRDefault="00832D71">
            <w:pPr>
              <w:pStyle w:val="a3"/>
              <w:spacing w:before="0" w:beforeAutospacing="0" w:after="0" w:afterAutospacing="0"/>
              <w:jc w:val="right"/>
              <w:rPr>
                <w:sz w:val="20"/>
                <w:szCs w:val="20"/>
              </w:rPr>
            </w:pPr>
            <w:r>
              <w:rPr>
                <w:sz w:val="20"/>
                <w:szCs w:val="20"/>
              </w:rPr>
              <w:t>4,62</w:t>
            </w:r>
            <w:r>
              <w:rPr>
                <w:sz w:val="20"/>
                <w:szCs w:val="20"/>
              </w:rPr>
              <w:t>6</w:t>
            </w:r>
          </w:p>
        </w:tc>
        <w:tc>
          <w:tcPr>
            <w:tcW w:w="0" w:type="auto"/>
            <w:noWrap/>
            <w:vAlign w:val="bottom"/>
            <w:hideMark/>
          </w:tcPr>
          <w:p w14:paraId="178D9B6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E8E829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C340CE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3E0E3E5" w14:textId="77777777" w:rsidR="00000000" w:rsidRDefault="00832D71">
            <w:pPr>
              <w:pStyle w:val="a3"/>
              <w:spacing w:before="0" w:beforeAutospacing="0" w:after="0" w:afterAutospacing="0"/>
              <w:jc w:val="right"/>
              <w:rPr>
                <w:sz w:val="20"/>
                <w:szCs w:val="20"/>
              </w:rPr>
            </w:pPr>
            <w:r>
              <w:rPr>
                <w:sz w:val="20"/>
                <w:szCs w:val="20"/>
              </w:rPr>
              <w:t>45</w:t>
            </w:r>
            <w:r>
              <w:rPr>
                <w:sz w:val="20"/>
                <w:szCs w:val="20"/>
              </w:rPr>
              <w:t>1</w:t>
            </w:r>
          </w:p>
        </w:tc>
        <w:tc>
          <w:tcPr>
            <w:tcW w:w="0" w:type="auto"/>
            <w:noWrap/>
            <w:vAlign w:val="bottom"/>
            <w:hideMark/>
          </w:tcPr>
          <w:p w14:paraId="4593B570" w14:textId="77777777" w:rsidR="00000000" w:rsidRDefault="00832D71">
            <w:pPr>
              <w:pStyle w:val="a3"/>
              <w:spacing w:before="0" w:beforeAutospacing="0" w:after="0" w:afterAutospacing="0"/>
              <w:rPr>
                <w:sz w:val="20"/>
                <w:szCs w:val="20"/>
              </w:rPr>
            </w:pPr>
            <w:r>
              <w:rPr>
                <w:sz w:val="20"/>
                <w:szCs w:val="20"/>
              </w:rPr>
              <w:t> </w:t>
            </w:r>
          </w:p>
        </w:tc>
      </w:tr>
    </w:tbl>
    <w:p w14:paraId="1293CED7" w14:textId="77777777" w:rsidR="00000000" w:rsidRDefault="00832D71">
      <w:pPr>
        <w:pStyle w:val="a3"/>
        <w:spacing w:before="0" w:beforeAutospacing="0" w:after="0" w:afterAutospacing="0"/>
        <w:divId w:val="1762481692"/>
        <w:rPr>
          <w:sz w:val="20"/>
          <w:szCs w:val="20"/>
        </w:rPr>
      </w:pPr>
      <w:r>
        <w:rPr>
          <w:sz w:val="20"/>
          <w:szCs w:val="20"/>
        </w:rPr>
        <w:t> </w:t>
      </w:r>
    </w:p>
    <w:p w14:paraId="4B72CA46" w14:textId="77777777" w:rsidR="00000000" w:rsidRDefault="00832D71">
      <w:pPr>
        <w:pStyle w:val="a3"/>
        <w:spacing w:before="40" w:beforeAutospacing="0" w:after="0" w:afterAutospacing="0"/>
        <w:jc w:val="both"/>
        <w:divId w:val="1762481692"/>
        <w:rPr>
          <w:sz w:val="20"/>
          <w:szCs w:val="20"/>
        </w:rPr>
      </w:pPr>
      <w:r>
        <w:rPr>
          <w:sz w:val="20"/>
          <w:szCs w:val="20"/>
        </w:rPr>
        <w:t>As of September 24, 2022 and September 25, 2021, the Partnership’s outstanding commodity-related derivatives had a weighted average maturity of approximately</w:t>
      </w:r>
      <w:r>
        <w:rPr>
          <w:sz w:val="20"/>
          <w:szCs w:val="20"/>
        </w:rPr>
        <w:t xml:space="preserve"> </w:t>
      </w:r>
      <w:r>
        <w:rPr>
          <w:sz w:val="20"/>
          <w:szCs w:val="20"/>
        </w:rPr>
        <w:t>seve</w:t>
      </w:r>
      <w:r>
        <w:rPr>
          <w:sz w:val="20"/>
          <w:szCs w:val="20"/>
        </w:rPr>
        <w:t>n</w:t>
      </w:r>
      <w:r>
        <w:rPr>
          <w:sz w:val="20"/>
          <w:szCs w:val="20"/>
        </w:rPr>
        <w:t xml:space="preserve"> and</w:t>
      </w:r>
      <w:r>
        <w:rPr>
          <w:sz w:val="20"/>
          <w:szCs w:val="20"/>
        </w:rPr>
        <w:t xml:space="preserve"> </w:t>
      </w:r>
      <w:r>
        <w:rPr>
          <w:sz w:val="20"/>
          <w:szCs w:val="20"/>
        </w:rPr>
        <w:t>fou</w:t>
      </w:r>
      <w:r>
        <w:rPr>
          <w:sz w:val="20"/>
          <w:szCs w:val="20"/>
        </w:rPr>
        <w:t>r</w:t>
      </w:r>
      <w:r>
        <w:rPr>
          <w:sz w:val="20"/>
          <w:szCs w:val="20"/>
        </w:rPr>
        <w:t xml:space="preserve"> month</w:t>
      </w:r>
      <w:r>
        <w:rPr>
          <w:sz w:val="20"/>
          <w:szCs w:val="20"/>
        </w:rPr>
        <w:t>s</w:t>
      </w:r>
      <w:r>
        <w:rPr>
          <w:sz w:val="20"/>
          <w:szCs w:val="20"/>
        </w:rPr>
        <w:t>, respectively</w:t>
      </w:r>
      <w:r>
        <w:rPr>
          <w:sz w:val="20"/>
          <w:szCs w:val="20"/>
        </w:rPr>
        <w:t>.</w:t>
      </w:r>
    </w:p>
    <w:p w14:paraId="0DC6B3CD" w14:textId="77777777" w:rsidR="00000000" w:rsidRDefault="00832D71">
      <w:pPr>
        <w:pStyle w:val="a3"/>
        <w:spacing w:before="240" w:beforeAutospacing="0" w:after="0" w:afterAutospacing="0"/>
        <w:jc w:val="both"/>
        <w:divId w:val="178618187"/>
        <w:rPr>
          <w:sz w:val="20"/>
          <w:szCs w:val="20"/>
        </w:rPr>
      </w:pPr>
      <w:r>
        <w:rPr>
          <w:sz w:val="20"/>
          <w:szCs w:val="20"/>
        </w:rPr>
        <w:t>The effect of the Partnership’s derivative instruments on the</w:t>
      </w:r>
      <w:r>
        <w:rPr>
          <w:sz w:val="20"/>
          <w:szCs w:val="20"/>
        </w:rPr>
        <w:t xml:space="preserve"> consolidated statements of operations for fiscal</w:t>
      </w:r>
      <w:r>
        <w:rPr>
          <w:sz w:val="20"/>
          <w:szCs w:val="20"/>
        </w:rPr>
        <w:t xml:space="preserve"> </w:t>
      </w:r>
      <w:r>
        <w:rPr>
          <w:sz w:val="20"/>
          <w:szCs w:val="20"/>
        </w:rPr>
        <w:t>2022, 2021 and 2020 are as follows</w:t>
      </w:r>
      <w:r>
        <w:rPr>
          <w:sz w:val="20"/>
          <w:szCs w:val="20"/>
        </w:rPr>
        <w:t>:</w:t>
      </w:r>
    </w:p>
    <w:p w14:paraId="1AEC872E" w14:textId="77777777" w:rsidR="00000000" w:rsidRDefault="00832D71">
      <w:pPr>
        <w:pStyle w:val="a3"/>
        <w:spacing w:before="0" w:beforeAutospacing="0" w:after="0" w:afterAutospacing="0"/>
        <w:divId w:val="178618187"/>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261"/>
        <w:gridCol w:w="145"/>
        <w:gridCol w:w="1656"/>
        <w:gridCol w:w="145"/>
        <w:gridCol w:w="160"/>
        <w:gridCol w:w="1136"/>
        <w:gridCol w:w="142"/>
      </w:tblGrid>
      <w:tr w:rsidR="00000000" w14:paraId="3B97B792" w14:textId="77777777">
        <w:trPr>
          <w:divId w:val="178618187"/>
          <w:tblCellSpacing w:w="15" w:type="dxa"/>
        </w:trPr>
        <w:tc>
          <w:tcPr>
            <w:tcW w:w="2525" w:type="pct"/>
            <w:vAlign w:val="center"/>
            <w:hideMark/>
          </w:tcPr>
          <w:p w14:paraId="7F0AC307" w14:textId="77777777" w:rsidR="00000000" w:rsidRDefault="00832D71">
            <w:pPr>
              <w:rPr>
                <w:sz w:val="20"/>
                <w:szCs w:val="20"/>
              </w:rPr>
            </w:pPr>
          </w:p>
        </w:tc>
        <w:tc>
          <w:tcPr>
            <w:tcW w:w="105" w:type="pct"/>
            <w:vAlign w:val="center"/>
            <w:hideMark/>
          </w:tcPr>
          <w:p w14:paraId="5AE8E325" w14:textId="77777777" w:rsidR="00000000" w:rsidRDefault="00832D71">
            <w:pPr>
              <w:rPr>
                <w:rFonts w:eastAsia="Times New Roman"/>
                <w:sz w:val="20"/>
                <w:szCs w:val="20"/>
              </w:rPr>
            </w:pPr>
          </w:p>
        </w:tc>
        <w:tc>
          <w:tcPr>
            <w:tcW w:w="1284" w:type="pct"/>
            <w:vAlign w:val="center"/>
            <w:hideMark/>
          </w:tcPr>
          <w:p w14:paraId="335EE92B" w14:textId="77777777" w:rsidR="00000000" w:rsidRDefault="00832D71">
            <w:pPr>
              <w:rPr>
                <w:rFonts w:eastAsia="Times New Roman"/>
                <w:sz w:val="20"/>
                <w:szCs w:val="20"/>
              </w:rPr>
            </w:pPr>
          </w:p>
        </w:tc>
        <w:tc>
          <w:tcPr>
            <w:tcW w:w="105" w:type="pct"/>
            <w:vAlign w:val="center"/>
            <w:hideMark/>
          </w:tcPr>
          <w:p w14:paraId="5B23F195" w14:textId="77777777" w:rsidR="00000000" w:rsidRDefault="00832D71">
            <w:pPr>
              <w:rPr>
                <w:rFonts w:eastAsia="Times New Roman"/>
                <w:sz w:val="20"/>
                <w:szCs w:val="20"/>
              </w:rPr>
            </w:pPr>
          </w:p>
        </w:tc>
        <w:tc>
          <w:tcPr>
            <w:tcW w:w="50" w:type="pct"/>
            <w:vAlign w:val="center"/>
            <w:hideMark/>
          </w:tcPr>
          <w:p w14:paraId="0CF7CE9A" w14:textId="77777777" w:rsidR="00000000" w:rsidRDefault="00832D71">
            <w:pPr>
              <w:rPr>
                <w:rFonts w:eastAsia="Times New Roman"/>
                <w:sz w:val="20"/>
                <w:szCs w:val="20"/>
              </w:rPr>
            </w:pPr>
          </w:p>
        </w:tc>
        <w:tc>
          <w:tcPr>
            <w:tcW w:w="878" w:type="pct"/>
            <w:vAlign w:val="center"/>
            <w:hideMark/>
          </w:tcPr>
          <w:p w14:paraId="19BDABE3" w14:textId="77777777" w:rsidR="00000000" w:rsidRDefault="00832D71">
            <w:pPr>
              <w:rPr>
                <w:rFonts w:eastAsia="Times New Roman"/>
                <w:sz w:val="20"/>
                <w:szCs w:val="20"/>
              </w:rPr>
            </w:pPr>
          </w:p>
        </w:tc>
        <w:tc>
          <w:tcPr>
            <w:tcW w:w="50" w:type="pct"/>
            <w:vAlign w:val="center"/>
            <w:hideMark/>
          </w:tcPr>
          <w:p w14:paraId="1C77D0F3" w14:textId="77777777" w:rsidR="00000000" w:rsidRDefault="00832D71">
            <w:pPr>
              <w:rPr>
                <w:rFonts w:eastAsia="Times New Roman"/>
                <w:sz w:val="20"/>
                <w:szCs w:val="20"/>
              </w:rPr>
            </w:pPr>
          </w:p>
        </w:tc>
      </w:tr>
      <w:tr w:rsidR="00000000" w14:paraId="12E6A95F" w14:textId="77777777">
        <w:trPr>
          <w:divId w:val="178618187"/>
          <w:trHeight w:val="160"/>
          <w:tblCellSpacing w:w="15" w:type="dxa"/>
        </w:trPr>
        <w:tc>
          <w:tcPr>
            <w:tcW w:w="0" w:type="auto"/>
            <w:vAlign w:val="bottom"/>
            <w:hideMark/>
          </w:tcPr>
          <w:p w14:paraId="466A25D8" w14:textId="77777777" w:rsidR="00000000" w:rsidRDefault="00832D71">
            <w:pPr>
              <w:pStyle w:val="a3"/>
              <w:spacing w:before="0" w:beforeAutospacing="0" w:after="0" w:afterAutospacing="0"/>
              <w:rPr>
                <w:sz w:val="18"/>
                <w:szCs w:val="18"/>
              </w:rPr>
            </w:pPr>
            <w:r>
              <w:rPr>
                <w:sz w:val="18"/>
                <w:szCs w:val="18"/>
              </w:rPr>
              <w:t> </w:t>
            </w:r>
          </w:p>
        </w:tc>
        <w:tc>
          <w:tcPr>
            <w:tcW w:w="0" w:type="auto"/>
            <w:vAlign w:val="bottom"/>
            <w:hideMark/>
          </w:tcPr>
          <w:p w14:paraId="713AA615" w14:textId="77777777" w:rsidR="00000000" w:rsidRDefault="00832D71">
            <w:pPr>
              <w:pStyle w:val="a3"/>
              <w:spacing w:before="0" w:beforeAutospacing="0" w:after="0" w:afterAutospacing="0"/>
              <w:rPr>
                <w:sz w:val="18"/>
                <w:szCs w:val="18"/>
              </w:rPr>
            </w:pPr>
            <w:r>
              <w:rPr>
                <w:sz w:val="18"/>
                <w:szCs w:val="18"/>
              </w:rPr>
              <w:t> </w:t>
            </w:r>
          </w:p>
        </w:tc>
        <w:tc>
          <w:tcPr>
            <w:tcW w:w="0" w:type="auto"/>
            <w:gridSpan w:val="4"/>
            <w:vAlign w:val="bottom"/>
            <w:hideMark/>
          </w:tcPr>
          <w:p w14:paraId="720272EE" w14:textId="77777777" w:rsidR="00000000" w:rsidRDefault="00832D71">
            <w:pPr>
              <w:pStyle w:val="a3"/>
              <w:spacing w:before="0" w:beforeAutospacing="0" w:after="0" w:afterAutospacing="0"/>
              <w:jc w:val="center"/>
              <w:rPr>
                <w:sz w:val="16"/>
                <w:szCs w:val="16"/>
              </w:rPr>
            </w:pPr>
            <w:r>
              <w:rPr>
                <w:b/>
                <w:bCs/>
                <w:sz w:val="16"/>
                <w:szCs w:val="16"/>
              </w:rPr>
              <w:t>Unrealized Gains (Losses) Recognized in Incom</w:t>
            </w:r>
            <w:r>
              <w:rPr>
                <w:b/>
                <w:bCs/>
                <w:sz w:val="16"/>
                <w:szCs w:val="16"/>
              </w:rPr>
              <w:t>e</w:t>
            </w:r>
          </w:p>
        </w:tc>
        <w:tc>
          <w:tcPr>
            <w:tcW w:w="0" w:type="auto"/>
            <w:vAlign w:val="bottom"/>
            <w:hideMark/>
          </w:tcPr>
          <w:p w14:paraId="630005AD"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4A1D58B2" w14:textId="77777777">
        <w:trPr>
          <w:divId w:val="178618187"/>
          <w:trHeight w:val="160"/>
          <w:tblCellSpacing w:w="15" w:type="dxa"/>
        </w:trPr>
        <w:tc>
          <w:tcPr>
            <w:tcW w:w="0" w:type="auto"/>
            <w:vAlign w:val="bottom"/>
            <w:hideMark/>
          </w:tcPr>
          <w:p w14:paraId="35FC6E17" w14:textId="77777777" w:rsidR="00000000" w:rsidRDefault="00832D71">
            <w:pPr>
              <w:pStyle w:val="a3"/>
              <w:spacing w:before="0" w:beforeAutospacing="0" w:after="0" w:afterAutospacing="0"/>
              <w:rPr>
                <w:sz w:val="16"/>
                <w:szCs w:val="16"/>
              </w:rPr>
            </w:pPr>
            <w:r>
              <w:rPr>
                <w:b/>
                <w:bCs/>
                <w:sz w:val="16"/>
                <w:szCs w:val="16"/>
              </w:rPr>
              <w:t>Derivatives Not Designated as Hedging Instrument</w:t>
            </w:r>
            <w:r>
              <w:rPr>
                <w:b/>
                <w:bCs/>
                <w:sz w:val="16"/>
                <w:szCs w:val="16"/>
              </w:rPr>
              <w:t>s</w:t>
            </w:r>
          </w:p>
        </w:tc>
        <w:tc>
          <w:tcPr>
            <w:tcW w:w="0" w:type="auto"/>
            <w:vAlign w:val="bottom"/>
            <w:hideMark/>
          </w:tcPr>
          <w:p w14:paraId="30183442" w14:textId="77777777" w:rsidR="00000000" w:rsidRDefault="00832D71">
            <w:pPr>
              <w:pStyle w:val="a3"/>
              <w:spacing w:before="0" w:beforeAutospacing="0" w:after="0" w:afterAutospacing="0"/>
              <w:rPr>
                <w:sz w:val="16"/>
                <w:szCs w:val="16"/>
              </w:rPr>
            </w:pPr>
            <w:r>
              <w:rPr>
                <w:sz w:val="16"/>
                <w:szCs w:val="16"/>
              </w:rPr>
              <w:t> </w:t>
            </w:r>
          </w:p>
        </w:tc>
        <w:tc>
          <w:tcPr>
            <w:tcW w:w="0" w:type="auto"/>
            <w:vAlign w:val="bottom"/>
            <w:hideMark/>
          </w:tcPr>
          <w:p w14:paraId="2B99A1E4" w14:textId="77777777" w:rsidR="00000000" w:rsidRDefault="00832D71">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14:paraId="3FE4807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C2150DD" w14:textId="77777777" w:rsidR="00000000" w:rsidRDefault="00832D71">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14:paraId="6527FCE2"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4336B32C" w14:textId="77777777">
        <w:trPr>
          <w:divId w:val="178618187"/>
          <w:trHeight w:val="200"/>
          <w:tblCellSpacing w:w="15" w:type="dxa"/>
        </w:trPr>
        <w:tc>
          <w:tcPr>
            <w:tcW w:w="0" w:type="auto"/>
            <w:hideMark/>
          </w:tcPr>
          <w:p w14:paraId="62E08266" w14:textId="77777777" w:rsidR="00000000" w:rsidRDefault="00832D71">
            <w:pPr>
              <w:pStyle w:val="a3"/>
              <w:spacing w:before="0" w:beforeAutospacing="0" w:after="0" w:afterAutospacing="0"/>
              <w:rPr>
                <w:sz w:val="20"/>
                <w:szCs w:val="20"/>
              </w:rPr>
            </w:pPr>
            <w:r>
              <w:rPr>
                <w:sz w:val="20"/>
                <w:szCs w:val="20"/>
              </w:rPr>
              <w:t>Commodity-related derivatives</w:t>
            </w:r>
            <w:r>
              <w:rPr>
                <w:sz w:val="20"/>
                <w:szCs w:val="20"/>
              </w:rPr>
              <w:t>:</w:t>
            </w:r>
          </w:p>
        </w:tc>
        <w:tc>
          <w:tcPr>
            <w:tcW w:w="0" w:type="auto"/>
            <w:vAlign w:val="bottom"/>
            <w:hideMark/>
          </w:tcPr>
          <w:p w14:paraId="59F765C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3099F7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337C6AA"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DCD3C3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58B7C92" w14:textId="77777777" w:rsidR="00000000" w:rsidRDefault="00832D71">
            <w:pPr>
              <w:pStyle w:val="a3"/>
              <w:spacing w:before="0" w:beforeAutospacing="0" w:after="0" w:afterAutospacing="0"/>
              <w:jc w:val="right"/>
              <w:rPr>
                <w:sz w:val="20"/>
                <w:szCs w:val="20"/>
              </w:rPr>
            </w:pPr>
            <w:r>
              <w:rPr>
                <w:sz w:val="20"/>
                <w:szCs w:val="20"/>
              </w:rPr>
              <w:t> </w:t>
            </w:r>
          </w:p>
        </w:tc>
      </w:tr>
      <w:tr w:rsidR="00000000" w14:paraId="21334617" w14:textId="77777777">
        <w:trPr>
          <w:divId w:val="178618187"/>
          <w:tblCellSpacing w:w="15" w:type="dxa"/>
        </w:trPr>
        <w:tc>
          <w:tcPr>
            <w:tcW w:w="0" w:type="auto"/>
            <w:hideMark/>
          </w:tcPr>
          <w:p w14:paraId="2484796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933074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5AB80A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F73F15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DFE92E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A56DB98" w14:textId="77777777" w:rsidR="00000000" w:rsidRDefault="00832D71">
            <w:pPr>
              <w:pStyle w:val="a3"/>
              <w:spacing w:before="0" w:beforeAutospacing="0" w:after="0" w:afterAutospacing="0"/>
              <w:jc w:val="right"/>
              <w:rPr>
                <w:sz w:val="20"/>
                <w:szCs w:val="20"/>
              </w:rPr>
            </w:pPr>
            <w:r>
              <w:rPr>
                <w:sz w:val="20"/>
                <w:szCs w:val="20"/>
              </w:rPr>
              <w:t> </w:t>
            </w:r>
          </w:p>
        </w:tc>
      </w:tr>
      <w:tr w:rsidR="00000000" w14:paraId="0DF13D29" w14:textId="77777777">
        <w:trPr>
          <w:divId w:val="178618187"/>
          <w:trHeight w:val="200"/>
          <w:tblCellSpacing w:w="15" w:type="dxa"/>
        </w:trPr>
        <w:tc>
          <w:tcPr>
            <w:tcW w:w="0" w:type="auto"/>
            <w:vAlign w:val="bottom"/>
            <w:hideMark/>
          </w:tcPr>
          <w:p w14:paraId="47149B19" w14:textId="77777777" w:rsidR="00000000" w:rsidRDefault="00832D71">
            <w:pPr>
              <w:pStyle w:val="a3"/>
              <w:spacing w:before="0" w:beforeAutospacing="0" w:after="0" w:afterAutospacing="0"/>
              <w:ind w:left="200"/>
              <w:rPr>
                <w:sz w:val="20"/>
                <w:szCs w:val="20"/>
              </w:rPr>
            </w:pPr>
            <w:r>
              <w:rPr>
                <w:sz w:val="20"/>
                <w:szCs w:val="20"/>
              </w:rPr>
              <w:t>Fiscal 202</w:t>
            </w:r>
            <w:r>
              <w:rPr>
                <w:sz w:val="20"/>
                <w:szCs w:val="20"/>
              </w:rPr>
              <w:t>2</w:t>
            </w:r>
          </w:p>
        </w:tc>
        <w:tc>
          <w:tcPr>
            <w:tcW w:w="0" w:type="auto"/>
            <w:vAlign w:val="bottom"/>
            <w:hideMark/>
          </w:tcPr>
          <w:p w14:paraId="7C8EF78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3B9FF82" w14:textId="77777777" w:rsidR="00000000" w:rsidRDefault="00832D71">
            <w:pPr>
              <w:pStyle w:val="a3"/>
              <w:spacing w:before="0" w:beforeAutospacing="0" w:after="0" w:afterAutospacing="0"/>
              <w:jc w:val="center"/>
              <w:rPr>
                <w:sz w:val="20"/>
                <w:szCs w:val="20"/>
              </w:rPr>
            </w:pPr>
            <w:r>
              <w:rPr>
                <w:sz w:val="20"/>
                <w:szCs w:val="20"/>
              </w:rPr>
              <w:t>Cost of products sol</w:t>
            </w:r>
            <w:r>
              <w:rPr>
                <w:sz w:val="20"/>
                <w:szCs w:val="20"/>
              </w:rPr>
              <w:t>d</w:t>
            </w:r>
          </w:p>
        </w:tc>
        <w:tc>
          <w:tcPr>
            <w:tcW w:w="0" w:type="auto"/>
            <w:vAlign w:val="bottom"/>
            <w:hideMark/>
          </w:tcPr>
          <w:p w14:paraId="618BEA9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FB30D2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30B6AE7" w14:textId="77777777" w:rsidR="00000000" w:rsidRDefault="00832D71">
            <w:pPr>
              <w:pStyle w:val="a3"/>
              <w:spacing w:before="0" w:beforeAutospacing="0" w:after="0" w:afterAutospacing="0"/>
              <w:jc w:val="right"/>
              <w:rPr>
                <w:sz w:val="20"/>
                <w:szCs w:val="20"/>
              </w:rPr>
            </w:pPr>
            <w:r>
              <w:rPr>
                <w:sz w:val="20"/>
                <w:szCs w:val="20"/>
              </w:rPr>
              <w:t>(</w:t>
            </w:r>
            <w:r>
              <w:rPr>
                <w:sz w:val="20"/>
                <w:szCs w:val="20"/>
              </w:rPr>
              <w:t>27,92</w:t>
            </w:r>
            <w:r>
              <w:rPr>
                <w:sz w:val="20"/>
                <w:szCs w:val="20"/>
              </w:rPr>
              <w:t>9</w:t>
            </w:r>
          </w:p>
        </w:tc>
        <w:tc>
          <w:tcPr>
            <w:tcW w:w="0" w:type="auto"/>
            <w:noWrap/>
            <w:vAlign w:val="bottom"/>
            <w:hideMark/>
          </w:tcPr>
          <w:p w14:paraId="0810F770" w14:textId="77777777" w:rsidR="00000000" w:rsidRDefault="00832D71">
            <w:pPr>
              <w:pStyle w:val="a3"/>
              <w:spacing w:before="0" w:beforeAutospacing="0" w:after="0" w:afterAutospacing="0"/>
              <w:rPr>
                <w:sz w:val="20"/>
                <w:szCs w:val="20"/>
              </w:rPr>
            </w:pPr>
            <w:r>
              <w:rPr>
                <w:sz w:val="20"/>
                <w:szCs w:val="20"/>
              </w:rPr>
              <w:t>)</w:t>
            </w:r>
          </w:p>
        </w:tc>
      </w:tr>
      <w:tr w:rsidR="00000000" w14:paraId="39468B12" w14:textId="77777777">
        <w:trPr>
          <w:divId w:val="178618187"/>
          <w:tblCellSpacing w:w="15" w:type="dxa"/>
        </w:trPr>
        <w:tc>
          <w:tcPr>
            <w:tcW w:w="0" w:type="auto"/>
            <w:hideMark/>
          </w:tcPr>
          <w:p w14:paraId="7AC40D9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E49F61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6732FB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BFA6B6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0F6314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FCDE7E9" w14:textId="77777777" w:rsidR="00000000" w:rsidRDefault="00832D71">
            <w:pPr>
              <w:pStyle w:val="a3"/>
              <w:spacing w:before="0" w:beforeAutospacing="0" w:after="0" w:afterAutospacing="0"/>
              <w:jc w:val="right"/>
              <w:rPr>
                <w:sz w:val="20"/>
                <w:szCs w:val="20"/>
              </w:rPr>
            </w:pPr>
            <w:r>
              <w:rPr>
                <w:sz w:val="20"/>
                <w:szCs w:val="20"/>
              </w:rPr>
              <w:t> </w:t>
            </w:r>
          </w:p>
        </w:tc>
      </w:tr>
      <w:tr w:rsidR="00000000" w14:paraId="6A912E66" w14:textId="77777777">
        <w:trPr>
          <w:divId w:val="178618187"/>
          <w:trHeight w:val="200"/>
          <w:tblCellSpacing w:w="15" w:type="dxa"/>
        </w:trPr>
        <w:tc>
          <w:tcPr>
            <w:tcW w:w="0" w:type="auto"/>
            <w:vAlign w:val="bottom"/>
            <w:hideMark/>
          </w:tcPr>
          <w:p w14:paraId="6251F892" w14:textId="77777777" w:rsidR="00000000" w:rsidRDefault="00832D71">
            <w:pPr>
              <w:pStyle w:val="a3"/>
              <w:spacing w:before="0" w:beforeAutospacing="0" w:after="0" w:afterAutospacing="0"/>
              <w:ind w:left="200"/>
              <w:rPr>
                <w:sz w:val="20"/>
                <w:szCs w:val="20"/>
              </w:rPr>
            </w:pPr>
            <w:r>
              <w:rPr>
                <w:sz w:val="20"/>
                <w:szCs w:val="20"/>
              </w:rPr>
              <w:t>Fiscal 202</w:t>
            </w:r>
            <w:r>
              <w:rPr>
                <w:sz w:val="20"/>
                <w:szCs w:val="20"/>
              </w:rPr>
              <w:t>1</w:t>
            </w:r>
          </w:p>
        </w:tc>
        <w:tc>
          <w:tcPr>
            <w:tcW w:w="0" w:type="auto"/>
            <w:vAlign w:val="bottom"/>
            <w:hideMark/>
          </w:tcPr>
          <w:p w14:paraId="7DB9DA5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DFB467A" w14:textId="77777777" w:rsidR="00000000" w:rsidRDefault="00832D71">
            <w:pPr>
              <w:pStyle w:val="a3"/>
              <w:spacing w:before="0" w:beforeAutospacing="0" w:after="0" w:afterAutospacing="0"/>
              <w:jc w:val="center"/>
              <w:rPr>
                <w:sz w:val="20"/>
                <w:szCs w:val="20"/>
              </w:rPr>
            </w:pPr>
            <w:r>
              <w:rPr>
                <w:sz w:val="20"/>
                <w:szCs w:val="20"/>
              </w:rPr>
              <w:t>Cost of products sol</w:t>
            </w:r>
            <w:r>
              <w:rPr>
                <w:sz w:val="20"/>
                <w:szCs w:val="20"/>
              </w:rPr>
              <w:t>d</w:t>
            </w:r>
          </w:p>
        </w:tc>
        <w:tc>
          <w:tcPr>
            <w:tcW w:w="0" w:type="auto"/>
            <w:vAlign w:val="bottom"/>
            <w:hideMark/>
          </w:tcPr>
          <w:p w14:paraId="0BCB99C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CD6360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0E2F412" w14:textId="77777777" w:rsidR="00000000" w:rsidRDefault="00832D71">
            <w:pPr>
              <w:pStyle w:val="a3"/>
              <w:spacing w:before="0" w:beforeAutospacing="0" w:after="0" w:afterAutospacing="0"/>
              <w:jc w:val="right"/>
              <w:rPr>
                <w:sz w:val="20"/>
                <w:szCs w:val="20"/>
              </w:rPr>
            </w:pPr>
            <w:r>
              <w:rPr>
                <w:sz w:val="20"/>
                <w:szCs w:val="20"/>
              </w:rPr>
              <w:t>43,12</w:t>
            </w:r>
            <w:r>
              <w:rPr>
                <w:sz w:val="20"/>
                <w:szCs w:val="20"/>
              </w:rPr>
              <w:t>1</w:t>
            </w:r>
          </w:p>
        </w:tc>
        <w:tc>
          <w:tcPr>
            <w:tcW w:w="0" w:type="auto"/>
            <w:noWrap/>
            <w:vAlign w:val="bottom"/>
            <w:hideMark/>
          </w:tcPr>
          <w:p w14:paraId="7DBA2E5A" w14:textId="77777777" w:rsidR="00000000" w:rsidRDefault="00832D71">
            <w:pPr>
              <w:pStyle w:val="a3"/>
              <w:spacing w:before="0" w:beforeAutospacing="0" w:after="0" w:afterAutospacing="0"/>
              <w:rPr>
                <w:sz w:val="20"/>
                <w:szCs w:val="20"/>
              </w:rPr>
            </w:pPr>
            <w:r>
              <w:rPr>
                <w:sz w:val="20"/>
                <w:szCs w:val="20"/>
              </w:rPr>
              <w:t> </w:t>
            </w:r>
          </w:p>
        </w:tc>
      </w:tr>
      <w:tr w:rsidR="00000000" w14:paraId="12F68D0B" w14:textId="77777777">
        <w:trPr>
          <w:divId w:val="178618187"/>
          <w:tblCellSpacing w:w="15" w:type="dxa"/>
        </w:trPr>
        <w:tc>
          <w:tcPr>
            <w:tcW w:w="0" w:type="auto"/>
            <w:hideMark/>
          </w:tcPr>
          <w:p w14:paraId="5EADFB0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3855FE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EBC87D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1B33C8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42624E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6631A59" w14:textId="77777777" w:rsidR="00000000" w:rsidRDefault="00832D71">
            <w:pPr>
              <w:pStyle w:val="a3"/>
              <w:spacing w:before="0" w:beforeAutospacing="0" w:after="0" w:afterAutospacing="0"/>
              <w:jc w:val="right"/>
              <w:rPr>
                <w:sz w:val="20"/>
                <w:szCs w:val="20"/>
              </w:rPr>
            </w:pPr>
            <w:r>
              <w:rPr>
                <w:sz w:val="20"/>
                <w:szCs w:val="20"/>
              </w:rPr>
              <w:t> </w:t>
            </w:r>
          </w:p>
        </w:tc>
      </w:tr>
      <w:tr w:rsidR="00000000" w14:paraId="563F0F4F" w14:textId="77777777">
        <w:trPr>
          <w:divId w:val="178618187"/>
          <w:trHeight w:val="200"/>
          <w:tblCellSpacing w:w="15" w:type="dxa"/>
        </w:trPr>
        <w:tc>
          <w:tcPr>
            <w:tcW w:w="0" w:type="auto"/>
            <w:hideMark/>
          </w:tcPr>
          <w:p w14:paraId="178DA821" w14:textId="77777777" w:rsidR="00000000" w:rsidRDefault="00832D71">
            <w:pPr>
              <w:pStyle w:val="a3"/>
              <w:spacing w:before="0" w:beforeAutospacing="0" w:after="0" w:afterAutospacing="0"/>
              <w:ind w:left="200"/>
              <w:rPr>
                <w:sz w:val="20"/>
                <w:szCs w:val="20"/>
              </w:rPr>
            </w:pPr>
            <w:r>
              <w:rPr>
                <w:sz w:val="20"/>
                <w:szCs w:val="20"/>
              </w:rPr>
              <w:t>Fiscal 202</w:t>
            </w:r>
            <w:r>
              <w:rPr>
                <w:sz w:val="20"/>
                <w:szCs w:val="20"/>
              </w:rPr>
              <w:t>0</w:t>
            </w:r>
          </w:p>
        </w:tc>
        <w:tc>
          <w:tcPr>
            <w:tcW w:w="0" w:type="auto"/>
            <w:vAlign w:val="bottom"/>
            <w:hideMark/>
          </w:tcPr>
          <w:p w14:paraId="3077B84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BE46D47" w14:textId="77777777" w:rsidR="00000000" w:rsidRDefault="00832D71">
            <w:pPr>
              <w:pStyle w:val="a3"/>
              <w:spacing w:before="0" w:beforeAutospacing="0" w:after="0" w:afterAutospacing="0"/>
              <w:jc w:val="center"/>
              <w:rPr>
                <w:sz w:val="20"/>
                <w:szCs w:val="20"/>
              </w:rPr>
            </w:pPr>
            <w:r>
              <w:rPr>
                <w:sz w:val="20"/>
                <w:szCs w:val="20"/>
              </w:rPr>
              <w:t>Cost of products sol</w:t>
            </w:r>
            <w:r>
              <w:rPr>
                <w:sz w:val="20"/>
                <w:szCs w:val="20"/>
              </w:rPr>
              <w:t>d</w:t>
            </w:r>
          </w:p>
        </w:tc>
        <w:tc>
          <w:tcPr>
            <w:tcW w:w="0" w:type="auto"/>
            <w:vAlign w:val="bottom"/>
            <w:hideMark/>
          </w:tcPr>
          <w:p w14:paraId="05412A9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00AB43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5AFD2DC" w14:textId="77777777" w:rsidR="00000000" w:rsidRDefault="00832D71">
            <w:pPr>
              <w:pStyle w:val="a3"/>
              <w:spacing w:before="0" w:beforeAutospacing="0" w:after="0" w:afterAutospacing="0"/>
              <w:jc w:val="right"/>
              <w:rPr>
                <w:sz w:val="20"/>
                <w:szCs w:val="20"/>
              </w:rPr>
            </w:pPr>
            <w:r>
              <w:rPr>
                <w:sz w:val="20"/>
                <w:szCs w:val="20"/>
              </w:rPr>
              <w:t>(</w:t>
            </w:r>
            <w:r>
              <w:rPr>
                <w:sz w:val="20"/>
                <w:szCs w:val="20"/>
              </w:rPr>
              <w:t>38</w:t>
            </w:r>
            <w:r>
              <w:rPr>
                <w:sz w:val="20"/>
                <w:szCs w:val="20"/>
              </w:rPr>
              <w:t>2</w:t>
            </w:r>
          </w:p>
        </w:tc>
        <w:tc>
          <w:tcPr>
            <w:tcW w:w="0" w:type="auto"/>
            <w:noWrap/>
            <w:vAlign w:val="bottom"/>
            <w:hideMark/>
          </w:tcPr>
          <w:p w14:paraId="6538FC97" w14:textId="77777777" w:rsidR="00000000" w:rsidRDefault="00832D71">
            <w:pPr>
              <w:pStyle w:val="a3"/>
              <w:spacing w:before="0" w:beforeAutospacing="0" w:after="0" w:afterAutospacing="0"/>
              <w:rPr>
                <w:sz w:val="20"/>
                <w:szCs w:val="20"/>
              </w:rPr>
            </w:pPr>
            <w:r>
              <w:rPr>
                <w:sz w:val="20"/>
                <w:szCs w:val="20"/>
              </w:rPr>
              <w:t>)</w:t>
            </w:r>
          </w:p>
        </w:tc>
      </w:tr>
    </w:tbl>
    <w:p w14:paraId="4C3B3D77" w14:textId="77777777" w:rsidR="00000000" w:rsidRDefault="00832D71">
      <w:pPr>
        <w:pStyle w:val="a3"/>
        <w:spacing w:before="0" w:beforeAutospacing="0" w:after="0" w:afterAutospacing="0"/>
        <w:divId w:val="1762481692"/>
        <w:rPr>
          <w:sz w:val="20"/>
          <w:szCs w:val="20"/>
        </w:rPr>
      </w:pPr>
      <w:r>
        <w:rPr>
          <w:sz w:val="20"/>
          <w:szCs w:val="20"/>
        </w:rPr>
        <w:t> </w:t>
      </w:r>
    </w:p>
    <w:p w14:paraId="17B1CA10" w14:textId="77777777" w:rsidR="00000000" w:rsidRDefault="00832D71">
      <w:pPr>
        <w:pStyle w:val="a3"/>
        <w:spacing w:before="0" w:beforeAutospacing="0" w:after="0" w:afterAutospacing="0"/>
        <w:divId w:val="1762481692"/>
        <w:rPr>
          <w:sz w:val="20"/>
          <w:szCs w:val="20"/>
        </w:rPr>
      </w:pPr>
      <w:r>
        <w:rPr>
          <w:sz w:val="20"/>
          <w:szCs w:val="20"/>
        </w:rPr>
        <w:t> </w:t>
      </w:r>
    </w:p>
    <w:p w14:paraId="1AA17466" w14:textId="77777777" w:rsidR="00000000" w:rsidRDefault="00832D71">
      <w:pPr>
        <w:pStyle w:val="a3"/>
        <w:spacing w:before="0" w:beforeAutospacing="0" w:after="0" w:afterAutospacing="0"/>
        <w:jc w:val="both"/>
        <w:divId w:val="1645432370"/>
        <w:rPr>
          <w:sz w:val="20"/>
          <w:szCs w:val="20"/>
        </w:rPr>
      </w:pPr>
      <w:r>
        <w:rPr>
          <w:sz w:val="20"/>
          <w:szCs w:val="20"/>
        </w:rPr>
        <w:t>The following table presents the fair value of the Partnership’s recognized derivative assets and liabilities on a gross basis and amounts offset on the consolidated balance sheets subject to enforceable master netting arrangements or similar agreements</w:t>
      </w:r>
      <w:r>
        <w:rPr>
          <w:sz w:val="20"/>
          <w:szCs w:val="20"/>
        </w:rPr>
        <w:t>:</w:t>
      </w:r>
    </w:p>
    <w:p w14:paraId="3EFB2374" w14:textId="77777777" w:rsidR="00000000" w:rsidRDefault="00832D71">
      <w:pPr>
        <w:pStyle w:val="a3"/>
        <w:spacing w:before="0" w:beforeAutospacing="0" w:after="0" w:afterAutospacing="0"/>
        <w:divId w:val="164543237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509"/>
        <w:gridCol w:w="110"/>
        <w:gridCol w:w="160"/>
        <w:gridCol w:w="964"/>
        <w:gridCol w:w="110"/>
        <w:gridCol w:w="110"/>
        <w:gridCol w:w="160"/>
        <w:gridCol w:w="1098"/>
        <w:gridCol w:w="127"/>
        <w:gridCol w:w="110"/>
        <w:gridCol w:w="160"/>
        <w:gridCol w:w="902"/>
        <w:gridCol w:w="125"/>
      </w:tblGrid>
      <w:tr w:rsidR="00000000" w14:paraId="13535E86" w14:textId="77777777">
        <w:trPr>
          <w:divId w:val="1645432370"/>
          <w:tblCellSpacing w:w="15" w:type="dxa"/>
        </w:trPr>
        <w:tc>
          <w:tcPr>
            <w:tcW w:w="2045" w:type="pct"/>
            <w:vAlign w:val="center"/>
            <w:hideMark/>
          </w:tcPr>
          <w:p w14:paraId="438BEE09" w14:textId="77777777" w:rsidR="00000000" w:rsidRDefault="00832D71">
            <w:pPr>
              <w:rPr>
                <w:sz w:val="20"/>
                <w:szCs w:val="20"/>
              </w:rPr>
            </w:pPr>
          </w:p>
        </w:tc>
        <w:tc>
          <w:tcPr>
            <w:tcW w:w="49" w:type="pct"/>
            <w:vAlign w:val="center"/>
            <w:hideMark/>
          </w:tcPr>
          <w:p w14:paraId="6A37A164" w14:textId="77777777" w:rsidR="00000000" w:rsidRDefault="00832D71">
            <w:pPr>
              <w:rPr>
                <w:rFonts w:eastAsia="Times New Roman"/>
                <w:sz w:val="20"/>
                <w:szCs w:val="20"/>
              </w:rPr>
            </w:pPr>
          </w:p>
        </w:tc>
        <w:tc>
          <w:tcPr>
            <w:tcW w:w="50" w:type="pct"/>
            <w:vAlign w:val="center"/>
            <w:hideMark/>
          </w:tcPr>
          <w:p w14:paraId="73375629" w14:textId="77777777" w:rsidR="00000000" w:rsidRDefault="00832D71">
            <w:pPr>
              <w:rPr>
                <w:rFonts w:eastAsia="Times New Roman"/>
                <w:sz w:val="20"/>
                <w:szCs w:val="20"/>
              </w:rPr>
            </w:pPr>
          </w:p>
        </w:tc>
        <w:tc>
          <w:tcPr>
            <w:tcW w:w="816" w:type="pct"/>
            <w:vAlign w:val="center"/>
            <w:hideMark/>
          </w:tcPr>
          <w:p w14:paraId="2CF1651F" w14:textId="77777777" w:rsidR="00000000" w:rsidRDefault="00832D71">
            <w:pPr>
              <w:rPr>
                <w:rFonts w:eastAsia="Times New Roman"/>
                <w:sz w:val="20"/>
                <w:szCs w:val="20"/>
              </w:rPr>
            </w:pPr>
          </w:p>
        </w:tc>
        <w:tc>
          <w:tcPr>
            <w:tcW w:w="50" w:type="pct"/>
            <w:vAlign w:val="center"/>
            <w:hideMark/>
          </w:tcPr>
          <w:p w14:paraId="43C12469" w14:textId="77777777" w:rsidR="00000000" w:rsidRDefault="00832D71">
            <w:pPr>
              <w:rPr>
                <w:rFonts w:eastAsia="Times New Roman"/>
                <w:sz w:val="20"/>
                <w:szCs w:val="20"/>
              </w:rPr>
            </w:pPr>
          </w:p>
        </w:tc>
        <w:tc>
          <w:tcPr>
            <w:tcW w:w="49" w:type="pct"/>
            <w:vAlign w:val="center"/>
            <w:hideMark/>
          </w:tcPr>
          <w:p w14:paraId="639EBB4A" w14:textId="77777777" w:rsidR="00000000" w:rsidRDefault="00832D71">
            <w:pPr>
              <w:rPr>
                <w:rFonts w:eastAsia="Times New Roman"/>
                <w:sz w:val="20"/>
                <w:szCs w:val="20"/>
              </w:rPr>
            </w:pPr>
          </w:p>
        </w:tc>
        <w:tc>
          <w:tcPr>
            <w:tcW w:w="50" w:type="pct"/>
            <w:vAlign w:val="center"/>
            <w:hideMark/>
          </w:tcPr>
          <w:p w14:paraId="5B83FC58" w14:textId="77777777" w:rsidR="00000000" w:rsidRDefault="00832D71">
            <w:pPr>
              <w:rPr>
                <w:rFonts w:eastAsia="Times New Roman"/>
                <w:sz w:val="20"/>
                <w:szCs w:val="20"/>
              </w:rPr>
            </w:pPr>
          </w:p>
        </w:tc>
        <w:tc>
          <w:tcPr>
            <w:tcW w:w="923" w:type="pct"/>
            <w:vAlign w:val="center"/>
            <w:hideMark/>
          </w:tcPr>
          <w:p w14:paraId="71749C79" w14:textId="77777777" w:rsidR="00000000" w:rsidRDefault="00832D71">
            <w:pPr>
              <w:rPr>
                <w:rFonts w:eastAsia="Times New Roman"/>
                <w:sz w:val="20"/>
                <w:szCs w:val="20"/>
              </w:rPr>
            </w:pPr>
          </w:p>
        </w:tc>
        <w:tc>
          <w:tcPr>
            <w:tcW w:w="50" w:type="pct"/>
            <w:vAlign w:val="center"/>
            <w:hideMark/>
          </w:tcPr>
          <w:p w14:paraId="21A3CC5D" w14:textId="77777777" w:rsidR="00000000" w:rsidRDefault="00832D71">
            <w:pPr>
              <w:rPr>
                <w:rFonts w:eastAsia="Times New Roman"/>
                <w:sz w:val="20"/>
                <w:szCs w:val="20"/>
              </w:rPr>
            </w:pPr>
          </w:p>
        </w:tc>
        <w:tc>
          <w:tcPr>
            <w:tcW w:w="49" w:type="pct"/>
            <w:vAlign w:val="center"/>
            <w:hideMark/>
          </w:tcPr>
          <w:p w14:paraId="23E3CFBF" w14:textId="77777777" w:rsidR="00000000" w:rsidRDefault="00832D71">
            <w:pPr>
              <w:rPr>
                <w:rFonts w:eastAsia="Times New Roman"/>
                <w:sz w:val="20"/>
                <w:szCs w:val="20"/>
              </w:rPr>
            </w:pPr>
          </w:p>
        </w:tc>
        <w:tc>
          <w:tcPr>
            <w:tcW w:w="50" w:type="pct"/>
            <w:vAlign w:val="center"/>
            <w:hideMark/>
          </w:tcPr>
          <w:p w14:paraId="75A5A28F" w14:textId="77777777" w:rsidR="00000000" w:rsidRDefault="00832D71">
            <w:pPr>
              <w:rPr>
                <w:rFonts w:eastAsia="Times New Roman"/>
                <w:sz w:val="20"/>
                <w:szCs w:val="20"/>
              </w:rPr>
            </w:pPr>
          </w:p>
        </w:tc>
        <w:tc>
          <w:tcPr>
            <w:tcW w:w="766" w:type="pct"/>
            <w:vAlign w:val="center"/>
            <w:hideMark/>
          </w:tcPr>
          <w:p w14:paraId="6E5A2F6C" w14:textId="77777777" w:rsidR="00000000" w:rsidRDefault="00832D71">
            <w:pPr>
              <w:rPr>
                <w:rFonts w:eastAsia="Times New Roman"/>
                <w:sz w:val="20"/>
                <w:szCs w:val="20"/>
              </w:rPr>
            </w:pPr>
          </w:p>
        </w:tc>
        <w:tc>
          <w:tcPr>
            <w:tcW w:w="50" w:type="pct"/>
            <w:vAlign w:val="center"/>
            <w:hideMark/>
          </w:tcPr>
          <w:p w14:paraId="14DA3C98" w14:textId="77777777" w:rsidR="00000000" w:rsidRDefault="00832D71">
            <w:pPr>
              <w:rPr>
                <w:rFonts w:eastAsia="Times New Roman"/>
                <w:sz w:val="20"/>
                <w:szCs w:val="20"/>
              </w:rPr>
            </w:pPr>
          </w:p>
        </w:tc>
      </w:tr>
      <w:tr w:rsidR="00000000" w14:paraId="198A234A" w14:textId="77777777">
        <w:trPr>
          <w:divId w:val="1645432370"/>
          <w:trHeight w:val="160"/>
          <w:tblCellSpacing w:w="15" w:type="dxa"/>
        </w:trPr>
        <w:tc>
          <w:tcPr>
            <w:tcW w:w="0" w:type="auto"/>
            <w:vAlign w:val="bottom"/>
            <w:hideMark/>
          </w:tcPr>
          <w:p w14:paraId="005E0337"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1AE01DD" w14:textId="77777777" w:rsidR="00000000" w:rsidRDefault="00832D71">
            <w:pPr>
              <w:pStyle w:val="a3"/>
              <w:spacing w:before="0" w:beforeAutospacing="0" w:after="0" w:afterAutospacing="0"/>
              <w:rPr>
                <w:sz w:val="16"/>
                <w:szCs w:val="16"/>
              </w:rPr>
            </w:pPr>
            <w:r>
              <w:rPr>
                <w:sz w:val="16"/>
                <w:szCs w:val="16"/>
              </w:rPr>
              <w:t> </w:t>
            </w:r>
          </w:p>
        </w:tc>
        <w:tc>
          <w:tcPr>
            <w:tcW w:w="0" w:type="auto"/>
            <w:gridSpan w:val="10"/>
            <w:vAlign w:val="bottom"/>
            <w:hideMark/>
          </w:tcPr>
          <w:p w14:paraId="7B8A4D8E" w14:textId="77777777" w:rsidR="00000000" w:rsidRDefault="00832D71">
            <w:pPr>
              <w:pStyle w:val="a3"/>
              <w:spacing w:before="0" w:beforeAutospacing="0" w:after="0" w:afterAutospacing="0"/>
              <w:jc w:val="center"/>
              <w:rPr>
                <w:sz w:val="16"/>
                <w:szCs w:val="16"/>
              </w:rPr>
            </w:pPr>
            <w:r>
              <w:rPr>
                <w:b/>
                <w:bCs/>
                <w:sz w:val="16"/>
                <w:szCs w:val="16"/>
              </w:rPr>
              <w:t>As of September 24, 202</w:t>
            </w:r>
            <w:r>
              <w:rPr>
                <w:b/>
                <w:bCs/>
                <w:sz w:val="16"/>
                <w:szCs w:val="16"/>
              </w:rPr>
              <w:t>2</w:t>
            </w:r>
          </w:p>
        </w:tc>
        <w:tc>
          <w:tcPr>
            <w:tcW w:w="0" w:type="auto"/>
            <w:vAlign w:val="bottom"/>
            <w:hideMark/>
          </w:tcPr>
          <w:p w14:paraId="03CE39C0"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1F8DEFD2" w14:textId="77777777">
        <w:trPr>
          <w:divId w:val="1645432370"/>
          <w:trHeight w:val="160"/>
          <w:tblCellSpacing w:w="15" w:type="dxa"/>
        </w:trPr>
        <w:tc>
          <w:tcPr>
            <w:tcW w:w="0" w:type="auto"/>
            <w:vAlign w:val="bottom"/>
            <w:hideMark/>
          </w:tcPr>
          <w:p w14:paraId="63788B9F"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291466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A45B521"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F428E2E"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755305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A2D155B"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E993F64"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821B89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0B27954" w14:textId="77777777" w:rsidR="00000000" w:rsidRDefault="00832D71">
            <w:pPr>
              <w:pStyle w:val="a3"/>
              <w:spacing w:before="0" w:beforeAutospacing="0" w:after="0" w:afterAutospacing="0"/>
              <w:jc w:val="center"/>
              <w:rPr>
                <w:sz w:val="16"/>
                <w:szCs w:val="16"/>
              </w:rPr>
            </w:pPr>
            <w:r>
              <w:rPr>
                <w:b/>
                <w:bCs/>
                <w:sz w:val="16"/>
                <w:szCs w:val="16"/>
              </w:rPr>
              <w:t>Net amount</w:t>
            </w:r>
            <w:r>
              <w:rPr>
                <w:b/>
                <w:bCs/>
                <w:sz w:val="16"/>
                <w:szCs w:val="16"/>
              </w:rPr>
              <w:t>s</w:t>
            </w:r>
          </w:p>
        </w:tc>
        <w:tc>
          <w:tcPr>
            <w:tcW w:w="0" w:type="auto"/>
            <w:vAlign w:val="bottom"/>
            <w:hideMark/>
          </w:tcPr>
          <w:p w14:paraId="69E55F82"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2084931" w14:textId="77777777">
        <w:trPr>
          <w:divId w:val="1645432370"/>
          <w:trHeight w:val="160"/>
          <w:tblCellSpacing w:w="15" w:type="dxa"/>
        </w:trPr>
        <w:tc>
          <w:tcPr>
            <w:tcW w:w="0" w:type="auto"/>
            <w:vAlign w:val="bottom"/>
            <w:hideMark/>
          </w:tcPr>
          <w:p w14:paraId="23360CDA"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B97DE8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C420C3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CDB3B9F"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18B31F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4084CC3"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D7596A0"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320646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CB862AA" w14:textId="77777777" w:rsidR="00000000" w:rsidRDefault="00832D71">
            <w:pPr>
              <w:pStyle w:val="a3"/>
              <w:spacing w:before="0" w:beforeAutospacing="0" w:after="0" w:afterAutospacing="0"/>
              <w:jc w:val="center"/>
              <w:rPr>
                <w:sz w:val="16"/>
                <w:szCs w:val="16"/>
              </w:rPr>
            </w:pPr>
            <w:r>
              <w:rPr>
                <w:b/>
                <w:bCs/>
                <w:sz w:val="16"/>
                <w:szCs w:val="16"/>
              </w:rPr>
              <w:t>presented in th</w:t>
            </w:r>
            <w:r>
              <w:rPr>
                <w:b/>
                <w:bCs/>
                <w:sz w:val="16"/>
                <w:szCs w:val="16"/>
              </w:rPr>
              <w:t>e</w:t>
            </w:r>
          </w:p>
        </w:tc>
        <w:tc>
          <w:tcPr>
            <w:tcW w:w="0" w:type="auto"/>
            <w:vAlign w:val="bottom"/>
            <w:hideMark/>
          </w:tcPr>
          <w:p w14:paraId="68ADE3C7"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1C194364" w14:textId="77777777">
        <w:trPr>
          <w:divId w:val="1645432370"/>
          <w:trHeight w:val="160"/>
          <w:tblCellSpacing w:w="15" w:type="dxa"/>
        </w:trPr>
        <w:tc>
          <w:tcPr>
            <w:tcW w:w="0" w:type="auto"/>
            <w:vAlign w:val="bottom"/>
            <w:hideMark/>
          </w:tcPr>
          <w:p w14:paraId="42ECDF53"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4405D2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4436204" w14:textId="77777777" w:rsidR="00000000" w:rsidRDefault="00832D71">
            <w:pPr>
              <w:pStyle w:val="a3"/>
              <w:spacing w:before="0" w:beforeAutospacing="0" w:after="0" w:afterAutospacing="0"/>
              <w:jc w:val="center"/>
              <w:rPr>
                <w:sz w:val="16"/>
                <w:szCs w:val="16"/>
              </w:rPr>
            </w:pPr>
            <w:r>
              <w:rPr>
                <w:b/>
                <w:bCs/>
                <w:sz w:val="16"/>
                <w:szCs w:val="16"/>
              </w:rPr>
              <w:t>Gross amount</w:t>
            </w:r>
            <w:r>
              <w:rPr>
                <w:b/>
                <w:bCs/>
                <w:sz w:val="16"/>
                <w:szCs w:val="16"/>
              </w:rPr>
              <w:t>s</w:t>
            </w:r>
          </w:p>
        </w:tc>
        <w:tc>
          <w:tcPr>
            <w:tcW w:w="0" w:type="auto"/>
            <w:vAlign w:val="bottom"/>
            <w:hideMark/>
          </w:tcPr>
          <w:p w14:paraId="2813DEB0"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D52D85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E4313C5" w14:textId="77777777" w:rsidR="00000000" w:rsidRDefault="00832D71">
            <w:pPr>
              <w:pStyle w:val="a3"/>
              <w:spacing w:before="0" w:beforeAutospacing="0" w:after="0" w:afterAutospacing="0"/>
              <w:jc w:val="center"/>
              <w:rPr>
                <w:sz w:val="16"/>
                <w:szCs w:val="16"/>
              </w:rPr>
            </w:pPr>
            <w:r>
              <w:rPr>
                <w:b/>
                <w:bCs/>
                <w:sz w:val="16"/>
                <w:szCs w:val="16"/>
              </w:rPr>
              <w:t>Effects of nettin</w:t>
            </w:r>
            <w:r>
              <w:rPr>
                <w:b/>
                <w:bCs/>
                <w:sz w:val="16"/>
                <w:szCs w:val="16"/>
              </w:rPr>
              <w:t>g</w:t>
            </w:r>
          </w:p>
        </w:tc>
        <w:tc>
          <w:tcPr>
            <w:tcW w:w="0" w:type="auto"/>
            <w:vAlign w:val="bottom"/>
            <w:hideMark/>
          </w:tcPr>
          <w:p w14:paraId="3E5A37F2"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6210E6A"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D32C7A1" w14:textId="77777777" w:rsidR="00000000" w:rsidRDefault="00832D71">
            <w:pPr>
              <w:pStyle w:val="a3"/>
              <w:spacing w:before="0" w:beforeAutospacing="0" w:after="0" w:afterAutospacing="0"/>
              <w:jc w:val="center"/>
              <w:rPr>
                <w:sz w:val="16"/>
                <w:szCs w:val="16"/>
              </w:rPr>
            </w:pPr>
            <w:r>
              <w:rPr>
                <w:b/>
                <w:bCs/>
                <w:sz w:val="16"/>
                <w:szCs w:val="16"/>
              </w:rPr>
              <w:t>balance shee</w:t>
            </w:r>
            <w:r>
              <w:rPr>
                <w:b/>
                <w:bCs/>
                <w:sz w:val="16"/>
                <w:szCs w:val="16"/>
              </w:rPr>
              <w:t>t</w:t>
            </w:r>
          </w:p>
        </w:tc>
        <w:tc>
          <w:tcPr>
            <w:tcW w:w="0" w:type="auto"/>
            <w:vAlign w:val="bottom"/>
            <w:hideMark/>
          </w:tcPr>
          <w:p w14:paraId="00216480"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525B858D" w14:textId="77777777">
        <w:trPr>
          <w:divId w:val="1645432370"/>
          <w:trHeight w:val="200"/>
          <w:tblCellSpacing w:w="15" w:type="dxa"/>
        </w:trPr>
        <w:tc>
          <w:tcPr>
            <w:tcW w:w="0" w:type="auto"/>
            <w:hideMark/>
          </w:tcPr>
          <w:p w14:paraId="103B1259" w14:textId="77777777" w:rsidR="00000000" w:rsidRDefault="00832D71">
            <w:pPr>
              <w:pStyle w:val="a3"/>
              <w:spacing w:before="0" w:beforeAutospacing="0" w:after="0" w:afterAutospacing="0"/>
              <w:rPr>
                <w:sz w:val="20"/>
                <w:szCs w:val="20"/>
              </w:rPr>
            </w:pPr>
            <w:r>
              <w:rPr>
                <w:b/>
                <w:bCs/>
                <w:sz w:val="20"/>
                <w:szCs w:val="20"/>
              </w:rPr>
              <w:t>Asset Derivative</w:t>
            </w:r>
            <w:r>
              <w:rPr>
                <w:b/>
                <w:bCs/>
                <w:sz w:val="20"/>
                <w:szCs w:val="20"/>
              </w:rPr>
              <w:t>s</w:t>
            </w:r>
          </w:p>
        </w:tc>
        <w:tc>
          <w:tcPr>
            <w:tcW w:w="0" w:type="auto"/>
            <w:hideMark/>
          </w:tcPr>
          <w:p w14:paraId="453B98FA"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A6894F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926F7DC"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26FF74A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12A502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F51D830"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41DF721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429CA1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23A51A9" w14:textId="77777777" w:rsidR="00000000" w:rsidRDefault="00832D71">
            <w:pPr>
              <w:pStyle w:val="a3"/>
              <w:spacing w:before="0" w:beforeAutospacing="0" w:after="0" w:afterAutospacing="0"/>
              <w:jc w:val="right"/>
              <w:rPr>
                <w:sz w:val="20"/>
                <w:szCs w:val="20"/>
              </w:rPr>
            </w:pPr>
            <w:r>
              <w:rPr>
                <w:sz w:val="20"/>
                <w:szCs w:val="20"/>
              </w:rPr>
              <w:t> </w:t>
            </w:r>
          </w:p>
        </w:tc>
      </w:tr>
      <w:tr w:rsidR="00000000" w14:paraId="04ABC03B" w14:textId="77777777">
        <w:trPr>
          <w:divId w:val="1645432370"/>
          <w:trHeight w:val="200"/>
          <w:tblCellSpacing w:w="15" w:type="dxa"/>
        </w:trPr>
        <w:tc>
          <w:tcPr>
            <w:tcW w:w="0" w:type="auto"/>
            <w:hideMark/>
          </w:tcPr>
          <w:p w14:paraId="1C1F652A" w14:textId="77777777" w:rsidR="00000000" w:rsidRDefault="00832D71">
            <w:pPr>
              <w:pStyle w:val="a3"/>
              <w:spacing w:before="0" w:beforeAutospacing="0" w:after="0" w:afterAutospacing="0"/>
              <w:rPr>
                <w:sz w:val="20"/>
                <w:szCs w:val="20"/>
              </w:rPr>
            </w:pPr>
            <w:r>
              <w:rPr>
                <w:sz w:val="20"/>
                <w:szCs w:val="20"/>
              </w:rPr>
              <w:t>Commodity-related derivative</w:t>
            </w:r>
            <w:r>
              <w:rPr>
                <w:sz w:val="20"/>
                <w:szCs w:val="20"/>
              </w:rPr>
              <w:t>s</w:t>
            </w:r>
          </w:p>
        </w:tc>
        <w:tc>
          <w:tcPr>
            <w:tcW w:w="0" w:type="auto"/>
            <w:hideMark/>
          </w:tcPr>
          <w:p w14:paraId="7B78C82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3A3A6C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8432BD8" w14:textId="77777777" w:rsidR="00000000" w:rsidRDefault="00832D71">
            <w:pPr>
              <w:pStyle w:val="a3"/>
              <w:spacing w:before="0" w:beforeAutospacing="0" w:after="0" w:afterAutospacing="0"/>
              <w:jc w:val="right"/>
              <w:rPr>
                <w:sz w:val="20"/>
                <w:szCs w:val="20"/>
              </w:rPr>
            </w:pPr>
            <w:r>
              <w:rPr>
                <w:sz w:val="20"/>
                <w:szCs w:val="20"/>
              </w:rPr>
              <w:t>117,26</w:t>
            </w:r>
            <w:r>
              <w:rPr>
                <w:sz w:val="20"/>
                <w:szCs w:val="20"/>
              </w:rPr>
              <w:t>0</w:t>
            </w:r>
          </w:p>
        </w:tc>
        <w:tc>
          <w:tcPr>
            <w:tcW w:w="0" w:type="auto"/>
            <w:noWrap/>
            <w:vAlign w:val="bottom"/>
            <w:hideMark/>
          </w:tcPr>
          <w:p w14:paraId="63F5AC5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2E2AD7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D25E98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27DA3F6" w14:textId="77777777" w:rsidR="00000000" w:rsidRDefault="00832D71">
            <w:pPr>
              <w:pStyle w:val="a3"/>
              <w:spacing w:before="0" w:beforeAutospacing="0" w:after="0" w:afterAutospacing="0"/>
              <w:jc w:val="right"/>
              <w:rPr>
                <w:sz w:val="20"/>
                <w:szCs w:val="20"/>
              </w:rPr>
            </w:pPr>
            <w:r>
              <w:rPr>
                <w:sz w:val="20"/>
                <w:szCs w:val="20"/>
              </w:rPr>
              <w:t>(</w:t>
            </w:r>
            <w:r>
              <w:rPr>
                <w:sz w:val="20"/>
                <w:szCs w:val="20"/>
              </w:rPr>
              <w:t>82,56</w:t>
            </w:r>
            <w:r>
              <w:rPr>
                <w:sz w:val="20"/>
                <w:szCs w:val="20"/>
              </w:rPr>
              <w:t>7</w:t>
            </w:r>
          </w:p>
        </w:tc>
        <w:tc>
          <w:tcPr>
            <w:tcW w:w="0" w:type="auto"/>
            <w:noWrap/>
            <w:vAlign w:val="bottom"/>
            <w:hideMark/>
          </w:tcPr>
          <w:p w14:paraId="4907D0C2"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BE08BC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05E267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6F62AF3" w14:textId="77777777" w:rsidR="00000000" w:rsidRDefault="00832D71">
            <w:pPr>
              <w:pStyle w:val="a3"/>
              <w:spacing w:before="0" w:beforeAutospacing="0" w:after="0" w:afterAutospacing="0"/>
              <w:jc w:val="right"/>
              <w:rPr>
                <w:sz w:val="20"/>
                <w:szCs w:val="20"/>
              </w:rPr>
            </w:pPr>
            <w:r>
              <w:rPr>
                <w:sz w:val="20"/>
                <w:szCs w:val="20"/>
              </w:rPr>
              <w:t>34,69</w:t>
            </w:r>
            <w:r>
              <w:rPr>
                <w:sz w:val="20"/>
                <w:szCs w:val="20"/>
              </w:rPr>
              <w:t>3</w:t>
            </w:r>
          </w:p>
        </w:tc>
        <w:tc>
          <w:tcPr>
            <w:tcW w:w="0" w:type="auto"/>
            <w:noWrap/>
            <w:vAlign w:val="bottom"/>
            <w:hideMark/>
          </w:tcPr>
          <w:p w14:paraId="1CDA7AF5" w14:textId="77777777" w:rsidR="00000000" w:rsidRDefault="00832D71">
            <w:pPr>
              <w:pStyle w:val="a3"/>
              <w:spacing w:before="0" w:beforeAutospacing="0" w:after="0" w:afterAutospacing="0"/>
              <w:rPr>
                <w:sz w:val="20"/>
                <w:szCs w:val="20"/>
              </w:rPr>
            </w:pPr>
            <w:r>
              <w:rPr>
                <w:sz w:val="20"/>
                <w:szCs w:val="20"/>
              </w:rPr>
              <w:t> </w:t>
            </w:r>
          </w:p>
        </w:tc>
      </w:tr>
      <w:tr w:rsidR="00000000" w14:paraId="7336AC5B" w14:textId="77777777">
        <w:trPr>
          <w:divId w:val="1645432370"/>
          <w:trHeight w:val="200"/>
          <w:tblCellSpacing w:w="15" w:type="dxa"/>
        </w:trPr>
        <w:tc>
          <w:tcPr>
            <w:tcW w:w="0" w:type="auto"/>
            <w:hideMark/>
          </w:tcPr>
          <w:p w14:paraId="4BFA45E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B5806F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B10AC2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9A8BC91" w14:textId="77777777" w:rsidR="00000000" w:rsidRDefault="00832D71">
            <w:pPr>
              <w:pStyle w:val="a3"/>
              <w:spacing w:before="0" w:beforeAutospacing="0" w:after="0" w:afterAutospacing="0"/>
              <w:jc w:val="right"/>
              <w:rPr>
                <w:sz w:val="20"/>
                <w:szCs w:val="20"/>
              </w:rPr>
            </w:pPr>
            <w:r>
              <w:rPr>
                <w:sz w:val="20"/>
                <w:szCs w:val="20"/>
              </w:rPr>
              <w:t>117,26</w:t>
            </w:r>
            <w:r>
              <w:rPr>
                <w:sz w:val="20"/>
                <w:szCs w:val="20"/>
              </w:rPr>
              <w:t>0</w:t>
            </w:r>
          </w:p>
        </w:tc>
        <w:tc>
          <w:tcPr>
            <w:tcW w:w="0" w:type="auto"/>
            <w:noWrap/>
            <w:vAlign w:val="bottom"/>
            <w:hideMark/>
          </w:tcPr>
          <w:p w14:paraId="4956D83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3B0E7F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4C05EA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2FBF7AB" w14:textId="77777777" w:rsidR="00000000" w:rsidRDefault="00832D71">
            <w:pPr>
              <w:pStyle w:val="a3"/>
              <w:spacing w:before="0" w:beforeAutospacing="0" w:after="0" w:afterAutospacing="0"/>
              <w:jc w:val="right"/>
              <w:rPr>
                <w:sz w:val="20"/>
                <w:szCs w:val="20"/>
              </w:rPr>
            </w:pPr>
            <w:r>
              <w:rPr>
                <w:sz w:val="20"/>
                <w:szCs w:val="20"/>
              </w:rPr>
              <w:t>(</w:t>
            </w:r>
            <w:r>
              <w:rPr>
                <w:sz w:val="20"/>
                <w:szCs w:val="20"/>
              </w:rPr>
              <w:t>82,56</w:t>
            </w:r>
            <w:r>
              <w:rPr>
                <w:sz w:val="20"/>
                <w:szCs w:val="20"/>
              </w:rPr>
              <w:t>7</w:t>
            </w:r>
          </w:p>
        </w:tc>
        <w:tc>
          <w:tcPr>
            <w:tcW w:w="0" w:type="auto"/>
            <w:noWrap/>
            <w:vAlign w:val="bottom"/>
            <w:hideMark/>
          </w:tcPr>
          <w:p w14:paraId="47595481"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90BBC9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24EE3F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78D59C6" w14:textId="77777777" w:rsidR="00000000" w:rsidRDefault="00832D71">
            <w:pPr>
              <w:pStyle w:val="a3"/>
              <w:spacing w:before="0" w:beforeAutospacing="0" w:after="0" w:afterAutospacing="0"/>
              <w:jc w:val="right"/>
              <w:rPr>
                <w:sz w:val="20"/>
                <w:szCs w:val="20"/>
              </w:rPr>
            </w:pPr>
            <w:r>
              <w:rPr>
                <w:sz w:val="20"/>
                <w:szCs w:val="20"/>
              </w:rPr>
              <w:t>34,69</w:t>
            </w:r>
            <w:r>
              <w:rPr>
                <w:sz w:val="20"/>
                <w:szCs w:val="20"/>
              </w:rPr>
              <w:t>3</w:t>
            </w:r>
          </w:p>
        </w:tc>
        <w:tc>
          <w:tcPr>
            <w:tcW w:w="0" w:type="auto"/>
            <w:noWrap/>
            <w:vAlign w:val="bottom"/>
            <w:hideMark/>
          </w:tcPr>
          <w:p w14:paraId="54B9B3E1" w14:textId="77777777" w:rsidR="00000000" w:rsidRDefault="00832D71">
            <w:pPr>
              <w:pStyle w:val="a3"/>
              <w:spacing w:before="0" w:beforeAutospacing="0" w:after="0" w:afterAutospacing="0"/>
              <w:rPr>
                <w:sz w:val="20"/>
                <w:szCs w:val="20"/>
              </w:rPr>
            </w:pPr>
            <w:r>
              <w:rPr>
                <w:sz w:val="20"/>
                <w:szCs w:val="20"/>
              </w:rPr>
              <w:t> </w:t>
            </w:r>
          </w:p>
        </w:tc>
      </w:tr>
      <w:tr w:rsidR="00000000" w14:paraId="6BDEBD51" w14:textId="77777777">
        <w:trPr>
          <w:divId w:val="1645432370"/>
          <w:tblCellSpacing w:w="15" w:type="dxa"/>
        </w:trPr>
        <w:tc>
          <w:tcPr>
            <w:tcW w:w="0" w:type="auto"/>
            <w:hideMark/>
          </w:tcPr>
          <w:p w14:paraId="137F154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D60D05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6264BC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63558BA"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79985BB"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7AC063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D773710"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0188149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C8AAC0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EF6C48A" w14:textId="77777777" w:rsidR="00000000" w:rsidRDefault="00832D71">
            <w:pPr>
              <w:pStyle w:val="a3"/>
              <w:spacing w:before="0" w:beforeAutospacing="0" w:after="0" w:afterAutospacing="0"/>
              <w:jc w:val="right"/>
              <w:rPr>
                <w:sz w:val="20"/>
                <w:szCs w:val="20"/>
              </w:rPr>
            </w:pPr>
            <w:r>
              <w:rPr>
                <w:sz w:val="20"/>
                <w:szCs w:val="20"/>
              </w:rPr>
              <w:t> </w:t>
            </w:r>
          </w:p>
        </w:tc>
      </w:tr>
      <w:tr w:rsidR="00000000" w14:paraId="2396210D" w14:textId="77777777">
        <w:trPr>
          <w:divId w:val="1645432370"/>
          <w:trHeight w:val="200"/>
          <w:tblCellSpacing w:w="15" w:type="dxa"/>
        </w:trPr>
        <w:tc>
          <w:tcPr>
            <w:tcW w:w="0" w:type="auto"/>
            <w:hideMark/>
          </w:tcPr>
          <w:p w14:paraId="5B11CECD" w14:textId="77777777" w:rsidR="00000000" w:rsidRDefault="00832D71">
            <w:pPr>
              <w:pStyle w:val="a3"/>
              <w:spacing w:before="0" w:beforeAutospacing="0" w:after="0" w:afterAutospacing="0"/>
              <w:rPr>
                <w:sz w:val="20"/>
                <w:szCs w:val="20"/>
              </w:rPr>
            </w:pPr>
            <w:r>
              <w:rPr>
                <w:b/>
                <w:bCs/>
                <w:sz w:val="20"/>
                <w:szCs w:val="20"/>
              </w:rPr>
              <w:t>Liability Derivative</w:t>
            </w:r>
            <w:r>
              <w:rPr>
                <w:b/>
                <w:bCs/>
                <w:sz w:val="20"/>
                <w:szCs w:val="20"/>
              </w:rPr>
              <w:t>s</w:t>
            </w:r>
          </w:p>
        </w:tc>
        <w:tc>
          <w:tcPr>
            <w:tcW w:w="0" w:type="auto"/>
            <w:hideMark/>
          </w:tcPr>
          <w:p w14:paraId="55376A6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9FA131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9BC18A1"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60098AD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920365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3D19873"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6AD23C6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E6355D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3E00113" w14:textId="77777777" w:rsidR="00000000" w:rsidRDefault="00832D71">
            <w:pPr>
              <w:pStyle w:val="a3"/>
              <w:spacing w:before="0" w:beforeAutospacing="0" w:after="0" w:afterAutospacing="0"/>
              <w:jc w:val="right"/>
              <w:rPr>
                <w:sz w:val="20"/>
                <w:szCs w:val="20"/>
              </w:rPr>
            </w:pPr>
            <w:r>
              <w:rPr>
                <w:sz w:val="20"/>
                <w:szCs w:val="20"/>
              </w:rPr>
              <w:t> </w:t>
            </w:r>
          </w:p>
        </w:tc>
      </w:tr>
      <w:tr w:rsidR="00000000" w14:paraId="7E259BBF" w14:textId="77777777">
        <w:trPr>
          <w:divId w:val="1645432370"/>
          <w:trHeight w:val="200"/>
          <w:tblCellSpacing w:w="15" w:type="dxa"/>
        </w:trPr>
        <w:tc>
          <w:tcPr>
            <w:tcW w:w="0" w:type="auto"/>
            <w:hideMark/>
          </w:tcPr>
          <w:p w14:paraId="517EBFD2" w14:textId="77777777" w:rsidR="00000000" w:rsidRDefault="00832D71">
            <w:pPr>
              <w:pStyle w:val="a3"/>
              <w:spacing w:before="0" w:beforeAutospacing="0" w:after="0" w:afterAutospacing="0"/>
              <w:rPr>
                <w:sz w:val="20"/>
                <w:szCs w:val="20"/>
              </w:rPr>
            </w:pPr>
            <w:r>
              <w:rPr>
                <w:sz w:val="20"/>
                <w:szCs w:val="20"/>
              </w:rPr>
              <w:t>Commodity-related derivative</w:t>
            </w:r>
            <w:r>
              <w:rPr>
                <w:sz w:val="20"/>
                <w:szCs w:val="20"/>
              </w:rPr>
              <w:t>s</w:t>
            </w:r>
          </w:p>
        </w:tc>
        <w:tc>
          <w:tcPr>
            <w:tcW w:w="0" w:type="auto"/>
            <w:hideMark/>
          </w:tcPr>
          <w:p w14:paraId="0691BBC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FDE592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00EF10E" w14:textId="77777777" w:rsidR="00000000" w:rsidRDefault="00832D71">
            <w:pPr>
              <w:pStyle w:val="a3"/>
              <w:spacing w:before="0" w:beforeAutospacing="0" w:after="0" w:afterAutospacing="0"/>
              <w:jc w:val="right"/>
              <w:rPr>
                <w:sz w:val="20"/>
                <w:szCs w:val="20"/>
              </w:rPr>
            </w:pPr>
            <w:r>
              <w:rPr>
                <w:sz w:val="20"/>
                <w:szCs w:val="20"/>
              </w:rPr>
              <w:t>101,41</w:t>
            </w:r>
            <w:r>
              <w:rPr>
                <w:sz w:val="20"/>
                <w:szCs w:val="20"/>
              </w:rPr>
              <w:t>9</w:t>
            </w:r>
          </w:p>
        </w:tc>
        <w:tc>
          <w:tcPr>
            <w:tcW w:w="0" w:type="auto"/>
            <w:noWrap/>
            <w:vAlign w:val="bottom"/>
            <w:hideMark/>
          </w:tcPr>
          <w:p w14:paraId="48426F4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7B4557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C40233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3945637" w14:textId="77777777" w:rsidR="00000000" w:rsidRDefault="00832D71">
            <w:pPr>
              <w:pStyle w:val="a3"/>
              <w:spacing w:before="0" w:beforeAutospacing="0" w:after="0" w:afterAutospacing="0"/>
              <w:jc w:val="right"/>
              <w:rPr>
                <w:sz w:val="20"/>
                <w:szCs w:val="20"/>
              </w:rPr>
            </w:pPr>
            <w:r>
              <w:rPr>
                <w:sz w:val="20"/>
                <w:szCs w:val="20"/>
              </w:rPr>
              <w:t>(</w:t>
            </w:r>
            <w:r>
              <w:rPr>
                <w:sz w:val="20"/>
                <w:szCs w:val="20"/>
              </w:rPr>
              <w:t>82,56</w:t>
            </w:r>
            <w:r>
              <w:rPr>
                <w:sz w:val="20"/>
                <w:szCs w:val="20"/>
              </w:rPr>
              <w:t>7</w:t>
            </w:r>
          </w:p>
        </w:tc>
        <w:tc>
          <w:tcPr>
            <w:tcW w:w="0" w:type="auto"/>
            <w:noWrap/>
            <w:vAlign w:val="bottom"/>
            <w:hideMark/>
          </w:tcPr>
          <w:p w14:paraId="4CBC5645"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70466A2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864741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0C6D9FF" w14:textId="77777777" w:rsidR="00000000" w:rsidRDefault="00832D71">
            <w:pPr>
              <w:pStyle w:val="a3"/>
              <w:spacing w:before="0" w:beforeAutospacing="0" w:after="0" w:afterAutospacing="0"/>
              <w:jc w:val="right"/>
              <w:rPr>
                <w:sz w:val="20"/>
                <w:szCs w:val="20"/>
              </w:rPr>
            </w:pPr>
            <w:r>
              <w:rPr>
                <w:sz w:val="20"/>
                <w:szCs w:val="20"/>
              </w:rPr>
              <w:t>18,85</w:t>
            </w:r>
            <w:r>
              <w:rPr>
                <w:sz w:val="20"/>
                <w:szCs w:val="20"/>
              </w:rPr>
              <w:t>2</w:t>
            </w:r>
          </w:p>
        </w:tc>
        <w:tc>
          <w:tcPr>
            <w:tcW w:w="0" w:type="auto"/>
            <w:noWrap/>
            <w:vAlign w:val="bottom"/>
            <w:hideMark/>
          </w:tcPr>
          <w:p w14:paraId="07A5C93B" w14:textId="77777777" w:rsidR="00000000" w:rsidRDefault="00832D71">
            <w:pPr>
              <w:pStyle w:val="a3"/>
              <w:spacing w:before="0" w:beforeAutospacing="0" w:after="0" w:afterAutospacing="0"/>
              <w:rPr>
                <w:sz w:val="20"/>
                <w:szCs w:val="20"/>
              </w:rPr>
            </w:pPr>
            <w:r>
              <w:rPr>
                <w:sz w:val="20"/>
                <w:szCs w:val="20"/>
              </w:rPr>
              <w:t> </w:t>
            </w:r>
          </w:p>
        </w:tc>
      </w:tr>
      <w:tr w:rsidR="00000000" w14:paraId="17175526" w14:textId="77777777">
        <w:trPr>
          <w:divId w:val="1645432370"/>
          <w:trHeight w:val="200"/>
          <w:tblCellSpacing w:w="15" w:type="dxa"/>
        </w:trPr>
        <w:tc>
          <w:tcPr>
            <w:tcW w:w="0" w:type="auto"/>
            <w:hideMark/>
          </w:tcPr>
          <w:p w14:paraId="03D4DAE3"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7DDEA8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77B933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ACA7739" w14:textId="77777777" w:rsidR="00000000" w:rsidRDefault="00832D71">
            <w:pPr>
              <w:pStyle w:val="a3"/>
              <w:spacing w:before="0" w:beforeAutospacing="0" w:after="0" w:afterAutospacing="0"/>
              <w:jc w:val="right"/>
              <w:rPr>
                <w:sz w:val="20"/>
                <w:szCs w:val="20"/>
              </w:rPr>
            </w:pPr>
            <w:r>
              <w:rPr>
                <w:sz w:val="20"/>
                <w:szCs w:val="20"/>
              </w:rPr>
              <w:t>101,41</w:t>
            </w:r>
            <w:r>
              <w:rPr>
                <w:sz w:val="20"/>
                <w:szCs w:val="20"/>
              </w:rPr>
              <w:t>9</w:t>
            </w:r>
          </w:p>
        </w:tc>
        <w:tc>
          <w:tcPr>
            <w:tcW w:w="0" w:type="auto"/>
            <w:noWrap/>
            <w:vAlign w:val="bottom"/>
            <w:hideMark/>
          </w:tcPr>
          <w:p w14:paraId="644C96E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946FE6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39A9C5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D6DB204" w14:textId="77777777" w:rsidR="00000000" w:rsidRDefault="00832D71">
            <w:pPr>
              <w:pStyle w:val="a3"/>
              <w:spacing w:before="0" w:beforeAutospacing="0" w:after="0" w:afterAutospacing="0"/>
              <w:jc w:val="right"/>
              <w:rPr>
                <w:sz w:val="20"/>
                <w:szCs w:val="20"/>
              </w:rPr>
            </w:pPr>
            <w:r>
              <w:rPr>
                <w:sz w:val="20"/>
                <w:szCs w:val="20"/>
              </w:rPr>
              <w:t>(</w:t>
            </w:r>
            <w:r>
              <w:rPr>
                <w:sz w:val="20"/>
                <w:szCs w:val="20"/>
              </w:rPr>
              <w:t>82,56</w:t>
            </w:r>
            <w:r>
              <w:rPr>
                <w:sz w:val="20"/>
                <w:szCs w:val="20"/>
              </w:rPr>
              <w:t>7</w:t>
            </w:r>
          </w:p>
        </w:tc>
        <w:tc>
          <w:tcPr>
            <w:tcW w:w="0" w:type="auto"/>
            <w:noWrap/>
            <w:vAlign w:val="bottom"/>
            <w:hideMark/>
          </w:tcPr>
          <w:p w14:paraId="34532490"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74AE6B5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25A0B2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36AC9E2" w14:textId="77777777" w:rsidR="00000000" w:rsidRDefault="00832D71">
            <w:pPr>
              <w:pStyle w:val="a3"/>
              <w:spacing w:before="0" w:beforeAutospacing="0" w:after="0" w:afterAutospacing="0"/>
              <w:jc w:val="right"/>
              <w:rPr>
                <w:sz w:val="20"/>
                <w:szCs w:val="20"/>
              </w:rPr>
            </w:pPr>
            <w:r>
              <w:rPr>
                <w:sz w:val="20"/>
                <w:szCs w:val="20"/>
              </w:rPr>
              <w:t>18,85</w:t>
            </w:r>
            <w:r>
              <w:rPr>
                <w:sz w:val="20"/>
                <w:szCs w:val="20"/>
              </w:rPr>
              <w:t>2</w:t>
            </w:r>
          </w:p>
        </w:tc>
        <w:tc>
          <w:tcPr>
            <w:tcW w:w="0" w:type="auto"/>
            <w:noWrap/>
            <w:vAlign w:val="bottom"/>
            <w:hideMark/>
          </w:tcPr>
          <w:p w14:paraId="22CFC077" w14:textId="77777777" w:rsidR="00000000" w:rsidRDefault="00832D71">
            <w:pPr>
              <w:pStyle w:val="a3"/>
              <w:spacing w:before="0" w:beforeAutospacing="0" w:after="0" w:afterAutospacing="0"/>
              <w:rPr>
                <w:sz w:val="20"/>
                <w:szCs w:val="20"/>
              </w:rPr>
            </w:pPr>
            <w:r>
              <w:rPr>
                <w:sz w:val="20"/>
                <w:szCs w:val="20"/>
              </w:rPr>
              <w:t> </w:t>
            </w:r>
          </w:p>
        </w:tc>
      </w:tr>
    </w:tbl>
    <w:p w14:paraId="752A43F4" w14:textId="77777777" w:rsidR="00000000" w:rsidRDefault="00832D71">
      <w:pPr>
        <w:pStyle w:val="a3"/>
        <w:spacing w:before="0" w:beforeAutospacing="0" w:after="0" w:afterAutospacing="0"/>
        <w:divId w:val="164543237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249"/>
        <w:gridCol w:w="110"/>
        <w:gridCol w:w="160"/>
        <w:gridCol w:w="1046"/>
        <w:gridCol w:w="110"/>
        <w:gridCol w:w="110"/>
        <w:gridCol w:w="160"/>
        <w:gridCol w:w="1174"/>
        <w:gridCol w:w="127"/>
        <w:gridCol w:w="110"/>
        <w:gridCol w:w="160"/>
        <w:gridCol w:w="1004"/>
        <w:gridCol w:w="125"/>
      </w:tblGrid>
      <w:tr w:rsidR="00000000" w14:paraId="1453686E" w14:textId="77777777">
        <w:trPr>
          <w:divId w:val="1645432370"/>
          <w:tblCellSpacing w:w="15" w:type="dxa"/>
        </w:trPr>
        <w:tc>
          <w:tcPr>
            <w:tcW w:w="1838" w:type="pct"/>
            <w:vAlign w:val="center"/>
            <w:hideMark/>
          </w:tcPr>
          <w:p w14:paraId="717DEDD6" w14:textId="77777777" w:rsidR="00000000" w:rsidRDefault="00832D71">
            <w:pPr>
              <w:rPr>
                <w:sz w:val="20"/>
                <w:szCs w:val="20"/>
              </w:rPr>
            </w:pPr>
          </w:p>
        </w:tc>
        <w:tc>
          <w:tcPr>
            <w:tcW w:w="46" w:type="pct"/>
            <w:vAlign w:val="center"/>
            <w:hideMark/>
          </w:tcPr>
          <w:p w14:paraId="071A10E0" w14:textId="77777777" w:rsidR="00000000" w:rsidRDefault="00832D71">
            <w:pPr>
              <w:rPr>
                <w:rFonts w:eastAsia="Times New Roman"/>
                <w:sz w:val="20"/>
                <w:szCs w:val="20"/>
              </w:rPr>
            </w:pPr>
          </w:p>
        </w:tc>
        <w:tc>
          <w:tcPr>
            <w:tcW w:w="50" w:type="pct"/>
            <w:vAlign w:val="center"/>
            <w:hideMark/>
          </w:tcPr>
          <w:p w14:paraId="0E0604AB" w14:textId="77777777" w:rsidR="00000000" w:rsidRDefault="00832D71">
            <w:pPr>
              <w:rPr>
                <w:rFonts w:eastAsia="Times New Roman"/>
                <w:sz w:val="20"/>
                <w:szCs w:val="20"/>
              </w:rPr>
            </w:pPr>
          </w:p>
        </w:tc>
        <w:tc>
          <w:tcPr>
            <w:tcW w:w="884" w:type="pct"/>
            <w:vAlign w:val="center"/>
            <w:hideMark/>
          </w:tcPr>
          <w:p w14:paraId="17EDDCCE" w14:textId="77777777" w:rsidR="00000000" w:rsidRDefault="00832D71">
            <w:pPr>
              <w:rPr>
                <w:rFonts w:eastAsia="Times New Roman"/>
                <w:sz w:val="20"/>
                <w:szCs w:val="20"/>
              </w:rPr>
            </w:pPr>
          </w:p>
        </w:tc>
        <w:tc>
          <w:tcPr>
            <w:tcW w:w="50" w:type="pct"/>
            <w:vAlign w:val="center"/>
            <w:hideMark/>
          </w:tcPr>
          <w:p w14:paraId="1B3C85A8" w14:textId="77777777" w:rsidR="00000000" w:rsidRDefault="00832D71">
            <w:pPr>
              <w:rPr>
                <w:rFonts w:eastAsia="Times New Roman"/>
                <w:sz w:val="20"/>
                <w:szCs w:val="20"/>
              </w:rPr>
            </w:pPr>
          </w:p>
        </w:tc>
        <w:tc>
          <w:tcPr>
            <w:tcW w:w="46" w:type="pct"/>
            <w:vAlign w:val="center"/>
            <w:hideMark/>
          </w:tcPr>
          <w:p w14:paraId="7BE0480F" w14:textId="77777777" w:rsidR="00000000" w:rsidRDefault="00832D71">
            <w:pPr>
              <w:rPr>
                <w:rFonts w:eastAsia="Times New Roman"/>
                <w:sz w:val="20"/>
                <w:szCs w:val="20"/>
              </w:rPr>
            </w:pPr>
          </w:p>
        </w:tc>
        <w:tc>
          <w:tcPr>
            <w:tcW w:w="50" w:type="pct"/>
            <w:vAlign w:val="center"/>
            <w:hideMark/>
          </w:tcPr>
          <w:p w14:paraId="663952F8" w14:textId="77777777" w:rsidR="00000000" w:rsidRDefault="00832D71">
            <w:pPr>
              <w:rPr>
                <w:rFonts w:eastAsia="Times New Roman"/>
                <w:sz w:val="20"/>
                <w:szCs w:val="20"/>
              </w:rPr>
            </w:pPr>
          </w:p>
        </w:tc>
        <w:tc>
          <w:tcPr>
            <w:tcW w:w="987" w:type="pct"/>
            <w:vAlign w:val="center"/>
            <w:hideMark/>
          </w:tcPr>
          <w:p w14:paraId="4030E71C" w14:textId="77777777" w:rsidR="00000000" w:rsidRDefault="00832D71">
            <w:pPr>
              <w:rPr>
                <w:rFonts w:eastAsia="Times New Roman"/>
                <w:sz w:val="20"/>
                <w:szCs w:val="20"/>
              </w:rPr>
            </w:pPr>
          </w:p>
        </w:tc>
        <w:tc>
          <w:tcPr>
            <w:tcW w:w="50" w:type="pct"/>
            <w:vAlign w:val="center"/>
            <w:hideMark/>
          </w:tcPr>
          <w:p w14:paraId="2F1EF00B" w14:textId="77777777" w:rsidR="00000000" w:rsidRDefault="00832D71">
            <w:pPr>
              <w:rPr>
                <w:rFonts w:eastAsia="Times New Roman"/>
                <w:sz w:val="20"/>
                <w:szCs w:val="20"/>
              </w:rPr>
            </w:pPr>
          </w:p>
        </w:tc>
        <w:tc>
          <w:tcPr>
            <w:tcW w:w="45" w:type="pct"/>
            <w:vAlign w:val="center"/>
            <w:hideMark/>
          </w:tcPr>
          <w:p w14:paraId="50EBABCA" w14:textId="77777777" w:rsidR="00000000" w:rsidRDefault="00832D71">
            <w:pPr>
              <w:rPr>
                <w:rFonts w:eastAsia="Times New Roman"/>
                <w:sz w:val="20"/>
                <w:szCs w:val="20"/>
              </w:rPr>
            </w:pPr>
          </w:p>
        </w:tc>
        <w:tc>
          <w:tcPr>
            <w:tcW w:w="50" w:type="pct"/>
            <w:vAlign w:val="center"/>
            <w:hideMark/>
          </w:tcPr>
          <w:p w14:paraId="7C2A3D65" w14:textId="77777777" w:rsidR="00000000" w:rsidRDefault="00832D71">
            <w:pPr>
              <w:rPr>
                <w:rFonts w:eastAsia="Times New Roman"/>
                <w:sz w:val="20"/>
                <w:szCs w:val="20"/>
              </w:rPr>
            </w:pPr>
          </w:p>
        </w:tc>
        <w:tc>
          <w:tcPr>
            <w:tcW w:w="850" w:type="pct"/>
            <w:vAlign w:val="center"/>
            <w:hideMark/>
          </w:tcPr>
          <w:p w14:paraId="7B8243CC" w14:textId="77777777" w:rsidR="00000000" w:rsidRDefault="00832D71">
            <w:pPr>
              <w:rPr>
                <w:rFonts w:eastAsia="Times New Roman"/>
                <w:sz w:val="20"/>
                <w:szCs w:val="20"/>
              </w:rPr>
            </w:pPr>
          </w:p>
        </w:tc>
        <w:tc>
          <w:tcPr>
            <w:tcW w:w="50" w:type="pct"/>
            <w:vAlign w:val="center"/>
            <w:hideMark/>
          </w:tcPr>
          <w:p w14:paraId="4F6FEFE8" w14:textId="77777777" w:rsidR="00000000" w:rsidRDefault="00832D71">
            <w:pPr>
              <w:rPr>
                <w:rFonts w:eastAsia="Times New Roman"/>
                <w:sz w:val="20"/>
                <w:szCs w:val="20"/>
              </w:rPr>
            </w:pPr>
          </w:p>
        </w:tc>
      </w:tr>
      <w:tr w:rsidR="00000000" w14:paraId="696A218E" w14:textId="77777777">
        <w:trPr>
          <w:divId w:val="1645432370"/>
          <w:trHeight w:val="160"/>
          <w:tblCellSpacing w:w="15" w:type="dxa"/>
        </w:trPr>
        <w:tc>
          <w:tcPr>
            <w:tcW w:w="0" w:type="auto"/>
            <w:vAlign w:val="bottom"/>
            <w:hideMark/>
          </w:tcPr>
          <w:p w14:paraId="5EDA12EF"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F1545E5" w14:textId="77777777" w:rsidR="00000000" w:rsidRDefault="00832D71">
            <w:pPr>
              <w:pStyle w:val="a3"/>
              <w:spacing w:before="0" w:beforeAutospacing="0" w:after="0" w:afterAutospacing="0"/>
              <w:rPr>
                <w:sz w:val="16"/>
                <w:szCs w:val="16"/>
              </w:rPr>
            </w:pPr>
            <w:r>
              <w:rPr>
                <w:sz w:val="16"/>
                <w:szCs w:val="16"/>
              </w:rPr>
              <w:t> </w:t>
            </w:r>
          </w:p>
        </w:tc>
        <w:tc>
          <w:tcPr>
            <w:tcW w:w="0" w:type="auto"/>
            <w:gridSpan w:val="10"/>
            <w:vAlign w:val="bottom"/>
            <w:hideMark/>
          </w:tcPr>
          <w:p w14:paraId="1E2751B0" w14:textId="77777777" w:rsidR="00000000" w:rsidRDefault="00832D71">
            <w:pPr>
              <w:pStyle w:val="a3"/>
              <w:spacing w:before="0" w:beforeAutospacing="0" w:after="0" w:afterAutospacing="0"/>
              <w:jc w:val="center"/>
              <w:rPr>
                <w:sz w:val="16"/>
                <w:szCs w:val="16"/>
              </w:rPr>
            </w:pPr>
            <w:r>
              <w:rPr>
                <w:b/>
                <w:bCs/>
                <w:sz w:val="16"/>
                <w:szCs w:val="16"/>
              </w:rPr>
              <w:t>As of September 25, 202</w:t>
            </w:r>
            <w:r>
              <w:rPr>
                <w:b/>
                <w:bCs/>
                <w:sz w:val="16"/>
                <w:szCs w:val="16"/>
              </w:rPr>
              <w:t>1</w:t>
            </w:r>
          </w:p>
        </w:tc>
        <w:tc>
          <w:tcPr>
            <w:tcW w:w="0" w:type="auto"/>
            <w:vAlign w:val="bottom"/>
            <w:hideMark/>
          </w:tcPr>
          <w:p w14:paraId="65758B33"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4BEB4727" w14:textId="77777777">
        <w:trPr>
          <w:divId w:val="1645432370"/>
          <w:trHeight w:val="160"/>
          <w:tblCellSpacing w:w="15" w:type="dxa"/>
        </w:trPr>
        <w:tc>
          <w:tcPr>
            <w:tcW w:w="0" w:type="auto"/>
            <w:vAlign w:val="bottom"/>
            <w:hideMark/>
          </w:tcPr>
          <w:p w14:paraId="2796325C"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816AAD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8A5F060"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10351AB"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7760C8D6"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705B10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0654585"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828A8F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AE7585B" w14:textId="77777777" w:rsidR="00000000" w:rsidRDefault="00832D71">
            <w:pPr>
              <w:pStyle w:val="a3"/>
              <w:spacing w:before="0" w:beforeAutospacing="0" w:after="0" w:afterAutospacing="0"/>
              <w:jc w:val="center"/>
              <w:rPr>
                <w:sz w:val="16"/>
                <w:szCs w:val="16"/>
              </w:rPr>
            </w:pPr>
            <w:r>
              <w:rPr>
                <w:b/>
                <w:bCs/>
                <w:sz w:val="16"/>
                <w:szCs w:val="16"/>
              </w:rPr>
              <w:t>Net amount</w:t>
            </w:r>
            <w:r>
              <w:rPr>
                <w:b/>
                <w:bCs/>
                <w:sz w:val="16"/>
                <w:szCs w:val="16"/>
              </w:rPr>
              <w:t>s</w:t>
            </w:r>
          </w:p>
        </w:tc>
        <w:tc>
          <w:tcPr>
            <w:tcW w:w="0" w:type="auto"/>
            <w:vAlign w:val="bottom"/>
            <w:hideMark/>
          </w:tcPr>
          <w:p w14:paraId="48359D95"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E4DCF9D" w14:textId="77777777">
        <w:trPr>
          <w:divId w:val="1645432370"/>
          <w:trHeight w:val="160"/>
          <w:tblCellSpacing w:w="15" w:type="dxa"/>
        </w:trPr>
        <w:tc>
          <w:tcPr>
            <w:tcW w:w="0" w:type="auto"/>
            <w:vAlign w:val="bottom"/>
            <w:hideMark/>
          </w:tcPr>
          <w:p w14:paraId="1C157DD5"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7F8925F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B82BA3E"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12FAEDE"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D546C6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ACF07FA"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371DEE2"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2804E8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F5092DC" w14:textId="77777777" w:rsidR="00000000" w:rsidRDefault="00832D71">
            <w:pPr>
              <w:pStyle w:val="a3"/>
              <w:spacing w:before="0" w:beforeAutospacing="0" w:after="0" w:afterAutospacing="0"/>
              <w:jc w:val="center"/>
              <w:rPr>
                <w:sz w:val="16"/>
                <w:szCs w:val="16"/>
              </w:rPr>
            </w:pPr>
            <w:r>
              <w:rPr>
                <w:b/>
                <w:bCs/>
                <w:sz w:val="16"/>
                <w:szCs w:val="16"/>
              </w:rPr>
              <w:t>presented in th</w:t>
            </w:r>
            <w:r>
              <w:rPr>
                <w:b/>
                <w:bCs/>
                <w:sz w:val="16"/>
                <w:szCs w:val="16"/>
              </w:rPr>
              <w:t>e</w:t>
            </w:r>
          </w:p>
        </w:tc>
        <w:tc>
          <w:tcPr>
            <w:tcW w:w="0" w:type="auto"/>
            <w:vAlign w:val="bottom"/>
            <w:hideMark/>
          </w:tcPr>
          <w:p w14:paraId="511F069F"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42862062" w14:textId="77777777">
        <w:trPr>
          <w:divId w:val="1645432370"/>
          <w:trHeight w:val="160"/>
          <w:tblCellSpacing w:w="15" w:type="dxa"/>
        </w:trPr>
        <w:tc>
          <w:tcPr>
            <w:tcW w:w="0" w:type="auto"/>
            <w:vAlign w:val="bottom"/>
            <w:hideMark/>
          </w:tcPr>
          <w:p w14:paraId="7A22894E"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9FA7C4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97EB53E" w14:textId="77777777" w:rsidR="00000000" w:rsidRDefault="00832D71">
            <w:pPr>
              <w:pStyle w:val="a3"/>
              <w:spacing w:before="0" w:beforeAutospacing="0" w:after="0" w:afterAutospacing="0"/>
              <w:jc w:val="center"/>
              <w:rPr>
                <w:sz w:val="16"/>
                <w:szCs w:val="16"/>
              </w:rPr>
            </w:pPr>
            <w:r>
              <w:rPr>
                <w:b/>
                <w:bCs/>
                <w:sz w:val="16"/>
                <w:szCs w:val="16"/>
              </w:rPr>
              <w:t>Gross amount</w:t>
            </w:r>
            <w:r>
              <w:rPr>
                <w:b/>
                <w:bCs/>
                <w:sz w:val="16"/>
                <w:szCs w:val="16"/>
              </w:rPr>
              <w:t>s</w:t>
            </w:r>
          </w:p>
        </w:tc>
        <w:tc>
          <w:tcPr>
            <w:tcW w:w="0" w:type="auto"/>
            <w:vAlign w:val="bottom"/>
            <w:hideMark/>
          </w:tcPr>
          <w:p w14:paraId="4CFBD241"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73BDF36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930D1C6" w14:textId="77777777" w:rsidR="00000000" w:rsidRDefault="00832D71">
            <w:pPr>
              <w:pStyle w:val="a3"/>
              <w:spacing w:before="0" w:beforeAutospacing="0" w:after="0" w:afterAutospacing="0"/>
              <w:jc w:val="center"/>
              <w:rPr>
                <w:sz w:val="16"/>
                <w:szCs w:val="16"/>
              </w:rPr>
            </w:pPr>
            <w:r>
              <w:rPr>
                <w:b/>
                <w:bCs/>
                <w:sz w:val="16"/>
                <w:szCs w:val="16"/>
              </w:rPr>
              <w:t>Effects of nettin</w:t>
            </w:r>
            <w:r>
              <w:rPr>
                <w:b/>
                <w:bCs/>
                <w:sz w:val="16"/>
                <w:szCs w:val="16"/>
              </w:rPr>
              <w:t>g</w:t>
            </w:r>
          </w:p>
        </w:tc>
        <w:tc>
          <w:tcPr>
            <w:tcW w:w="0" w:type="auto"/>
            <w:vAlign w:val="bottom"/>
            <w:hideMark/>
          </w:tcPr>
          <w:p w14:paraId="40EC7ADC"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B32334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FE5C6BD" w14:textId="77777777" w:rsidR="00000000" w:rsidRDefault="00832D71">
            <w:pPr>
              <w:pStyle w:val="a3"/>
              <w:spacing w:before="0" w:beforeAutospacing="0" w:after="0" w:afterAutospacing="0"/>
              <w:jc w:val="center"/>
              <w:rPr>
                <w:sz w:val="16"/>
                <w:szCs w:val="16"/>
              </w:rPr>
            </w:pPr>
            <w:r>
              <w:rPr>
                <w:b/>
                <w:bCs/>
                <w:sz w:val="16"/>
                <w:szCs w:val="16"/>
              </w:rPr>
              <w:t>balance shee</w:t>
            </w:r>
            <w:r>
              <w:rPr>
                <w:b/>
                <w:bCs/>
                <w:sz w:val="16"/>
                <w:szCs w:val="16"/>
              </w:rPr>
              <w:t>t</w:t>
            </w:r>
          </w:p>
        </w:tc>
        <w:tc>
          <w:tcPr>
            <w:tcW w:w="0" w:type="auto"/>
            <w:vAlign w:val="bottom"/>
            <w:hideMark/>
          </w:tcPr>
          <w:p w14:paraId="0D06375A"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F56D705" w14:textId="77777777">
        <w:trPr>
          <w:divId w:val="1645432370"/>
          <w:trHeight w:val="200"/>
          <w:tblCellSpacing w:w="15" w:type="dxa"/>
        </w:trPr>
        <w:tc>
          <w:tcPr>
            <w:tcW w:w="0" w:type="auto"/>
            <w:hideMark/>
          </w:tcPr>
          <w:p w14:paraId="2E951B48" w14:textId="77777777" w:rsidR="00000000" w:rsidRDefault="00832D71">
            <w:pPr>
              <w:pStyle w:val="a3"/>
              <w:spacing w:before="0" w:beforeAutospacing="0" w:after="0" w:afterAutospacing="0"/>
              <w:rPr>
                <w:sz w:val="20"/>
                <w:szCs w:val="20"/>
              </w:rPr>
            </w:pPr>
            <w:r>
              <w:rPr>
                <w:b/>
                <w:bCs/>
                <w:sz w:val="20"/>
                <w:szCs w:val="20"/>
              </w:rPr>
              <w:t>Asset Derivative</w:t>
            </w:r>
            <w:r>
              <w:rPr>
                <w:b/>
                <w:bCs/>
                <w:sz w:val="20"/>
                <w:szCs w:val="20"/>
              </w:rPr>
              <w:t>s</w:t>
            </w:r>
          </w:p>
        </w:tc>
        <w:tc>
          <w:tcPr>
            <w:tcW w:w="0" w:type="auto"/>
            <w:hideMark/>
          </w:tcPr>
          <w:p w14:paraId="29445E2B"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EDD564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C431C7C"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45A89A36"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030E94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F730717"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AE3C836"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F8484B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9E3B301" w14:textId="77777777" w:rsidR="00000000" w:rsidRDefault="00832D71">
            <w:pPr>
              <w:pStyle w:val="a3"/>
              <w:spacing w:before="0" w:beforeAutospacing="0" w:after="0" w:afterAutospacing="0"/>
              <w:jc w:val="right"/>
              <w:rPr>
                <w:sz w:val="20"/>
                <w:szCs w:val="20"/>
              </w:rPr>
            </w:pPr>
            <w:r>
              <w:rPr>
                <w:sz w:val="20"/>
                <w:szCs w:val="20"/>
              </w:rPr>
              <w:t> </w:t>
            </w:r>
          </w:p>
        </w:tc>
      </w:tr>
      <w:tr w:rsidR="00000000" w14:paraId="2B3539AB" w14:textId="77777777">
        <w:trPr>
          <w:divId w:val="1645432370"/>
          <w:trHeight w:val="200"/>
          <w:tblCellSpacing w:w="15" w:type="dxa"/>
        </w:trPr>
        <w:tc>
          <w:tcPr>
            <w:tcW w:w="0" w:type="auto"/>
            <w:hideMark/>
          </w:tcPr>
          <w:p w14:paraId="4183DAB8" w14:textId="77777777" w:rsidR="00000000" w:rsidRDefault="00832D71">
            <w:pPr>
              <w:pStyle w:val="a3"/>
              <w:spacing w:before="0" w:beforeAutospacing="0" w:after="0" w:afterAutospacing="0"/>
              <w:rPr>
                <w:sz w:val="20"/>
                <w:szCs w:val="20"/>
              </w:rPr>
            </w:pPr>
            <w:r>
              <w:rPr>
                <w:sz w:val="20"/>
                <w:szCs w:val="20"/>
              </w:rPr>
              <w:t>Commodity-related derivative</w:t>
            </w:r>
            <w:r>
              <w:rPr>
                <w:sz w:val="20"/>
                <w:szCs w:val="20"/>
              </w:rPr>
              <w:t>s</w:t>
            </w:r>
          </w:p>
        </w:tc>
        <w:tc>
          <w:tcPr>
            <w:tcW w:w="0" w:type="auto"/>
            <w:hideMark/>
          </w:tcPr>
          <w:p w14:paraId="7A6AA11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7B26D1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31093ED" w14:textId="77777777" w:rsidR="00000000" w:rsidRDefault="00832D71">
            <w:pPr>
              <w:pStyle w:val="a3"/>
              <w:spacing w:before="0" w:beforeAutospacing="0" w:after="0" w:afterAutospacing="0"/>
              <w:jc w:val="right"/>
              <w:rPr>
                <w:sz w:val="20"/>
                <w:szCs w:val="20"/>
              </w:rPr>
            </w:pPr>
            <w:r>
              <w:rPr>
                <w:sz w:val="20"/>
                <w:szCs w:val="20"/>
              </w:rPr>
              <w:t>76,50</w:t>
            </w:r>
            <w:r>
              <w:rPr>
                <w:sz w:val="20"/>
                <w:szCs w:val="20"/>
              </w:rPr>
              <w:t>8</w:t>
            </w:r>
          </w:p>
        </w:tc>
        <w:tc>
          <w:tcPr>
            <w:tcW w:w="0" w:type="auto"/>
            <w:noWrap/>
            <w:vAlign w:val="bottom"/>
            <w:hideMark/>
          </w:tcPr>
          <w:p w14:paraId="6E07D33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D40042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BEC5E8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5F24AE4" w14:textId="77777777" w:rsidR="00000000" w:rsidRDefault="00832D71">
            <w:pPr>
              <w:pStyle w:val="a3"/>
              <w:spacing w:before="0" w:beforeAutospacing="0" w:after="0" w:afterAutospacing="0"/>
              <w:jc w:val="right"/>
              <w:rPr>
                <w:sz w:val="20"/>
                <w:szCs w:val="20"/>
              </w:rPr>
            </w:pPr>
            <w:r>
              <w:rPr>
                <w:sz w:val="20"/>
                <w:szCs w:val="20"/>
              </w:rPr>
              <w:t>(</w:t>
            </w:r>
            <w:r>
              <w:rPr>
                <w:sz w:val="20"/>
                <w:szCs w:val="20"/>
              </w:rPr>
              <w:t>21,67</w:t>
            </w:r>
            <w:r>
              <w:rPr>
                <w:sz w:val="20"/>
                <w:szCs w:val="20"/>
              </w:rPr>
              <w:t>6</w:t>
            </w:r>
          </w:p>
        </w:tc>
        <w:tc>
          <w:tcPr>
            <w:tcW w:w="0" w:type="auto"/>
            <w:noWrap/>
            <w:vAlign w:val="bottom"/>
            <w:hideMark/>
          </w:tcPr>
          <w:p w14:paraId="0B2FC002"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1E5C28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664788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771AC4F" w14:textId="77777777" w:rsidR="00000000" w:rsidRDefault="00832D71">
            <w:pPr>
              <w:pStyle w:val="a3"/>
              <w:spacing w:before="0" w:beforeAutospacing="0" w:after="0" w:afterAutospacing="0"/>
              <w:jc w:val="right"/>
              <w:rPr>
                <w:sz w:val="20"/>
                <w:szCs w:val="20"/>
              </w:rPr>
            </w:pPr>
            <w:r>
              <w:rPr>
                <w:sz w:val="20"/>
                <w:szCs w:val="20"/>
              </w:rPr>
              <w:t>54,83</w:t>
            </w:r>
            <w:r>
              <w:rPr>
                <w:sz w:val="20"/>
                <w:szCs w:val="20"/>
              </w:rPr>
              <w:t>2</w:t>
            </w:r>
          </w:p>
        </w:tc>
        <w:tc>
          <w:tcPr>
            <w:tcW w:w="0" w:type="auto"/>
            <w:noWrap/>
            <w:vAlign w:val="bottom"/>
            <w:hideMark/>
          </w:tcPr>
          <w:p w14:paraId="5EEC52E6" w14:textId="77777777" w:rsidR="00000000" w:rsidRDefault="00832D71">
            <w:pPr>
              <w:pStyle w:val="a3"/>
              <w:spacing w:before="0" w:beforeAutospacing="0" w:after="0" w:afterAutospacing="0"/>
              <w:rPr>
                <w:sz w:val="20"/>
                <w:szCs w:val="20"/>
              </w:rPr>
            </w:pPr>
            <w:r>
              <w:rPr>
                <w:sz w:val="20"/>
                <w:szCs w:val="20"/>
              </w:rPr>
              <w:t> </w:t>
            </w:r>
          </w:p>
        </w:tc>
      </w:tr>
      <w:tr w:rsidR="00000000" w14:paraId="2E0691CF" w14:textId="77777777">
        <w:trPr>
          <w:divId w:val="1645432370"/>
          <w:trHeight w:val="200"/>
          <w:tblCellSpacing w:w="15" w:type="dxa"/>
        </w:trPr>
        <w:tc>
          <w:tcPr>
            <w:tcW w:w="0" w:type="auto"/>
            <w:hideMark/>
          </w:tcPr>
          <w:p w14:paraId="33F20F1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83ABC0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04B3E7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1A9303A" w14:textId="77777777" w:rsidR="00000000" w:rsidRDefault="00832D71">
            <w:pPr>
              <w:pStyle w:val="a3"/>
              <w:spacing w:before="0" w:beforeAutospacing="0" w:after="0" w:afterAutospacing="0"/>
              <w:jc w:val="right"/>
              <w:rPr>
                <w:sz w:val="20"/>
                <w:szCs w:val="20"/>
              </w:rPr>
            </w:pPr>
            <w:r>
              <w:rPr>
                <w:sz w:val="20"/>
                <w:szCs w:val="20"/>
              </w:rPr>
              <w:t>76,50</w:t>
            </w:r>
            <w:r>
              <w:rPr>
                <w:sz w:val="20"/>
                <w:szCs w:val="20"/>
              </w:rPr>
              <w:t>8</w:t>
            </w:r>
          </w:p>
        </w:tc>
        <w:tc>
          <w:tcPr>
            <w:tcW w:w="0" w:type="auto"/>
            <w:noWrap/>
            <w:vAlign w:val="bottom"/>
            <w:hideMark/>
          </w:tcPr>
          <w:p w14:paraId="62AC13B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E7D038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CFC7CA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D45DD45" w14:textId="77777777" w:rsidR="00000000" w:rsidRDefault="00832D71">
            <w:pPr>
              <w:pStyle w:val="a3"/>
              <w:spacing w:before="0" w:beforeAutospacing="0" w:after="0" w:afterAutospacing="0"/>
              <w:jc w:val="right"/>
              <w:rPr>
                <w:sz w:val="20"/>
                <w:szCs w:val="20"/>
              </w:rPr>
            </w:pPr>
            <w:r>
              <w:rPr>
                <w:sz w:val="20"/>
                <w:szCs w:val="20"/>
              </w:rPr>
              <w:t>(</w:t>
            </w:r>
            <w:r>
              <w:rPr>
                <w:sz w:val="20"/>
                <w:szCs w:val="20"/>
              </w:rPr>
              <w:t>21,67</w:t>
            </w:r>
            <w:r>
              <w:rPr>
                <w:sz w:val="20"/>
                <w:szCs w:val="20"/>
              </w:rPr>
              <w:t>6</w:t>
            </w:r>
          </w:p>
        </w:tc>
        <w:tc>
          <w:tcPr>
            <w:tcW w:w="0" w:type="auto"/>
            <w:noWrap/>
            <w:vAlign w:val="bottom"/>
            <w:hideMark/>
          </w:tcPr>
          <w:p w14:paraId="1C465D0F"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26CDCB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55D4C2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73E3F11" w14:textId="77777777" w:rsidR="00000000" w:rsidRDefault="00832D71">
            <w:pPr>
              <w:pStyle w:val="a3"/>
              <w:spacing w:before="0" w:beforeAutospacing="0" w:after="0" w:afterAutospacing="0"/>
              <w:jc w:val="right"/>
              <w:rPr>
                <w:sz w:val="20"/>
                <w:szCs w:val="20"/>
              </w:rPr>
            </w:pPr>
            <w:r>
              <w:rPr>
                <w:sz w:val="20"/>
                <w:szCs w:val="20"/>
              </w:rPr>
              <w:t>54,83</w:t>
            </w:r>
            <w:r>
              <w:rPr>
                <w:sz w:val="20"/>
                <w:szCs w:val="20"/>
              </w:rPr>
              <w:t>2</w:t>
            </w:r>
          </w:p>
        </w:tc>
        <w:tc>
          <w:tcPr>
            <w:tcW w:w="0" w:type="auto"/>
            <w:noWrap/>
            <w:vAlign w:val="bottom"/>
            <w:hideMark/>
          </w:tcPr>
          <w:p w14:paraId="0A06480B" w14:textId="77777777" w:rsidR="00000000" w:rsidRDefault="00832D71">
            <w:pPr>
              <w:pStyle w:val="a3"/>
              <w:spacing w:before="0" w:beforeAutospacing="0" w:after="0" w:afterAutospacing="0"/>
              <w:rPr>
                <w:sz w:val="20"/>
                <w:szCs w:val="20"/>
              </w:rPr>
            </w:pPr>
            <w:r>
              <w:rPr>
                <w:sz w:val="20"/>
                <w:szCs w:val="20"/>
              </w:rPr>
              <w:t> </w:t>
            </w:r>
          </w:p>
        </w:tc>
      </w:tr>
      <w:tr w:rsidR="00000000" w14:paraId="60AE407B" w14:textId="77777777">
        <w:trPr>
          <w:divId w:val="1645432370"/>
          <w:tblCellSpacing w:w="15" w:type="dxa"/>
        </w:trPr>
        <w:tc>
          <w:tcPr>
            <w:tcW w:w="0" w:type="auto"/>
            <w:hideMark/>
          </w:tcPr>
          <w:p w14:paraId="4D14746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4C3B60B"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32B972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A5317ED"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20C9A7A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330B5B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EB8DCDE"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04FDF5F6"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DD1928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BEEBBFB" w14:textId="77777777" w:rsidR="00000000" w:rsidRDefault="00832D71">
            <w:pPr>
              <w:pStyle w:val="a3"/>
              <w:spacing w:before="0" w:beforeAutospacing="0" w:after="0" w:afterAutospacing="0"/>
              <w:jc w:val="right"/>
              <w:rPr>
                <w:sz w:val="20"/>
                <w:szCs w:val="20"/>
              </w:rPr>
            </w:pPr>
            <w:r>
              <w:rPr>
                <w:sz w:val="20"/>
                <w:szCs w:val="20"/>
              </w:rPr>
              <w:t> </w:t>
            </w:r>
          </w:p>
        </w:tc>
      </w:tr>
      <w:tr w:rsidR="00000000" w14:paraId="6585ACEE" w14:textId="77777777">
        <w:trPr>
          <w:divId w:val="1645432370"/>
          <w:trHeight w:val="200"/>
          <w:tblCellSpacing w:w="15" w:type="dxa"/>
        </w:trPr>
        <w:tc>
          <w:tcPr>
            <w:tcW w:w="0" w:type="auto"/>
            <w:hideMark/>
          </w:tcPr>
          <w:p w14:paraId="17ECA6A6" w14:textId="77777777" w:rsidR="00000000" w:rsidRDefault="00832D71">
            <w:pPr>
              <w:pStyle w:val="a3"/>
              <w:spacing w:before="0" w:beforeAutospacing="0" w:after="0" w:afterAutospacing="0"/>
              <w:rPr>
                <w:sz w:val="20"/>
                <w:szCs w:val="20"/>
              </w:rPr>
            </w:pPr>
            <w:r>
              <w:rPr>
                <w:b/>
                <w:bCs/>
                <w:sz w:val="20"/>
                <w:szCs w:val="20"/>
              </w:rPr>
              <w:t>Liability Derivative</w:t>
            </w:r>
            <w:r>
              <w:rPr>
                <w:b/>
                <w:bCs/>
                <w:sz w:val="20"/>
                <w:szCs w:val="20"/>
              </w:rPr>
              <w:t>s</w:t>
            </w:r>
          </w:p>
        </w:tc>
        <w:tc>
          <w:tcPr>
            <w:tcW w:w="0" w:type="auto"/>
            <w:hideMark/>
          </w:tcPr>
          <w:p w14:paraId="6CC1DA5C"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3E2F42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4BC87CF"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FB2C04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7883B5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0594BA1"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6CB71CDA"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7DACE5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02A6587" w14:textId="77777777" w:rsidR="00000000" w:rsidRDefault="00832D71">
            <w:pPr>
              <w:pStyle w:val="a3"/>
              <w:spacing w:before="0" w:beforeAutospacing="0" w:after="0" w:afterAutospacing="0"/>
              <w:jc w:val="right"/>
              <w:rPr>
                <w:sz w:val="20"/>
                <w:szCs w:val="20"/>
              </w:rPr>
            </w:pPr>
            <w:r>
              <w:rPr>
                <w:sz w:val="20"/>
                <w:szCs w:val="20"/>
              </w:rPr>
              <w:t> </w:t>
            </w:r>
          </w:p>
        </w:tc>
      </w:tr>
      <w:tr w:rsidR="00000000" w14:paraId="5B3B395E" w14:textId="77777777">
        <w:trPr>
          <w:divId w:val="1645432370"/>
          <w:trHeight w:val="200"/>
          <w:tblCellSpacing w:w="15" w:type="dxa"/>
        </w:trPr>
        <w:tc>
          <w:tcPr>
            <w:tcW w:w="0" w:type="auto"/>
            <w:hideMark/>
          </w:tcPr>
          <w:p w14:paraId="54480BD7" w14:textId="77777777" w:rsidR="00000000" w:rsidRDefault="00832D71">
            <w:pPr>
              <w:pStyle w:val="a3"/>
              <w:spacing w:before="0" w:beforeAutospacing="0" w:after="0" w:afterAutospacing="0"/>
              <w:rPr>
                <w:sz w:val="20"/>
                <w:szCs w:val="20"/>
              </w:rPr>
            </w:pPr>
            <w:r>
              <w:rPr>
                <w:sz w:val="20"/>
                <w:szCs w:val="20"/>
              </w:rPr>
              <w:t>Commodity-related derivative</w:t>
            </w:r>
            <w:r>
              <w:rPr>
                <w:sz w:val="20"/>
                <w:szCs w:val="20"/>
              </w:rPr>
              <w:t>s</w:t>
            </w:r>
          </w:p>
        </w:tc>
        <w:tc>
          <w:tcPr>
            <w:tcW w:w="0" w:type="auto"/>
            <w:hideMark/>
          </w:tcPr>
          <w:p w14:paraId="6AFB07B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B64557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330A468" w14:textId="77777777" w:rsidR="00000000" w:rsidRDefault="00832D71">
            <w:pPr>
              <w:pStyle w:val="a3"/>
              <w:spacing w:before="0" w:beforeAutospacing="0" w:after="0" w:afterAutospacing="0"/>
              <w:jc w:val="right"/>
              <w:rPr>
                <w:sz w:val="20"/>
                <w:szCs w:val="20"/>
              </w:rPr>
            </w:pPr>
            <w:r>
              <w:rPr>
                <w:sz w:val="20"/>
                <w:szCs w:val="20"/>
              </w:rPr>
              <w:t>32,02</w:t>
            </w:r>
            <w:r>
              <w:rPr>
                <w:sz w:val="20"/>
                <w:szCs w:val="20"/>
              </w:rPr>
              <w:t>3</w:t>
            </w:r>
          </w:p>
        </w:tc>
        <w:tc>
          <w:tcPr>
            <w:tcW w:w="0" w:type="auto"/>
            <w:noWrap/>
            <w:vAlign w:val="bottom"/>
            <w:hideMark/>
          </w:tcPr>
          <w:p w14:paraId="4C1FF74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15D71C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8E287C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57ED441" w14:textId="77777777" w:rsidR="00000000" w:rsidRDefault="00832D71">
            <w:pPr>
              <w:pStyle w:val="a3"/>
              <w:spacing w:before="0" w:beforeAutospacing="0" w:after="0" w:afterAutospacing="0"/>
              <w:jc w:val="right"/>
              <w:rPr>
                <w:sz w:val="20"/>
                <w:szCs w:val="20"/>
              </w:rPr>
            </w:pPr>
            <w:r>
              <w:rPr>
                <w:sz w:val="20"/>
                <w:szCs w:val="20"/>
              </w:rPr>
              <w:t>(</w:t>
            </w:r>
            <w:r>
              <w:rPr>
                <w:sz w:val="20"/>
                <w:szCs w:val="20"/>
              </w:rPr>
              <w:t>21,67</w:t>
            </w:r>
            <w:r>
              <w:rPr>
                <w:sz w:val="20"/>
                <w:szCs w:val="20"/>
              </w:rPr>
              <w:t>6</w:t>
            </w:r>
          </w:p>
        </w:tc>
        <w:tc>
          <w:tcPr>
            <w:tcW w:w="0" w:type="auto"/>
            <w:noWrap/>
            <w:vAlign w:val="bottom"/>
            <w:hideMark/>
          </w:tcPr>
          <w:p w14:paraId="0DA1783D"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068E7F9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3C1D65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E48A590" w14:textId="77777777" w:rsidR="00000000" w:rsidRDefault="00832D71">
            <w:pPr>
              <w:pStyle w:val="a3"/>
              <w:spacing w:before="0" w:beforeAutospacing="0" w:after="0" w:afterAutospacing="0"/>
              <w:jc w:val="right"/>
              <w:rPr>
                <w:sz w:val="20"/>
                <w:szCs w:val="20"/>
              </w:rPr>
            </w:pPr>
            <w:r>
              <w:rPr>
                <w:sz w:val="20"/>
                <w:szCs w:val="20"/>
              </w:rPr>
              <w:t>10,34</w:t>
            </w:r>
            <w:r>
              <w:rPr>
                <w:sz w:val="20"/>
                <w:szCs w:val="20"/>
              </w:rPr>
              <w:t>7</w:t>
            </w:r>
          </w:p>
        </w:tc>
        <w:tc>
          <w:tcPr>
            <w:tcW w:w="0" w:type="auto"/>
            <w:noWrap/>
            <w:vAlign w:val="bottom"/>
            <w:hideMark/>
          </w:tcPr>
          <w:p w14:paraId="24047CFA" w14:textId="77777777" w:rsidR="00000000" w:rsidRDefault="00832D71">
            <w:pPr>
              <w:pStyle w:val="a3"/>
              <w:spacing w:before="0" w:beforeAutospacing="0" w:after="0" w:afterAutospacing="0"/>
              <w:rPr>
                <w:sz w:val="20"/>
                <w:szCs w:val="20"/>
              </w:rPr>
            </w:pPr>
            <w:r>
              <w:rPr>
                <w:sz w:val="20"/>
                <w:szCs w:val="20"/>
              </w:rPr>
              <w:t> </w:t>
            </w:r>
          </w:p>
        </w:tc>
      </w:tr>
      <w:tr w:rsidR="00000000" w14:paraId="76219D59" w14:textId="77777777">
        <w:trPr>
          <w:divId w:val="1645432370"/>
          <w:trHeight w:val="200"/>
          <w:tblCellSpacing w:w="15" w:type="dxa"/>
        </w:trPr>
        <w:tc>
          <w:tcPr>
            <w:tcW w:w="0" w:type="auto"/>
            <w:hideMark/>
          </w:tcPr>
          <w:p w14:paraId="0A14ADF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663401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89D836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DC6B4E0" w14:textId="77777777" w:rsidR="00000000" w:rsidRDefault="00832D71">
            <w:pPr>
              <w:pStyle w:val="a3"/>
              <w:spacing w:before="0" w:beforeAutospacing="0" w:after="0" w:afterAutospacing="0"/>
              <w:jc w:val="right"/>
              <w:rPr>
                <w:sz w:val="20"/>
                <w:szCs w:val="20"/>
              </w:rPr>
            </w:pPr>
            <w:r>
              <w:rPr>
                <w:sz w:val="20"/>
                <w:szCs w:val="20"/>
              </w:rPr>
              <w:t>32,02</w:t>
            </w:r>
            <w:r>
              <w:rPr>
                <w:sz w:val="20"/>
                <w:szCs w:val="20"/>
              </w:rPr>
              <w:t>3</w:t>
            </w:r>
          </w:p>
        </w:tc>
        <w:tc>
          <w:tcPr>
            <w:tcW w:w="0" w:type="auto"/>
            <w:noWrap/>
            <w:vAlign w:val="bottom"/>
            <w:hideMark/>
          </w:tcPr>
          <w:p w14:paraId="1B15C08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C87DC0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30FC77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F64D7EF" w14:textId="77777777" w:rsidR="00000000" w:rsidRDefault="00832D71">
            <w:pPr>
              <w:pStyle w:val="a3"/>
              <w:spacing w:before="0" w:beforeAutospacing="0" w:after="0" w:afterAutospacing="0"/>
              <w:jc w:val="right"/>
              <w:rPr>
                <w:sz w:val="20"/>
                <w:szCs w:val="20"/>
              </w:rPr>
            </w:pPr>
            <w:r>
              <w:rPr>
                <w:sz w:val="20"/>
                <w:szCs w:val="20"/>
              </w:rPr>
              <w:t>(</w:t>
            </w:r>
            <w:r>
              <w:rPr>
                <w:sz w:val="20"/>
                <w:szCs w:val="20"/>
              </w:rPr>
              <w:t>21,67</w:t>
            </w:r>
            <w:r>
              <w:rPr>
                <w:sz w:val="20"/>
                <w:szCs w:val="20"/>
              </w:rPr>
              <w:t>6</w:t>
            </w:r>
          </w:p>
        </w:tc>
        <w:tc>
          <w:tcPr>
            <w:tcW w:w="0" w:type="auto"/>
            <w:noWrap/>
            <w:vAlign w:val="bottom"/>
            <w:hideMark/>
          </w:tcPr>
          <w:p w14:paraId="1ABCB748"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4CFF54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900D65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02BC0FD" w14:textId="77777777" w:rsidR="00000000" w:rsidRDefault="00832D71">
            <w:pPr>
              <w:pStyle w:val="a3"/>
              <w:spacing w:before="0" w:beforeAutospacing="0" w:after="0" w:afterAutospacing="0"/>
              <w:jc w:val="right"/>
              <w:rPr>
                <w:sz w:val="20"/>
                <w:szCs w:val="20"/>
              </w:rPr>
            </w:pPr>
            <w:r>
              <w:rPr>
                <w:sz w:val="20"/>
                <w:szCs w:val="20"/>
              </w:rPr>
              <w:t>10,34</w:t>
            </w:r>
            <w:r>
              <w:rPr>
                <w:sz w:val="20"/>
                <w:szCs w:val="20"/>
              </w:rPr>
              <w:t>7</w:t>
            </w:r>
          </w:p>
        </w:tc>
        <w:tc>
          <w:tcPr>
            <w:tcW w:w="0" w:type="auto"/>
            <w:noWrap/>
            <w:vAlign w:val="bottom"/>
            <w:hideMark/>
          </w:tcPr>
          <w:p w14:paraId="69978DA3" w14:textId="77777777" w:rsidR="00000000" w:rsidRDefault="00832D71">
            <w:pPr>
              <w:pStyle w:val="a3"/>
              <w:spacing w:before="0" w:beforeAutospacing="0" w:after="0" w:afterAutospacing="0"/>
              <w:rPr>
                <w:sz w:val="20"/>
                <w:szCs w:val="20"/>
              </w:rPr>
            </w:pPr>
            <w:r>
              <w:rPr>
                <w:sz w:val="20"/>
                <w:szCs w:val="20"/>
              </w:rPr>
              <w:t> </w:t>
            </w:r>
          </w:p>
        </w:tc>
      </w:tr>
    </w:tbl>
    <w:p w14:paraId="029E5832" w14:textId="77777777" w:rsidR="00000000" w:rsidRDefault="00832D71">
      <w:pPr>
        <w:pStyle w:val="a3"/>
        <w:spacing w:before="0" w:beforeAutospacing="0" w:after="0" w:afterAutospacing="0"/>
        <w:divId w:val="1762481692"/>
        <w:rPr>
          <w:sz w:val="20"/>
          <w:szCs w:val="20"/>
        </w:rPr>
      </w:pPr>
      <w:r>
        <w:rPr>
          <w:sz w:val="20"/>
          <w:szCs w:val="20"/>
        </w:rPr>
        <w:t> </w:t>
      </w:r>
    </w:p>
    <w:p w14:paraId="0FAA2932" w14:textId="77777777" w:rsidR="00000000" w:rsidRDefault="00832D71">
      <w:pPr>
        <w:pStyle w:val="a3"/>
        <w:spacing w:before="40" w:beforeAutospacing="0" w:after="0" w:afterAutospacing="0"/>
        <w:jc w:val="both"/>
        <w:divId w:val="1762481692"/>
        <w:rPr>
          <w:sz w:val="20"/>
          <w:szCs w:val="20"/>
        </w:rPr>
      </w:pPr>
      <w:r>
        <w:rPr>
          <w:sz w:val="20"/>
          <w:szCs w:val="20"/>
        </w:rPr>
        <w:t>The Partnership had $</w:t>
      </w:r>
      <w:r>
        <w:rPr>
          <w:sz w:val="20"/>
          <w:szCs w:val="20"/>
        </w:rPr>
        <w:t>-</w:t>
      </w:r>
      <w:r>
        <w:rPr>
          <w:sz w:val="20"/>
          <w:szCs w:val="20"/>
        </w:rPr>
        <w:t>0</w:t>
      </w:r>
      <w:r>
        <w:rPr>
          <w:sz w:val="20"/>
          <w:szCs w:val="20"/>
        </w:rPr>
        <w:t>- posted cash collateral as of</w:t>
      </w:r>
      <w:r>
        <w:rPr>
          <w:sz w:val="20"/>
          <w:szCs w:val="20"/>
        </w:rPr>
        <w:t xml:space="preserve"> </w:t>
      </w:r>
      <w:r>
        <w:rPr>
          <w:sz w:val="20"/>
          <w:szCs w:val="20"/>
        </w:rPr>
        <w:t>September 24, 2022 and September 25, 2021, respectively, with its brokers for outstanding commodity-related derivatives</w:t>
      </w:r>
      <w:r>
        <w:rPr>
          <w:sz w:val="20"/>
          <w:szCs w:val="20"/>
        </w:rPr>
        <w:t>.</w:t>
      </w:r>
    </w:p>
    <w:p w14:paraId="0DFB0B08" w14:textId="77777777" w:rsidR="00000000" w:rsidRDefault="00832D71">
      <w:pPr>
        <w:pStyle w:val="a3"/>
        <w:spacing w:before="200" w:beforeAutospacing="0" w:after="0" w:afterAutospacing="0"/>
        <w:jc w:val="center"/>
        <w:divId w:val="1762481692"/>
        <w:rPr>
          <w:sz w:val="20"/>
          <w:szCs w:val="20"/>
        </w:rPr>
      </w:pPr>
      <w:r>
        <w:rPr>
          <w:sz w:val="20"/>
          <w:szCs w:val="20"/>
        </w:rPr>
        <w:t>F</w:t>
      </w:r>
      <w:r>
        <w:rPr>
          <w:sz w:val="20"/>
          <w:szCs w:val="20"/>
        </w:rPr>
        <w:t>-</w:t>
      </w:r>
      <w:r>
        <w:rPr>
          <w:sz w:val="20"/>
          <w:szCs w:val="20"/>
        </w:rPr>
        <w:t>2</w:t>
      </w:r>
      <w:r>
        <w:rPr>
          <w:sz w:val="20"/>
          <w:szCs w:val="20"/>
        </w:rPr>
        <w:t>9</w:t>
      </w:r>
    </w:p>
    <w:p w14:paraId="72E2EE4C" w14:textId="77777777" w:rsidR="00000000" w:rsidRDefault="00832D71">
      <w:pPr>
        <w:divId w:val="1762481692"/>
        <w:rPr>
          <w:rFonts w:eastAsia="Times New Roman"/>
          <w:sz w:val="20"/>
          <w:szCs w:val="20"/>
        </w:rPr>
      </w:pPr>
      <w:r>
        <w:rPr>
          <w:rFonts w:eastAsia="Times New Roman"/>
          <w:sz w:val="20"/>
          <w:szCs w:val="20"/>
        </w:rPr>
        <w:pict w14:anchorId="0BDB252C">
          <v:rect id="_x0000_i1148" style="width:0;height:1.5pt" o:hralign="center" o:hrstd="t" o:hr="t" fillcolor="#a0a0a0" stroked="f"/>
        </w:pict>
      </w:r>
    </w:p>
    <w:p w14:paraId="06DCC2E3" w14:textId="77777777" w:rsidR="00000000" w:rsidRDefault="00832D71">
      <w:pPr>
        <w:pStyle w:val="a3"/>
        <w:spacing w:before="0" w:beforeAutospacing="0" w:after="0" w:afterAutospacing="0"/>
        <w:divId w:val="1762481692"/>
        <w:rPr>
          <w:sz w:val="20"/>
          <w:szCs w:val="20"/>
        </w:rPr>
      </w:pPr>
      <w:r>
        <w:rPr>
          <w:sz w:val="20"/>
          <w:szCs w:val="20"/>
        </w:rPr>
        <w:t> </w:t>
      </w:r>
    </w:p>
    <w:p w14:paraId="5E2D39E2" w14:textId="77777777" w:rsidR="00000000" w:rsidRDefault="00832D71">
      <w:pPr>
        <w:pStyle w:val="a3"/>
        <w:spacing w:before="240" w:beforeAutospacing="0" w:after="0" w:afterAutospacing="0"/>
        <w:jc w:val="both"/>
        <w:divId w:val="1762481692"/>
        <w:rPr>
          <w:sz w:val="20"/>
          <w:szCs w:val="20"/>
        </w:rPr>
      </w:pPr>
      <w:r>
        <w:rPr>
          <w:b/>
          <w:bCs/>
          <w:sz w:val="20"/>
          <w:szCs w:val="20"/>
        </w:rPr>
        <w:t>Concentrations</w:t>
      </w:r>
      <w:r>
        <w:rPr>
          <w:b/>
          <w:bCs/>
          <w:sz w:val="20"/>
          <w:szCs w:val="20"/>
        </w:rPr>
        <w:t>.</w:t>
      </w:r>
      <w:r>
        <w:rPr>
          <w:sz w:val="20"/>
          <w:szCs w:val="20"/>
        </w:rPr>
        <w:t xml:space="preserve"> The Partnership’s principal customers are residential and commercial end use</w:t>
      </w:r>
      <w:r>
        <w:rPr>
          <w:sz w:val="20"/>
          <w:szCs w:val="20"/>
        </w:rPr>
        <w:t>rs of propane and fuel oil and refined fuels served by approximately</w:t>
      </w:r>
      <w:r>
        <w:rPr>
          <w:sz w:val="20"/>
          <w:szCs w:val="20"/>
        </w:rPr>
        <w:t xml:space="preserve"> </w:t>
      </w:r>
      <w:r>
        <w:rPr>
          <w:sz w:val="20"/>
          <w:szCs w:val="20"/>
        </w:rPr>
        <w:t>70</w:t>
      </w:r>
      <w:r>
        <w:rPr>
          <w:sz w:val="20"/>
          <w:szCs w:val="20"/>
        </w:rPr>
        <w:t>0</w:t>
      </w:r>
      <w:r>
        <w:rPr>
          <w:sz w:val="20"/>
          <w:szCs w:val="20"/>
        </w:rPr>
        <w:t xml:space="preserve"> locations in</w:t>
      </w:r>
      <w:r>
        <w:rPr>
          <w:sz w:val="20"/>
          <w:szCs w:val="20"/>
        </w:rPr>
        <w:t xml:space="preserve"> </w:t>
      </w:r>
      <w:r>
        <w:rPr>
          <w:sz w:val="20"/>
          <w:szCs w:val="20"/>
        </w:rPr>
        <w:t>4</w:t>
      </w:r>
      <w:r>
        <w:rPr>
          <w:sz w:val="20"/>
          <w:szCs w:val="20"/>
        </w:rPr>
        <w:t>2</w:t>
      </w:r>
      <w:r>
        <w:rPr>
          <w:sz w:val="20"/>
          <w:szCs w:val="20"/>
        </w:rPr>
        <w:t xml:space="preserve"> states. No single customer accounted for more than 10% of revenues during fiscal 2022, 2021 or 2020 and no concentration of receivables exists as of September 24, 2022</w:t>
      </w:r>
      <w:r>
        <w:rPr>
          <w:sz w:val="20"/>
          <w:szCs w:val="20"/>
        </w:rPr>
        <w:t xml:space="preserve"> or September 25, 2021</w:t>
      </w:r>
      <w:r>
        <w:rPr>
          <w:sz w:val="20"/>
          <w:szCs w:val="20"/>
        </w:rPr>
        <w:t>.</w:t>
      </w:r>
    </w:p>
    <w:p w14:paraId="08126E85" w14:textId="77777777" w:rsidR="00000000" w:rsidRDefault="00832D71">
      <w:pPr>
        <w:pStyle w:val="a3"/>
        <w:spacing w:before="240" w:beforeAutospacing="0" w:after="0" w:afterAutospacing="0"/>
        <w:jc w:val="both"/>
        <w:divId w:val="1762481692"/>
        <w:rPr>
          <w:sz w:val="20"/>
          <w:szCs w:val="20"/>
        </w:rPr>
      </w:pPr>
      <w:r>
        <w:rPr>
          <w:sz w:val="20"/>
          <w:szCs w:val="20"/>
        </w:rPr>
        <w:t>During fiscal 202</w:t>
      </w:r>
      <w:r>
        <w:rPr>
          <w:sz w:val="20"/>
          <w:szCs w:val="20"/>
        </w:rPr>
        <w:t>2</w:t>
      </w:r>
      <w:r>
        <w:rPr>
          <w:sz w:val="20"/>
          <w:szCs w:val="20"/>
        </w:rPr>
        <w:t>, Crestwood Equity Partners L.P. and Targa Liquids Marketing, provided approximately</w:t>
      </w:r>
      <w:r>
        <w:rPr>
          <w:sz w:val="20"/>
          <w:szCs w:val="20"/>
        </w:rPr>
        <w:t xml:space="preserve"> </w:t>
      </w:r>
      <w:r>
        <w:rPr>
          <w:sz w:val="20"/>
          <w:szCs w:val="20"/>
        </w:rPr>
        <w:t>3</w:t>
      </w:r>
      <w:r>
        <w:rPr>
          <w:sz w:val="20"/>
          <w:szCs w:val="20"/>
        </w:rPr>
        <w:t>1</w:t>
      </w:r>
      <w:r>
        <w:rPr>
          <w:sz w:val="20"/>
          <w:szCs w:val="20"/>
        </w:rPr>
        <w:t>% and</w:t>
      </w:r>
      <w:r>
        <w:rPr>
          <w:sz w:val="20"/>
          <w:szCs w:val="20"/>
        </w:rPr>
        <w:t xml:space="preserve"> </w:t>
      </w:r>
      <w:r>
        <w:rPr>
          <w:sz w:val="20"/>
          <w:szCs w:val="20"/>
        </w:rPr>
        <w:t>1</w:t>
      </w:r>
      <w:r>
        <w:rPr>
          <w:sz w:val="20"/>
          <w:szCs w:val="20"/>
        </w:rPr>
        <w:t>6</w:t>
      </w:r>
      <w:r>
        <w:rPr>
          <w:sz w:val="20"/>
          <w:szCs w:val="20"/>
        </w:rPr>
        <w:t xml:space="preserve">% of the Partnership’s total propane purchases, respectively. </w:t>
      </w:r>
      <w:r>
        <w:rPr>
          <w:sz w:val="20"/>
          <w:szCs w:val="20"/>
        </w:rPr>
        <w:t>No other single supplier accounted for more than</w:t>
      </w:r>
      <w:r>
        <w:rPr>
          <w:sz w:val="20"/>
          <w:szCs w:val="20"/>
        </w:rPr>
        <w:t xml:space="preserve"> </w:t>
      </w:r>
      <w:r>
        <w:rPr>
          <w:sz w:val="20"/>
          <w:szCs w:val="20"/>
        </w:rPr>
        <w:t>1</w:t>
      </w:r>
      <w:r>
        <w:rPr>
          <w:sz w:val="20"/>
          <w:szCs w:val="20"/>
        </w:rPr>
        <w:t>0</w:t>
      </w:r>
      <w:r>
        <w:rPr>
          <w:sz w:val="20"/>
          <w:szCs w:val="20"/>
        </w:rPr>
        <w:t>% of the Partnership’s propane purchases in fiscal</w:t>
      </w:r>
      <w:r>
        <w:rPr>
          <w:sz w:val="20"/>
          <w:szCs w:val="20"/>
        </w:rPr>
        <w:t xml:space="preserve"> </w:t>
      </w:r>
      <w:r>
        <w:rPr>
          <w:sz w:val="20"/>
          <w:szCs w:val="20"/>
        </w:rPr>
        <w:t>2022. The Partnership believes that, if supplies from any of these suppliers were interrupted, it would be able to secure adequate propane supplies from o</w:t>
      </w:r>
      <w:r>
        <w:rPr>
          <w:sz w:val="20"/>
          <w:szCs w:val="20"/>
        </w:rPr>
        <w:t>ther sources without a material disruption of its operations</w:t>
      </w:r>
      <w:r>
        <w:rPr>
          <w:sz w:val="20"/>
          <w:szCs w:val="20"/>
        </w:rPr>
        <w:t>.</w:t>
      </w:r>
    </w:p>
    <w:p w14:paraId="46268882" w14:textId="77777777" w:rsidR="00000000" w:rsidRDefault="00832D71">
      <w:pPr>
        <w:pStyle w:val="a3"/>
        <w:spacing w:before="240" w:beforeAutospacing="0" w:after="0" w:afterAutospacing="0"/>
        <w:jc w:val="both"/>
        <w:divId w:val="1762481692"/>
        <w:rPr>
          <w:sz w:val="20"/>
          <w:szCs w:val="20"/>
        </w:rPr>
      </w:pPr>
      <w:r>
        <w:rPr>
          <w:b/>
          <w:bCs/>
          <w:sz w:val="20"/>
          <w:szCs w:val="20"/>
        </w:rPr>
        <w:t>Credit Risk</w:t>
      </w:r>
      <w:r>
        <w:rPr>
          <w:b/>
          <w:bCs/>
          <w:sz w:val="20"/>
          <w:szCs w:val="20"/>
        </w:rPr>
        <w:t>.</w:t>
      </w:r>
      <w:r>
        <w:rPr>
          <w:sz w:val="20"/>
          <w:szCs w:val="20"/>
        </w:rPr>
        <w:t xml:space="preserve"> Exchange-traded futures and options contracts are traded on and guaranteed by the NYMEX and as a result, have minimal credit risk. Futures contracts traded with brokers of the NYMEX</w:t>
      </w:r>
      <w:r>
        <w:rPr>
          <w:sz w:val="20"/>
          <w:szCs w:val="20"/>
        </w:rPr>
        <w:t xml:space="preserve"> require daily cash settlements in margin accounts. The Partnership is subject to credit risk with over-the-counter swaps and options contracts entered into with various third parties to the extent the counterparties do not perform. The Partnership evaluat</w:t>
      </w:r>
      <w:r>
        <w:rPr>
          <w:sz w:val="20"/>
          <w:szCs w:val="20"/>
        </w:rPr>
        <w:t>es the financial condition of each counterparty with which it conducts business and establishes credit limits to reduce exposure to credit risk based on non-performance. The Partnership does not require collateral to support the contracts</w:t>
      </w:r>
      <w:r>
        <w:rPr>
          <w:sz w:val="20"/>
          <w:szCs w:val="20"/>
        </w:rPr>
        <w:t>.</w:t>
      </w:r>
    </w:p>
    <w:p w14:paraId="4F4FB2CD" w14:textId="77777777" w:rsidR="00000000" w:rsidRDefault="00832D71">
      <w:pPr>
        <w:pStyle w:val="a3"/>
        <w:spacing w:before="240" w:beforeAutospacing="0" w:after="0" w:afterAutospacing="0"/>
        <w:jc w:val="both"/>
        <w:divId w:val="1762481692"/>
        <w:rPr>
          <w:sz w:val="20"/>
          <w:szCs w:val="20"/>
        </w:rPr>
      </w:pPr>
      <w:r>
        <w:rPr>
          <w:b/>
          <w:bCs/>
          <w:sz w:val="20"/>
          <w:szCs w:val="20"/>
        </w:rPr>
        <w:t>Bank Debt and Se</w:t>
      </w:r>
      <w:r>
        <w:rPr>
          <w:b/>
          <w:bCs/>
          <w:sz w:val="20"/>
          <w:szCs w:val="20"/>
        </w:rPr>
        <w:t>nior Notes</w:t>
      </w:r>
      <w:r>
        <w:rPr>
          <w:b/>
          <w:bCs/>
          <w:sz w:val="20"/>
          <w:szCs w:val="20"/>
        </w:rPr>
        <w:t>.</w:t>
      </w:r>
      <w:r>
        <w:rPr>
          <w:sz w:val="20"/>
          <w:szCs w:val="20"/>
        </w:rPr>
        <w:t xml:space="preserve"> The fair value of the Revolving Credit Facility approximates the carrying value since the interest rates are adjusted quarterly to reflect market conditions. Based upon quoted market prices, the fair value of the Partnership’s 2027 Senior Notes</w:t>
      </w:r>
      <w:r>
        <w:rPr>
          <w:sz w:val="20"/>
          <w:szCs w:val="20"/>
        </w:rPr>
        <w:t xml:space="preserve"> and 2031 Senior Notes was </w:t>
      </w:r>
      <w:r>
        <w:rPr>
          <w:sz w:val="20"/>
          <w:szCs w:val="20"/>
        </w:rPr>
        <w:t>$</w:t>
      </w:r>
      <w:r>
        <w:rPr>
          <w:sz w:val="20"/>
          <w:szCs w:val="20"/>
        </w:rPr>
        <w:t>336,37</w:t>
      </w:r>
      <w:r>
        <w:rPr>
          <w:sz w:val="20"/>
          <w:szCs w:val="20"/>
        </w:rPr>
        <w:t>5</w:t>
      </w:r>
      <w:r>
        <w:rPr>
          <w:sz w:val="20"/>
          <w:szCs w:val="20"/>
        </w:rPr>
        <w:t xml:space="preserve"> and </w:t>
      </w:r>
      <w:r>
        <w:rPr>
          <w:sz w:val="20"/>
          <w:szCs w:val="20"/>
        </w:rPr>
        <w:t>$</w:t>
      </w:r>
      <w:r>
        <w:rPr>
          <w:sz w:val="20"/>
          <w:szCs w:val="20"/>
        </w:rPr>
        <w:t>547,62</w:t>
      </w:r>
      <w:r>
        <w:rPr>
          <w:sz w:val="20"/>
          <w:szCs w:val="20"/>
        </w:rPr>
        <w:t>5</w:t>
      </w:r>
      <w:r>
        <w:rPr>
          <w:sz w:val="20"/>
          <w:szCs w:val="20"/>
        </w:rPr>
        <w:t>, respectively, as of September 24, 202</w:t>
      </w:r>
      <w:r>
        <w:rPr>
          <w:sz w:val="20"/>
          <w:szCs w:val="20"/>
        </w:rPr>
        <w:t>2</w:t>
      </w:r>
      <w:r>
        <w:rPr>
          <w:sz w:val="20"/>
          <w:szCs w:val="20"/>
        </w:rPr>
        <w:t>.</w:t>
      </w:r>
    </w:p>
    <w:p w14:paraId="3F8B3891" w14:textId="77777777" w:rsidR="00000000" w:rsidRDefault="00832D71">
      <w:pPr>
        <w:pStyle w:val="a3"/>
        <w:spacing w:before="0" w:beforeAutospacing="0" w:after="0" w:afterAutospacing="0"/>
        <w:rPr>
          <w:sz w:val="20"/>
          <w:szCs w:val="20"/>
        </w:rPr>
      </w:pPr>
      <w:r>
        <w:rPr>
          <w:sz w:val="20"/>
          <w:szCs w:val="20"/>
        </w:rPr>
        <w:t> </w:t>
      </w:r>
    </w:p>
    <w:p w14:paraId="5B05E133" w14:textId="77777777" w:rsidR="00000000" w:rsidRDefault="00832D71">
      <w:pPr>
        <w:pStyle w:val="a3"/>
        <w:spacing w:before="160" w:beforeAutospacing="0" w:after="0" w:afterAutospacing="0"/>
        <w:ind w:hanging="581"/>
        <w:jc w:val="both"/>
        <w:divId w:val="200289569"/>
        <w:rPr>
          <w:sz w:val="20"/>
          <w:szCs w:val="20"/>
        </w:rPr>
      </w:pPr>
      <w:r>
        <w:rPr>
          <w:b/>
          <w:bCs/>
          <w:sz w:val="20"/>
          <w:szCs w:val="20"/>
        </w:rPr>
        <w:t>14. Commitments and Contingencie</w:t>
      </w:r>
      <w:r>
        <w:rPr>
          <w:b/>
          <w:bCs/>
          <w:sz w:val="20"/>
          <w:szCs w:val="20"/>
        </w:rPr>
        <w:t>s</w:t>
      </w:r>
    </w:p>
    <w:p w14:paraId="0B9D4928" w14:textId="77777777" w:rsidR="00000000" w:rsidRDefault="00832D71">
      <w:pPr>
        <w:pStyle w:val="a3"/>
        <w:spacing w:before="120" w:beforeAutospacing="0" w:after="0" w:afterAutospacing="0"/>
        <w:jc w:val="both"/>
        <w:divId w:val="200289569"/>
        <w:rPr>
          <w:sz w:val="20"/>
          <w:szCs w:val="20"/>
        </w:rPr>
      </w:pPr>
      <w:r>
        <w:rPr>
          <w:b/>
          <w:bCs/>
          <w:sz w:val="20"/>
          <w:szCs w:val="20"/>
        </w:rPr>
        <w:t>Commitments</w:t>
      </w:r>
      <w:r>
        <w:rPr>
          <w:b/>
          <w:bCs/>
          <w:sz w:val="20"/>
          <w:szCs w:val="20"/>
        </w:rPr>
        <w:t>.</w:t>
      </w:r>
      <w:r>
        <w:rPr>
          <w:sz w:val="20"/>
          <w:szCs w:val="20"/>
        </w:rPr>
        <w:t xml:space="preserve"> The Partnership leases certain property, plant and equipment, including portions of the Partnership’s vehicle fleet, </w:t>
      </w:r>
      <w:r>
        <w:rPr>
          <w:sz w:val="20"/>
          <w:szCs w:val="20"/>
        </w:rPr>
        <w:t>for various periods under noncancelable leases</w:t>
      </w:r>
      <w:r>
        <w:rPr>
          <w:sz w:val="20"/>
          <w:szCs w:val="20"/>
        </w:rPr>
        <w:t>.</w:t>
      </w:r>
      <w:r>
        <w:rPr>
          <w:sz w:val="20"/>
          <w:szCs w:val="20"/>
        </w:rPr>
        <w:t xml:space="preserve"> </w:t>
      </w:r>
    </w:p>
    <w:p w14:paraId="2C0C3F07" w14:textId="77777777" w:rsidR="00000000" w:rsidRDefault="00832D71">
      <w:pPr>
        <w:pStyle w:val="a3"/>
        <w:spacing w:before="120" w:beforeAutospacing="0" w:after="0" w:afterAutospacing="0"/>
        <w:jc w:val="both"/>
        <w:divId w:val="200289569"/>
        <w:rPr>
          <w:sz w:val="20"/>
          <w:szCs w:val="20"/>
        </w:rPr>
      </w:pPr>
      <w:r>
        <w:rPr>
          <w:b/>
          <w:bCs/>
          <w:sz w:val="20"/>
          <w:szCs w:val="20"/>
        </w:rPr>
        <w:t>Contingencie</w:t>
      </w:r>
      <w:r>
        <w:rPr>
          <w:b/>
          <w:bCs/>
          <w:sz w:val="20"/>
          <w:szCs w:val="20"/>
        </w:rPr>
        <w:t>s</w:t>
      </w:r>
    </w:p>
    <w:p w14:paraId="6CDAAB8F" w14:textId="77777777" w:rsidR="00000000" w:rsidRDefault="00832D71">
      <w:pPr>
        <w:pStyle w:val="a3"/>
        <w:spacing w:before="120" w:beforeAutospacing="0" w:after="0" w:afterAutospacing="0"/>
        <w:jc w:val="both"/>
        <w:divId w:val="200289569"/>
        <w:rPr>
          <w:sz w:val="20"/>
          <w:szCs w:val="20"/>
        </w:rPr>
      </w:pPr>
      <w:r>
        <w:rPr>
          <w:b/>
          <w:bCs/>
          <w:sz w:val="20"/>
          <w:szCs w:val="20"/>
        </w:rPr>
        <w:t>Accrued Insurance</w:t>
      </w:r>
      <w:r>
        <w:rPr>
          <w:b/>
          <w:bCs/>
          <w:sz w:val="20"/>
          <w:szCs w:val="20"/>
        </w:rPr>
        <w:t>.</w:t>
      </w:r>
      <w:r>
        <w:rPr>
          <w:sz w:val="20"/>
          <w:szCs w:val="20"/>
        </w:rPr>
        <w:t xml:space="preserve"> The Partnership is self-insured for general and product, workers’ compensation and automobile liabilities up to predetermined amounts above which third party insurance applie</w:t>
      </w:r>
      <w:r>
        <w:rPr>
          <w:sz w:val="20"/>
          <w:szCs w:val="20"/>
        </w:rPr>
        <w:t xml:space="preserve">s. As of September 24, 2022 and September 25, 2021, the Partnership had accrued liabilities of </w:t>
      </w:r>
      <w:r>
        <w:rPr>
          <w:sz w:val="20"/>
          <w:szCs w:val="20"/>
        </w:rPr>
        <w:t>$</w:t>
      </w:r>
      <w:r>
        <w:rPr>
          <w:sz w:val="20"/>
          <w:szCs w:val="20"/>
        </w:rPr>
        <w:t>64,06</w:t>
      </w:r>
      <w:r>
        <w:rPr>
          <w:sz w:val="20"/>
          <w:szCs w:val="20"/>
        </w:rPr>
        <w:t>5</w:t>
      </w:r>
      <w:r>
        <w:rPr>
          <w:sz w:val="20"/>
          <w:szCs w:val="20"/>
        </w:rPr>
        <w:t xml:space="preserve"> and </w:t>
      </w:r>
      <w:r>
        <w:rPr>
          <w:sz w:val="20"/>
          <w:szCs w:val="20"/>
        </w:rPr>
        <w:t>$</w:t>
      </w:r>
      <w:r>
        <w:rPr>
          <w:sz w:val="20"/>
          <w:szCs w:val="20"/>
        </w:rPr>
        <w:t>66,12</w:t>
      </w:r>
      <w:r>
        <w:rPr>
          <w:sz w:val="20"/>
          <w:szCs w:val="20"/>
        </w:rPr>
        <w:t>4</w:t>
      </w:r>
      <w:r>
        <w:rPr>
          <w:sz w:val="20"/>
          <w:szCs w:val="20"/>
        </w:rPr>
        <w:t>, respectively, representing the total estimated losses for known and anticipated or unasserted general and product, workers’ compensation and</w:t>
      </w:r>
      <w:r>
        <w:rPr>
          <w:sz w:val="20"/>
          <w:szCs w:val="20"/>
        </w:rPr>
        <w:t xml:space="preserve"> automobile claims. For the portion of the estimated liability that exceeds insurance deductibles, the Partnership records an asset within other assets (or prepaid expenses and other current assets, as applicable) related to the amount of the liability exp</w:t>
      </w:r>
      <w:r>
        <w:rPr>
          <w:sz w:val="20"/>
          <w:szCs w:val="20"/>
        </w:rPr>
        <w:t xml:space="preserve">ected to be covered by insurance which amounted to </w:t>
      </w:r>
      <w:r>
        <w:rPr>
          <w:sz w:val="20"/>
          <w:szCs w:val="20"/>
        </w:rPr>
        <w:t>$</w:t>
      </w:r>
      <w:r>
        <w:rPr>
          <w:sz w:val="20"/>
          <w:szCs w:val="20"/>
        </w:rPr>
        <w:t>15,71</w:t>
      </w:r>
      <w:r>
        <w:rPr>
          <w:sz w:val="20"/>
          <w:szCs w:val="20"/>
        </w:rPr>
        <w:t>0</w:t>
      </w:r>
      <w:r>
        <w:rPr>
          <w:sz w:val="20"/>
          <w:szCs w:val="20"/>
        </w:rPr>
        <w:t xml:space="preserve"> and </w:t>
      </w:r>
      <w:r>
        <w:rPr>
          <w:sz w:val="20"/>
          <w:szCs w:val="20"/>
        </w:rPr>
        <w:t>$</w:t>
      </w:r>
      <w:r>
        <w:rPr>
          <w:sz w:val="20"/>
          <w:szCs w:val="20"/>
        </w:rPr>
        <w:t>16,10</w:t>
      </w:r>
      <w:r>
        <w:rPr>
          <w:sz w:val="20"/>
          <w:szCs w:val="20"/>
        </w:rPr>
        <w:t>1</w:t>
      </w:r>
      <w:r>
        <w:rPr>
          <w:sz w:val="20"/>
          <w:szCs w:val="20"/>
        </w:rPr>
        <w:t xml:space="preserve"> as of September 24, 2022 and September 25, 2021, respectively</w:t>
      </w:r>
      <w:r>
        <w:rPr>
          <w:sz w:val="20"/>
          <w:szCs w:val="20"/>
        </w:rPr>
        <w:t>.</w:t>
      </w:r>
    </w:p>
    <w:p w14:paraId="1BF479BF" w14:textId="77777777" w:rsidR="00000000" w:rsidRDefault="00832D71">
      <w:pPr>
        <w:pStyle w:val="a3"/>
        <w:spacing w:before="240" w:beforeAutospacing="0" w:after="0" w:afterAutospacing="0"/>
        <w:jc w:val="both"/>
        <w:divId w:val="200289569"/>
        <w:rPr>
          <w:sz w:val="20"/>
          <w:szCs w:val="20"/>
        </w:rPr>
      </w:pPr>
      <w:r>
        <w:rPr>
          <w:b/>
          <w:bCs/>
          <w:sz w:val="20"/>
          <w:szCs w:val="20"/>
        </w:rPr>
        <w:t>Legal Matters</w:t>
      </w:r>
      <w:r>
        <w:rPr>
          <w:b/>
          <w:bCs/>
          <w:sz w:val="20"/>
          <w:szCs w:val="20"/>
        </w:rPr>
        <w:t>.</w:t>
      </w:r>
      <w:r>
        <w:rPr>
          <w:sz w:val="20"/>
          <w:szCs w:val="20"/>
        </w:rPr>
        <w:t xml:space="preserve"> The Partnership’s operations are subject to operating hazards and risks normally incidental to handling, st</w:t>
      </w:r>
      <w:r>
        <w:rPr>
          <w:sz w:val="20"/>
          <w:szCs w:val="20"/>
        </w:rPr>
        <w:t>oring and delivering combustible liquids such as propane. The Partnership has been, and will continue to be, a defendant in various legal proceedings and litigation as a result of these operating hazards and risks, and as a result of other aspects of its b</w:t>
      </w:r>
      <w:r>
        <w:rPr>
          <w:sz w:val="20"/>
          <w:szCs w:val="20"/>
        </w:rPr>
        <w:t>usiness. In this regard, the Partnership’s natural gas and electricity business was sued in a putative class action suit in the Northern District of New York. The complaint alleged a number of claims under various consumer statutes and common law in New Yo</w:t>
      </w:r>
      <w:r>
        <w:rPr>
          <w:sz w:val="20"/>
          <w:szCs w:val="20"/>
        </w:rPr>
        <w:t>rk and Pennsylvania regarding pricing offered to electricity customers in those states. The case was dismissed in part by the district court, but causes of action based on the New York consumer statute and breach of contract were allowed to proceed. On Apr</w:t>
      </w:r>
      <w:r>
        <w:rPr>
          <w:sz w:val="20"/>
          <w:szCs w:val="20"/>
        </w:rPr>
        <w:t xml:space="preserve">il 12, 2022, the court granted summary judgment in favor of the Partnership on the remaining counts and the complaint was dismissed in full. The plaintiff has filed an appeal to the Second Circuit Court of Appeals. The Partnership believes that the appeal </w:t>
      </w:r>
      <w:r>
        <w:rPr>
          <w:sz w:val="20"/>
          <w:szCs w:val="20"/>
        </w:rPr>
        <w:t>is without merit. Accordingly, it was determined that no reserve for a loss contingency is required. Although any litigation is inherently uncertain, based on past experience, the information currently available to the Partnership, and the amount of its ac</w:t>
      </w:r>
      <w:r>
        <w:rPr>
          <w:sz w:val="20"/>
          <w:szCs w:val="20"/>
        </w:rPr>
        <w:t>crued insurance liabilities, the Partnership does not believe that currently pending or threatened litigation matters, or known claims or known contingent claims, will have a material adverse effect on its results of operations, financial condition or cash</w:t>
      </w:r>
      <w:r>
        <w:rPr>
          <w:sz w:val="20"/>
          <w:szCs w:val="20"/>
        </w:rPr>
        <w:t xml:space="preserve"> flow</w:t>
      </w:r>
      <w:r>
        <w:rPr>
          <w:sz w:val="20"/>
          <w:szCs w:val="20"/>
        </w:rPr>
        <w:t>.</w:t>
      </w:r>
    </w:p>
    <w:p w14:paraId="0CEF6457" w14:textId="77777777" w:rsidR="00000000" w:rsidRDefault="00832D71">
      <w:pPr>
        <w:pStyle w:val="a3"/>
        <w:spacing w:before="240" w:beforeAutospacing="0" w:after="0" w:afterAutospacing="0"/>
        <w:jc w:val="both"/>
        <w:divId w:val="200289569"/>
        <w:rPr>
          <w:sz w:val="20"/>
          <w:szCs w:val="20"/>
        </w:rPr>
      </w:pPr>
      <w:r>
        <w:rPr>
          <w:sz w:val="20"/>
          <w:szCs w:val="20"/>
        </w:rPr>
        <w:t xml:space="preserve">During the first quarter of fiscal 2020, the Partnership recorded a charge of </w:t>
      </w:r>
      <w:r>
        <w:rPr>
          <w:sz w:val="20"/>
          <w:szCs w:val="20"/>
        </w:rPr>
        <w:t>$</w:t>
      </w:r>
      <w:r>
        <w:rPr>
          <w:sz w:val="20"/>
          <w:szCs w:val="20"/>
        </w:rPr>
        <w:t>5,00</w:t>
      </w:r>
      <w:r>
        <w:rPr>
          <w:sz w:val="20"/>
          <w:szCs w:val="20"/>
        </w:rPr>
        <w:t>0</w:t>
      </w:r>
      <w:r>
        <w:rPr>
          <w:sz w:val="20"/>
          <w:szCs w:val="20"/>
        </w:rPr>
        <w:t xml:space="preserve"> for the settlement of certain product liability and other legal matters. The settled claims were paid in the second quarter of fiscal 2020</w:t>
      </w:r>
      <w:r>
        <w:rPr>
          <w:sz w:val="20"/>
          <w:szCs w:val="20"/>
        </w:rPr>
        <w:t>.</w:t>
      </w:r>
      <w:r>
        <w:rPr>
          <w:sz w:val="20"/>
          <w:szCs w:val="20"/>
        </w:rPr>
        <w:t xml:space="preserve"> </w:t>
      </w:r>
    </w:p>
    <w:p w14:paraId="56E909D0" w14:textId="77777777" w:rsidR="00000000" w:rsidRDefault="00832D71">
      <w:pPr>
        <w:pStyle w:val="a3"/>
        <w:spacing w:before="0" w:beforeAutospacing="0" w:after="0" w:afterAutospacing="0"/>
        <w:jc w:val="both"/>
        <w:rPr>
          <w:sz w:val="20"/>
          <w:szCs w:val="20"/>
        </w:rPr>
      </w:pPr>
      <w:r>
        <w:rPr>
          <w:sz w:val="20"/>
          <w:szCs w:val="20"/>
        </w:rPr>
        <w:t> </w:t>
      </w:r>
    </w:p>
    <w:p w14:paraId="452A50D8" w14:textId="77777777" w:rsidR="00000000" w:rsidRDefault="00832D71">
      <w:pPr>
        <w:pStyle w:val="a3"/>
        <w:spacing w:before="160" w:beforeAutospacing="0" w:after="0" w:afterAutospacing="0"/>
        <w:ind w:hanging="581"/>
        <w:divId w:val="1471166614"/>
        <w:rPr>
          <w:sz w:val="20"/>
          <w:szCs w:val="20"/>
        </w:rPr>
      </w:pPr>
      <w:r>
        <w:rPr>
          <w:b/>
          <w:bCs/>
          <w:sz w:val="20"/>
          <w:szCs w:val="20"/>
        </w:rPr>
        <w:t>15. Guarantee</w:t>
      </w:r>
      <w:r>
        <w:rPr>
          <w:b/>
          <w:bCs/>
          <w:sz w:val="20"/>
          <w:szCs w:val="20"/>
        </w:rPr>
        <w:t>s</w:t>
      </w:r>
    </w:p>
    <w:p w14:paraId="036C57F9" w14:textId="77777777" w:rsidR="00000000" w:rsidRDefault="00832D71">
      <w:pPr>
        <w:pStyle w:val="a3"/>
        <w:spacing w:before="120" w:beforeAutospacing="0" w:after="0" w:afterAutospacing="0"/>
        <w:jc w:val="both"/>
        <w:divId w:val="1471166614"/>
        <w:rPr>
          <w:sz w:val="20"/>
          <w:szCs w:val="20"/>
        </w:rPr>
      </w:pPr>
      <w:r>
        <w:rPr>
          <w:sz w:val="20"/>
          <w:szCs w:val="20"/>
        </w:rPr>
        <w:t>The Pa</w:t>
      </w:r>
      <w:r>
        <w:rPr>
          <w:sz w:val="20"/>
          <w:szCs w:val="20"/>
        </w:rPr>
        <w:t>rtnership has residual value guarantees associated with certain of its operating leases, related primarily to transportation equipment, with remaining lease periods scheduled to expire periodically through fiscal</w:t>
      </w:r>
      <w:r>
        <w:rPr>
          <w:sz w:val="20"/>
          <w:szCs w:val="20"/>
        </w:rPr>
        <w:t xml:space="preserve"> </w:t>
      </w:r>
      <w:r>
        <w:rPr>
          <w:sz w:val="20"/>
          <w:szCs w:val="20"/>
        </w:rPr>
        <w:t>203</w:t>
      </w:r>
      <w:r>
        <w:rPr>
          <w:sz w:val="20"/>
          <w:szCs w:val="20"/>
        </w:rPr>
        <w:t>2</w:t>
      </w:r>
      <w:r>
        <w:rPr>
          <w:sz w:val="20"/>
          <w:szCs w:val="20"/>
        </w:rPr>
        <w:t xml:space="preserve">. Upon completion of the lease period, </w:t>
      </w:r>
      <w:r>
        <w:rPr>
          <w:sz w:val="20"/>
          <w:szCs w:val="20"/>
        </w:rPr>
        <w:t>the Partnership guarantees that the fair value of the equipment will equal or exceed the guaranteed amount, or the Partnership will pay the lessor the difference. Although the fair value of equipment at the end of its lease term has historically exceeded t</w:t>
      </w:r>
      <w:r>
        <w:rPr>
          <w:sz w:val="20"/>
          <w:szCs w:val="20"/>
        </w:rPr>
        <w:t xml:space="preserve">he guaranteed amounts, the maximum potential amount of aggregate future payments the Partnership could be required to make under these leasing arrangements, assuming the equipment is deemed worthless at the end of the lease term, was </w:t>
      </w:r>
      <w:r>
        <w:rPr>
          <w:sz w:val="20"/>
          <w:szCs w:val="20"/>
        </w:rPr>
        <w:t>$</w:t>
      </w:r>
      <w:r>
        <w:rPr>
          <w:sz w:val="20"/>
          <w:szCs w:val="20"/>
        </w:rPr>
        <w:t>33,97</w:t>
      </w:r>
      <w:r>
        <w:rPr>
          <w:sz w:val="20"/>
          <w:szCs w:val="20"/>
        </w:rPr>
        <w:t>2</w:t>
      </w:r>
      <w:r>
        <w:rPr>
          <w:sz w:val="20"/>
          <w:szCs w:val="20"/>
        </w:rPr>
        <w:t xml:space="preserve"> as of Septembe</w:t>
      </w:r>
      <w:r>
        <w:rPr>
          <w:sz w:val="20"/>
          <w:szCs w:val="20"/>
        </w:rPr>
        <w:t>r 24, 2022. Th</w:t>
      </w:r>
      <w:r>
        <w:rPr>
          <w:sz w:val="20"/>
          <w:szCs w:val="20"/>
        </w:rPr>
        <w:t>e</w:t>
      </w:r>
      <w:r>
        <w:rPr>
          <w:sz w:val="20"/>
          <w:szCs w:val="20"/>
        </w:rPr>
        <w:t xml:space="preserve"> </w:t>
      </w:r>
    </w:p>
    <w:p w14:paraId="6E779557" w14:textId="77777777" w:rsidR="00000000" w:rsidRDefault="00832D71">
      <w:pPr>
        <w:pStyle w:val="a3"/>
        <w:spacing w:before="200" w:beforeAutospacing="0" w:after="0" w:afterAutospacing="0"/>
        <w:jc w:val="center"/>
        <w:divId w:val="1471166614"/>
        <w:rPr>
          <w:sz w:val="20"/>
          <w:szCs w:val="20"/>
        </w:rPr>
      </w:pPr>
      <w:r>
        <w:rPr>
          <w:sz w:val="20"/>
          <w:szCs w:val="20"/>
        </w:rPr>
        <w:t>F</w:t>
      </w:r>
      <w:r>
        <w:rPr>
          <w:sz w:val="20"/>
          <w:szCs w:val="20"/>
        </w:rPr>
        <w:t>-</w:t>
      </w:r>
      <w:r>
        <w:rPr>
          <w:sz w:val="20"/>
          <w:szCs w:val="20"/>
        </w:rPr>
        <w:t>3</w:t>
      </w:r>
      <w:r>
        <w:rPr>
          <w:sz w:val="20"/>
          <w:szCs w:val="20"/>
        </w:rPr>
        <w:t>0</w:t>
      </w:r>
    </w:p>
    <w:p w14:paraId="7CA9190C" w14:textId="77777777" w:rsidR="00000000" w:rsidRDefault="00832D71">
      <w:pPr>
        <w:divId w:val="1471166614"/>
        <w:rPr>
          <w:rFonts w:eastAsia="Times New Roman"/>
          <w:sz w:val="20"/>
          <w:szCs w:val="20"/>
        </w:rPr>
      </w:pPr>
      <w:r>
        <w:rPr>
          <w:rFonts w:eastAsia="Times New Roman"/>
          <w:sz w:val="20"/>
          <w:szCs w:val="20"/>
        </w:rPr>
        <w:pict w14:anchorId="712DBAF5">
          <v:rect id="_x0000_i1149" style="width:0;height:1.5pt" o:hralign="center" o:hrstd="t" o:hr="t" fillcolor="#a0a0a0" stroked="f"/>
        </w:pict>
      </w:r>
    </w:p>
    <w:p w14:paraId="7E32D7AB" w14:textId="77777777" w:rsidR="00000000" w:rsidRDefault="00832D71">
      <w:pPr>
        <w:pStyle w:val="a3"/>
        <w:spacing w:before="0" w:beforeAutospacing="0" w:after="0" w:afterAutospacing="0"/>
        <w:divId w:val="1471166614"/>
        <w:rPr>
          <w:sz w:val="20"/>
          <w:szCs w:val="20"/>
        </w:rPr>
      </w:pPr>
      <w:r>
        <w:rPr>
          <w:sz w:val="20"/>
          <w:szCs w:val="20"/>
        </w:rPr>
        <w:t> </w:t>
      </w:r>
    </w:p>
    <w:p w14:paraId="7F88B420" w14:textId="77777777" w:rsidR="00000000" w:rsidRDefault="00832D71">
      <w:pPr>
        <w:pStyle w:val="a3"/>
        <w:spacing w:before="120" w:beforeAutospacing="0" w:after="0" w:afterAutospacing="0"/>
        <w:jc w:val="both"/>
        <w:divId w:val="1471166614"/>
        <w:rPr>
          <w:sz w:val="20"/>
          <w:szCs w:val="20"/>
        </w:rPr>
      </w:pPr>
      <w:r>
        <w:rPr>
          <w:sz w:val="20"/>
          <w:szCs w:val="20"/>
        </w:rPr>
        <w:t>fair value of residual value guarantees for outstanding operating leases was de minimis as of September 24, 2022 and September 25, 202</w:t>
      </w:r>
      <w:r>
        <w:rPr>
          <w:sz w:val="20"/>
          <w:szCs w:val="20"/>
        </w:rPr>
        <w:t>1</w:t>
      </w:r>
      <w:r>
        <w:rPr>
          <w:sz w:val="20"/>
          <w:szCs w:val="20"/>
        </w:rPr>
        <w:t>.</w:t>
      </w:r>
    </w:p>
    <w:p w14:paraId="3A733D51" w14:textId="77777777" w:rsidR="00000000" w:rsidRDefault="00832D71">
      <w:pPr>
        <w:pStyle w:val="a3"/>
        <w:spacing w:before="120" w:beforeAutospacing="0" w:after="0" w:afterAutospacing="0"/>
        <w:jc w:val="both"/>
        <w:rPr>
          <w:sz w:val="20"/>
          <w:szCs w:val="20"/>
        </w:rPr>
      </w:pPr>
      <w:r>
        <w:rPr>
          <w:sz w:val="20"/>
          <w:szCs w:val="20"/>
        </w:rPr>
        <w:t> </w:t>
      </w:r>
    </w:p>
    <w:p w14:paraId="7204127B" w14:textId="77777777" w:rsidR="00000000" w:rsidRDefault="00832D71">
      <w:pPr>
        <w:pStyle w:val="a3"/>
        <w:spacing w:before="160" w:beforeAutospacing="0" w:after="0" w:afterAutospacing="0"/>
        <w:ind w:hanging="581"/>
        <w:jc w:val="both"/>
        <w:divId w:val="1461729235"/>
        <w:rPr>
          <w:sz w:val="20"/>
          <w:szCs w:val="20"/>
        </w:rPr>
      </w:pPr>
      <w:r>
        <w:rPr>
          <w:b/>
          <w:bCs/>
          <w:sz w:val="20"/>
          <w:szCs w:val="20"/>
        </w:rPr>
        <w:t>16. Amounts Reclassified Out of Accumulated Other Compreh</w:t>
      </w:r>
      <w:r>
        <w:rPr>
          <w:b/>
          <w:bCs/>
          <w:sz w:val="20"/>
          <w:szCs w:val="20"/>
        </w:rPr>
        <w:t>ensive Incom</w:t>
      </w:r>
      <w:r>
        <w:rPr>
          <w:b/>
          <w:bCs/>
          <w:sz w:val="20"/>
          <w:szCs w:val="20"/>
        </w:rPr>
        <w:t>e</w:t>
      </w:r>
    </w:p>
    <w:p w14:paraId="2145F285" w14:textId="77777777" w:rsidR="00000000" w:rsidRDefault="00832D71">
      <w:pPr>
        <w:pStyle w:val="a3"/>
        <w:spacing w:before="120" w:beforeAutospacing="0" w:after="0" w:afterAutospacing="0"/>
        <w:jc w:val="both"/>
        <w:divId w:val="1116293885"/>
        <w:rPr>
          <w:sz w:val="20"/>
          <w:szCs w:val="20"/>
        </w:rPr>
      </w:pPr>
      <w:r>
        <w:rPr>
          <w:sz w:val="20"/>
          <w:szCs w:val="20"/>
        </w:rPr>
        <w:t>The following table summarizes amounts reclassified out of accumulated other comprehensive (loss) income for the years ended</w:t>
      </w:r>
      <w:r>
        <w:rPr>
          <w:sz w:val="20"/>
          <w:szCs w:val="20"/>
        </w:rPr>
        <w:t xml:space="preserve"> </w:t>
      </w:r>
      <w:r>
        <w:rPr>
          <w:sz w:val="20"/>
          <w:szCs w:val="20"/>
        </w:rPr>
        <w:t>September 24, 2022, September 25, 2021 and September 26, 2020</w:t>
      </w:r>
      <w:r>
        <w:rPr>
          <w:sz w:val="20"/>
          <w:szCs w:val="20"/>
        </w:rPr>
        <w:t>:</w:t>
      </w:r>
    </w:p>
    <w:p w14:paraId="13759948" w14:textId="77777777" w:rsidR="00000000" w:rsidRDefault="00832D71">
      <w:pPr>
        <w:pStyle w:val="a3"/>
        <w:spacing w:before="0" w:beforeAutospacing="0" w:after="0" w:afterAutospacing="0"/>
        <w:divId w:val="1116293885"/>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811"/>
        <w:gridCol w:w="110"/>
        <w:gridCol w:w="160"/>
        <w:gridCol w:w="875"/>
        <w:gridCol w:w="127"/>
        <w:gridCol w:w="110"/>
        <w:gridCol w:w="160"/>
        <w:gridCol w:w="876"/>
        <w:gridCol w:w="127"/>
        <w:gridCol w:w="110"/>
        <w:gridCol w:w="160"/>
        <w:gridCol w:w="877"/>
        <w:gridCol w:w="142"/>
      </w:tblGrid>
      <w:tr w:rsidR="00000000" w14:paraId="4C99BF07" w14:textId="77777777">
        <w:trPr>
          <w:divId w:val="1116293885"/>
          <w:tblCellSpacing w:w="15" w:type="dxa"/>
        </w:trPr>
        <w:tc>
          <w:tcPr>
            <w:tcW w:w="2289" w:type="pct"/>
            <w:vAlign w:val="center"/>
            <w:hideMark/>
          </w:tcPr>
          <w:p w14:paraId="21862524" w14:textId="77777777" w:rsidR="00000000" w:rsidRDefault="00832D71">
            <w:pPr>
              <w:rPr>
                <w:sz w:val="20"/>
                <w:szCs w:val="20"/>
              </w:rPr>
            </w:pPr>
          </w:p>
        </w:tc>
        <w:tc>
          <w:tcPr>
            <w:tcW w:w="55" w:type="pct"/>
            <w:vAlign w:val="center"/>
            <w:hideMark/>
          </w:tcPr>
          <w:p w14:paraId="324BA295" w14:textId="77777777" w:rsidR="00000000" w:rsidRDefault="00832D71">
            <w:pPr>
              <w:rPr>
                <w:rFonts w:eastAsia="Times New Roman"/>
                <w:sz w:val="20"/>
                <w:szCs w:val="20"/>
              </w:rPr>
            </w:pPr>
          </w:p>
        </w:tc>
        <w:tc>
          <w:tcPr>
            <w:tcW w:w="50" w:type="pct"/>
            <w:vAlign w:val="center"/>
            <w:hideMark/>
          </w:tcPr>
          <w:p w14:paraId="1AA8F311" w14:textId="77777777" w:rsidR="00000000" w:rsidRDefault="00832D71">
            <w:pPr>
              <w:rPr>
                <w:rFonts w:eastAsia="Times New Roman"/>
                <w:sz w:val="20"/>
                <w:szCs w:val="20"/>
              </w:rPr>
            </w:pPr>
          </w:p>
        </w:tc>
        <w:tc>
          <w:tcPr>
            <w:tcW w:w="747" w:type="pct"/>
            <w:vAlign w:val="center"/>
            <w:hideMark/>
          </w:tcPr>
          <w:p w14:paraId="5E818AD9" w14:textId="77777777" w:rsidR="00000000" w:rsidRDefault="00832D71">
            <w:pPr>
              <w:rPr>
                <w:rFonts w:eastAsia="Times New Roman"/>
                <w:sz w:val="20"/>
                <w:szCs w:val="20"/>
              </w:rPr>
            </w:pPr>
          </w:p>
        </w:tc>
        <w:tc>
          <w:tcPr>
            <w:tcW w:w="50" w:type="pct"/>
            <w:vAlign w:val="center"/>
            <w:hideMark/>
          </w:tcPr>
          <w:p w14:paraId="2AB87F19" w14:textId="77777777" w:rsidR="00000000" w:rsidRDefault="00832D71">
            <w:pPr>
              <w:rPr>
                <w:rFonts w:eastAsia="Times New Roman"/>
                <w:sz w:val="20"/>
                <w:szCs w:val="20"/>
              </w:rPr>
            </w:pPr>
          </w:p>
        </w:tc>
        <w:tc>
          <w:tcPr>
            <w:tcW w:w="56" w:type="pct"/>
            <w:vAlign w:val="center"/>
            <w:hideMark/>
          </w:tcPr>
          <w:p w14:paraId="02F0BAE0" w14:textId="77777777" w:rsidR="00000000" w:rsidRDefault="00832D71">
            <w:pPr>
              <w:rPr>
                <w:rFonts w:eastAsia="Times New Roman"/>
                <w:sz w:val="20"/>
                <w:szCs w:val="20"/>
              </w:rPr>
            </w:pPr>
          </w:p>
        </w:tc>
        <w:tc>
          <w:tcPr>
            <w:tcW w:w="50" w:type="pct"/>
            <w:vAlign w:val="center"/>
            <w:hideMark/>
          </w:tcPr>
          <w:p w14:paraId="683DE037" w14:textId="77777777" w:rsidR="00000000" w:rsidRDefault="00832D71">
            <w:pPr>
              <w:rPr>
                <w:rFonts w:eastAsia="Times New Roman"/>
                <w:sz w:val="20"/>
                <w:szCs w:val="20"/>
              </w:rPr>
            </w:pPr>
          </w:p>
        </w:tc>
        <w:tc>
          <w:tcPr>
            <w:tcW w:w="747" w:type="pct"/>
            <w:vAlign w:val="center"/>
            <w:hideMark/>
          </w:tcPr>
          <w:p w14:paraId="28CF8AB5" w14:textId="77777777" w:rsidR="00000000" w:rsidRDefault="00832D71">
            <w:pPr>
              <w:rPr>
                <w:rFonts w:eastAsia="Times New Roman"/>
                <w:sz w:val="20"/>
                <w:szCs w:val="20"/>
              </w:rPr>
            </w:pPr>
          </w:p>
        </w:tc>
        <w:tc>
          <w:tcPr>
            <w:tcW w:w="50" w:type="pct"/>
            <w:vAlign w:val="center"/>
            <w:hideMark/>
          </w:tcPr>
          <w:p w14:paraId="3D08FB60" w14:textId="77777777" w:rsidR="00000000" w:rsidRDefault="00832D71">
            <w:pPr>
              <w:rPr>
                <w:rFonts w:eastAsia="Times New Roman"/>
                <w:sz w:val="20"/>
                <w:szCs w:val="20"/>
              </w:rPr>
            </w:pPr>
          </w:p>
        </w:tc>
        <w:tc>
          <w:tcPr>
            <w:tcW w:w="56" w:type="pct"/>
            <w:vAlign w:val="center"/>
            <w:hideMark/>
          </w:tcPr>
          <w:p w14:paraId="1CA05F81" w14:textId="77777777" w:rsidR="00000000" w:rsidRDefault="00832D71">
            <w:pPr>
              <w:rPr>
                <w:rFonts w:eastAsia="Times New Roman"/>
                <w:sz w:val="20"/>
                <w:szCs w:val="20"/>
              </w:rPr>
            </w:pPr>
          </w:p>
        </w:tc>
        <w:tc>
          <w:tcPr>
            <w:tcW w:w="50" w:type="pct"/>
            <w:vAlign w:val="center"/>
            <w:hideMark/>
          </w:tcPr>
          <w:p w14:paraId="4F7C923B" w14:textId="77777777" w:rsidR="00000000" w:rsidRDefault="00832D71">
            <w:pPr>
              <w:rPr>
                <w:rFonts w:eastAsia="Times New Roman"/>
                <w:sz w:val="20"/>
                <w:szCs w:val="20"/>
              </w:rPr>
            </w:pPr>
          </w:p>
        </w:tc>
        <w:tc>
          <w:tcPr>
            <w:tcW w:w="748" w:type="pct"/>
            <w:vAlign w:val="center"/>
            <w:hideMark/>
          </w:tcPr>
          <w:p w14:paraId="7902CE60" w14:textId="77777777" w:rsidR="00000000" w:rsidRDefault="00832D71">
            <w:pPr>
              <w:rPr>
                <w:rFonts w:eastAsia="Times New Roman"/>
                <w:sz w:val="20"/>
                <w:szCs w:val="20"/>
              </w:rPr>
            </w:pPr>
          </w:p>
        </w:tc>
        <w:tc>
          <w:tcPr>
            <w:tcW w:w="50" w:type="pct"/>
            <w:vAlign w:val="center"/>
            <w:hideMark/>
          </w:tcPr>
          <w:p w14:paraId="7BB43D1F" w14:textId="77777777" w:rsidR="00000000" w:rsidRDefault="00832D71">
            <w:pPr>
              <w:rPr>
                <w:rFonts w:eastAsia="Times New Roman"/>
                <w:sz w:val="20"/>
                <w:szCs w:val="20"/>
              </w:rPr>
            </w:pPr>
          </w:p>
        </w:tc>
      </w:tr>
      <w:tr w:rsidR="00000000" w14:paraId="0B987DD1" w14:textId="77777777">
        <w:trPr>
          <w:divId w:val="1116293885"/>
          <w:trHeight w:val="160"/>
          <w:tblCellSpacing w:w="15" w:type="dxa"/>
        </w:trPr>
        <w:tc>
          <w:tcPr>
            <w:tcW w:w="0" w:type="auto"/>
            <w:vAlign w:val="bottom"/>
            <w:hideMark/>
          </w:tcPr>
          <w:p w14:paraId="4142579E"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9282DB4" w14:textId="77777777" w:rsidR="00000000" w:rsidRDefault="00832D71">
            <w:pPr>
              <w:pStyle w:val="a3"/>
              <w:spacing w:before="0" w:beforeAutospacing="0" w:after="0" w:afterAutospacing="0"/>
              <w:rPr>
                <w:sz w:val="16"/>
                <w:szCs w:val="16"/>
              </w:rPr>
            </w:pPr>
            <w:r>
              <w:rPr>
                <w:sz w:val="16"/>
                <w:szCs w:val="16"/>
              </w:rPr>
              <w:t> </w:t>
            </w:r>
          </w:p>
        </w:tc>
        <w:tc>
          <w:tcPr>
            <w:tcW w:w="0" w:type="auto"/>
            <w:gridSpan w:val="10"/>
            <w:vAlign w:val="bottom"/>
            <w:hideMark/>
          </w:tcPr>
          <w:p w14:paraId="056E1C0D" w14:textId="77777777" w:rsidR="00000000" w:rsidRDefault="00832D71">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14:paraId="6C36C10A"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B1E04DD" w14:textId="77777777">
        <w:trPr>
          <w:divId w:val="1116293885"/>
          <w:trHeight w:val="160"/>
          <w:tblCellSpacing w:w="15" w:type="dxa"/>
        </w:trPr>
        <w:tc>
          <w:tcPr>
            <w:tcW w:w="0" w:type="auto"/>
            <w:vAlign w:val="bottom"/>
            <w:hideMark/>
          </w:tcPr>
          <w:p w14:paraId="741F8507"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783F5008"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FEE31BA" w14:textId="77777777" w:rsidR="00000000" w:rsidRDefault="00832D71">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14:paraId="5FF678EC"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D89D31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7B7425FE" w14:textId="77777777" w:rsidR="00000000" w:rsidRDefault="00832D71">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14:paraId="31E27F2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934DB0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BC2750D" w14:textId="77777777" w:rsidR="00000000" w:rsidRDefault="00832D71">
            <w:pPr>
              <w:pStyle w:val="a3"/>
              <w:spacing w:before="0" w:beforeAutospacing="0" w:after="0" w:afterAutospacing="0"/>
              <w:jc w:val="center"/>
              <w:rPr>
                <w:sz w:val="16"/>
                <w:szCs w:val="16"/>
              </w:rPr>
            </w:pPr>
            <w:r>
              <w:rPr>
                <w:b/>
                <w:bCs/>
                <w:sz w:val="16"/>
                <w:szCs w:val="16"/>
              </w:rPr>
              <w:t>September 26</w:t>
            </w:r>
            <w:r>
              <w:rPr>
                <w:b/>
                <w:bCs/>
                <w:sz w:val="16"/>
                <w:szCs w:val="16"/>
              </w:rPr>
              <w:t>,</w:t>
            </w:r>
          </w:p>
        </w:tc>
        <w:tc>
          <w:tcPr>
            <w:tcW w:w="0" w:type="auto"/>
            <w:vAlign w:val="bottom"/>
            <w:hideMark/>
          </w:tcPr>
          <w:p w14:paraId="4E115CB2"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58675598" w14:textId="77777777">
        <w:trPr>
          <w:divId w:val="1116293885"/>
          <w:trHeight w:val="160"/>
          <w:tblCellSpacing w:w="15" w:type="dxa"/>
        </w:trPr>
        <w:tc>
          <w:tcPr>
            <w:tcW w:w="0" w:type="auto"/>
            <w:vAlign w:val="bottom"/>
            <w:hideMark/>
          </w:tcPr>
          <w:p w14:paraId="19AD50DA"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9038860"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79381CD"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40E74E6B"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04B83A83"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AA96CB0"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0BB5F2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6F3E0C0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A600624"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10D86354"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22C94C50" w14:textId="77777777">
        <w:trPr>
          <w:divId w:val="1116293885"/>
          <w:trHeight w:val="200"/>
          <w:tblCellSpacing w:w="15" w:type="dxa"/>
        </w:trPr>
        <w:tc>
          <w:tcPr>
            <w:tcW w:w="0" w:type="auto"/>
            <w:hideMark/>
          </w:tcPr>
          <w:p w14:paraId="0F4B9E62" w14:textId="77777777" w:rsidR="00000000" w:rsidRDefault="00832D71">
            <w:pPr>
              <w:pStyle w:val="a3"/>
              <w:spacing w:before="0" w:beforeAutospacing="0" w:after="0" w:afterAutospacing="0"/>
              <w:rPr>
                <w:sz w:val="20"/>
                <w:szCs w:val="20"/>
              </w:rPr>
            </w:pPr>
            <w:r>
              <w:rPr>
                <w:b/>
                <w:bCs/>
                <w:sz w:val="20"/>
                <w:szCs w:val="20"/>
              </w:rPr>
              <w:t>Pension Benefit</w:t>
            </w:r>
            <w:r>
              <w:rPr>
                <w:b/>
                <w:bCs/>
                <w:sz w:val="20"/>
                <w:szCs w:val="20"/>
              </w:rPr>
              <w:t>s</w:t>
            </w:r>
          </w:p>
        </w:tc>
        <w:tc>
          <w:tcPr>
            <w:tcW w:w="0" w:type="auto"/>
            <w:hideMark/>
          </w:tcPr>
          <w:p w14:paraId="6307DA3C"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F4C185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54DEA89"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92B876C"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5F72B8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64DA618"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2BE9CE9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3A6877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6A6A9B4" w14:textId="77777777" w:rsidR="00000000" w:rsidRDefault="00832D71">
            <w:pPr>
              <w:pStyle w:val="a3"/>
              <w:spacing w:before="0" w:beforeAutospacing="0" w:after="0" w:afterAutospacing="0"/>
              <w:jc w:val="right"/>
              <w:rPr>
                <w:sz w:val="20"/>
                <w:szCs w:val="20"/>
              </w:rPr>
            </w:pPr>
            <w:r>
              <w:rPr>
                <w:sz w:val="20"/>
                <w:szCs w:val="20"/>
              </w:rPr>
              <w:t> </w:t>
            </w:r>
          </w:p>
        </w:tc>
      </w:tr>
      <w:tr w:rsidR="00000000" w14:paraId="0A612692" w14:textId="77777777">
        <w:trPr>
          <w:divId w:val="1116293885"/>
          <w:trHeight w:val="200"/>
          <w:tblCellSpacing w:w="15" w:type="dxa"/>
        </w:trPr>
        <w:tc>
          <w:tcPr>
            <w:tcW w:w="0" w:type="auto"/>
            <w:hideMark/>
          </w:tcPr>
          <w:p w14:paraId="1F815E73" w14:textId="77777777" w:rsidR="00000000" w:rsidRDefault="00832D71">
            <w:pPr>
              <w:pStyle w:val="a3"/>
              <w:spacing w:before="0" w:beforeAutospacing="0" w:after="0" w:afterAutospacing="0"/>
              <w:rPr>
                <w:sz w:val="20"/>
                <w:szCs w:val="20"/>
              </w:rPr>
            </w:pPr>
            <w:r>
              <w:rPr>
                <w:sz w:val="20"/>
                <w:szCs w:val="20"/>
              </w:rPr>
              <w:t>Balance, beginning of perio</w:t>
            </w:r>
            <w:r>
              <w:rPr>
                <w:sz w:val="20"/>
                <w:szCs w:val="20"/>
              </w:rPr>
              <w:t>d</w:t>
            </w:r>
          </w:p>
        </w:tc>
        <w:tc>
          <w:tcPr>
            <w:tcW w:w="0" w:type="auto"/>
            <w:hideMark/>
          </w:tcPr>
          <w:p w14:paraId="41111CE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88E631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97C6AC2" w14:textId="77777777" w:rsidR="00000000" w:rsidRDefault="00832D71">
            <w:pPr>
              <w:pStyle w:val="a3"/>
              <w:spacing w:before="0" w:beforeAutospacing="0" w:after="0" w:afterAutospacing="0"/>
              <w:jc w:val="right"/>
              <w:rPr>
                <w:sz w:val="20"/>
                <w:szCs w:val="20"/>
              </w:rPr>
            </w:pPr>
            <w:r>
              <w:rPr>
                <w:sz w:val="20"/>
                <w:szCs w:val="20"/>
              </w:rPr>
              <w:t>(</w:t>
            </w:r>
            <w:r>
              <w:rPr>
                <w:sz w:val="20"/>
                <w:szCs w:val="20"/>
              </w:rPr>
              <w:t>23,30</w:t>
            </w:r>
            <w:r>
              <w:rPr>
                <w:sz w:val="20"/>
                <w:szCs w:val="20"/>
              </w:rPr>
              <w:t>3</w:t>
            </w:r>
          </w:p>
        </w:tc>
        <w:tc>
          <w:tcPr>
            <w:tcW w:w="0" w:type="auto"/>
            <w:noWrap/>
            <w:vAlign w:val="bottom"/>
            <w:hideMark/>
          </w:tcPr>
          <w:p w14:paraId="5518628D"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23899F6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1B506A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8CC7B59" w14:textId="77777777" w:rsidR="00000000" w:rsidRDefault="00832D71">
            <w:pPr>
              <w:pStyle w:val="a3"/>
              <w:spacing w:before="0" w:beforeAutospacing="0" w:after="0" w:afterAutospacing="0"/>
              <w:jc w:val="right"/>
              <w:rPr>
                <w:sz w:val="20"/>
                <w:szCs w:val="20"/>
              </w:rPr>
            </w:pPr>
            <w:r>
              <w:rPr>
                <w:sz w:val="20"/>
                <w:szCs w:val="20"/>
              </w:rPr>
              <w:t>(</w:t>
            </w:r>
            <w:r>
              <w:rPr>
                <w:sz w:val="20"/>
                <w:szCs w:val="20"/>
              </w:rPr>
              <w:t>32,28</w:t>
            </w:r>
            <w:r>
              <w:rPr>
                <w:sz w:val="20"/>
                <w:szCs w:val="20"/>
              </w:rPr>
              <w:t>6</w:t>
            </w:r>
          </w:p>
        </w:tc>
        <w:tc>
          <w:tcPr>
            <w:tcW w:w="0" w:type="auto"/>
            <w:noWrap/>
            <w:vAlign w:val="bottom"/>
            <w:hideMark/>
          </w:tcPr>
          <w:p w14:paraId="67A4E0F8"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B57698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3792FC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B2B7C53" w14:textId="77777777" w:rsidR="00000000" w:rsidRDefault="00832D71">
            <w:pPr>
              <w:pStyle w:val="a3"/>
              <w:spacing w:before="0" w:beforeAutospacing="0" w:after="0" w:afterAutospacing="0"/>
              <w:jc w:val="right"/>
              <w:rPr>
                <w:sz w:val="20"/>
                <w:szCs w:val="20"/>
              </w:rPr>
            </w:pPr>
            <w:r>
              <w:rPr>
                <w:sz w:val="20"/>
                <w:szCs w:val="20"/>
              </w:rPr>
              <w:t>(</w:t>
            </w:r>
            <w:r>
              <w:rPr>
                <w:sz w:val="20"/>
                <w:szCs w:val="20"/>
              </w:rPr>
              <w:t>33,73</w:t>
            </w:r>
            <w:r>
              <w:rPr>
                <w:sz w:val="20"/>
                <w:szCs w:val="20"/>
              </w:rPr>
              <w:t>3</w:t>
            </w:r>
          </w:p>
        </w:tc>
        <w:tc>
          <w:tcPr>
            <w:tcW w:w="0" w:type="auto"/>
            <w:noWrap/>
            <w:vAlign w:val="bottom"/>
            <w:hideMark/>
          </w:tcPr>
          <w:p w14:paraId="4E4D667A" w14:textId="77777777" w:rsidR="00000000" w:rsidRDefault="00832D71">
            <w:pPr>
              <w:pStyle w:val="a3"/>
              <w:spacing w:before="0" w:beforeAutospacing="0" w:after="0" w:afterAutospacing="0"/>
              <w:rPr>
                <w:sz w:val="20"/>
                <w:szCs w:val="20"/>
              </w:rPr>
            </w:pPr>
            <w:r>
              <w:rPr>
                <w:sz w:val="20"/>
                <w:szCs w:val="20"/>
              </w:rPr>
              <w:t>)</w:t>
            </w:r>
          </w:p>
        </w:tc>
      </w:tr>
      <w:tr w:rsidR="00000000" w14:paraId="01E83BB2" w14:textId="77777777">
        <w:trPr>
          <w:divId w:val="1116293885"/>
          <w:trHeight w:val="200"/>
          <w:tblCellSpacing w:w="15" w:type="dxa"/>
        </w:trPr>
        <w:tc>
          <w:tcPr>
            <w:tcW w:w="0" w:type="auto"/>
            <w:hideMark/>
          </w:tcPr>
          <w:p w14:paraId="4C11771F" w14:textId="77777777" w:rsidR="00000000" w:rsidRDefault="00832D71">
            <w:pPr>
              <w:pStyle w:val="a3"/>
              <w:spacing w:before="0" w:beforeAutospacing="0" w:after="0" w:afterAutospacing="0"/>
              <w:ind w:left="200"/>
              <w:rPr>
                <w:sz w:val="20"/>
                <w:szCs w:val="20"/>
              </w:rPr>
            </w:pPr>
            <w:r>
              <w:rPr>
                <w:sz w:val="20"/>
                <w:szCs w:val="20"/>
              </w:rPr>
              <w:t>Other comprehensive income before reclassifications</w:t>
            </w:r>
            <w:r>
              <w:rPr>
                <w:sz w:val="20"/>
                <w:szCs w:val="20"/>
              </w:rPr>
              <w:t>:</w:t>
            </w:r>
          </w:p>
        </w:tc>
        <w:tc>
          <w:tcPr>
            <w:tcW w:w="0" w:type="auto"/>
            <w:hideMark/>
          </w:tcPr>
          <w:p w14:paraId="5513B00F"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F561A7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5416FF0"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4A70330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D61D85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DB5BB81"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FE7104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E68CB3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548B8D8" w14:textId="77777777" w:rsidR="00000000" w:rsidRDefault="00832D71">
            <w:pPr>
              <w:pStyle w:val="a3"/>
              <w:spacing w:before="0" w:beforeAutospacing="0" w:after="0" w:afterAutospacing="0"/>
              <w:jc w:val="right"/>
              <w:rPr>
                <w:sz w:val="20"/>
                <w:szCs w:val="20"/>
              </w:rPr>
            </w:pPr>
            <w:r>
              <w:rPr>
                <w:sz w:val="20"/>
                <w:szCs w:val="20"/>
              </w:rPr>
              <w:t> </w:t>
            </w:r>
          </w:p>
        </w:tc>
      </w:tr>
      <w:tr w:rsidR="00000000" w14:paraId="1D2A9326" w14:textId="77777777">
        <w:trPr>
          <w:divId w:val="1116293885"/>
          <w:trHeight w:val="200"/>
          <w:tblCellSpacing w:w="15" w:type="dxa"/>
        </w:trPr>
        <w:tc>
          <w:tcPr>
            <w:tcW w:w="0" w:type="auto"/>
            <w:hideMark/>
          </w:tcPr>
          <w:p w14:paraId="4546CDA4" w14:textId="77777777" w:rsidR="00000000" w:rsidRDefault="00832D71">
            <w:pPr>
              <w:pStyle w:val="a3"/>
              <w:spacing w:before="0" w:beforeAutospacing="0" w:after="0" w:afterAutospacing="0"/>
              <w:ind w:left="400"/>
              <w:rPr>
                <w:sz w:val="20"/>
                <w:szCs w:val="20"/>
              </w:rPr>
            </w:pPr>
            <w:r>
              <w:rPr>
                <w:sz w:val="20"/>
                <w:szCs w:val="20"/>
              </w:rPr>
              <w:t>Net change in funded status of benefit pla</w:t>
            </w:r>
            <w:r>
              <w:rPr>
                <w:sz w:val="20"/>
                <w:szCs w:val="20"/>
              </w:rPr>
              <w:t>n</w:t>
            </w:r>
          </w:p>
        </w:tc>
        <w:tc>
          <w:tcPr>
            <w:tcW w:w="0" w:type="auto"/>
            <w:hideMark/>
          </w:tcPr>
          <w:p w14:paraId="484BEC5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3B6955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E8B9B8C" w14:textId="77777777" w:rsidR="00000000" w:rsidRDefault="00832D71">
            <w:pPr>
              <w:pStyle w:val="a3"/>
              <w:spacing w:before="0" w:beforeAutospacing="0" w:after="0" w:afterAutospacing="0"/>
              <w:jc w:val="right"/>
              <w:rPr>
                <w:sz w:val="20"/>
                <w:szCs w:val="20"/>
              </w:rPr>
            </w:pPr>
            <w:r>
              <w:rPr>
                <w:sz w:val="20"/>
                <w:szCs w:val="20"/>
              </w:rPr>
              <w:t>2,19</w:t>
            </w:r>
            <w:r>
              <w:rPr>
                <w:sz w:val="20"/>
                <w:szCs w:val="20"/>
              </w:rPr>
              <w:t>9</w:t>
            </w:r>
          </w:p>
        </w:tc>
        <w:tc>
          <w:tcPr>
            <w:tcW w:w="0" w:type="auto"/>
            <w:noWrap/>
            <w:vAlign w:val="bottom"/>
            <w:hideMark/>
          </w:tcPr>
          <w:p w14:paraId="3CDB102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B071D7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B01C5F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E14012D" w14:textId="77777777" w:rsidR="00000000" w:rsidRDefault="00832D71">
            <w:pPr>
              <w:pStyle w:val="a3"/>
              <w:spacing w:before="0" w:beforeAutospacing="0" w:after="0" w:afterAutospacing="0"/>
              <w:jc w:val="right"/>
              <w:rPr>
                <w:sz w:val="20"/>
                <w:szCs w:val="20"/>
              </w:rPr>
            </w:pPr>
            <w:r>
              <w:rPr>
                <w:sz w:val="20"/>
                <w:szCs w:val="20"/>
              </w:rPr>
              <w:t>4,73</w:t>
            </w:r>
            <w:r>
              <w:rPr>
                <w:sz w:val="20"/>
                <w:szCs w:val="20"/>
              </w:rPr>
              <w:t>6</w:t>
            </w:r>
          </w:p>
        </w:tc>
        <w:tc>
          <w:tcPr>
            <w:tcW w:w="0" w:type="auto"/>
            <w:noWrap/>
            <w:vAlign w:val="bottom"/>
            <w:hideMark/>
          </w:tcPr>
          <w:p w14:paraId="507DE58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8DB3F2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E120C6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5730B28" w14:textId="77777777" w:rsidR="00000000" w:rsidRDefault="00832D71">
            <w:pPr>
              <w:pStyle w:val="a3"/>
              <w:spacing w:before="0" w:beforeAutospacing="0" w:after="0" w:afterAutospacing="0"/>
              <w:jc w:val="right"/>
              <w:rPr>
                <w:sz w:val="20"/>
                <w:szCs w:val="20"/>
              </w:rPr>
            </w:pPr>
            <w:r>
              <w:rPr>
                <w:sz w:val="20"/>
                <w:szCs w:val="20"/>
              </w:rPr>
              <w:t>(</w:t>
            </w:r>
            <w:r>
              <w:rPr>
                <w:sz w:val="20"/>
                <w:szCs w:val="20"/>
              </w:rPr>
              <w:t>3,05</w:t>
            </w:r>
            <w:r>
              <w:rPr>
                <w:sz w:val="20"/>
                <w:szCs w:val="20"/>
              </w:rPr>
              <w:t>2</w:t>
            </w:r>
          </w:p>
        </w:tc>
        <w:tc>
          <w:tcPr>
            <w:tcW w:w="0" w:type="auto"/>
            <w:noWrap/>
            <w:vAlign w:val="bottom"/>
            <w:hideMark/>
          </w:tcPr>
          <w:p w14:paraId="597FF6C4" w14:textId="77777777" w:rsidR="00000000" w:rsidRDefault="00832D71">
            <w:pPr>
              <w:pStyle w:val="a3"/>
              <w:spacing w:before="0" w:beforeAutospacing="0" w:after="0" w:afterAutospacing="0"/>
              <w:rPr>
                <w:sz w:val="20"/>
                <w:szCs w:val="20"/>
              </w:rPr>
            </w:pPr>
            <w:r>
              <w:rPr>
                <w:sz w:val="20"/>
                <w:szCs w:val="20"/>
              </w:rPr>
              <w:t>)</w:t>
            </w:r>
          </w:p>
        </w:tc>
      </w:tr>
      <w:tr w:rsidR="00000000" w14:paraId="2F52AE56" w14:textId="77777777">
        <w:trPr>
          <w:divId w:val="1116293885"/>
          <w:trHeight w:val="200"/>
          <w:tblCellSpacing w:w="15" w:type="dxa"/>
        </w:trPr>
        <w:tc>
          <w:tcPr>
            <w:tcW w:w="0" w:type="auto"/>
            <w:hideMark/>
          </w:tcPr>
          <w:p w14:paraId="055BD966" w14:textId="77777777" w:rsidR="00000000" w:rsidRDefault="00832D71">
            <w:pPr>
              <w:pStyle w:val="a3"/>
              <w:spacing w:before="0" w:beforeAutospacing="0" w:after="0" w:afterAutospacing="0"/>
              <w:ind w:left="200"/>
              <w:rPr>
                <w:sz w:val="20"/>
                <w:szCs w:val="20"/>
              </w:rPr>
            </w:pPr>
            <w:r>
              <w:rPr>
                <w:sz w:val="20"/>
                <w:szCs w:val="20"/>
              </w:rPr>
              <w:t>Reclassifications to earnings</w:t>
            </w:r>
            <w:r>
              <w:rPr>
                <w:sz w:val="20"/>
                <w:szCs w:val="20"/>
              </w:rPr>
              <w:t>:</w:t>
            </w:r>
          </w:p>
        </w:tc>
        <w:tc>
          <w:tcPr>
            <w:tcW w:w="0" w:type="auto"/>
            <w:hideMark/>
          </w:tcPr>
          <w:p w14:paraId="2FAFC13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4937C4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9134C7E"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646A470D"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C34B04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C5BD64E"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A395CDC"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5AC146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5977AE6" w14:textId="77777777" w:rsidR="00000000" w:rsidRDefault="00832D71">
            <w:pPr>
              <w:pStyle w:val="a3"/>
              <w:spacing w:before="0" w:beforeAutospacing="0" w:after="0" w:afterAutospacing="0"/>
              <w:jc w:val="right"/>
              <w:rPr>
                <w:sz w:val="20"/>
                <w:szCs w:val="20"/>
              </w:rPr>
            </w:pPr>
            <w:r>
              <w:rPr>
                <w:sz w:val="20"/>
                <w:szCs w:val="20"/>
              </w:rPr>
              <w:t> </w:t>
            </w:r>
          </w:p>
        </w:tc>
      </w:tr>
      <w:tr w:rsidR="00000000" w14:paraId="4E71E3EF" w14:textId="77777777">
        <w:trPr>
          <w:divId w:val="1116293885"/>
          <w:trHeight w:val="200"/>
          <w:tblCellSpacing w:w="15" w:type="dxa"/>
        </w:trPr>
        <w:tc>
          <w:tcPr>
            <w:tcW w:w="0" w:type="auto"/>
            <w:hideMark/>
          </w:tcPr>
          <w:p w14:paraId="11F6D87C" w14:textId="77777777" w:rsidR="00000000" w:rsidRDefault="00832D71">
            <w:pPr>
              <w:pStyle w:val="a3"/>
              <w:spacing w:before="0" w:beforeAutospacing="0" w:after="0" w:afterAutospacing="0"/>
              <w:ind w:left="400"/>
              <w:rPr>
                <w:sz w:val="20"/>
                <w:szCs w:val="20"/>
              </w:rPr>
            </w:pPr>
            <w:r>
              <w:rPr>
                <w:sz w:val="20"/>
                <w:szCs w:val="20"/>
              </w:rPr>
              <w:t>Recognition of net actuarial loss for pension</w:t>
            </w:r>
            <w:r>
              <w:rPr>
                <w:sz w:val="20"/>
                <w:szCs w:val="20"/>
              </w:rPr>
              <w:br/>
              <w:t>   settlement</w:t>
            </w:r>
            <w:r>
              <w:rPr>
                <w:sz w:val="20"/>
                <w:szCs w:val="20"/>
              </w:rPr>
              <w:t xml:space="preserve"> </w:t>
            </w:r>
            <w:r>
              <w:rPr>
                <w:sz w:val="16"/>
                <w:szCs w:val="16"/>
              </w:rPr>
              <w:t>(1</w:t>
            </w:r>
            <w:r>
              <w:rPr>
                <w:sz w:val="16"/>
                <w:szCs w:val="16"/>
              </w:rPr>
              <w:t>)</w:t>
            </w:r>
          </w:p>
        </w:tc>
        <w:tc>
          <w:tcPr>
            <w:tcW w:w="0" w:type="auto"/>
            <w:hideMark/>
          </w:tcPr>
          <w:p w14:paraId="45DBCC3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C36122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1642B07" w14:textId="77777777" w:rsidR="00000000" w:rsidRDefault="00832D71">
            <w:pPr>
              <w:pStyle w:val="a3"/>
              <w:spacing w:before="0" w:beforeAutospacing="0" w:after="0" w:afterAutospacing="0"/>
              <w:jc w:val="right"/>
              <w:rPr>
                <w:sz w:val="20"/>
                <w:szCs w:val="20"/>
              </w:rPr>
            </w:pPr>
            <w:r>
              <w:rPr>
                <w:sz w:val="20"/>
                <w:szCs w:val="20"/>
              </w:rPr>
              <w:t>84</w:t>
            </w:r>
            <w:r>
              <w:rPr>
                <w:sz w:val="20"/>
                <w:szCs w:val="20"/>
              </w:rPr>
              <w:t>0</w:t>
            </w:r>
          </w:p>
        </w:tc>
        <w:tc>
          <w:tcPr>
            <w:tcW w:w="0" w:type="auto"/>
            <w:noWrap/>
            <w:vAlign w:val="bottom"/>
            <w:hideMark/>
          </w:tcPr>
          <w:p w14:paraId="5AD38DD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0F5A3A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A945E7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8F8CD6D" w14:textId="77777777" w:rsidR="00000000" w:rsidRDefault="00832D71">
            <w:pPr>
              <w:pStyle w:val="a3"/>
              <w:spacing w:before="0" w:beforeAutospacing="0" w:after="0" w:afterAutospacing="0"/>
              <w:jc w:val="right"/>
              <w:rPr>
                <w:sz w:val="20"/>
                <w:szCs w:val="20"/>
              </w:rPr>
            </w:pPr>
            <w:r>
              <w:rPr>
                <w:sz w:val="20"/>
                <w:szCs w:val="20"/>
              </w:rPr>
              <w:t>95</w:t>
            </w:r>
            <w:r>
              <w:rPr>
                <w:sz w:val="20"/>
                <w:szCs w:val="20"/>
              </w:rPr>
              <w:t>8</w:t>
            </w:r>
          </w:p>
        </w:tc>
        <w:tc>
          <w:tcPr>
            <w:tcW w:w="0" w:type="auto"/>
            <w:noWrap/>
            <w:vAlign w:val="bottom"/>
            <w:hideMark/>
          </w:tcPr>
          <w:p w14:paraId="5BEDBDD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A99BD5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702C98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0FA9FC8" w14:textId="77777777" w:rsidR="00000000" w:rsidRDefault="00832D71">
            <w:pPr>
              <w:pStyle w:val="a3"/>
              <w:spacing w:before="0" w:beforeAutospacing="0" w:after="0" w:afterAutospacing="0"/>
              <w:jc w:val="right"/>
              <w:rPr>
                <w:sz w:val="20"/>
                <w:szCs w:val="20"/>
              </w:rPr>
            </w:pPr>
            <w:r>
              <w:rPr>
                <w:sz w:val="20"/>
                <w:szCs w:val="20"/>
              </w:rPr>
              <w:t>1,05</w:t>
            </w:r>
            <w:r>
              <w:rPr>
                <w:sz w:val="20"/>
                <w:szCs w:val="20"/>
              </w:rPr>
              <w:t>1</w:t>
            </w:r>
          </w:p>
        </w:tc>
        <w:tc>
          <w:tcPr>
            <w:tcW w:w="0" w:type="auto"/>
            <w:noWrap/>
            <w:vAlign w:val="bottom"/>
            <w:hideMark/>
          </w:tcPr>
          <w:p w14:paraId="79D07DAA" w14:textId="77777777" w:rsidR="00000000" w:rsidRDefault="00832D71">
            <w:pPr>
              <w:pStyle w:val="a3"/>
              <w:spacing w:before="0" w:beforeAutospacing="0" w:after="0" w:afterAutospacing="0"/>
              <w:rPr>
                <w:sz w:val="20"/>
                <w:szCs w:val="20"/>
              </w:rPr>
            </w:pPr>
            <w:r>
              <w:rPr>
                <w:sz w:val="20"/>
                <w:szCs w:val="20"/>
              </w:rPr>
              <w:t> </w:t>
            </w:r>
          </w:p>
        </w:tc>
      </w:tr>
      <w:tr w:rsidR="00000000" w14:paraId="75EE60EF" w14:textId="77777777">
        <w:trPr>
          <w:divId w:val="1116293885"/>
          <w:trHeight w:val="200"/>
          <w:tblCellSpacing w:w="15" w:type="dxa"/>
        </w:trPr>
        <w:tc>
          <w:tcPr>
            <w:tcW w:w="0" w:type="auto"/>
            <w:hideMark/>
          </w:tcPr>
          <w:p w14:paraId="0242275D" w14:textId="77777777" w:rsidR="00000000" w:rsidRDefault="00832D71">
            <w:pPr>
              <w:pStyle w:val="a3"/>
              <w:spacing w:before="0" w:beforeAutospacing="0" w:after="0" w:afterAutospacing="0"/>
              <w:ind w:left="400"/>
              <w:rPr>
                <w:sz w:val="20"/>
                <w:szCs w:val="20"/>
              </w:rPr>
            </w:pPr>
            <w:r>
              <w:rPr>
                <w:sz w:val="20"/>
                <w:szCs w:val="20"/>
              </w:rPr>
              <w:t>Amortization of net loss</w:t>
            </w:r>
            <w:r>
              <w:rPr>
                <w:sz w:val="20"/>
                <w:szCs w:val="20"/>
              </w:rPr>
              <w:t xml:space="preserve"> </w:t>
            </w:r>
            <w:r>
              <w:rPr>
                <w:sz w:val="16"/>
                <w:szCs w:val="16"/>
              </w:rPr>
              <w:t>(1</w:t>
            </w:r>
            <w:r>
              <w:rPr>
                <w:sz w:val="16"/>
                <w:szCs w:val="16"/>
              </w:rPr>
              <w:t>)</w:t>
            </w:r>
          </w:p>
        </w:tc>
        <w:tc>
          <w:tcPr>
            <w:tcW w:w="0" w:type="auto"/>
            <w:hideMark/>
          </w:tcPr>
          <w:p w14:paraId="3EECBE9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B58ED0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D8A9A56" w14:textId="77777777" w:rsidR="00000000" w:rsidRDefault="00832D71">
            <w:pPr>
              <w:pStyle w:val="a3"/>
              <w:spacing w:before="0" w:beforeAutospacing="0" w:after="0" w:afterAutospacing="0"/>
              <w:jc w:val="right"/>
              <w:rPr>
                <w:sz w:val="20"/>
                <w:szCs w:val="20"/>
              </w:rPr>
            </w:pPr>
            <w:r>
              <w:rPr>
                <w:sz w:val="20"/>
                <w:szCs w:val="20"/>
              </w:rPr>
              <w:t>2,46</w:t>
            </w:r>
            <w:r>
              <w:rPr>
                <w:sz w:val="20"/>
                <w:szCs w:val="20"/>
              </w:rPr>
              <w:t>7</w:t>
            </w:r>
          </w:p>
        </w:tc>
        <w:tc>
          <w:tcPr>
            <w:tcW w:w="0" w:type="auto"/>
            <w:noWrap/>
            <w:vAlign w:val="bottom"/>
            <w:hideMark/>
          </w:tcPr>
          <w:p w14:paraId="094F98D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DA6D0B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3A1ABD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C4A02CA" w14:textId="77777777" w:rsidR="00000000" w:rsidRDefault="00832D71">
            <w:pPr>
              <w:pStyle w:val="a3"/>
              <w:spacing w:before="0" w:beforeAutospacing="0" w:after="0" w:afterAutospacing="0"/>
              <w:jc w:val="right"/>
              <w:rPr>
                <w:sz w:val="20"/>
                <w:szCs w:val="20"/>
              </w:rPr>
            </w:pPr>
            <w:r>
              <w:rPr>
                <w:sz w:val="20"/>
                <w:szCs w:val="20"/>
              </w:rPr>
              <w:t>3,28</w:t>
            </w:r>
            <w:r>
              <w:rPr>
                <w:sz w:val="20"/>
                <w:szCs w:val="20"/>
              </w:rPr>
              <w:t>9</w:t>
            </w:r>
          </w:p>
        </w:tc>
        <w:tc>
          <w:tcPr>
            <w:tcW w:w="0" w:type="auto"/>
            <w:noWrap/>
            <w:vAlign w:val="bottom"/>
            <w:hideMark/>
          </w:tcPr>
          <w:p w14:paraId="7E59D53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756D83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9B2438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6D446D7" w14:textId="77777777" w:rsidR="00000000" w:rsidRDefault="00832D71">
            <w:pPr>
              <w:pStyle w:val="a3"/>
              <w:spacing w:before="0" w:beforeAutospacing="0" w:after="0" w:afterAutospacing="0"/>
              <w:jc w:val="right"/>
              <w:rPr>
                <w:sz w:val="20"/>
                <w:szCs w:val="20"/>
              </w:rPr>
            </w:pPr>
            <w:r>
              <w:rPr>
                <w:sz w:val="20"/>
                <w:szCs w:val="20"/>
              </w:rPr>
              <w:t>3,44</w:t>
            </w:r>
            <w:r>
              <w:rPr>
                <w:sz w:val="20"/>
                <w:szCs w:val="20"/>
              </w:rPr>
              <w:t>8</w:t>
            </w:r>
          </w:p>
        </w:tc>
        <w:tc>
          <w:tcPr>
            <w:tcW w:w="0" w:type="auto"/>
            <w:noWrap/>
            <w:vAlign w:val="bottom"/>
            <w:hideMark/>
          </w:tcPr>
          <w:p w14:paraId="18AE6892" w14:textId="77777777" w:rsidR="00000000" w:rsidRDefault="00832D71">
            <w:pPr>
              <w:pStyle w:val="a3"/>
              <w:spacing w:before="0" w:beforeAutospacing="0" w:after="0" w:afterAutospacing="0"/>
              <w:rPr>
                <w:sz w:val="20"/>
                <w:szCs w:val="20"/>
              </w:rPr>
            </w:pPr>
            <w:r>
              <w:rPr>
                <w:sz w:val="20"/>
                <w:szCs w:val="20"/>
              </w:rPr>
              <w:t> </w:t>
            </w:r>
          </w:p>
        </w:tc>
      </w:tr>
      <w:tr w:rsidR="00000000" w14:paraId="4137814F" w14:textId="77777777">
        <w:trPr>
          <w:divId w:val="1116293885"/>
          <w:trHeight w:val="200"/>
          <w:tblCellSpacing w:w="15" w:type="dxa"/>
        </w:trPr>
        <w:tc>
          <w:tcPr>
            <w:tcW w:w="0" w:type="auto"/>
            <w:hideMark/>
          </w:tcPr>
          <w:p w14:paraId="55099DFE" w14:textId="77777777" w:rsidR="00000000" w:rsidRDefault="00832D71">
            <w:pPr>
              <w:pStyle w:val="a3"/>
              <w:spacing w:before="0" w:beforeAutospacing="0" w:after="0" w:afterAutospacing="0"/>
              <w:rPr>
                <w:sz w:val="20"/>
                <w:szCs w:val="20"/>
              </w:rPr>
            </w:pPr>
            <w:r>
              <w:rPr>
                <w:sz w:val="20"/>
                <w:szCs w:val="20"/>
              </w:rPr>
              <w:t>Other comprehensive income (loss</w:t>
            </w:r>
            <w:r>
              <w:rPr>
                <w:sz w:val="20"/>
                <w:szCs w:val="20"/>
              </w:rPr>
              <w:t>)</w:t>
            </w:r>
          </w:p>
        </w:tc>
        <w:tc>
          <w:tcPr>
            <w:tcW w:w="0" w:type="auto"/>
            <w:hideMark/>
          </w:tcPr>
          <w:p w14:paraId="6CFF0C2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F81860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6FEFF1F" w14:textId="77777777" w:rsidR="00000000" w:rsidRDefault="00832D71">
            <w:pPr>
              <w:pStyle w:val="a3"/>
              <w:spacing w:before="0" w:beforeAutospacing="0" w:after="0" w:afterAutospacing="0"/>
              <w:jc w:val="right"/>
              <w:rPr>
                <w:sz w:val="20"/>
                <w:szCs w:val="20"/>
              </w:rPr>
            </w:pPr>
            <w:r>
              <w:rPr>
                <w:sz w:val="20"/>
                <w:szCs w:val="20"/>
              </w:rPr>
              <w:t>5,50</w:t>
            </w:r>
            <w:r>
              <w:rPr>
                <w:sz w:val="20"/>
                <w:szCs w:val="20"/>
              </w:rPr>
              <w:t>6</w:t>
            </w:r>
          </w:p>
        </w:tc>
        <w:tc>
          <w:tcPr>
            <w:tcW w:w="0" w:type="auto"/>
            <w:noWrap/>
            <w:vAlign w:val="bottom"/>
            <w:hideMark/>
          </w:tcPr>
          <w:p w14:paraId="2F8E46E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04271C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0135D5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1F0DD73" w14:textId="77777777" w:rsidR="00000000" w:rsidRDefault="00832D71">
            <w:pPr>
              <w:pStyle w:val="a3"/>
              <w:spacing w:before="0" w:beforeAutospacing="0" w:after="0" w:afterAutospacing="0"/>
              <w:jc w:val="right"/>
              <w:rPr>
                <w:sz w:val="20"/>
                <w:szCs w:val="20"/>
              </w:rPr>
            </w:pPr>
            <w:r>
              <w:rPr>
                <w:sz w:val="20"/>
                <w:szCs w:val="20"/>
              </w:rPr>
              <w:t>8,98</w:t>
            </w:r>
            <w:r>
              <w:rPr>
                <w:sz w:val="20"/>
                <w:szCs w:val="20"/>
              </w:rPr>
              <w:t>3</w:t>
            </w:r>
          </w:p>
        </w:tc>
        <w:tc>
          <w:tcPr>
            <w:tcW w:w="0" w:type="auto"/>
            <w:noWrap/>
            <w:vAlign w:val="bottom"/>
            <w:hideMark/>
          </w:tcPr>
          <w:p w14:paraId="206C5CE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833D01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6C316E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553D685" w14:textId="77777777" w:rsidR="00000000" w:rsidRDefault="00832D71">
            <w:pPr>
              <w:pStyle w:val="a3"/>
              <w:spacing w:before="0" w:beforeAutospacing="0" w:after="0" w:afterAutospacing="0"/>
              <w:jc w:val="right"/>
              <w:rPr>
                <w:sz w:val="20"/>
                <w:szCs w:val="20"/>
              </w:rPr>
            </w:pPr>
            <w:r>
              <w:rPr>
                <w:sz w:val="20"/>
                <w:szCs w:val="20"/>
              </w:rPr>
              <w:t>1,44</w:t>
            </w:r>
            <w:r>
              <w:rPr>
                <w:sz w:val="20"/>
                <w:szCs w:val="20"/>
              </w:rPr>
              <w:t>7</w:t>
            </w:r>
          </w:p>
        </w:tc>
        <w:tc>
          <w:tcPr>
            <w:tcW w:w="0" w:type="auto"/>
            <w:noWrap/>
            <w:vAlign w:val="bottom"/>
            <w:hideMark/>
          </w:tcPr>
          <w:p w14:paraId="6C59845B" w14:textId="77777777" w:rsidR="00000000" w:rsidRDefault="00832D71">
            <w:pPr>
              <w:pStyle w:val="a3"/>
              <w:spacing w:before="0" w:beforeAutospacing="0" w:after="0" w:afterAutospacing="0"/>
              <w:rPr>
                <w:sz w:val="20"/>
                <w:szCs w:val="20"/>
              </w:rPr>
            </w:pPr>
            <w:r>
              <w:rPr>
                <w:sz w:val="20"/>
                <w:szCs w:val="20"/>
              </w:rPr>
              <w:t> </w:t>
            </w:r>
          </w:p>
        </w:tc>
      </w:tr>
      <w:tr w:rsidR="00000000" w14:paraId="542600CE" w14:textId="77777777">
        <w:trPr>
          <w:divId w:val="1116293885"/>
          <w:trHeight w:val="200"/>
          <w:tblCellSpacing w:w="15" w:type="dxa"/>
        </w:trPr>
        <w:tc>
          <w:tcPr>
            <w:tcW w:w="0" w:type="auto"/>
            <w:hideMark/>
          </w:tcPr>
          <w:p w14:paraId="09687D0F" w14:textId="77777777" w:rsidR="00000000" w:rsidRDefault="00832D71">
            <w:pPr>
              <w:pStyle w:val="a3"/>
              <w:spacing w:before="0" w:beforeAutospacing="0" w:after="0" w:afterAutospacing="0"/>
              <w:rPr>
                <w:sz w:val="20"/>
                <w:szCs w:val="20"/>
              </w:rPr>
            </w:pPr>
            <w:r>
              <w:rPr>
                <w:sz w:val="20"/>
                <w:szCs w:val="20"/>
              </w:rPr>
              <w:t>Balance, end of perio</w:t>
            </w:r>
            <w:r>
              <w:rPr>
                <w:sz w:val="20"/>
                <w:szCs w:val="20"/>
              </w:rPr>
              <w:t>d</w:t>
            </w:r>
          </w:p>
        </w:tc>
        <w:tc>
          <w:tcPr>
            <w:tcW w:w="0" w:type="auto"/>
            <w:hideMark/>
          </w:tcPr>
          <w:p w14:paraId="0892554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0DD904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EF4E2AF" w14:textId="77777777" w:rsidR="00000000" w:rsidRDefault="00832D71">
            <w:pPr>
              <w:pStyle w:val="a3"/>
              <w:spacing w:before="0" w:beforeAutospacing="0" w:after="0" w:afterAutospacing="0"/>
              <w:jc w:val="right"/>
              <w:rPr>
                <w:sz w:val="20"/>
                <w:szCs w:val="20"/>
              </w:rPr>
            </w:pPr>
            <w:r>
              <w:rPr>
                <w:sz w:val="20"/>
                <w:szCs w:val="20"/>
              </w:rPr>
              <w:t>(</w:t>
            </w:r>
            <w:r>
              <w:rPr>
                <w:sz w:val="20"/>
                <w:szCs w:val="20"/>
              </w:rPr>
              <w:t>17,79</w:t>
            </w:r>
            <w:r>
              <w:rPr>
                <w:sz w:val="20"/>
                <w:szCs w:val="20"/>
              </w:rPr>
              <w:t>7</w:t>
            </w:r>
          </w:p>
        </w:tc>
        <w:tc>
          <w:tcPr>
            <w:tcW w:w="0" w:type="auto"/>
            <w:noWrap/>
            <w:vAlign w:val="bottom"/>
            <w:hideMark/>
          </w:tcPr>
          <w:p w14:paraId="13A94D30"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6102D66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4E8B89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EFF2E89" w14:textId="77777777" w:rsidR="00000000" w:rsidRDefault="00832D71">
            <w:pPr>
              <w:pStyle w:val="a3"/>
              <w:spacing w:before="0" w:beforeAutospacing="0" w:after="0" w:afterAutospacing="0"/>
              <w:jc w:val="right"/>
              <w:rPr>
                <w:sz w:val="20"/>
                <w:szCs w:val="20"/>
              </w:rPr>
            </w:pPr>
            <w:r>
              <w:rPr>
                <w:sz w:val="20"/>
                <w:szCs w:val="20"/>
              </w:rPr>
              <w:t>(</w:t>
            </w:r>
            <w:r>
              <w:rPr>
                <w:sz w:val="20"/>
                <w:szCs w:val="20"/>
              </w:rPr>
              <w:t>23,30</w:t>
            </w:r>
            <w:r>
              <w:rPr>
                <w:sz w:val="20"/>
                <w:szCs w:val="20"/>
              </w:rPr>
              <w:t>3</w:t>
            </w:r>
          </w:p>
        </w:tc>
        <w:tc>
          <w:tcPr>
            <w:tcW w:w="0" w:type="auto"/>
            <w:noWrap/>
            <w:vAlign w:val="bottom"/>
            <w:hideMark/>
          </w:tcPr>
          <w:p w14:paraId="0EA90CE6"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06607FD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F151BF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7DFC4A7" w14:textId="77777777" w:rsidR="00000000" w:rsidRDefault="00832D71">
            <w:pPr>
              <w:pStyle w:val="a3"/>
              <w:spacing w:before="0" w:beforeAutospacing="0" w:after="0" w:afterAutospacing="0"/>
              <w:jc w:val="right"/>
              <w:rPr>
                <w:sz w:val="20"/>
                <w:szCs w:val="20"/>
              </w:rPr>
            </w:pPr>
            <w:r>
              <w:rPr>
                <w:sz w:val="20"/>
                <w:szCs w:val="20"/>
              </w:rPr>
              <w:t>(</w:t>
            </w:r>
            <w:r>
              <w:rPr>
                <w:sz w:val="20"/>
                <w:szCs w:val="20"/>
              </w:rPr>
              <w:t>32,28</w:t>
            </w:r>
            <w:r>
              <w:rPr>
                <w:sz w:val="20"/>
                <w:szCs w:val="20"/>
              </w:rPr>
              <w:t>6</w:t>
            </w:r>
          </w:p>
        </w:tc>
        <w:tc>
          <w:tcPr>
            <w:tcW w:w="0" w:type="auto"/>
            <w:noWrap/>
            <w:vAlign w:val="bottom"/>
            <w:hideMark/>
          </w:tcPr>
          <w:p w14:paraId="4E880B4A" w14:textId="77777777" w:rsidR="00000000" w:rsidRDefault="00832D71">
            <w:pPr>
              <w:pStyle w:val="a3"/>
              <w:spacing w:before="0" w:beforeAutospacing="0" w:after="0" w:afterAutospacing="0"/>
              <w:rPr>
                <w:sz w:val="20"/>
                <w:szCs w:val="20"/>
              </w:rPr>
            </w:pPr>
            <w:r>
              <w:rPr>
                <w:sz w:val="20"/>
                <w:szCs w:val="20"/>
              </w:rPr>
              <w:t>)</w:t>
            </w:r>
          </w:p>
        </w:tc>
      </w:tr>
      <w:tr w:rsidR="00000000" w14:paraId="34BD106D" w14:textId="77777777">
        <w:trPr>
          <w:divId w:val="1116293885"/>
          <w:tblCellSpacing w:w="15" w:type="dxa"/>
        </w:trPr>
        <w:tc>
          <w:tcPr>
            <w:tcW w:w="0" w:type="auto"/>
            <w:hideMark/>
          </w:tcPr>
          <w:p w14:paraId="50F9C06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856A934"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FA5E07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9A043DE"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045855F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BE5E48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D7CF10C"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4D3849AD"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36F566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1527E1D" w14:textId="77777777" w:rsidR="00000000" w:rsidRDefault="00832D71">
            <w:pPr>
              <w:pStyle w:val="a3"/>
              <w:spacing w:before="0" w:beforeAutospacing="0" w:after="0" w:afterAutospacing="0"/>
              <w:jc w:val="right"/>
              <w:rPr>
                <w:sz w:val="20"/>
                <w:szCs w:val="20"/>
              </w:rPr>
            </w:pPr>
            <w:r>
              <w:rPr>
                <w:sz w:val="20"/>
                <w:szCs w:val="20"/>
              </w:rPr>
              <w:t> </w:t>
            </w:r>
          </w:p>
        </w:tc>
      </w:tr>
      <w:tr w:rsidR="00000000" w14:paraId="4788BECF" w14:textId="77777777">
        <w:trPr>
          <w:divId w:val="1116293885"/>
          <w:trHeight w:val="200"/>
          <w:tblCellSpacing w:w="15" w:type="dxa"/>
        </w:trPr>
        <w:tc>
          <w:tcPr>
            <w:tcW w:w="0" w:type="auto"/>
            <w:hideMark/>
          </w:tcPr>
          <w:p w14:paraId="542C0308" w14:textId="77777777" w:rsidR="00000000" w:rsidRDefault="00832D71">
            <w:pPr>
              <w:pStyle w:val="a3"/>
              <w:spacing w:before="0" w:beforeAutospacing="0" w:after="0" w:afterAutospacing="0"/>
              <w:rPr>
                <w:sz w:val="20"/>
                <w:szCs w:val="20"/>
              </w:rPr>
            </w:pPr>
            <w:r>
              <w:rPr>
                <w:b/>
                <w:bCs/>
                <w:sz w:val="20"/>
                <w:szCs w:val="20"/>
              </w:rPr>
              <w:t>Postretirement Benefit</w:t>
            </w:r>
            <w:r>
              <w:rPr>
                <w:b/>
                <w:bCs/>
                <w:sz w:val="20"/>
                <w:szCs w:val="20"/>
              </w:rPr>
              <w:t>s</w:t>
            </w:r>
          </w:p>
        </w:tc>
        <w:tc>
          <w:tcPr>
            <w:tcW w:w="0" w:type="auto"/>
            <w:hideMark/>
          </w:tcPr>
          <w:p w14:paraId="377D372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9B9A69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237C285"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02E4AD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AFA3B3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CBE01C0"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055DDA6"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924D3F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4E38597" w14:textId="77777777" w:rsidR="00000000" w:rsidRDefault="00832D71">
            <w:pPr>
              <w:pStyle w:val="a3"/>
              <w:spacing w:before="0" w:beforeAutospacing="0" w:after="0" w:afterAutospacing="0"/>
              <w:jc w:val="right"/>
              <w:rPr>
                <w:sz w:val="20"/>
                <w:szCs w:val="20"/>
              </w:rPr>
            </w:pPr>
            <w:r>
              <w:rPr>
                <w:sz w:val="20"/>
                <w:szCs w:val="20"/>
              </w:rPr>
              <w:t> </w:t>
            </w:r>
          </w:p>
        </w:tc>
      </w:tr>
      <w:tr w:rsidR="00000000" w14:paraId="5EF4C1B7" w14:textId="77777777">
        <w:trPr>
          <w:divId w:val="1116293885"/>
          <w:trHeight w:val="200"/>
          <w:tblCellSpacing w:w="15" w:type="dxa"/>
        </w:trPr>
        <w:tc>
          <w:tcPr>
            <w:tcW w:w="0" w:type="auto"/>
            <w:hideMark/>
          </w:tcPr>
          <w:p w14:paraId="640CD394" w14:textId="77777777" w:rsidR="00000000" w:rsidRDefault="00832D71">
            <w:pPr>
              <w:pStyle w:val="a3"/>
              <w:spacing w:before="0" w:beforeAutospacing="0" w:after="0" w:afterAutospacing="0"/>
              <w:rPr>
                <w:sz w:val="20"/>
                <w:szCs w:val="20"/>
              </w:rPr>
            </w:pPr>
            <w:r>
              <w:rPr>
                <w:sz w:val="20"/>
                <w:szCs w:val="20"/>
              </w:rPr>
              <w:t>Balance, beginning of perio</w:t>
            </w:r>
            <w:r>
              <w:rPr>
                <w:sz w:val="20"/>
                <w:szCs w:val="20"/>
              </w:rPr>
              <w:t>d</w:t>
            </w:r>
          </w:p>
        </w:tc>
        <w:tc>
          <w:tcPr>
            <w:tcW w:w="0" w:type="auto"/>
            <w:hideMark/>
          </w:tcPr>
          <w:p w14:paraId="5B1DC07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F6C633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C26858E" w14:textId="77777777" w:rsidR="00000000" w:rsidRDefault="00832D71">
            <w:pPr>
              <w:pStyle w:val="a3"/>
              <w:spacing w:before="0" w:beforeAutospacing="0" w:after="0" w:afterAutospacing="0"/>
              <w:jc w:val="right"/>
              <w:rPr>
                <w:sz w:val="20"/>
                <w:szCs w:val="20"/>
              </w:rPr>
            </w:pPr>
            <w:r>
              <w:rPr>
                <w:sz w:val="20"/>
                <w:szCs w:val="20"/>
              </w:rPr>
              <w:t>5,71</w:t>
            </w:r>
            <w:r>
              <w:rPr>
                <w:sz w:val="20"/>
                <w:szCs w:val="20"/>
              </w:rPr>
              <w:t>9</w:t>
            </w:r>
          </w:p>
        </w:tc>
        <w:tc>
          <w:tcPr>
            <w:tcW w:w="0" w:type="auto"/>
            <w:noWrap/>
            <w:vAlign w:val="bottom"/>
            <w:hideMark/>
          </w:tcPr>
          <w:p w14:paraId="0CDE4CE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738721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B7CA23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768AA24" w14:textId="77777777" w:rsidR="00000000" w:rsidRDefault="00832D71">
            <w:pPr>
              <w:pStyle w:val="a3"/>
              <w:spacing w:before="0" w:beforeAutospacing="0" w:after="0" w:afterAutospacing="0"/>
              <w:jc w:val="right"/>
              <w:rPr>
                <w:sz w:val="20"/>
                <w:szCs w:val="20"/>
              </w:rPr>
            </w:pPr>
            <w:r>
              <w:rPr>
                <w:sz w:val="20"/>
                <w:szCs w:val="20"/>
              </w:rPr>
              <w:t>6,51</w:t>
            </w:r>
            <w:r>
              <w:rPr>
                <w:sz w:val="20"/>
                <w:szCs w:val="20"/>
              </w:rPr>
              <w:t>0</w:t>
            </w:r>
          </w:p>
        </w:tc>
        <w:tc>
          <w:tcPr>
            <w:tcW w:w="0" w:type="auto"/>
            <w:noWrap/>
            <w:vAlign w:val="bottom"/>
            <w:hideMark/>
          </w:tcPr>
          <w:p w14:paraId="655418D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648FFC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989B78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351C8DF" w14:textId="77777777" w:rsidR="00000000" w:rsidRDefault="00832D71">
            <w:pPr>
              <w:pStyle w:val="a3"/>
              <w:spacing w:before="0" w:beforeAutospacing="0" w:after="0" w:afterAutospacing="0"/>
              <w:jc w:val="right"/>
              <w:rPr>
                <w:sz w:val="20"/>
                <w:szCs w:val="20"/>
              </w:rPr>
            </w:pPr>
            <w:r>
              <w:rPr>
                <w:sz w:val="20"/>
                <w:szCs w:val="20"/>
              </w:rPr>
              <w:t>7,54</w:t>
            </w:r>
            <w:r>
              <w:rPr>
                <w:sz w:val="20"/>
                <w:szCs w:val="20"/>
              </w:rPr>
              <w:t>7</w:t>
            </w:r>
          </w:p>
        </w:tc>
        <w:tc>
          <w:tcPr>
            <w:tcW w:w="0" w:type="auto"/>
            <w:noWrap/>
            <w:vAlign w:val="bottom"/>
            <w:hideMark/>
          </w:tcPr>
          <w:p w14:paraId="0393FA44" w14:textId="77777777" w:rsidR="00000000" w:rsidRDefault="00832D71">
            <w:pPr>
              <w:pStyle w:val="a3"/>
              <w:spacing w:before="0" w:beforeAutospacing="0" w:after="0" w:afterAutospacing="0"/>
              <w:rPr>
                <w:sz w:val="20"/>
                <w:szCs w:val="20"/>
              </w:rPr>
            </w:pPr>
            <w:r>
              <w:rPr>
                <w:sz w:val="20"/>
                <w:szCs w:val="20"/>
              </w:rPr>
              <w:t> </w:t>
            </w:r>
          </w:p>
        </w:tc>
      </w:tr>
      <w:tr w:rsidR="00000000" w14:paraId="0CA0E288" w14:textId="77777777">
        <w:trPr>
          <w:divId w:val="1116293885"/>
          <w:trHeight w:val="200"/>
          <w:tblCellSpacing w:w="15" w:type="dxa"/>
        </w:trPr>
        <w:tc>
          <w:tcPr>
            <w:tcW w:w="0" w:type="auto"/>
            <w:hideMark/>
          </w:tcPr>
          <w:p w14:paraId="6EB88077" w14:textId="77777777" w:rsidR="00000000" w:rsidRDefault="00832D71">
            <w:pPr>
              <w:pStyle w:val="a3"/>
              <w:spacing w:before="0" w:beforeAutospacing="0" w:after="0" w:afterAutospacing="0"/>
              <w:ind w:left="200"/>
              <w:rPr>
                <w:sz w:val="20"/>
                <w:szCs w:val="20"/>
              </w:rPr>
            </w:pPr>
            <w:r>
              <w:rPr>
                <w:sz w:val="20"/>
                <w:szCs w:val="20"/>
              </w:rPr>
              <w:t>Other comprehensive income before reclassifications</w:t>
            </w:r>
            <w:r>
              <w:rPr>
                <w:sz w:val="20"/>
                <w:szCs w:val="20"/>
              </w:rPr>
              <w:t>:</w:t>
            </w:r>
          </w:p>
        </w:tc>
        <w:tc>
          <w:tcPr>
            <w:tcW w:w="0" w:type="auto"/>
            <w:hideMark/>
          </w:tcPr>
          <w:p w14:paraId="3725402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B1AF9C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4EDFAF3"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8C10F1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16C1AB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B4A2EB5"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7EEA71F"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98E5A8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532E5A7" w14:textId="77777777" w:rsidR="00000000" w:rsidRDefault="00832D71">
            <w:pPr>
              <w:pStyle w:val="a3"/>
              <w:spacing w:before="0" w:beforeAutospacing="0" w:after="0" w:afterAutospacing="0"/>
              <w:jc w:val="right"/>
              <w:rPr>
                <w:sz w:val="20"/>
                <w:szCs w:val="20"/>
              </w:rPr>
            </w:pPr>
            <w:r>
              <w:rPr>
                <w:sz w:val="20"/>
                <w:szCs w:val="20"/>
              </w:rPr>
              <w:t> </w:t>
            </w:r>
          </w:p>
        </w:tc>
      </w:tr>
      <w:tr w:rsidR="00000000" w14:paraId="35470FE3" w14:textId="77777777">
        <w:trPr>
          <w:divId w:val="1116293885"/>
          <w:trHeight w:val="200"/>
          <w:tblCellSpacing w:w="15" w:type="dxa"/>
        </w:trPr>
        <w:tc>
          <w:tcPr>
            <w:tcW w:w="0" w:type="auto"/>
            <w:hideMark/>
          </w:tcPr>
          <w:p w14:paraId="131F2AFD" w14:textId="77777777" w:rsidR="00000000" w:rsidRDefault="00832D71">
            <w:pPr>
              <w:pStyle w:val="a3"/>
              <w:spacing w:before="0" w:beforeAutospacing="0" w:after="0" w:afterAutospacing="0"/>
              <w:ind w:left="400"/>
              <w:rPr>
                <w:sz w:val="20"/>
                <w:szCs w:val="20"/>
              </w:rPr>
            </w:pPr>
            <w:r>
              <w:rPr>
                <w:sz w:val="20"/>
                <w:szCs w:val="20"/>
              </w:rPr>
              <w:t>Net change in plan obligatio</w:t>
            </w:r>
            <w:r>
              <w:rPr>
                <w:sz w:val="20"/>
                <w:szCs w:val="20"/>
              </w:rPr>
              <w:t>n</w:t>
            </w:r>
          </w:p>
        </w:tc>
        <w:tc>
          <w:tcPr>
            <w:tcW w:w="0" w:type="auto"/>
            <w:hideMark/>
          </w:tcPr>
          <w:p w14:paraId="2DC0EC8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D3DB40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32F6B79" w14:textId="77777777" w:rsidR="00000000" w:rsidRDefault="00832D71">
            <w:pPr>
              <w:pStyle w:val="a3"/>
              <w:spacing w:before="0" w:beforeAutospacing="0" w:after="0" w:afterAutospacing="0"/>
              <w:jc w:val="right"/>
              <w:rPr>
                <w:sz w:val="20"/>
                <w:szCs w:val="20"/>
              </w:rPr>
            </w:pPr>
            <w:r>
              <w:rPr>
                <w:sz w:val="20"/>
                <w:szCs w:val="20"/>
              </w:rPr>
              <w:t>70</w:t>
            </w:r>
            <w:r>
              <w:rPr>
                <w:sz w:val="20"/>
                <w:szCs w:val="20"/>
              </w:rPr>
              <w:t>5</w:t>
            </w:r>
          </w:p>
        </w:tc>
        <w:tc>
          <w:tcPr>
            <w:tcW w:w="0" w:type="auto"/>
            <w:noWrap/>
            <w:vAlign w:val="bottom"/>
            <w:hideMark/>
          </w:tcPr>
          <w:p w14:paraId="6D3AC40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27EBD1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329346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ECD63AF" w14:textId="77777777" w:rsidR="00000000" w:rsidRDefault="00832D71">
            <w:pPr>
              <w:pStyle w:val="a3"/>
              <w:spacing w:before="0" w:beforeAutospacing="0" w:after="0" w:afterAutospacing="0"/>
              <w:jc w:val="right"/>
              <w:rPr>
                <w:sz w:val="20"/>
                <w:szCs w:val="20"/>
              </w:rPr>
            </w:pPr>
            <w:r>
              <w:rPr>
                <w:sz w:val="20"/>
                <w:szCs w:val="20"/>
              </w:rPr>
              <w:t>43</w:t>
            </w:r>
            <w:r>
              <w:rPr>
                <w:sz w:val="20"/>
                <w:szCs w:val="20"/>
              </w:rPr>
              <w:t>0</w:t>
            </w:r>
          </w:p>
        </w:tc>
        <w:tc>
          <w:tcPr>
            <w:tcW w:w="0" w:type="auto"/>
            <w:noWrap/>
            <w:vAlign w:val="bottom"/>
            <w:hideMark/>
          </w:tcPr>
          <w:p w14:paraId="58762DD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8C9F90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762A26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DFC6F94" w14:textId="77777777" w:rsidR="00000000" w:rsidRDefault="00832D71">
            <w:pPr>
              <w:pStyle w:val="a3"/>
              <w:spacing w:before="0" w:beforeAutospacing="0" w:after="0" w:afterAutospacing="0"/>
              <w:jc w:val="right"/>
              <w:rPr>
                <w:sz w:val="20"/>
                <w:szCs w:val="20"/>
              </w:rPr>
            </w:pPr>
            <w:r>
              <w:rPr>
                <w:sz w:val="20"/>
                <w:szCs w:val="20"/>
              </w:rPr>
              <w:t>24</w:t>
            </w:r>
            <w:r>
              <w:rPr>
                <w:sz w:val="20"/>
                <w:szCs w:val="20"/>
              </w:rPr>
              <w:t>7</w:t>
            </w:r>
          </w:p>
        </w:tc>
        <w:tc>
          <w:tcPr>
            <w:tcW w:w="0" w:type="auto"/>
            <w:noWrap/>
            <w:vAlign w:val="bottom"/>
            <w:hideMark/>
          </w:tcPr>
          <w:p w14:paraId="085162C7" w14:textId="77777777" w:rsidR="00000000" w:rsidRDefault="00832D71">
            <w:pPr>
              <w:pStyle w:val="a3"/>
              <w:spacing w:before="0" w:beforeAutospacing="0" w:after="0" w:afterAutospacing="0"/>
              <w:rPr>
                <w:sz w:val="20"/>
                <w:szCs w:val="20"/>
              </w:rPr>
            </w:pPr>
            <w:r>
              <w:rPr>
                <w:sz w:val="20"/>
                <w:szCs w:val="20"/>
              </w:rPr>
              <w:t> </w:t>
            </w:r>
          </w:p>
        </w:tc>
      </w:tr>
      <w:tr w:rsidR="00000000" w14:paraId="3CB81229" w14:textId="77777777">
        <w:trPr>
          <w:divId w:val="1116293885"/>
          <w:trHeight w:val="200"/>
          <w:tblCellSpacing w:w="15" w:type="dxa"/>
        </w:trPr>
        <w:tc>
          <w:tcPr>
            <w:tcW w:w="0" w:type="auto"/>
            <w:hideMark/>
          </w:tcPr>
          <w:p w14:paraId="023935A9" w14:textId="77777777" w:rsidR="00000000" w:rsidRDefault="00832D71">
            <w:pPr>
              <w:pStyle w:val="a3"/>
              <w:spacing w:before="0" w:beforeAutospacing="0" w:after="0" w:afterAutospacing="0"/>
              <w:ind w:left="200"/>
              <w:rPr>
                <w:sz w:val="20"/>
                <w:szCs w:val="20"/>
              </w:rPr>
            </w:pPr>
            <w:r>
              <w:rPr>
                <w:sz w:val="20"/>
                <w:szCs w:val="20"/>
              </w:rPr>
              <w:t>Reclassifications to earnings</w:t>
            </w:r>
            <w:r>
              <w:rPr>
                <w:sz w:val="20"/>
                <w:szCs w:val="20"/>
              </w:rPr>
              <w:t>:</w:t>
            </w:r>
          </w:p>
        </w:tc>
        <w:tc>
          <w:tcPr>
            <w:tcW w:w="0" w:type="auto"/>
            <w:hideMark/>
          </w:tcPr>
          <w:p w14:paraId="67CC3EBA"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18F577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31B3E4F"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7321A85"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8300E2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69C8E1E"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F04F08A"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B8C973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B9275A4" w14:textId="77777777" w:rsidR="00000000" w:rsidRDefault="00832D71">
            <w:pPr>
              <w:pStyle w:val="a3"/>
              <w:spacing w:before="0" w:beforeAutospacing="0" w:after="0" w:afterAutospacing="0"/>
              <w:jc w:val="right"/>
              <w:rPr>
                <w:sz w:val="20"/>
                <w:szCs w:val="20"/>
              </w:rPr>
            </w:pPr>
            <w:r>
              <w:rPr>
                <w:sz w:val="20"/>
                <w:szCs w:val="20"/>
              </w:rPr>
              <w:t> </w:t>
            </w:r>
          </w:p>
        </w:tc>
      </w:tr>
      <w:tr w:rsidR="00000000" w14:paraId="2775CA59" w14:textId="77777777">
        <w:trPr>
          <w:divId w:val="1116293885"/>
          <w:trHeight w:val="200"/>
          <w:tblCellSpacing w:w="15" w:type="dxa"/>
        </w:trPr>
        <w:tc>
          <w:tcPr>
            <w:tcW w:w="0" w:type="auto"/>
            <w:hideMark/>
          </w:tcPr>
          <w:p w14:paraId="7C9D72DA" w14:textId="77777777" w:rsidR="00000000" w:rsidRDefault="00832D71">
            <w:pPr>
              <w:pStyle w:val="a3"/>
              <w:spacing w:before="0" w:beforeAutospacing="0" w:after="0" w:afterAutospacing="0"/>
              <w:ind w:left="400"/>
              <w:rPr>
                <w:sz w:val="20"/>
                <w:szCs w:val="20"/>
              </w:rPr>
            </w:pPr>
            <w:r>
              <w:rPr>
                <w:sz w:val="20"/>
                <w:szCs w:val="20"/>
              </w:rPr>
              <w:t>Amortization of prior service credits</w:t>
            </w:r>
            <w:r>
              <w:rPr>
                <w:sz w:val="20"/>
                <w:szCs w:val="20"/>
              </w:rPr>
              <w:t xml:space="preserve"> </w:t>
            </w:r>
            <w:r>
              <w:rPr>
                <w:sz w:val="16"/>
                <w:szCs w:val="16"/>
              </w:rPr>
              <w:t>(1</w:t>
            </w:r>
            <w:r>
              <w:rPr>
                <w:sz w:val="16"/>
                <w:szCs w:val="16"/>
              </w:rPr>
              <w:t>)</w:t>
            </w:r>
          </w:p>
        </w:tc>
        <w:tc>
          <w:tcPr>
            <w:tcW w:w="0" w:type="auto"/>
            <w:hideMark/>
          </w:tcPr>
          <w:p w14:paraId="3F4C0BB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36AEC8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8020BCF" w14:textId="77777777" w:rsidR="00000000" w:rsidRDefault="00832D71">
            <w:pPr>
              <w:pStyle w:val="a3"/>
              <w:spacing w:before="0" w:beforeAutospacing="0" w:after="0" w:afterAutospacing="0"/>
              <w:jc w:val="right"/>
              <w:rPr>
                <w:sz w:val="20"/>
                <w:szCs w:val="20"/>
              </w:rPr>
            </w:pPr>
            <w:r>
              <w:rPr>
                <w:sz w:val="20"/>
                <w:szCs w:val="20"/>
              </w:rPr>
              <w:t>(</w:t>
            </w:r>
            <w:r>
              <w:rPr>
                <w:sz w:val="20"/>
                <w:szCs w:val="20"/>
              </w:rPr>
              <w:t>49</w:t>
            </w:r>
            <w:r>
              <w:rPr>
                <w:sz w:val="20"/>
                <w:szCs w:val="20"/>
              </w:rPr>
              <w:t>8</w:t>
            </w:r>
          </w:p>
        </w:tc>
        <w:tc>
          <w:tcPr>
            <w:tcW w:w="0" w:type="auto"/>
            <w:noWrap/>
            <w:vAlign w:val="bottom"/>
            <w:hideMark/>
          </w:tcPr>
          <w:p w14:paraId="218BC038"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0959EAC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990A43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CF9B119" w14:textId="77777777" w:rsidR="00000000" w:rsidRDefault="00832D71">
            <w:pPr>
              <w:pStyle w:val="a3"/>
              <w:spacing w:before="0" w:beforeAutospacing="0" w:after="0" w:afterAutospacing="0"/>
              <w:jc w:val="right"/>
              <w:rPr>
                <w:sz w:val="20"/>
                <w:szCs w:val="20"/>
              </w:rPr>
            </w:pPr>
            <w:r>
              <w:rPr>
                <w:sz w:val="20"/>
                <w:szCs w:val="20"/>
              </w:rPr>
              <w:t>(</w:t>
            </w:r>
            <w:r>
              <w:rPr>
                <w:sz w:val="20"/>
                <w:szCs w:val="20"/>
              </w:rPr>
              <w:t>49</w:t>
            </w:r>
            <w:r>
              <w:rPr>
                <w:sz w:val="20"/>
                <w:szCs w:val="20"/>
              </w:rPr>
              <w:t>8</w:t>
            </w:r>
          </w:p>
        </w:tc>
        <w:tc>
          <w:tcPr>
            <w:tcW w:w="0" w:type="auto"/>
            <w:noWrap/>
            <w:vAlign w:val="bottom"/>
            <w:hideMark/>
          </w:tcPr>
          <w:p w14:paraId="320BC601"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08B7D78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FD319C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08FA2D5" w14:textId="77777777" w:rsidR="00000000" w:rsidRDefault="00832D71">
            <w:pPr>
              <w:pStyle w:val="a3"/>
              <w:spacing w:before="0" w:beforeAutospacing="0" w:after="0" w:afterAutospacing="0"/>
              <w:jc w:val="right"/>
              <w:rPr>
                <w:sz w:val="20"/>
                <w:szCs w:val="20"/>
              </w:rPr>
            </w:pPr>
            <w:r>
              <w:rPr>
                <w:sz w:val="20"/>
                <w:szCs w:val="20"/>
              </w:rPr>
              <w:t>(</w:t>
            </w:r>
            <w:r>
              <w:rPr>
                <w:sz w:val="20"/>
                <w:szCs w:val="20"/>
              </w:rPr>
              <w:t>49</w:t>
            </w:r>
            <w:r>
              <w:rPr>
                <w:sz w:val="20"/>
                <w:szCs w:val="20"/>
              </w:rPr>
              <w:t>8</w:t>
            </w:r>
          </w:p>
        </w:tc>
        <w:tc>
          <w:tcPr>
            <w:tcW w:w="0" w:type="auto"/>
            <w:noWrap/>
            <w:vAlign w:val="bottom"/>
            <w:hideMark/>
          </w:tcPr>
          <w:p w14:paraId="1166952E" w14:textId="77777777" w:rsidR="00000000" w:rsidRDefault="00832D71">
            <w:pPr>
              <w:pStyle w:val="a3"/>
              <w:spacing w:before="0" w:beforeAutospacing="0" w:after="0" w:afterAutospacing="0"/>
              <w:rPr>
                <w:sz w:val="20"/>
                <w:szCs w:val="20"/>
              </w:rPr>
            </w:pPr>
            <w:r>
              <w:rPr>
                <w:sz w:val="20"/>
                <w:szCs w:val="20"/>
              </w:rPr>
              <w:t>)</w:t>
            </w:r>
          </w:p>
        </w:tc>
      </w:tr>
      <w:tr w:rsidR="00000000" w14:paraId="3C10666D" w14:textId="77777777">
        <w:trPr>
          <w:divId w:val="1116293885"/>
          <w:trHeight w:val="200"/>
          <w:tblCellSpacing w:w="15" w:type="dxa"/>
        </w:trPr>
        <w:tc>
          <w:tcPr>
            <w:tcW w:w="0" w:type="auto"/>
            <w:hideMark/>
          </w:tcPr>
          <w:p w14:paraId="6CE07A7E" w14:textId="77777777" w:rsidR="00000000" w:rsidRDefault="00832D71">
            <w:pPr>
              <w:pStyle w:val="a3"/>
              <w:spacing w:before="0" w:beforeAutospacing="0" w:after="0" w:afterAutospacing="0"/>
              <w:ind w:left="400"/>
              <w:rPr>
                <w:sz w:val="20"/>
                <w:szCs w:val="20"/>
              </w:rPr>
            </w:pPr>
            <w:r>
              <w:rPr>
                <w:sz w:val="20"/>
                <w:szCs w:val="20"/>
              </w:rPr>
              <w:t>Amortization of net gain</w:t>
            </w:r>
            <w:r>
              <w:rPr>
                <w:sz w:val="20"/>
                <w:szCs w:val="20"/>
              </w:rPr>
              <w:t xml:space="preserve"> </w:t>
            </w:r>
            <w:r>
              <w:rPr>
                <w:sz w:val="16"/>
                <w:szCs w:val="16"/>
              </w:rPr>
              <w:t>(1</w:t>
            </w:r>
            <w:r>
              <w:rPr>
                <w:sz w:val="16"/>
                <w:szCs w:val="16"/>
              </w:rPr>
              <w:t>)</w:t>
            </w:r>
          </w:p>
        </w:tc>
        <w:tc>
          <w:tcPr>
            <w:tcW w:w="0" w:type="auto"/>
            <w:hideMark/>
          </w:tcPr>
          <w:p w14:paraId="7AC81C8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9FB181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0D93633" w14:textId="77777777" w:rsidR="00000000" w:rsidRDefault="00832D71">
            <w:pPr>
              <w:pStyle w:val="a3"/>
              <w:spacing w:before="0" w:beforeAutospacing="0" w:after="0" w:afterAutospacing="0"/>
              <w:jc w:val="right"/>
              <w:rPr>
                <w:sz w:val="20"/>
                <w:szCs w:val="20"/>
              </w:rPr>
            </w:pPr>
            <w:r>
              <w:rPr>
                <w:sz w:val="20"/>
                <w:szCs w:val="20"/>
              </w:rPr>
              <w:t>(</w:t>
            </w:r>
            <w:r>
              <w:rPr>
                <w:sz w:val="20"/>
                <w:szCs w:val="20"/>
              </w:rPr>
              <w:t>72</w:t>
            </w:r>
            <w:r>
              <w:rPr>
                <w:sz w:val="20"/>
                <w:szCs w:val="20"/>
              </w:rPr>
              <w:t>5</w:t>
            </w:r>
          </w:p>
        </w:tc>
        <w:tc>
          <w:tcPr>
            <w:tcW w:w="0" w:type="auto"/>
            <w:noWrap/>
            <w:vAlign w:val="bottom"/>
            <w:hideMark/>
          </w:tcPr>
          <w:p w14:paraId="080133AC"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1280B9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851DCA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78BA880" w14:textId="77777777" w:rsidR="00000000" w:rsidRDefault="00832D71">
            <w:pPr>
              <w:pStyle w:val="a3"/>
              <w:spacing w:before="0" w:beforeAutospacing="0" w:after="0" w:afterAutospacing="0"/>
              <w:jc w:val="right"/>
              <w:rPr>
                <w:sz w:val="20"/>
                <w:szCs w:val="20"/>
              </w:rPr>
            </w:pPr>
            <w:r>
              <w:rPr>
                <w:sz w:val="20"/>
                <w:szCs w:val="20"/>
              </w:rPr>
              <w:t>(</w:t>
            </w:r>
            <w:r>
              <w:rPr>
                <w:sz w:val="20"/>
                <w:szCs w:val="20"/>
              </w:rPr>
              <w:t>72</w:t>
            </w:r>
            <w:r>
              <w:rPr>
                <w:sz w:val="20"/>
                <w:szCs w:val="20"/>
              </w:rPr>
              <w:t>3</w:t>
            </w:r>
          </w:p>
        </w:tc>
        <w:tc>
          <w:tcPr>
            <w:tcW w:w="0" w:type="auto"/>
            <w:noWrap/>
            <w:vAlign w:val="bottom"/>
            <w:hideMark/>
          </w:tcPr>
          <w:p w14:paraId="33CBED33"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15787E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6069D7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6D39634" w14:textId="77777777" w:rsidR="00000000" w:rsidRDefault="00832D71">
            <w:pPr>
              <w:pStyle w:val="a3"/>
              <w:spacing w:before="0" w:beforeAutospacing="0" w:after="0" w:afterAutospacing="0"/>
              <w:jc w:val="right"/>
              <w:rPr>
                <w:sz w:val="20"/>
                <w:szCs w:val="20"/>
              </w:rPr>
            </w:pPr>
            <w:r>
              <w:rPr>
                <w:sz w:val="20"/>
                <w:szCs w:val="20"/>
              </w:rPr>
              <w:t>(</w:t>
            </w:r>
            <w:r>
              <w:rPr>
                <w:sz w:val="20"/>
                <w:szCs w:val="20"/>
              </w:rPr>
              <w:t>78</w:t>
            </w:r>
            <w:r>
              <w:rPr>
                <w:sz w:val="20"/>
                <w:szCs w:val="20"/>
              </w:rPr>
              <w:t>6</w:t>
            </w:r>
          </w:p>
        </w:tc>
        <w:tc>
          <w:tcPr>
            <w:tcW w:w="0" w:type="auto"/>
            <w:noWrap/>
            <w:vAlign w:val="bottom"/>
            <w:hideMark/>
          </w:tcPr>
          <w:p w14:paraId="3E3616AB" w14:textId="77777777" w:rsidR="00000000" w:rsidRDefault="00832D71">
            <w:pPr>
              <w:pStyle w:val="a3"/>
              <w:spacing w:before="0" w:beforeAutospacing="0" w:after="0" w:afterAutospacing="0"/>
              <w:rPr>
                <w:sz w:val="20"/>
                <w:szCs w:val="20"/>
              </w:rPr>
            </w:pPr>
            <w:r>
              <w:rPr>
                <w:sz w:val="20"/>
                <w:szCs w:val="20"/>
              </w:rPr>
              <w:t>)</w:t>
            </w:r>
          </w:p>
        </w:tc>
      </w:tr>
      <w:tr w:rsidR="00000000" w14:paraId="55D884C9" w14:textId="77777777">
        <w:trPr>
          <w:divId w:val="1116293885"/>
          <w:trHeight w:val="200"/>
          <w:tblCellSpacing w:w="15" w:type="dxa"/>
        </w:trPr>
        <w:tc>
          <w:tcPr>
            <w:tcW w:w="0" w:type="auto"/>
            <w:hideMark/>
          </w:tcPr>
          <w:p w14:paraId="5C36484D" w14:textId="77777777" w:rsidR="00000000" w:rsidRDefault="00832D71">
            <w:pPr>
              <w:pStyle w:val="a3"/>
              <w:spacing w:before="0" w:beforeAutospacing="0" w:after="0" w:afterAutospacing="0"/>
              <w:rPr>
                <w:sz w:val="20"/>
                <w:szCs w:val="20"/>
              </w:rPr>
            </w:pPr>
            <w:r>
              <w:rPr>
                <w:sz w:val="20"/>
                <w:szCs w:val="20"/>
              </w:rPr>
              <w:t>Other comprehensive (loss) incom</w:t>
            </w:r>
            <w:r>
              <w:rPr>
                <w:sz w:val="20"/>
                <w:szCs w:val="20"/>
              </w:rPr>
              <w:t>e</w:t>
            </w:r>
          </w:p>
        </w:tc>
        <w:tc>
          <w:tcPr>
            <w:tcW w:w="0" w:type="auto"/>
            <w:hideMark/>
          </w:tcPr>
          <w:p w14:paraId="2980909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43873F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4C55C30" w14:textId="77777777" w:rsidR="00000000" w:rsidRDefault="00832D71">
            <w:pPr>
              <w:pStyle w:val="a3"/>
              <w:spacing w:before="0" w:beforeAutospacing="0" w:after="0" w:afterAutospacing="0"/>
              <w:jc w:val="right"/>
              <w:rPr>
                <w:sz w:val="20"/>
                <w:szCs w:val="20"/>
              </w:rPr>
            </w:pPr>
            <w:r>
              <w:rPr>
                <w:sz w:val="20"/>
                <w:szCs w:val="20"/>
              </w:rPr>
              <w:t>(</w:t>
            </w:r>
            <w:r>
              <w:rPr>
                <w:sz w:val="20"/>
                <w:szCs w:val="20"/>
              </w:rPr>
              <w:t>51</w:t>
            </w:r>
            <w:r>
              <w:rPr>
                <w:sz w:val="20"/>
                <w:szCs w:val="20"/>
              </w:rPr>
              <w:t>8</w:t>
            </w:r>
          </w:p>
        </w:tc>
        <w:tc>
          <w:tcPr>
            <w:tcW w:w="0" w:type="auto"/>
            <w:noWrap/>
            <w:vAlign w:val="bottom"/>
            <w:hideMark/>
          </w:tcPr>
          <w:p w14:paraId="626E83A3"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44BCFB2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0FADE9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339B971" w14:textId="77777777" w:rsidR="00000000" w:rsidRDefault="00832D71">
            <w:pPr>
              <w:pStyle w:val="a3"/>
              <w:spacing w:before="0" w:beforeAutospacing="0" w:after="0" w:afterAutospacing="0"/>
              <w:jc w:val="right"/>
              <w:rPr>
                <w:sz w:val="20"/>
                <w:szCs w:val="20"/>
              </w:rPr>
            </w:pPr>
            <w:r>
              <w:rPr>
                <w:sz w:val="20"/>
                <w:szCs w:val="20"/>
              </w:rPr>
              <w:t>(</w:t>
            </w:r>
            <w:r>
              <w:rPr>
                <w:sz w:val="20"/>
                <w:szCs w:val="20"/>
              </w:rPr>
              <w:t>79</w:t>
            </w:r>
            <w:r>
              <w:rPr>
                <w:sz w:val="20"/>
                <w:szCs w:val="20"/>
              </w:rPr>
              <w:t>1</w:t>
            </w:r>
          </w:p>
        </w:tc>
        <w:tc>
          <w:tcPr>
            <w:tcW w:w="0" w:type="auto"/>
            <w:noWrap/>
            <w:vAlign w:val="bottom"/>
            <w:hideMark/>
          </w:tcPr>
          <w:p w14:paraId="688C108B"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6063A54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9C937A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769538A" w14:textId="77777777" w:rsidR="00000000" w:rsidRDefault="00832D71">
            <w:pPr>
              <w:pStyle w:val="a3"/>
              <w:spacing w:before="0" w:beforeAutospacing="0" w:after="0" w:afterAutospacing="0"/>
              <w:jc w:val="right"/>
              <w:rPr>
                <w:sz w:val="20"/>
                <w:szCs w:val="20"/>
              </w:rPr>
            </w:pPr>
            <w:r>
              <w:rPr>
                <w:sz w:val="20"/>
                <w:szCs w:val="20"/>
              </w:rPr>
              <w:t>(</w:t>
            </w:r>
            <w:r>
              <w:rPr>
                <w:sz w:val="20"/>
                <w:szCs w:val="20"/>
              </w:rPr>
              <w:t>1,03</w:t>
            </w:r>
            <w:r>
              <w:rPr>
                <w:sz w:val="20"/>
                <w:szCs w:val="20"/>
              </w:rPr>
              <w:t>7</w:t>
            </w:r>
          </w:p>
        </w:tc>
        <w:tc>
          <w:tcPr>
            <w:tcW w:w="0" w:type="auto"/>
            <w:noWrap/>
            <w:vAlign w:val="bottom"/>
            <w:hideMark/>
          </w:tcPr>
          <w:p w14:paraId="4EB6CCB8" w14:textId="77777777" w:rsidR="00000000" w:rsidRDefault="00832D71">
            <w:pPr>
              <w:pStyle w:val="a3"/>
              <w:spacing w:before="0" w:beforeAutospacing="0" w:after="0" w:afterAutospacing="0"/>
              <w:rPr>
                <w:sz w:val="20"/>
                <w:szCs w:val="20"/>
              </w:rPr>
            </w:pPr>
            <w:r>
              <w:rPr>
                <w:sz w:val="20"/>
                <w:szCs w:val="20"/>
              </w:rPr>
              <w:t>)</w:t>
            </w:r>
          </w:p>
        </w:tc>
      </w:tr>
      <w:tr w:rsidR="00000000" w14:paraId="5471DC21" w14:textId="77777777">
        <w:trPr>
          <w:divId w:val="1116293885"/>
          <w:trHeight w:val="200"/>
          <w:tblCellSpacing w:w="15" w:type="dxa"/>
        </w:trPr>
        <w:tc>
          <w:tcPr>
            <w:tcW w:w="0" w:type="auto"/>
            <w:hideMark/>
          </w:tcPr>
          <w:p w14:paraId="6E6AF9F8" w14:textId="77777777" w:rsidR="00000000" w:rsidRDefault="00832D71">
            <w:pPr>
              <w:pStyle w:val="a3"/>
              <w:spacing w:before="0" w:beforeAutospacing="0" w:after="0" w:afterAutospacing="0"/>
              <w:rPr>
                <w:sz w:val="20"/>
                <w:szCs w:val="20"/>
              </w:rPr>
            </w:pPr>
            <w:r>
              <w:rPr>
                <w:sz w:val="20"/>
                <w:szCs w:val="20"/>
              </w:rPr>
              <w:t>Balance, end of perio</w:t>
            </w:r>
            <w:r>
              <w:rPr>
                <w:sz w:val="20"/>
                <w:szCs w:val="20"/>
              </w:rPr>
              <w:t>d</w:t>
            </w:r>
          </w:p>
        </w:tc>
        <w:tc>
          <w:tcPr>
            <w:tcW w:w="0" w:type="auto"/>
            <w:hideMark/>
          </w:tcPr>
          <w:p w14:paraId="19048EF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EED548C"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1D16F40" w14:textId="77777777" w:rsidR="00000000" w:rsidRDefault="00832D71">
            <w:pPr>
              <w:pStyle w:val="a3"/>
              <w:spacing w:before="0" w:beforeAutospacing="0" w:after="0" w:afterAutospacing="0"/>
              <w:jc w:val="right"/>
              <w:rPr>
                <w:sz w:val="20"/>
                <w:szCs w:val="20"/>
              </w:rPr>
            </w:pPr>
            <w:r>
              <w:rPr>
                <w:sz w:val="20"/>
                <w:szCs w:val="20"/>
              </w:rPr>
              <w:t>5,20</w:t>
            </w:r>
            <w:r>
              <w:rPr>
                <w:sz w:val="20"/>
                <w:szCs w:val="20"/>
              </w:rPr>
              <w:t>1</w:t>
            </w:r>
          </w:p>
        </w:tc>
        <w:tc>
          <w:tcPr>
            <w:tcW w:w="0" w:type="auto"/>
            <w:noWrap/>
            <w:vAlign w:val="bottom"/>
            <w:hideMark/>
          </w:tcPr>
          <w:p w14:paraId="6AA5D5C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706D98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CD31C2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9EAF7FB" w14:textId="77777777" w:rsidR="00000000" w:rsidRDefault="00832D71">
            <w:pPr>
              <w:pStyle w:val="a3"/>
              <w:spacing w:before="0" w:beforeAutospacing="0" w:after="0" w:afterAutospacing="0"/>
              <w:jc w:val="right"/>
              <w:rPr>
                <w:sz w:val="20"/>
                <w:szCs w:val="20"/>
              </w:rPr>
            </w:pPr>
            <w:r>
              <w:rPr>
                <w:sz w:val="20"/>
                <w:szCs w:val="20"/>
              </w:rPr>
              <w:t>5,71</w:t>
            </w:r>
            <w:r>
              <w:rPr>
                <w:sz w:val="20"/>
                <w:szCs w:val="20"/>
              </w:rPr>
              <w:t>9</w:t>
            </w:r>
          </w:p>
        </w:tc>
        <w:tc>
          <w:tcPr>
            <w:tcW w:w="0" w:type="auto"/>
            <w:noWrap/>
            <w:vAlign w:val="bottom"/>
            <w:hideMark/>
          </w:tcPr>
          <w:p w14:paraId="3638116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0017A1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3B6532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4A09D84" w14:textId="77777777" w:rsidR="00000000" w:rsidRDefault="00832D71">
            <w:pPr>
              <w:pStyle w:val="a3"/>
              <w:spacing w:before="0" w:beforeAutospacing="0" w:after="0" w:afterAutospacing="0"/>
              <w:jc w:val="right"/>
              <w:rPr>
                <w:sz w:val="20"/>
                <w:szCs w:val="20"/>
              </w:rPr>
            </w:pPr>
            <w:r>
              <w:rPr>
                <w:sz w:val="20"/>
                <w:szCs w:val="20"/>
              </w:rPr>
              <w:t>6,51</w:t>
            </w:r>
            <w:r>
              <w:rPr>
                <w:sz w:val="20"/>
                <w:szCs w:val="20"/>
              </w:rPr>
              <w:t>0</w:t>
            </w:r>
          </w:p>
        </w:tc>
        <w:tc>
          <w:tcPr>
            <w:tcW w:w="0" w:type="auto"/>
            <w:noWrap/>
            <w:vAlign w:val="bottom"/>
            <w:hideMark/>
          </w:tcPr>
          <w:p w14:paraId="10C79A29" w14:textId="77777777" w:rsidR="00000000" w:rsidRDefault="00832D71">
            <w:pPr>
              <w:pStyle w:val="a3"/>
              <w:spacing w:before="0" w:beforeAutospacing="0" w:after="0" w:afterAutospacing="0"/>
              <w:rPr>
                <w:sz w:val="20"/>
                <w:szCs w:val="20"/>
              </w:rPr>
            </w:pPr>
            <w:r>
              <w:rPr>
                <w:sz w:val="20"/>
                <w:szCs w:val="20"/>
              </w:rPr>
              <w:t> </w:t>
            </w:r>
          </w:p>
        </w:tc>
      </w:tr>
      <w:tr w:rsidR="00000000" w14:paraId="127C9826" w14:textId="77777777">
        <w:trPr>
          <w:divId w:val="1116293885"/>
          <w:tblCellSpacing w:w="15" w:type="dxa"/>
        </w:trPr>
        <w:tc>
          <w:tcPr>
            <w:tcW w:w="0" w:type="auto"/>
            <w:hideMark/>
          </w:tcPr>
          <w:p w14:paraId="2F16B18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4A59C8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073A78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FEE21B5"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4D9003C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8EDE02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8BC2EF9"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662F04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CA7D9B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E58DF55" w14:textId="77777777" w:rsidR="00000000" w:rsidRDefault="00832D71">
            <w:pPr>
              <w:pStyle w:val="a3"/>
              <w:spacing w:before="0" w:beforeAutospacing="0" w:after="0" w:afterAutospacing="0"/>
              <w:jc w:val="right"/>
              <w:rPr>
                <w:sz w:val="20"/>
                <w:szCs w:val="20"/>
              </w:rPr>
            </w:pPr>
            <w:r>
              <w:rPr>
                <w:sz w:val="20"/>
                <w:szCs w:val="20"/>
              </w:rPr>
              <w:t> </w:t>
            </w:r>
          </w:p>
        </w:tc>
      </w:tr>
      <w:tr w:rsidR="00000000" w14:paraId="119A1B11" w14:textId="77777777">
        <w:trPr>
          <w:divId w:val="1116293885"/>
          <w:trHeight w:val="200"/>
          <w:tblCellSpacing w:w="15" w:type="dxa"/>
        </w:trPr>
        <w:tc>
          <w:tcPr>
            <w:tcW w:w="0" w:type="auto"/>
            <w:hideMark/>
          </w:tcPr>
          <w:p w14:paraId="50E59C3B" w14:textId="77777777" w:rsidR="00000000" w:rsidRDefault="00832D71">
            <w:pPr>
              <w:pStyle w:val="a3"/>
              <w:spacing w:before="0" w:beforeAutospacing="0" w:after="0" w:afterAutospacing="0"/>
              <w:rPr>
                <w:sz w:val="20"/>
                <w:szCs w:val="20"/>
              </w:rPr>
            </w:pPr>
            <w:r>
              <w:rPr>
                <w:b/>
                <w:bCs/>
                <w:sz w:val="20"/>
                <w:szCs w:val="20"/>
              </w:rPr>
              <w:t>Accumulated Other Comprehensive Income (Loss</w:t>
            </w:r>
            <w:r>
              <w:rPr>
                <w:b/>
                <w:bCs/>
                <w:sz w:val="20"/>
                <w:szCs w:val="20"/>
              </w:rPr>
              <w:t>)</w:t>
            </w:r>
          </w:p>
        </w:tc>
        <w:tc>
          <w:tcPr>
            <w:tcW w:w="0" w:type="auto"/>
            <w:hideMark/>
          </w:tcPr>
          <w:p w14:paraId="13A766A4"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81967F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1B52B2B"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3E45E750"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AC7C7F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D4F621C"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6973D76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C1ADDB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DB771EB" w14:textId="77777777" w:rsidR="00000000" w:rsidRDefault="00832D71">
            <w:pPr>
              <w:pStyle w:val="a3"/>
              <w:spacing w:before="0" w:beforeAutospacing="0" w:after="0" w:afterAutospacing="0"/>
              <w:jc w:val="right"/>
              <w:rPr>
                <w:sz w:val="20"/>
                <w:szCs w:val="20"/>
              </w:rPr>
            </w:pPr>
            <w:r>
              <w:rPr>
                <w:sz w:val="20"/>
                <w:szCs w:val="20"/>
              </w:rPr>
              <w:t> </w:t>
            </w:r>
          </w:p>
        </w:tc>
      </w:tr>
      <w:tr w:rsidR="00000000" w14:paraId="3FCB5FFE" w14:textId="77777777">
        <w:trPr>
          <w:divId w:val="1116293885"/>
          <w:trHeight w:val="200"/>
          <w:tblCellSpacing w:w="15" w:type="dxa"/>
        </w:trPr>
        <w:tc>
          <w:tcPr>
            <w:tcW w:w="0" w:type="auto"/>
            <w:hideMark/>
          </w:tcPr>
          <w:p w14:paraId="600D14B8" w14:textId="77777777" w:rsidR="00000000" w:rsidRDefault="00832D71">
            <w:pPr>
              <w:pStyle w:val="a3"/>
              <w:spacing w:before="0" w:beforeAutospacing="0" w:after="0" w:afterAutospacing="0"/>
              <w:rPr>
                <w:sz w:val="20"/>
                <w:szCs w:val="20"/>
              </w:rPr>
            </w:pPr>
            <w:r>
              <w:rPr>
                <w:sz w:val="20"/>
                <w:szCs w:val="20"/>
              </w:rPr>
              <w:t>Balance, beginning of perio</w:t>
            </w:r>
            <w:r>
              <w:rPr>
                <w:sz w:val="20"/>
                <w:szCs w:val="20"/>
              </w:rPr>
              <w:t>d</w:t>
            </w:r>
          </w:p>
        </w:tc>
        <w:tc>
          <w:tcPr>
            <w:tcW w:w="0" w:type="auto"/>
            <w:hideMark/>
          </w:tcPr>
          <w:p w14:paraId="70E0C3D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9C6DA2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CAB5D6F" w14:textId="77777777" w:rsidR="00000000" w:rsidRDefault="00832D71">
            <w:pPr>
              <w:pStyle w:val="a3"/>
              <w:spacing w:before="0" w:beforeAutospacing="0" w:after="0" w:afterAutospacing="0"/>
              <w:jc w:val="right"/>
              <w:rPr>
                <w:sz w:val="20"/>
                <w:szCs w:val="20"/>
              </w:rPr>
            </w:pPr>
            <w:r>
              <w:rPr>
                <w:sz w:val="20"/>
                <w:szCs w:val="20"/>
              </w:rPr>
              <w:t>(</w:t>
            </w:r>
            <w:r>
              <w:rPr>
                <w:sz w:val="20"/>
                <w:szCs w:val="20"/>
              </w:rPr>
              <w:t>17,58</w:t>
            </w:r>
            <w:r>
              <w:rPr>
                <w:sz w:val="20"/>
                <w:szCs w:val="20"/>
              </w:rPr>
              <w:t>4</w:t>
            </w:r>
          </w:p>
        </w:tc>
        <w:tc>
          <w:tcPr>
            <w:tcW w:w="0" w:type="auto"/>
            <w:noWrap/>
            <w:vAlign w:val="bottom"/>
            <w:hideMark/>
          </w:tcPr>
          <w:p w14:paraId="352C5ABE"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01A208B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033FD5D"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58B9FD2" w14:textId="77777777" w:rsidR="00000000" w:rsidRDefault="00832D71">
            <w:pPr>
              <w:pStyle w:val="a3"/>
              <w:spacing w:before="0" w:beforeAutospacing="0" w:after="0" w:afterAutospacing="0"/>
              <w:jc w:val="right"/>
              <w:rPr>
                <w:sz w:val="20"/>
                <w:szCs w:val="20"/>
              </w:rPr>
            </w:pPr>
            <w:r>
              <w:rPr>
                <w:sz w:val="20"/>
                <w:szCs w:val="20"/>
              </w:rPr>
              <w:t>(</w:t>
            </w:r>
            <w:r>
              <w:rPr>
                <w:sz w:val="20"/>
                <w:szCs w:val="20"/>
              </w:rPr>
              <w:t>25,77</w:t>
            </w:r>
            <w:r>
              <w:rPr>
                <w:sz w:val="20"/>
                <w:szCs w:val="20"/>
              </w:rPr>
              <w:t>6</w:t>
            </w:r>
          </w:p>
        </w:tc>
        <w:tc>
          <w:tcPr>
            <w:tcW w:w="0" w:type="auto"/>
            <w:noWrap/>
            <w:vAlign w:val="bottom"/>
            <w:hideMark/>
          </w:tcPr>
          <w:p w14:paraId="787F01B8"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B71E62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B975F2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92B289A" w14:textId="77777777" w:rsidR="00000000" w:rsidRDefault="00832D71">
            <w:pPr>
              <w:pStyle w:val="a3"/>
              <w:spacing w:before="0" w:beforeAutospacing="0" w:after="0" w:afterAutospacing="0"/>
              <w:jc w:val="right"/>
              <w:rPr>
                <w:sz w:val="20"/>
                <w:szCs w:val="20"/>
              </w:rPr>
            </w:pPr>
            <w:r>
              <w:rPr>
                <w:sz w:val="20"/>
                <w:szCs w:val="20"/>
              </w:rPr>
              <w:t>(</w:t>
            </w:r>
            <w:r>
              <w:rPr>
                <w:sz w:val="20"/>
                <w:szCs w:val="20"/>
              </w:rPr>
              <w:t>26,18</w:t>
            </w:r>
            <w:r>
              <w:rPr>
                <w:sz w:val="20"/>
                <w:szCs w:val="20"/>
              </w:rPr>
              <w:t>6</w:t>
            </w:r>
          </w:p>
        </w:tc>
        <w:tc>
          <w:tcPr>
            <w:tcW w:w="0" w:type="auto"/>
            <w:noWrap/>
            <w:vAlign w:val="bottom"/>
            <w:hideMark/>
          </w:tcPr>
          <w:p w14:paraId="27C15AF6" w14:textId="77777777" w:rsidR="00000000" w:rsidRDefault="00832D71">
            <w:pPr>
              <w:pStyle w:val="a3"/>
              <w:spacing w:before="0" w:beforeAutospacing="0" w:after="0" w:afterAutospacing="0"/>
              <w:rPr>
                <w:sz w:val="20"/>
                <w:szCs w:val="20"/>
              </w:rPr>
            </w:pPr>
            <w:r>
              <w:rPr>
                <w:sz w:val="20"/>
                <w:szCs w:val="20"/>
              </w:rPr>
              <w:t>)</w:t>
            </w:r>
          </w:p>
        </w:tc>
      </w:tr>
      <w:tr w:rsidR="00000000" w14:paraId="1A4B4735" w14:textId="77777777">
        <w:trPr>
          <w:divId w:val="1116293885"/>
          <w:trHeight w:val="200"/>
          <w:tblCellSpacing w:w="15" w:type="dxa"/>
        </w:trPr>
        <w:tc>
          <w:tcPr>
            <w:tcW w:w="0" w:type="auto"/>
            <w:hideMark/>
          </w:tcPr>
          <w:p w14:paraId="782E57D4" w14:textId="77777777" w:rsidR="00000000" w:rsidRDefault="00832D71">
            <w:pPr>
              <w:pStyle w:val="a3"/>
              <w:spacing w:before="0" w:beforeAutospacing="0" w:after="0" w:afterAutospacing="0"/>
              <w:ind w:left="200"/>
              <w:rPr>
                <w:sz w:val="20"/>
                <w:szCs w:val="20"/>
              </w:rPr>
            </w:pPr>
            <w:r>
              <w:rPr>
                <w:sz w:val="20"/>
                <w:szCs w:val="20"/>
              </w:rPr>
              <w:t>Other comprehensive income before reclassification</w:t>
            </w:r>
            <w:r>
              <w:rPr>
                <w:sz w:val="20"/>
                <w:szCs w:val="20"/>
              </w:rPr>
              <w:t>s</w:t>
            </w:r>
          </w:p>
        </w:tc>
        <w:tc>
          <w:tcPr>
            <w:tcW w:w="0" w:type="auto"/>
            <w:hideMark/>
          </w:tcPr>
          <w:p w14:paraId="24EC67F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C5C28D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697CB53" w14:textId="77777777" w:rsidR="00000000" w:rsidRDefault="00832D71">
            <w:pPr>
              <w:pStyle w:val="a3"/>
              <w:spacing w:before="0" w:beforeAutospacing="0" w:after="0" w:afterAutospacing="0"/>
              <w:jc w:val="right"/>
              <w:rPr>
                <w:sz w:val="20"/>
                <w:szCs w:val="20"/>
              </w:rPr>
            </w:pPr>
            <w:r>
              <w:rPr>
                <w:sz w:val="20"/>
                <w:szCs w:val="20"/>
              </w:rPr>
              <w:t>2,90</w:t>
            </w:r>
            <w:r>
              <w:rPr>
                <w:sz w:val="20"/>
                <w:szCs w:val="20"/>
              </w:rPr>
              <w:t>4</w:t>
            </w:r>
          </w:p>
        </w:tc>
        <w:tc>
          <w:tcPr>
            <w:tcW w:w="0" w:type="auto"/>
            <w:noWrap/>
            <w:vAlign w:val="bottom"/>
            <w:hideMark/>
          </w:tcPr>
          <w:p w14:paraId="585FF55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454ABD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F50C2F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853C384" w14:textId="77777777" w:rsidR="00000000" w:rsidRDefault="00832D71">
            <w:pPr>
              <w:pStyle w:val="a3"/>
              <w:spacing w:before="0" w:beforeAutospacing="0" w:after="0" w:afterAutospacing="0"/>
              <w:jc w:val="right"/>
              <w:rPr>
                <w:sz w:val="20"/>
                <w:szCs w:val="20"/>
              </w:rPr>
            </w:pPr>
            <w:r>
              <w:rPr>
                <w:sz w:val="20"/>
                <w:szCs w:val="20"/>
              </w:rPr>
              <w:t>5,16</w:t>
            </w:r>
            <w:r>
              <w:rPr>
                <w:sz w:val="20"/>
                <w:szCs w:val="20"/>
              </w:rPr>
              <w:t>6</w:t>
            </w:r>
          </w:p>
        </w:tc>
        <w:tc>
          <w:tcPr>
            <w:tcW w:w="0" w:type="auto"/>
            <w:noWrap/>
            <w:vAlign w:val="bottom"/>
            <w:hideMark/>
          </w:tcPr>
          <w:p w14:paraId="10804D5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523A06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2CE5AA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17979F6" w14:textId="77777777" w:rsidR="00000000" w:rsidRDefault="00832D71">
            <w:pPr>
              <w:pStyle w:val="a3"/>
              <w:spacing w:before="0" w:beforeAutospacing="0" w:after="0" w:afterAutospacing="0"/>
              <w:jc w:val="right"/>
              <w:rPr>
                <w:sz w:val="20"/>
                <w:szCs w:val="20"/>
              </w:rPr>
            </w:pPr>
            <w:r>
              <w:rPr>
                <w:sz w:val="20"/>
                <w:szCs w:val="20"/>
              </w:rPr>
              <w:t>(</w:t>
            </w:r>
            <w:r>
              <w:rPr>
                <w:sz w:val="20"/>
                <w:szCs w:val="20"/>
              </w:rPr>
              <w:t>2,80</w:t>
            </w:r>
            <w:r>
              <w:rPr>
                <w:sz w:val="20"/>
                <w:szCs w:val="20"/>
              </w:rPr>
              <w:t>5</w:t>
            </w:r>
          </w:p>
        </w:tc>
        <w:tc>
          <w:tcPr>
            <w:tcW w:w="0" w:type="auto"/>
            <w:noWrap/>
            <w:vAlign w:val="bottom"/>
            <w:hideMark/>
          </w:tcPr>
          <w:p w14:paraId="4C48A769" w14:textId="77777777" w:rsidR="00000000" w:rsidRDefault="00832D71">
            <w:pPr>
              <w:pStyle w:val="a3"/>
              <w:spacing w:before="0" w:beforeAutospacing="0" w:after="0" w:afterAutospacing="0"/>
              <w:rPr>
                <w:sz w:val="20"/>
                <w:szCs w:val="20"/>
              </w:rPr>
            </w:pPr>
            <w:r>
              <w:rPr>
                <w:sz w:val="20"/>
                <w:szCs w:val="20"/>
              </w:rPr>
              <w:t>)</w:t>
            </w:r>
          </w:p>
        </w:tc>
      </w:tr>
      <w:tr w:rsidR="00000000" w14:paraId="280AF588" w14:textId="77777777">
        <w:trPr>
          <w:divId w:val="1116293885"/>
          <w:trHeight w:val="200"/>
          <w:tblCellSpacing w:w="15" w:type="dxa"/>
        </w:trPr>
        <w:tc>
          <w:tcPr>
            <w:tcW w:w="0" w:type="auto"/>
            <w:hideMark/>
          </w:tcPr>
          <w:p w14:paraId="54F76A7C" w14:textId="77777777" w:rsidR="00000000" w:rsidRDefault="00832D71">
            <w:pPr>
              <w:pStyle w:val="a3"/>
              <w:spacing w:before="0" w:beforeAutospacing="0" w:after="0" w:afterAutospacing="0"/>
              <w:ind w:left="200"/>
              <w:rPr>
                <w:sz w:val="20"/>
                <w:szCs w:val="20"/>
              </w:rPr>
            </w:pPr>
            <w:r>
              <w:rPr>
                <w:sz w:val="20"/>
                <w:szCs w:val="20"/>
              </w:rPr>
              <w:t>Recognition of net actuarial loss for pension settlemen</w:t>
            </w:r>
            <w:r>
              <w:rPr>
                <w:sz w:val="20"/>
                <w:szCs w:val="20"/>
              </w:rPr>
              <w:t>t</w:t>
            </w:r>
          </w:p>
        </w:tc>
        <w:tc>
          <w:tcPr>
            <w:tcW w:w="0" w:type="auto"/>
            <w:hideMark/>
          </w:tcPr>
          <w:p w14:paraId="32BCF3A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5DC615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28F940F" w14:textId="77777777" w:rsidR="00000000" w:rsidRDefault="00832D71">
            <w:pPr>
              <w:pStyle w:val="a3"/>
              <w:spacing w:before="0" w:beforeAutospacing="0" w:after="0" w:afterAutospacing="0"/>
              <w:jc w:val="right"/>
              <w:rPr>
                <w:sz w:val="20"/>
                <w:szCs w:val="20"/>
              </w:rPr>
            </w:pPr>
            <w:r>
              <w:rPr>
                <w:sz w:val="20"/>
                <w:szCs w:val="20"/>
              </w:rPr>
              <w:t>84</w:t>
            </w:r>
            <w:r>
              <w:rPr>
                <w:sz w:val="20"/>
                <w:szCs w:val="20"/>
              </w:rPr>
              <w:t>0</w:t>
            </w:r>
          </w:p>
        </w:tc>
        <w:tc>
          <w:tcPr>
            <w:tcW w:w="0" w:type="auto"/>
            <w:noWrap/>
            <w:vAlign w:val="bottom"/>
            <w:hideMark/>
          </w:tcPr>
          <w:p w14:paraId="192FDF8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C9F6DA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B3F56B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7EDC420" w14:textId="77777777" w:rsidR="00000000" w:rsidRDefault="00832D71">
            <w:pPr>
              <w:pStyle w:val="a3"/>
              <w:spacing w:before="0" w:beforeAutospacing="0" w:after="0" w:afterAutospacing="0"/>
              <w:jc w:val="right"/>
              <w:rPr>
                <w:sz w:val="20"/>
                <w:szCs w:val="20"/>
              </w:rPr>
            </w:pPr>
            <w:r>
              <w:rPr>
                <w:sz w:val="20"/>
                <w:szCs w:val="20"/>
              </w:rPr>
              <w:t>95</w:t>
            </w:r>
            <w:r>
              <w:rPr>
                <w:sz w:val="20"/>
                <w:szCs w:val="20"/>
              </w:rPr>
              <w:t>8</w:t>
            </w:r>
          </w:p>
        </w:tc>
        <w:tc>
          <w:tcPr>
            <w:tcW w:w="0" w:type="auto"/>
            <w:noWrap/>
            <w:vAlign w:val="bottom"/>
            <w:hideMark/>
          </w:tcPr>
          <w:p w14:paraId="7789FB5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37BC18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DBBFCD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FDF5855" w14:textId="77777777" w:rsidR="00000000" w:rsidRDefault="00832D71">
            <w:pPr>
              <w:pStyle w:val="a3"/>
              <w:spacing w:before="0" w:beforeAutospacing="0" w:after="0" w:afterAutospacing="0"/>
              <w:jc w:val="right"/>
              <w:rPr>
                <w:sz w:val="20"/>
                <w:szCs w:val="20"/>
              </w:rPr>
            </w:pPr>
            <w:r>
              <w:rPr>
                <w:sz w:val="20"/>
                <w:szCs w:val="20"/>
              </w:rPr>
              <w:t>1,05</w:t>
            </w:r>
            <w:r>
              <w:rPr>
                <w:sz w:val="20"/>
                <w:szCs w:val="20"/>
              </w:rPr>
              <w:t>1</w:t>
            </w:r>
          </w:p>
        </w:tc>
        <w:tc>
          <w:tcPr>
            <w:tcW w:w="0" w:type="auto"/>
            <w:noWrap/>
            <w:vAlign w:val="bottom"/>
            <w:hideMark/>
          </w:tcPr>
          <w:p w14:paraId="664CB6BA" w14:textId="77777777" w:rsidR="00000000" w:rsidRDefault="00832D71">
            <w:pPr>
              <w:pStyle w:val="a3"/>
              <w:spacing w:before="0" w:beforeAutospacing="0" w:after="0" w:afterAutospacing="0"/>
              <w:rPr>
                <w:sz w:val="20"/>
                <w:szCs w:val="20"/>
              </w:rPr>
            </w:pPr>
            <w:r>
              <w:rPr>
                <w:sz w:val="20"/>
                <w:szCs w:val="20"/>
              </w:rPr>
              <w:t> </w:t>
            </w:r>
          </w:p>
        </w:tc>
      </w:tr>
      <w:tr w:rsidR="00000000" w14:paraId="7531943D" w14:textId="77777777">
        <w:trPr>
          <w:divId w:val="1116293885"/>
          <w:trHeight w:val="200"/>
          <w:tblCellSpacing w:w="15" w:type="dxa"/>
        </w:trPr>
        <w:tc>
          <w:tcPr>
            <w:tcW w:w="0" w:type="auto"/>
            <w:hideMark/>
          </w:tcPr>
          <w:p w14:paraId="477A34D4" w14:textId="77777777" w:rsidR="00000000" w:rsidRDefault="00832D71">
            <w:pPr>
              <w:pStyle w:val="a3"/>
              <w:spacing w:before="0" w:beforeAutospacing="0" w:after="0" w:afterAutospacing="0"/>
              <w:ind w:left="200"/>
              <w:rPr>
                <w:sz w:val="20"/>
                <w:szCs w:val="20"/>
              </w:rPr>
            </w:pPr>
            <w:r>
              <w:rPr>
                <w:sz w:val="20"/>
                <w:szCs w:val="20"/>
              </w:rPr>
              <w:t>Reclassifications to earning</w:t>
            </w:r>
            <w:r>
              <w:rPr>
                <w:sz w:val="20"/>
                <w:szCs w:val="20"/>
              </w:rPr>
              <w:t>s</w:t>
            </w:r>
          </w:p>
        </w:tc>
        <w:tc>
          <w:tcPr>
            <w:tcW w:w="0" w:type="auto"/>
            <w:hideMark/>
          </w:tcPr>
          <w:p w14:paraId="36497B5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C0E6A2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00B9CC3" w14:textId="77777777" w:rsidR="00000000" w:rsidRDefault="00832D71">
            <w:pPr>
              <w:pStyle w:val="a3"/>
              <w:spacing w:before="0" w:beforeAutospacing="0" w:after="0" w:afterAutospacing="0"/>
              <w:jc w:val="right"/>
              <w:rPr>
                <w:sz w:val="20"/>
                <w:szCs w:val="20"/>
              </w:rPr>
            </w:pPr>
            <w:r>
              <w:rPr>
                <w:sz w:val="20"/>
                <w:szCs w:val="20"/>
              </w:rPr>
              <w:t>1,24</w:t>
            </w:r>
            <w:r>
              <w:rPr>
                <w:sz w:val="20"/>
                <w:szCs w:val="20"/>
              </w:rPr>
              <w:t>4</w:t>
            </w:r>
          </w:p>
        </w:tc>
        <w:tc>
          <w:tcPr>
            <w:tcW w:w="0" w:type="auto"/>
            <w:noWrap/>
            <w:vAlign w:val="bottom"/>
            <w:hideMark/>
          </w:tcPr>
          <w:p w14:paraId="28898D9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00A1F9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F6ACB1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EFEB030" w14:textId="77777777" w:rsidR="00000000" w:rsidRDefault="00832D71">
            <w:pPr>
              <w:pStyle w:val="a3"/>
              <w:spacing w:before="0" w:beforeAutospacing="0" w:after="0" w:afterAutospacing="0"/>
              <w:jc w:val="right"/>
              <w:rPr>
                <w:sz w:val="20"/>
                <w:szCs w:val="20"/>
              </w:rPr>
            </w:pPr>
            <w:r>
              <w:rPr>
                <w:sz w:val="20"/>
                <w:szCs w:val="20"/>
              </w:rPr>
              <w:t>2,06</w:t>
            </w:r>
            <w:r>
              <w:rPr>
                <w:sz w:val="20"/>
                <w:szCs w:val="20"/>
              </w:rPr>
              <w:t>8</w:t>
            </w:r>
          </w:p>
        </w:tc>
        <w:tc>
          <w:tcPr>
            <w:tcW w:w="0" w:type="auto"/>
            <w:noWrap/>
            <w:vAlign w:val="bottom"/>
            <w:hideMark/>
          </w:tcPr>
          <w:p w14:paraId="2BB9F21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788146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A82621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6F9130C" w14:textId="77777777" w:rsidR="00000000" w:rsidRDefault="00832D71">
            <w:pPr>
              <w:pStyle w:val="a3"/>
              <w:spacing w:before="0" w:beforeAutospacing="0" w:after="0" w:afterAutospacing="0"/>
              <w:jc w:val="right"/>
              <w:rPr>
                <w:sz w:val="20"/>
                <w:szCs w:val="20"/>
              </w:rPr>
            </w:pPr>
            <w:r>
              <w:rPr>
                <w:sz w:val="20"/>
                <w:szCs w:val="20"/>
              </w:rPr>
              <w:t>2,16</w:t>
            </w:r>
            <w:r>
              <w:rPr>
                <w:sz w:val="20"/>
                <w:szCs w:val="20"/>
              </w:rPr>
              <w:t>4</w:t>
            </w:r>
          </w:p>
        </w:tc>
        <w:tc>
          <w:tcPr>
            <w:tcW w:w="0" w:type="auto"/>
            <w:noWrap/>
            <w:vAlign w:val="bottom"/>
            <w:hideMark/>
          </w:tcPr>
          <w:p w14:paraId="2C5C8A47" w14:textId="77777777" w:rsidR="00000000" w:rsidRDefault="00832D71">
            <w:pPr>
              <w:pStyle w:val="a3"/>
              <w:spacing w:before="0" w:beforeAutospacing="0" w:after="0" w:afterAutospacing="0"/>
              <w:rPr>
                <w:sz w:val="20"/>
                <w:szCs w:val="20"/>
              </w:rPr>
            </w:pPr>
            <w:r>
              <w:rPr>
                <w:sz w:val="20"/>
                <w:szCs w:val="20"/>
              </w:rPr>
              <w:t> </w:t>
            </w:r>
          </w:p>
        </w:tc>
      </w:tr>
      <w:tr w:rsidR="00000000" w14:paraId="43DFCD8F" w14:textId="77777777">
        <w:trPr>
          <w:divId w:val="1116293885"/>
          <w:trHeight w:val="200"/>
          <w:tblCellSpacing w:w="15" w:type="dxa"/>
        </w:trPr>
        <w:tc>
          <w:tcPr>
            <w:tcW w:w="0" w:type="auto"/>
            <w:hideMark/>
          </w:tcPr>
          <w:p w14:paraId="0A10EF2F" w14:textId="77777777" w:rsidR="00000000" w:rsidRDefault="00832D71">
            <w:pPr>
              <w:pStyle w:val="a3"/>
              <w:spacing w:before="0" w:beforeAutospacing="0" w:after="0" w:afterAutospacing="0"/>
              <w:rPr>
                <w:sz w:val="20"/>
                <w:szCs w:val="20"/>
              </w:rPr>
            </w:pPr>
            <w:r>
              <w:rPr>
                <w:sz w:val="20"/>
                <w:szCs w:val="20"/>
              </w:rPr>
              <w:t>Other comprehensive (loss) incom</w:t>
            </w:r>
            <w:r>
              <w:rPr>
                <w:sz w:val="20"/>
                <w:szCs w:val="20"/>
              </w:rPr>
              <w:t>e</w:t>
            </w:r>
          </w:p>
        </w:tc>
        <w:tc>
          <w:tcPr>
            <w:tcW w:w="0" w:type="auto"/>
            <w:hideMark/>
          </w:tcPr>
          <w:p w14:paraId="46B49DD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A180AB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75EC3A7" w14:textId="77777777" w:rsidR="00000000" w:rsidRDefault="00832D71">
            <w:pPr>
              <w:pStyle w:val="a3"/>
              <w:spacing w:before="0" w:beforeAutospacing="0" w:after="0" w:afterAutospacing="0"/>
              <w:jc w:val="right"/>
              <w:rPr>
                <w:sz w:val="20"/>
                <w:szCs w:val="20"/>
              </w:rPr>
            </w:pPr>
            <w:r>
              <w:rPr>
                <w:sz w:val="20"/>
                <w:szCs w:val="20"/>
              </w:rPr>
              <w:t>4,98</w:t>
            </w:r>
            <w:r>
              <w:rPr>
                <w:sz w:val="20"/>
                <w:szCs w:val="20"/>
              </w:rPr>
              <w:t>8</w:t>
            </w:r>
          </w:p>
        </w:tc>
        <w:tc>
          <w:tcPr>
            <w:tcW w:w="0" w:type="auto"/>
            <w:noWrap/>
            <w:vAlign w:val="bottom"/>
            <w:hideMark/>
          </w:tcPr>
          <w:p w14:paraId="79849C9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F78D65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9C31D4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D46C84B" w14:textId="77777777" w:rsidR="00000000" w:rsidRDefault="00832D71">
            <w:pPr>
              <w:pStyle w:val="a3"/>
              <w:spacing w:before="0" w:beforeAutospacing="0" w:after="0" w:afterAutospacing="0"/>
              <w:jc w:val="right"/>
              <w:rPr>
                <w:sz w:val="20"/>
                <w:szCs w:val="20"/>
              </w:rPr>
            </w:pPr>
            <w:r>
              <w:rPr>
                <w:sz w:val="20"/>
                <w:szCs w:val="20"/>
              </w:rPr>
              <w:t>8,19</w:t>
            </w:r>
            <w:r>
              <w:rPr>
                <w:sz w:val="20"/>
                <w:szCs w:val="20"/>
              </w:rPr>
              <w:t>2</w:t>
            </w:r>
          </w:p>
        </w:tc>
        <w:tc>
          <w:tcPr>
            <w:tcW w:w="0" w:type="auto"/>
            <w:noWrap/>
            <w:vAlign w:val="bottom"/>
            <w:hideMark/>
          </w:tcPr>
          <w:p w14:paraId="3F7EB21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A84370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D40441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57FF3F3" w14:textId="77777777" w:rsidR="00000000" w:rsidRDefault="00832D71">
            <w:pPr>
              <w:pStyle w:val="a3"/>
              <w:spacing w:before="0" w:beforeAutospacing="0" w:after="0" w:afterAutospacing="0"/>
              <w:jc w:val="right"/>
              <w:rPr>
                <w:sz w:val="20"/>
                <w:szCs w:val="20"/>
              </w:rPr>
            </w:pPr>
            <w:r>
              <w:rPr>
                <w:sz w:val="20"/>
                <w:szCs w:val="20"/>
              </w:rPr>
              <w:t>41</w:t>
            </w:r>
            <w:r>
              <w:rPr>
                <w:sz w:val="20"/>
                <w:szCs w:val="20"/>
              </w:rPr>
              <w:t>0</w:t>
            </w:r>
          </w:p>
        </w:tc>
        <w:tc>
          <w:tcPr>
            <w:tcW w:w="0" w:type="auto"/>
            <w:noWrap/>
            <w:vAlign w:val="bottom"/>
            <w:hideMark/>
          </w:tcPr>
          <w:p w14:paraId="78BE9ED2" w14:textId="77777777" w:rsidR="00000000" w:rsidRDefault="00832D71">
            <w:pPr>
              <w:pStyle w:val="a3"/>
              <w:spacing w:before="0" w:beforeAutospacing="0" w:after="0" w:afterAutospacing="0"/>
              <w:rPr>
                <w:sz w:val="20"/>
                <w:szCs w:val="20"/>
              </w:rPr>
            </w:pPr>
            <w:r>
              <w:rPr>
                <w:sz w:val="20"/>
                <w:szCs w:val="20"/>
              </w:rPr>
              <w:t> </w:t>
            </w:r>
          </w:p>
        </w:tc>
      </w:tr>
      <w:tr w:rsidR="00000000" w14:paraId="3C19797B" w14:textId="77777777">
        <w:trPr>
          <w:divId w:val="1116293885"/>
          <w:trHeight w:val="200"/>
          <w:tblCellSpacing w:w="15" w:type="dxa"/>
        </w:trPr>
        <w:tc>
          <w:tcPr>
            <w:tcW w:w="0" w:type="auto"/>
            <w:hideMark/>
          </w:tcPr>
          <w:p w14:paraId="7BDDB6BF" w14:textId="77777777" w:rsidR="00000000" w:rsidRDefault="00832D71">
            <w:pPr>
              <w:pStyle w:val="a3"/>
              <w:spacing w:before="0" w:beforeAutospacing="0" w:after="0" w:afterAutospacing="0"/>
              <w:rPr>
                <w:sz w:val="20"/>
                <w:szCs w:val="20"/>
              </w:rPr>
            </w:pPr>
            <w:r>
              <w:rPr>
                <w:sz w:val="20"/>
                <w:szCs w:val="20"/>
              </w:rPr>
              <w:t>Balance, end of perio</w:t>
            </w:r>
            <w:r>
              <w:rPr>
                <w:sz w:val="20"/>
                <w:szCs w:val="20"/>
              </w:rPr>
              <w:t>d</w:t>
            </w:r>
          </w:p>
        </w:tc>
        <w:tc>
          <w:tcPr>
            <w:tcW w:w="0" w:type="auto"/>
            <w:hideMark/>
          </w:tcPr>
          <w:p w14:paraId="03B8A86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E20A02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4ABD460" w14:textId="77777777" w:rsidR="00000000" w:rsidRDefault="00832D71">
            <w:pPr>
              <w:pStyle w:val="a3"/>
              <w:spacing w:before="0" w:beforeAutospacing="0" w:after="0" w:afterAutospacing="0"/>
              <w:jc w:val="right"/>
              <w:rPr>
                <w:sz w:val="20"/>
                <w:szCs w:val="20"/>
              </w:rPr>
            </w:pPr>
            <w:r>
              <w:rPr>
                <w:sz w:val="20"/>
                <w:szCs w:val="20"/>
              </w:rPr>
              <w:t>(</w:t>
            </w:r>
            <w:r>
              <w:rPr>
                <w:sz w:val="20"/>
                <w:szCs w:val="20"/>
              </w:rPr>
              <w:t>12,59</w:t>
            </w:r>
            <w:r>
              <w:rPr>
                <w:sz w:val="20"/>
                <w:szCs w:val="20"/>
              </w:rPr>
              <w:t>6</w:t>
            </w:r>
          </w:p>
        </w:tc>
        <w:tc>
          <w:tcPr>
            <w:tcW w:w="0" w:type="auto"/>
            <w:noWrap/>
            <w:vAlign w:val="bottom"/>
            <w:hideMark/>
          </w:tcPr>
          <w:p w14:paraId="6EFF3E2A"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100C28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534674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66AD047" w14:textId="77777777" w:rsidR="00000000" w:rsidRDefault="00832D71">
            <w:pPr>
              <w:pStyle w:val="a3"/>
              <w:spacing w:before="0" w:beforeAutospacing="0" w:after="0" w:afterAutospacing="0"/>
              <w:jc w:val="right"/>
              <w:rPr>
                <w:sz w:val="20"/>
                <w:szCs w:val="20"/>
              </w:rPr>
            </w:pPr>
            <w:r>
              <w:rPr>
                <w:sz w:val="20"/>
                <w:szCs w:val="20"/>
              </w:rPr>
              <w:t>(</w:t>
            </w:r>
            <w:r>
              <w:rPr>
                <w:sz w:val="20"/>
                <w:szCs w:val="20"/>
              </w:rPr>
              <w:t>17,58</w:t>
            </w:r>
            <w:r>
              <w:rPr>
                <w:sz w:val="20"/>
                <w:szCs w:val="20"/>
              </w:rPr>
              <w:t>4</w:t>
            </w:r>
          </w:p>
        </w:tc>
        <w:tc>
          <w:tcPr>
            <w:tcW w:w="0" w:type="auto"/>
            <w:noWrap/>
            <w:vAlign w:val="bottom"/>
            <w:hideMark/>
          </w:tcPr>
          <w:p w14:paraId="2AC52A8E"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68FE5F9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1A684D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C43FE08" w14:textId="77777777" w:rsidR="00000000" w:rsidRDefault="00832D71">
            <w:pPr>
              <w:pStyle w:val="a3"/>
              <w:spacing w:before="0" w:beforeAutospacing="0" w:after="0" w:afterAutospacing="0"/>
              <w:jc w:val="right"/>
              <w:rPr>
                <w:sz w:val="20"/>
                <w:szCs w:val="20"/>
              </w:rPr>
            </w:pPr>
            <w:r>
              <w:rPr>
                <w:sz w:val="20"/>
                <w:szCs w:val="20"/>
              </w:rPr>
              <w:t>(</w:t>
            </w:r>
            <w:r>
              <w:rPr>
                <w:sz w:val="20"/>
                <w:szCs w:val="20"/>
              </w:rPr>
              <w:t>25,77</w:t>
            </w:r>
            <w:r>
              <w:rPr>
                <w:sz w:val="20"/>
                <w:szCs w:val="20"/>
              </w:rPr>
              <w:t>6</w:t>
            </w:r>
          </w:p>
        </w:tc>
        <w:tc>
          <w:tcPr>
            <w:tcW w:w="0" w:type="auto"/>
            <w:noWrap/>
            <w:vAlign w:val="bottom"/>
            <w:hideMark/>
          </w:tcPr>
          <w:p w14:paraId="07755A65" w14:textId="77777777" w:rsidR="00000000" w:rsidRDefault="00832D71">
            <w:pPr>
              <w:pStyle w:val="a3"/>
              <w:spacing w:before="0" w:beforeAutospacing="0" w:after="0" w:afterAutospacing="0"/>
              <w:rPr>
                <w:sz w:val="20"/>
                <w:szCs w:val="20"/>
              </w:rPr>
            </w:pPr>
            <w:r>
              <w:rPr>
                <w:sz w:val="20"/>
                <w:szCs w:val="20"/>
              </w:rPr>
              <w:t>)</w:t>
            </w:r>
          </w:p>
        </w:tc>
      </w:tr>
    </w:tbl>
    <w:p w14:paraId="385644A4" w14:textId="77777777" w:rsidR="00000000" w:rsidRDefault="00832D71">
      <w:pPr>
        <w:pStyle w:val="a3"/>
        <w:spacing w:before="0" w:beforeAutospacing="0" w:after="0" w:afterAutospacing="0"/>
        <w:divId w:val="1116293885"/>
        <w:rPr>
          <w:sz w:val="20"/>
          <w:szCs w:val="20"/>
        </w:rPr>
      </w:pPr>
      <w:r>
        <w:rPr>
          <w:sz w:val="20"/>
          <w:szCs w:val="20"/>
        </w:rPr>
        <w:t> </w:t>
      </w:r>
    </w:p>
    <w:p w14:paraId="60942310" w14:textId="77777777" w:rsidR="00000000" w:rsidRDefault="00832D71">
      <w:pPr>
        <w:pStyle w:val="a3"/>
        <w:spacing w:before="40" w:beforeAutospacing="0" w:after="0" w:afterAutospacing="0"/>
        <w:ind w:hanging="581"/>
        <w:jc w:val="both"/>
        <w:divId w:val="1116293885"/>
        <w:rPr>
          <w:sz w:val="20"/>
          <w:szCs w:val="20"/>
        </w:rPr>
      </w:pPr>
      <w:r>
        <w:rPr>
          <w:sz w:val="20"/>
          <w:szCs w:val="20"/>
        </w:rPr>
        <w:t>(1)</w:t>
      </w:r>
      <w:r>
        <w:rPr>
          <w:sz w:val="20"/>
          <w:szCs w:val="20"/>
        </w:rPr>
        <w:t xml:space="preserve"> </w:t>
      </w:r>
      <w:r>
        <w:rPr>
          <w:sz w:val="20"/>
          <w:szCs w:val="20"/>
        </w:rPr>
        <w:t>These amounts are included in the computation of net periodic benefit cost. See Note 12, “Employee Benefit Plans”</w:t>
      </w:r>
      <w:r>
        <w:rPr>
          <w:sz w:val="20"/>
          <w:szCs w:val="20"/>
        </w:rPr>
        <w:t>.</w:t>
      </w:r>
    </w:p>
    <w:p w14:paraId="2E1214B3" w14:textId="77777777" w:rsidR="00000000" w:rsidRDefault="00832D71">
      <w:pPr>
        <w:pStyle w:val="a3"/>
        <w:spacing w:before="0" w:beforeAutospacing="0" w:after="0" w:afterAutospacing="0"/>
        <w:rPr>
          <w:sz w:val="20"/>
          <w:szCs w:val="20"/>
        </w:rPr>
      </w:pPr>
      <w:r>
        <w:rPr>
          <w:sz w:val="20"/>
          <w:szCs w:val="20"/>
        </w:rPr>
        <w:t> </w:t>
      </w:r>
    </w:p>
    <w:p w14:paraId="06B0E27C" w14:textId="77777777" w:rsidR="00000000" w:rsidRDefault="00832D71">
      <w:pPr>
        <w:pStyle w:val="a3"/>
        <w:spacing w:before="200" w:beforeAutospacing="0" w:after="0" w:afterAutospacing="0"/>
        <w:jc w:val="center"/>
        <w:rPr>
          <w:sz w:val="20"/>
          <w:szCs w:val="20"/>
        </w:rPr>
      </w:pPr>
      <w:r>
        <w:rPr>
          <w:sz w:val="20"/>
          <w:szCs w:val="20"/>
        </w:rPr>
        <w:t>F</w:t>
      </w:r>
      <w:r>
        <w:rPr>
          <w:sz w:val="20"/>
          <w:szCs w:val="20"/>
        </w:rPr>
        <w:t>-</w:t>
      </w:r>
      <w:r>
        <w:rPr>
          <w:sz w:val="20"/>
          <w:szCs w:val="20"/>
        </w:rPr>
        <w:t>3</w:t>
      </w:r>
      <w:r>
        <w:rPr>
          <w:sz w:val="20"/>
          <w:szCs w:val="20"/>
        </w:rPr>
        <w:t>1</w:t>
      </w:r>
    </w:p>
    <w:p w14:paraId="4AED5F27" w14:textId="77777777" w:rsidR="00000000" w:rsidRDefault="00832D71">
      <w:pPr>
        <w:rPr>
          <w:rFonts w:eastAsia="Times New Roman"/>
        </w:rPr>
      </w:pPr>
      <w:r>
        <w:rPr>
          <w:rFonts w:eastAsia="Times New Roman"/>
        </w:rPr>
        <w:pict w14:anchorId="026A4F21">
          <v:rect id="_x0000_i1150" style="width:0;height:1.5pt" o:hralign="center" o:hrstd="t" o:hr="t" fillcolor="#a0a0a0" stroked="f"/>
        </w:pict>
      </w:r>
    </w:p>
    <w:p w14:paraId="0F68262D" w14:textId="77777777" w:rsidR="00000000" w:rsidRDefault="00832D71">
      <w:pPr>
        <w:pStyle w:val="a3"/>
        <w:spacing w:before="0" w:beforeAutospacing="0" w:after="0" w:afterAutospacing="0"/>
        <w:rPr>
          <w:sz w:val="20"/>
          <w:szCs w:val="20"/>
        </w:rPr>
      </w:pPr>
      <w:r>
        <w:rPr>
          <w:sz w:val="20"/>
          <w:szCs w:val="20"/>
        </w:rPr>
        <w:t> </w:t>
      </w:r>
    </w:p>
    <w:p w14:paraId="298D3902" w14:textId="77777777" w:rsidR="00000000" w:rsidRDefault="00832D71">
      <w:pPr>
        <w:pStyle w:val="a3"/>
        <w:spacing w:before="160" w:beforeAutospacing="0" w:after="0" w:afterAutospacing="0"/>
        <w:ind w:hanging="581"/>
        <w:divId w:val="11686356"/>
        <w:rPr>
          <w:sz w:val="20"/>
          <w:szCs w:val="20"/>
        </w:rPr>
      </w:pPr>
      <w:r>
        <w:rPr>
          <w:b/>
          <w:bCs/>
          <w:sz w:val="20"/>
          <w:szCs w:val="20"/>
        </w:rPr>
        <w:t>17. Segment Informatio</w:t>
      </w:r>
      <w:r>
        <w:rPr>
          <w:b/>
          <w:bCs/>
          <w:sz w:val="20"/>
          <w:szCs w:val="20"/>
        </w:rPr>
        <w:t>n</w:t>
      </w:r>
    </w:p>
    <w:p w14:paraId="29D0BF18" w14:textId="77777777" w:rsidR="00000000" w:rsidRDefault="00832D71">
      <w:pPr>
        <w:pStyle w:val="a3"/>
        <w:spacing w:before="120" w:beforeAutospacing="0" w:after="0" w:afterAutospacing="0"/>
        <w:jc w:val="both"/>
        <w:divId w:val="11686356"/>
        <w:rPr>
          <w:sz w:val="20"/>
          <w:szCs w:val="20"/>
        </w:rPr>
      </w:pPr>
      <w:r>
        <w:rPr>
          <w:sz w:val="20"/>
          <w:szCs w:val="20"/>
        </w:rPr>
        <w:t>The Partnership manages and evaluates its operations in</w:t>
      </w:r>
      <w:r>
        <w:rPr>
          <w:sz w:val="20"/>
          <w:szCs w:val="20"/>
        </w:rPr>
        <w:t xml:space="preserve"> </w:t>
      </w:r>
      <w:r>
        <w:rPr>
          <w:sz w:val="20"/>
          <w:szCs w:val="20"/>
        </w:rPr>
        <w:t>fou</w:t>
      </w:r>
      <w:r>
        <w:rPr>
          <w:sz w:val="20"/>
          <w:szCs w:val="20"/>
        </w:rPr>
        <w:t>r</w:t>
      </w:r>
      <w:r>
        <w:rPr>
          <w:sz w:val="20"/>
          <w:szCs w:val="20"/>
        </w:rPr>
        <w:t xml:space="preserve"> operating segments,</w:t>
      </w:r>
      <w:r>
        <w:rPr>
          <w:sz w:val="20"/>
          <w:szCs w:val="20"/>
        </w:rPr>
        <w:t xml:space="preserve"> </w:t>
      </w:r>
      <w:r>
        <w:rPr>
          <w:sz w:val="20"/>
          <w:szCs w:val="20"/>
        </w:rPr>
        <w:t>thre</w:t>
      </w:r>
      <w:r>
        <w:rPr>
          <w:sz w:val="20"/>
          <w:szCs w:val="20"/>
        </w:rPr>
        <w:t>e</w:t>
      </w:r>
      <w:r>
        <w:rPr>
          <w:sz w:val="20"/>
          <w:szCs w:val="20"/>
        </w:rPr>
        <w:t xml:space="preserve"> of which are reportable segments: Propane, Fuel Oil and Refined Fuels and Natural Gas and Electricity. The </w:t>
      </w:r>
      <w:r>
        <w:rPr>
          <w:sz w:val="20"/>
          <w:szCs w:val="20"/>
        </w:rPr>
        <w:t>chief operating decision maker evaluates performance of the operating segments using a number of performance measures, including gross margins and income before interest expense and provision for income taxes (operating profit). Costs excluded from these p</w:t>
      </w:r>
      <w:r>
        <w:rPr>
          <w:sz w:val="20"/>
          <w:szCs w:val="20"/>
        </w:rPr>
        <w:t>rofit measures are captured in Corporate and include corporate overhead expenses not allocated to the operating segments. Unallocated corporate overhead expenses include all costs of back office support functions that are reported as general and administra</w:t>
      </w:r>
      <w:r>
        <w:rPr>
          <w:sz w:val="20"/>
          <w:szCs w:val="20"/>
        </w:rPr>
        <w:t>tive expenses within the consolidated statements of operations. In addition, certain costs associated with field operations support that are reported in operating expenses within the consolidated statements of operations, including purchasing, training and</w:t>
      </w:r>
      <w:r>
        <w:rPr>
          <w:sz w:val="20"/>
          <w:szCs w:val="20"/>
        </w:rPr>
        <w:t xml:space="preserve"> safety, are not allocated to the individual operating segments. Thus, operating profit for each operating segment includes only the costs that are directly attributable to the operations of the individual segment. The accounting policies of the operating </w:t>
      </w:r>
      <w:r>
        <w:rPr>
          <w:sz w:val="20"/>
          <w:szCs w:val="20"/>
        </w:rPr>
        <w:t>segments are otherwise the same as those described in the summary of significant accounting policies in Note 2</w:t>
      </w:r>
      <w:r>
        <w:rPr>
          <w:sz w:val="20"/>
          <w:szCs w:val="20"/>
        </w:rPr>
        <w:t>.</w:t>
      </w:r>
    </w:p>
    <w:p w14:paraId="483FCC7E" w14:textId="77777777" w:rsidR="00000000" w:rsidRDefault="00832D71">
      <w:pPr>
        <w:pStyle w:val="a3"/>
        <w:spacing w:before="240" w:beforeAutospacing="0" w:after="0" w:afterAutospacing="0"/>
        <w:jc w:val="both"/>
        <w:divId w:val="11686356"/>
        <w:rPr>
          <w:sz w:val="20"/>
          <w:szCs w:val="20"/>
        </w:rPr>
      </w:pPr>
      <w:r>
        <w:rPr>
          <w:sz w:val="20"/>
          <w:szCs w:val="20"/>
        </w:rPr>
        <w:t>The propane segment is primarily engaged in the retail distribution of propane to residential, commercial, industrial, agricultural and governme</w:t>
      </w:r>
      <w:r>
        <w:rPr>
          <w:sz w:val="20"/>
          <w:szCs w:val="20"/>
        </w:rPr>
        <w:t xml:space="preserve">nt customers and, to a lesser extent, wholesale distribution to large industrial end users. In the residential, commercial and government markets, propane is used primarily for space heating, water heating, cooking and clothes drying. Industrial customers </w:t>
      </w:r>
      <w:r>
        <w:rPr>
          <w:sz w:val="20"/>
          <w:szCs w:val="20"/>
        </w:rPr>
        <w:t>use propane generally as a motor fuel burned in internal combustion engines that power over-the-road vehicles, forklifts and stationary engines, to fire furnaces and as a cutting gas. In the agricultural markets, propane is primarily used for tobacco curin</w:t>
      </w:r>
      <w:r>
        <w:rPr>
          <w:sz w:val="20"/>
          <w:szCs w:val="20"/>
        </w:rPr>
        <w:t>g, crop drying, poultry brooding and weed control. In addition, the Partnership's equity investment in Oberon is included within the propane segment</w:t>
      </w:r>
      <w:r>
        <w:rPr>
          <w:sz w:val="20"/>
          <w:szCs w:val="20"/>
        </w:rPr>
        <w:t>.</w:t>
      </w:r>
    </w:p>
    <w:p w14:paraId="5294D045" w14:textId="77777777" w:rsidR="00000000" w:rsidRDefault="00832D71">
      <w:pPr>
        <w:pStyle w:val="a3"/>
        <w:spacing w:before="240" w:beforeAutospacing="0" w:after="0" w:afterAutospacing="0"/>
        <w:jc w:val="both"/>
        <w:divId w:val="11686356"/>
        <w:rPr>
          <w:sz w:val="20"/>
          <w:szCs w:val="20"/>
        </w:rPr>
      </w:pPr>
      <w:r>
        <w:rPr>
          <w:sz w:val="20"/>
          <w:szCs w:val="20"/>
        </w:rPr>
        <w:t>The fuel oil and refined fuels segment is primarily engaged in the retail distribution of fuel oil, diesel</w:t>
      </w:r>
      <w:r>
        <w:rPr>
          <w:sz w:val="20"/>
          <w:szCs w:val="20"/>
        </w:rPr>
        <w:t>, kerosene and gasoline to residential and commercial customers for use primarily as a source of heat in homes and buildings</w:t>
      </w:r>
      <w:r>
        <w:rPr>
          <w:sz w:val="20"/>
          <w:szCs w:val="20"/>
        </w:rPr>
        <w:t>.</w:t>
      </w:r>
    </w:p>
    <w:p w14:paraId="3206C062" w14:textId="77777777" w:rsidR="00000000" w:rsidRDefault="00832D71">
      <w:pPr>
        <w:pStyle w:val="a3"/>
        <w:spacing w:before="240" w:beforeAutospacing="0" w:after="0" w:afterAutospacing="0"/>
        <w:jc w:val="both"/>
        <w:divId w:val="11686356"/>
        <w:rPr>
          <w:sz w:val="20"/>
          <w:szCs w:val="20"/>
        </w:rPr>
      </w:pPr>
      <w:r>
        <w:rPr>
          <w:sz w:val="20"/>
          <w:szCs w:val="20"/>
        </w:rPr>
        <w:t>The natural gas and electricity segment is engaged in the marketing of natural gas and electricity to residential and commercial c</w:t>
      </w:r>
      <w:r>
        <w:rPr>
          <w:sz w:val="20"/>
          <w:szCs w:val="20"/>
        </w:rPr>
        <w:t>ustomers in the deregulated energy markets of New York and Pennsylvania. Under this operating segment, the Partnership owns the relationship with the end consumer and has agreements with the local distribution companies to deliver the natural gas or electr</w:t>
      </w:r>
      <w:r>
        <w:rPr>
          <w:sz w:val="20"/>
          <w:szCs w:val="20"/>
        </w:rPr>
        <w:t>icity from the Partnership’s suppliers to the customer</w:t>
      </w:r>
      <w:r>
        <w:rPr>
          <w:sz w:val="20"/>
          <w:szCs w:val="20"/>
        </w:rPr>
        <w:t>.</w:t>
      </w:r>
    </w:p>
    <w:p w14:paraId="480F36DC" w14:textId="77777777" w:rsidR="00000000" w:rsidRDefault="00832D71">
      <w:pPr>
        <w:pStyle w:val="a3"/>
        <w:spacing w:before="240" w:beforeAutospacing="0" w:after="0" w:afterAutospacing="0"/>
        <w:jc w:val="both"/>
        <w:divId w:val="11686356"/>
        <w:rPr>
          <w:sz w:val="20"/>
          <w:szCs w:val="20"/>
        </w:rPr>
      </w:pPr>
      <w:r>
        <w:rPr>
          <w:sz w:val="20"/>
          <w:szCs w:val="20"/>
        </w:rPr>
        <w:t>Activities in the “all other” category include the Partnership’s service business, which is primarily engaged in the sale, installation and servicing of a wide variety of home comfort equipment, parti</w:t>
      </w:r>
      <w:r>
        <w:rPr>
          <w:sz w:val="20"/>
          <w:szCs w:val="20"/>
        </w:rPr>
        <w:t>cularly in the areas of heating and ventilation. In addition, the Partnership's equity investment in IH and investments in biodigester systems for the production of RNG are included within "all other"</w:t>
      </w:r>
      <w:r>
        <w:rPr>
          <w:sz w:val="20"/>
          <w:szCs w:val="20"/>
        </w:rPr>
        <w:t>.</w:t>
      </w:r>
    </w:p>
    <w:p w14:paraId="0AB865CD" w14:textId="77777777" w:rsidR="00000000" w:rsidRDefault="00832D71">
      <w:pPr>
        <w:pStyle w:val="a3"/>
        <w:spacing w:before="240" w:beforeAutospacing="0" w:after="0" w:afterAutospacing="0"/>
        <w:jc w:val="both"/>
        <w:divId w:val="1814250964"/>
        <w:rPr>
          <w:sz w:val="20"/>
          <w:szCs w:val="20"/>
        </w:rPr>
      </w:pPr>
      <w:r>
        <w:rPr>
          <w:sz w:val="20"/>
          <w:szCs w:val="20"/>
        </w:rPr>
        <w:t>The following table presents certain data by reportabl</w:t>
      </w:r>
      <w:r>
        <w:rPr>
          <w:sz w:val="20"/>
          <w:szCs w:val="20"/>
        </w:rPr>
        <w:t>e segment and provides a reconciliation of total operating segment information to the corresponding consolidated amounts for the periods presented</w:t>
      </w:r>
      <w:r>
        <w:rPr>
          <w:sz w:val="20"/>
          <w:szCs w:val="20"/>
        </w:rPr>
        <w:t>:</w:t>
      </w:r>
    </w:p>
    <w:p w14:paraId="5F260EB6" w14:textId="77777777" w:rsidR="00000000" w:rsidRDefault="00832D71">
      <w:pPr>
        <w:pStyle w:val="a3"/>
        <w:spacing w:before="0" w:beforeAutospacing="0" w:after="0" w:afterAutospacing="0"/>
        <w:divId w:val="1814250964"/>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859"/>
        <w:gridCol w:w="110"/>
        <w:gridCol w:w="160"/>
        <w:gridCol w:w="860"/>
        <w:gridCol w:w="127"/>
        <w:gridCol w:w="110"/>
        <w:gridCol w:w="160"/>
        <w:gridCol w:w="860"/>
        <w:gridCol w:w="127"/>
        <w:gridCol w:w="110"/>
        <w:gridCol w:w="160"/>
        <w:gridCol w:w="860"/>
        <w:gridCol w:w="142"/>
      </w:tblGrid>
      <w:tr w:rsidR="00000000" w14:paraId="1C23B49C" w14:textId="77777777">
        <w:trPr>
          <w:divId w:val="1814250964"/>
          <w:tblCellSpacing w:w="15" w:type="dxa"/>
        </w:trPr>
        <w:tc>
          <w:tcPr>
            <w:tcW w:w="2873" w:type="pct"/>
            <w:vAlign w:val="center"/>
            <w:hideMark/>
          </w:tcPr>
          <w:p w14:paraId="520F4085" w14:textId="77777777" w:rsidR="00000000" w:rsidRDefault="00832D71">
            <w:pPr>
              <w:rPr>
                <w:sz w:val="20"/>
                <w:szCs w:val="20"/>
              </w:rPr>
            </w:pPr>
          </w:p>
        </w:tc>
        <w:tc>
          <w:tcPr>
            <w:tcW w:w="70" w:type="pct"/>
            <w:vAlign w:val="center"/>
            <w:hideMark/>
          </w:tcPr>
          <w:p w14:paraId="2E2B1771" w14:textId="77777777" w:rsidR="00000000" w:rsidRDefault="00832D71">
            <w:pPr>
              <w:rPr>
                <w:rFonts w:eastAsia="Times New Roman"/>
                <w:sz w:val="20"/>
                <w:szCs w:val="20"/>
              </w:rPr>
            </w:pPr>
          </w:p>
        </w:tc>
        <w:tc>
          <w:tcPr>
            <w:tcW w:w="50" w:type="pct"/>
            <w:vAlign w:val="center"/>
            <w:hideMark/>
          </w:tcPr>
          <w:p w14:paraId="462F1DD2" w14:textId="77777777" w:rsidR="00000000" w:rsidRDefault="00832D71">
            <w:pPr>
              <w:rPr>
                <w:rFonts w:eastAsia="Times New Roman"/>
                <w:sz w:val="20"/>
                <w:szCs w:val="20"/>
              </w:rPr>
            </w:pPr>
          </w:p>
        </w:tc>
        <w:tc>
          <w:tcPr>
            <w:tcW w:w="535" w:type="pct"/>
            <w:vAlign w:val="center"/>
            <w:hideMark/>
          </w:tcPr>
          <w:p w14:paraId="1897DDFA" w14:textId="77777777" w:rsidR="00000000" w:rsidRDefault="00832D71">
            <w:pPr>
              <w:rPr>
                <w:rFonts w:eastAsia="Times New Roman"/>
                <w:sz w:val="20"/>
                <w:szCs w:val="20"/>
              </w:rPr>
            </w:pPr>
          </w:p>
        </w:tc>
        <w:tc>
          <w:tcPr>
            <w:tcW w:w="50" w:type="pct"/>
            <w:vAlign w:val="center"/>
            <w:hideMark/>
          </w:tcPr>
          <w:p w14:paraId="152B8DC0" w14:textId="77777777" w:rsidR="00000000" w:rsidRDefault="00832D71">
            <w:pPr>
              <w:rPr>
                <w:rFonts w:eastAsia="Times New Roman"/>
                <w:sz w:val="20"/>
                <w:szCs w:val="20"/>
              </w:rPr>
            </w:pPr>
          </w:p>
        </w:tc>
        <w:tc>
          <w:tcPr>
            <w:tcW w:w="70" w:type="pct"/>
            <w:vAlign w:val="center"/>
            <w:hideMark/>
          </w:tcPr>
          <w:p w14:paraId="42E9AEA1" w14:textId="77777777" w:rsidR="00000000" w:rsidRDefault="00832D71">
            <w:pPr>
              <w:rPr>
                <w:rFonts w:eastAsia="Times New Roman"/>
                <w:sz w:val="20"/>
                <w:szCs w:val="20"/>
              </w:rPr>
            </w:pPr>
          </w:p>
        </w:tc>
        <w:tc>
          <w:tcPr>
            <w:tcW w:w="50" w:type="pct"/>
            <w:vAlign w:val="center"/>
            <w:hideMark/>
          </w:tcPr>
          <w:p w14:paraId="19DD32F4" w14:textId="77777777" w:rsidR="00000000" w:rsidRDefault="00832D71">
            <w:pPr>
              <w:rPr>
                <w:rFonts w:eastAsia="Times New Roman"/>
                <w:sz w:val="20"/>
                <w:szCs w:val="20"/>
              </w:rPr>
            </w:pPr>
          </w:p>
        </w:tc>
        <w:tc>
          <w:tcPr>
            <w:tcW w:w="535" w:type="pct"/>
            <w:vAlign w:val="center"/>
            <w:hideMark/>
          </w:tcPr>
          <w:p w14:paraId="55F873A9" w14:textId="77777777" w:rsidR="00000000" w:rsidRDefault="00832D71">
            <w:pPr>
              <w:rPr>
                <w:rFonts w:eastAsia="Times New Roman"/>
                <w:sz w:val="20"/>
                <w:szCs w:val="20"/>
              </w:rPr>
            </w:pPr>
          </w:p>
        </w:tc>
        <w:tc>
          <w:tcPr>
            <w:tcW w:w="50" w:type="pct"/>
            <w:vAlign w:val="center"/>
            <w:hideMark/>
          </w:tcPr>
          <w:p w14:paraId="3779FD00" w14:textId="77777777" w:rsidR="00000000" w:rsidRDefault="00832D71">
            <w:pPr>
              <w:rPr>
                <w:rFonts w:eastAsia="Times New Roman"/>
                <w:sz w:val="20"/>
                <w:szCs w:val="20"/>
              </w:rPr>
            </w:pPr>
          </w:p>
        </w:tc>
        <w:tc>
          <w:tcPr>
            <w:tcW w:w="70" w:type="pct"/>
            <w:vAlign w:val="center"/>
            <w:hideMark/>
          </w:tcPr>
          <w:p w14:paraId="5DEBC456" w14:textId="77777777" w:rsidR="00000000" w:rsidRDefault="00832D71">
            <w:pPr>
              <w:rPr>
                <w:rFonts w:eastAsia="Times New Roman"/>
                <w:sz w:val="20"/>
                <w:szCs w:val="20"/>
              </w:rPr>
            </w:pPr>
          </w:p>
        </w:tc>
        <w:tc>
          <w:tcPr>
            <w:tcW w:w="50" w:type="pct"/>
            <w:vAlign w:val="center"/>
            <w:hideMark/>
          </w:tcPr>
          <w:p w14:paraId="38D80131" w14:textId="77777777" w:rsidR="00000000" w:rsidRDefault="00832D71">
            <w:pPr>
              <w:rPr>
                <w:rFonts w:eastAsia="Times New Roman"/>
                <w:sz w:val="20"/>
                <w:szCs w:val="20"/>
              </w:rPr>
            </w:pPr>
          </w:p>
        </w:tc>
        <w:tc>
          <w:tcPr>
            <w:tcW w:w="545" w:type="pct"/>
            <w:vAlign w:val="center"/>
            <w:hideMark/>
          </w:tcPr>
          <w:p w14:paraId="51B2887F" w14:textId="77777777" w:rsidR="00000000" w:rsidRDefault="00832D71">
            <w:pPr>
              <w:rPr>
                <w:rFonts w:eastAsia="Times New Roman"/>
                <w:sz w:val="20"/>
                <w:szCs w:val="20"/>
              </w:rPr>
            </w:pPr>
          </w:p>
        </w:tc>
        <w:tc>
          <w:tcPr>
            <w:tcW w:w="50" w:type="pct"/>
            <w:vAlign w:val="center"/>
            <w:hideMark/>
          </w:tcPr>
          <w:p w14:paraId="492B45DB" w14:textId="77777777" w:rsidR="00000000" w:rsidRDefault="00832D71">
            <w:pPr>
              <w:rPr>
                <w:rFonts w:eastAsia="Times New Roman"/>
                <w:sz w:val="20"/>
                <w:szCs w:val="20"/>
              </w:rPr>
            </w:pPr>
          </w:p>
        </w:tc>
      </w:tr>
      <w:tr w:rsidR="00000000" w14:paraId="3295192A" w14:textId="77777777">
        <w:trPr>
          <w:divId w:val="1814250964"/>
          <w:trHeight w:val="160"/>
          <w:tblCellSpacing w:w="15" w:type="dxa"/>
        </w:trPr>
        <w:tc>
          <w:tcPr>
            <w:tcW w:w="0" w:type="auto"/>
            <w:vAlign w:val="bottom"/>
            <w:hideMark/>
          </w:tcPr>
          <w:p w14:paraId="20D4742E"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179C255" w14:textId="77777777" w:rsidR="00000000" w:rsidRDefault="00832D71">
            <w:pPr>
              <w:pStyle w:val="a3"/>
              <w:spacing w:before="0" w:beforeAutospacing="0" w:after="0" w:afterAutospacing="0"/>
              <w:rPr>
                <w:sz w:val="16"/>
                <w:szCs w:val="16"/>
              </w:rPr>
            </w:pPr>
            <w:r>
              <w:rPr>
                <w:sz w:val="16"/>
                <w:szCs w:val="16"/>
              </w:rPr>
              <w:t> </w:t>
            </w:r>
          </w:p>
        </w:tc>
        <w:tc>
          <w:tcPr>
            <w:tcW w:w="0" w:type="auto"/>
            <w:gridSpan w:val="10"/>
            <w:vAlign w:val="bottom"/>
            <w:hideMark/>
          </w:tcPr>
          <w:p w14:paraId="07210482" w14:textId="77777777" w:rsidR="00000000" w:rsidRDefault="00832D71">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14:paraId="18B6A999"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F38A06C" w14:textId="77777777">
        <w:trPr>
          <w:divId w:val="1814250964"/>
          <w:trHeight w:val="160"/>
          <w:tblCellSpacing w:w="15" w:type="dxa"/>
        </w:trPr>
        <w:tc>
          <w:tcPr>
            <w:tcW w:w="0" w:type="auto"/>
            <w:vAlign w:val="bottom"/>
            <w:hideMark/>
          </w:tcPr>
          <w:p w14:paraId="1CF33E25"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3AA3DBC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B32F599" w14:textId="77777777" w:rsidR="00000000" w:rsidRDefault="00832D71">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14:paraId="2D04D10A"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2CD43A09"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4C33718" w14:textId="77777777" w:rsidR="00000000" w:rsidRDefault="00832D71">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14:paraId="30258D0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2BA0224E"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3950DF3B" w14:textId="77777777" w:rsidR="00000000" w:rsidRDefault="00832D71">
            <w:pPr>
              <w:pStyle w:val="a3"/>
              <w:spacing w:before="0" w:beforeAutospacing="0" w:after="0" w:afterAutospacing="0"/>
              <w:jc w:val="center"/>
              <w:rPr>
                <w:sz w:val="16"/>
                <w:szCs w:val="16"/>
              </w:rPr>
            </w:pPr>
            <w:r>
              <w:rPr>
                <w:b/>
                <w:bCs/>
                <w:sz w:val="16"/>
                <w:szCs w:val="16"/>
              </w:rPr>
              <w:t>September 26</w:t>
            </w:r>
            <w:r>
              <w:rPr>
                <w:b/>
                <w:bCs/>
                <w:sz w:val="16"/>
                <w:szCs w:val="16"/>
              </w:rPr>
              <w:t>,</w:t>
            </w:r>
          </w:p>
        </w:tc>
        <w:tc>
          <w:tcPr>
            <w:tcW w:w="0" w:type="auto"/>
            <w:vAlign w:val="bottom"/>
            <w:hideMark/>
          </w:tcPr>
          <w:p w14:paraId="6E90AC8D"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67648854" w14:textId="77777777">
        <w:trPr>
          <w:divId w:val="1814250964"/>
          <w:trHeight w:val="160"/>
          <w:tblCellSpacing w:w="15" w:type="dxa"/>
        </w:trPr>
        <w:tc>
          <w:tcPr>
            <w:tcW w:w="0" w:type="auto"/>
            <w:vAlign w:val="bottom"/>
            <w:hideMark/>
          </w:tcPr>
          <w:p w14:paraId="7A6F2B2B"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15D80BF5"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1C4F68E2"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2D776664"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589FDE52"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820E162"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70732E29"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DBED8A1"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6D89442B"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460921DA"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05C3D232" w14:textId="77777777">
        <w:trPr>
          <w:divId w:val="1814250964"/>
          <w:trHeight w:val="200"/>
          <w:tblCellSpacing w:w="15" w:type="dxa"/>
        </w:trPr>
        <w:tc>
          <w:tcPr>
            <w:tcW w:w="0" w:type="auto"/>
            <w:hideMark/>
          </w:tcPr>
          <w:p w14:paraId="16CEDA15" w14:textId="77777777" w:rsidR="00000000" w:rsidRDefault="00832D71">
            <w:pPr>
              <w:pStyle w:val="a3"/>
              <w:spacing w:before="0" w:beforeAutospacing="0" w:after="0" w:afterAutospacing="0"/>
              <w:rPr>
                <w:sz w:val="20"/>
                <w:szCs w:val="20"/>
              </w:rPr>
            </w:pPr>
            <w:r>
              <w:rPr>
                <w:b/>
                <w:bCs/>
                <w:sz w:val="20"/>
                <w:szCs w:val="20"/>
              </w:rPr>
              <w:t>Revenues</w:t>
            </w:r>
            <w:r>
              <w:rPr>
                <w:b/>
                <w:bCs/>
                <w:sz w:val="20"/>
                <w:szCs w:val="20"/>
              </w:rPr>
              <w:t>:</w:t>
            </w:r>
          </w:p>
        </w:tc>
        <w:tc>
          <w:tcPr>
            <w:tcW w:w="0" w:type="auto"/>
            <w:hideMark/>
          </w:tcPr>
          <w:p w14:paraId="189109C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F301ED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41AC20B"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5192E77A"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BC7181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FF45CA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C948B1B"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9A9431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D7F3FEA" w14:textId="77777777" w:rsidR="00000000" w:rsidRDefault="00832D71">
            <w:pPr>
              <w:pStyle w:val="a3"/>
              <w:spacing w:before="0" w:beforeAutospacing="0" w:after="0" w:afterAutospacing="0"/>
              <w:jc w:val="right"/>
              <w:rPr>
                <w:sz w:val="20"/>
                <w:szCs w:val="20"/>
              </w:rPr>
            </w:pPr>
            <w:r>
              <w:rPr>
                <w:sz w:val="20"/>
                <w:szCs w:val="20"/>
              </w:rPr>
              <w:t> </w:t>
            </w:r>
          </w:p>
        </w:tc>
      </w:tr>
      <w:tr w:rsidR="00000000" w14:paraId="3C9BB070" w14:textId="77777777">
        <w:trPr>
          <w:divId w:val="1814250964"/>
          <w:trHeight w:val="200"/>
          <w:tblCellSpacing w:w="15" w:type="dxa"/>
        </w:trPr>
        <w:tc>
          <w:tcPr>
            <w:tcW w:w="0" w:type="auto"/>
            <w:hideMark/>
          </w:tcPr>
          <w:p w14:paraId="44638801" w14:textId="77777777" w:rsidR="00000000" w:rsidRDefault="00832D71">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14:paraId="39655EE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0F6F49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D127743" w14:textId="77777777" w:rsidR="00000000" w:rsidRDefault="00832D71">
            <w:pPr>
              <w:pStyle w:val="a3"/>
              <w:spacing w:before="0" w:beforeAutospacing="0" w:after="0" w:afterAutospacing="0"/>
              <w:jc w:val="right"/>
              <w:rPr>
                <w:sz w:val="20"/>
                <w:szCs w:val="20"/>
              </w:rPr>
            </w:pPr>
            <w:r>
              <w:rPr>
                <w:sz w:val="20"/>
                <w:szCs w:val="20"/>
              </w:rPr>
              <w:t>1,313,55</w:t>
            </w:r>
            <w:r>
              <w:rPr>
                <w:sz w:val="20"/>
                <w:szCs w:val="20"/>
              </w:rPr>
              <w:t>6</w:t>
            </w:r>
          </w:p>
        </w:tc>
        <w:tc>
          <w:tcPr>
            <w:tcW w:w="0" w:type="auto"/>
            <w:noWrap/>
            <w:vAlign w:val="bottom"/>
            <w:hideMark/>
          </w:tcPr>
          <w:p w14:paraId="68760B7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3A306E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04C70E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F955053" w14:textId="77777777" w:rsidR="00000000" w:rsidRDefault="00832D71">
            <w:pPr>
              <w:pStyle w:val="a3"/>
              <w:spacing w:before="0" w:beforeAutospacing="0" w:after="0" w:afterAutospacing="0"/>
              <w:jc w:val="right"/>
              <w:rPr>
                <w:sz w:val="20"/>
                <w:szCs w:val="20"/>
              </w:rPr>
            </w:pPr>
            <w:r>
              <w:rPr>
                <w:sz w:val="20"/>
                <w:szCs w:val="20"/>
              </w:rPr>
              <w:t>1,140,45</w:t>
            </w:r>
            <w:r>
              <w:rPr>
                <w:sz w:val="20"/>
                <w:szCs w:val="20"/>
              </w:rPr>
              <w:t>7</w:t>
            </w:r>
          </w:p>
        </w:tc>
        <w:tc>
          <w:tcPr>
            <w:tcW w:w="0" w:type="auto"/>
            <w:noWrap/>
            <w:vAlign w:val="bottom"/>
            <w:hideMark/>
          </w:tcPr>
          <w:p w14:paraId="5E374F5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AEC0950"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1C2DFED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B95F0C5" w14:textId="77777777" w:rsidR="00000000" w:rsidRDefault="00832D71">
            <w:pPr>
              <w:pStyle w:val="a3"/>
              <w:spacing w:before="0" w:beforeAutospacing="0" w:after="0" w:afterAutospacing="0"/>
              <w:jc w:val="right"/>
              <w:rPr>
                <w:sz w:val="20"/>
                <w:szCs w:val="20"/>
              </w:rPr>
            </w:pPr>
            <w:r>
              <w:rPr>
                <w:sz w:val="20"/>
                <w:szCs w:val="20"/>
              </w:rPr>
              <w:t>955,14</w:t>
            </w:r>
            <w:r>
              <w:rPr>
                <w:sz w:val="20"/>
                <w:szCs w:val="20"/>
              </w:rPr>
              <w:t>3</w:t>
            </w:r>
          </w:p>
        </w:tc>
        <w:tc>
          <w:tcPr>
            <w:tcW w:w="0" w:type="auto"/>
            <w:noWrap/>
            <w:vAlign w:val="bottom"/>
            <w:hideMark/>
          </w:tcPr>
          <w:p w14:paraId="324282AB" w14:textId="77777777" w:rsidR="00000000" w:rsidRDefault="00832D71">
            <w:pPr>
              <w:pStyle w:val="a3"/>
              <w:spacing w:before="0" w:beforeAutospacing="0" w:after="0" w:afterAutospacing="0"/>
              <w:rPr>
                <w:sz w:val="20"/>
                <w:szCs w:val="20"/>
              </w:rPr>
            </w:pPr>
            <w:r>
              <w:rPr>
                <w:sz w:val="20"/>
                <w:szCs w:val="20"/>
              </w:rPr>
              <w:t> </w:t>
            </w:r>
          </w:p>
        </w:tc>
      </w:tr>
      <w:tr w:rsidR="00000000" w14:paraId="5801BF3A" w14:textId="77777777">
        <w:trPr>
          <w:divId w:val="1814250964"/>
          <w:trHeight w:val="200"/>
          <w:tblCellSpacing w:w="15" w:type="dxa"/>
        </w:trPr>
        <w:tc>
          <w:tcPr>
            <w:tcW w:w="0" w:type="auto"/>
            <w:hideMark/>
          </w:tcPr>
          <w:p w14:paraId="3BCC9C1E" w14:textId="77777777" w:rsidR="00000000" w:rsidRDefault="00832D71">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14:paraId="338E062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A8F35D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312AA32" w14:textId="77777777" w:rsidR="00000000" w:rsidRDefault="00832D71">
            <w:pPr>
              <w:pStyle w:val="a3"/>
              <w:spacing w:before="0" w:beforeAutospacing="0" w:after="0" w:afterAutospacing="0"/>
              <w:jc w:val="right"/>
              <w:rPr>
                <w:sz w:val="20"/>
                <w:szCs w:val="20"/>
              </w:rPr>
            </w:pPr>
            <w:r>
              <w:rPr>
                <w:sz w:val="20"/>
                <w:szCs w:val="20"/>
              </w:rPr>
              <w:t>95,15</w:t>
            </w:r>
            <w:r>
              <w:rPr>
                <w:sz w:val="20"/>
                <w:szCs w:val="20"/>
              </w:rPr>
              <w:t>7</w:t>
            </w:r>
          </w:p>
        </w:tc>
        <w:tc>
          <w:tcPr>
            <w:tcW w:w="0" w:type="auto"/>
            <w:noWrap/>
            <w:vAlign w:val="bottom"/>
            <w:hideMark/>
          </w:tcPr>
          <w:p w14:paraId="4E17EF2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73E340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85E1B3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D4651A3" w14:textId="77777777" w:rsidR="00000000" w:rsidRDefault="00832D71">
            <w:pPr>
              <w:pStyle w:val="a3"/>
              <w:spacing w:before="0" w:beforeAutospacing="0" w:after="0" w:afterAutospacing="0"/>
              <w:jc w:val="right"/>
              <w:rPr>
                <w:sz w:val="20"/>
                <w:szCs w:val="20"/>
              </w:rPr>
            </w:pPr>
            <w:r>
              <w:rPr>
                <w:sz w:val="20"/>
                <w:szCs w:val="20"/>
              </w:rPr>
              <w:t>67,10</w:t>
            </w:r>
            <w:r>
              <w:rPr>
                <w:sz w:val="20"/>
                <w:szCs w:val="20"/>
              </w:rPr>
              <w:t>4</w:t>
            </w:r>
          </w:p>
        </w:tc>
        <w:tc>
          <w:tcPr>
            <w:tcW w:w="0" w:type="auto"/>
            <w:noWrap/>
            <w:vAlign w:val="bottom"/>
            <w:hideMark/>
          </w:tcPr>
          <w:p w14:paraId="1DB6B97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5F54573"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2D7609F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46A3E7A" w14:textId="77777777" w:rsidR="00000000" w:rsidRDefault="00832D71">
            <w:pPr>
              <w:pStyle w:val="a3"/>
              <w:spacing w:before="0" w:beforeAutospacing="0" w:after="0" w:afterAutospacing="0"/>
              <w:jc w:val="right"/>
              <w:rPr>
                <w:sz w:val="20"/>
                <w:szCs w:val="20"/>
              </w:rPr>
            </w:pPr>
            <w:r>
              <w:rPr>
                <w:sz w:val="20"/>
                <w:szCs w:val="20"/>
              </w:rPr>
              <w:t>75,03</w:t>
            </w:r>
            <w:r>
              <w:rPr>
                <w:sz w:val="20"/>
                <w:szCs w:val="20"/>
              </w:rPr>
              <w:t>9</w:t>
            </w:r>
          </w:p>
        </w:tc>
        <w:tc>
          <w:tcPr>
            <w:tcW w:w="0" w:type="auto"/>
            <w:noWrap/>
            <w:vAlign w:val="bottom"/>
            <w:hideMark/>
          </w:tcPr>
          <w:p w14:paraId="1AEB82B3" w14:textId="77777777" w:rsidR="00000000" w:rsidRDefault="00832D71">
            <w:pPr>
              <w:pStyle w:val="a3"/>
              <w:spacing w:before="0" w:beforeAutospacing="0" w:after="0" w:afterAutospacing="0"/>
              <w:rPr>
                <w:sz w:val="20"/>
                <w:szCs w:val="20"/>
              </w:rPr>
            </w:pPr>
            <w:r>
              <w:rPr>
                <w:sz w:val="20"/>
                <w:szCs w:val="20"/>
              </w:rPr>
              <w:t> </w:t>
            </w:r>
          </w:p>
        </w:tc>
      </w:tr>
      <w:tr w:rsidR="00000000" w14:paraId="6BB75470" w14:textId="77777777">
        <w:trPr>
          <w:divId w:val="1814250964"/>
          <w:trHeight w:val="200"/>
          <w:tblCellSpacing w:w="15" w:type="dxa"/>
        </w:trPr>
        <w:tc>
          <w:tcPr>
            <w:tcW w:w="0" w:type="auto"/>
            <w:hideMark/>
          </w:tcPr>
          <w:p w14:paraId="561208BC" w14:textId="77777777" w:rsidR="00000000" w:rsidRDefault="00832D71">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14:paraId="0CE5E70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ADC72A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62811BE" w14:textId="77777777" w:rsidR="00000000" w:rsidRDefault="00832D71">
            <w:pPr>
              <w:pStyle w:val="a3"/>
              <w:spacing w:before="0" w:beforeAutospacing="0" w:after="0" w:afterAutospacing="0"/>
              <w:jc w:val="right"/>
              <w:rPr>
                <w:sz w:val="20"/>
                <w:szCs w:val="20"/>
              </w:rPr>
            </w:pPr>
            <w:r>
              <w:rPr>
                <w:sz w:val="20"/>
                <w:szCs w:val="20"/>
              </w:rPr>
              <w:t>39,51</w:t>
            </w:r>
            <w:r>
              <w:rPr>
                <w:sz w:val="20"/>
                <w:szCs w:val="20"/>
              </w:rPr>
              <w:t>1</w:t>
            </w:r>
          </w:p>
        </w:tc>
        <w:tc>
          <w:tcPr>
            <w:tcW w:w="0" w:type="auto"/>
            <w:noWrap/>
            <w:vAlign w:val="bottom"/>
            <w:hideMark/>
          </w:tcPr>
          <w:p w14:paraId="6A3D772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311A1F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67F1F1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5D80B66" w14:textId="77777777" w:rsidR="00000000" w:rsidRDefault="00832D71">
            <w:pPr>
              <w:pStyle w:val="a3"/>
              <w:spacing w:before="0" w:beforeAutospacing="0" w:after="0" w:afterAutospacing="0"/>
              <w:jc w:val="right"/>
              <w:rPr>
                <w:sz w:val="20"/>
                <w:szCs w:val="20"/>
              </w:rPr>
            </w:pPr>
            <w:r>
              <w:rPr>
                <w:sz w:val="20"/>
                <w:szCs w:val="20"/>
              </w:rPr>
              <w:t>30,42</w:t>
            </w:r>
            <w:r>
              <w:rPr>
                <w:sz w:val="20"/>
                <w:szCs w:val="20"/>
              </w:rPr>
              <w:t>5</w:t>
            </w:r>
          </w:p>
        </w:tc>
        <w:tc>
          <w:tcPr>
            <w:tcW w:w="0" w:type="auto"/>
            <w:noWrap/>
            <w:vAlign w:val="bottom"/>
            <w:hideMark/>
          </w:tcPr>
          <w:p w14:paraId="3C3A065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9114F75"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482202E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BD68274" w14:textId="77777777" w:rsidR="00000000" w:rsidRDefault="00832D71">
            <w:pPr>
              <w:pStyle w:val="a3"/>
              <w:spacing w:before="0" w:beforeAutospacing="0" w:after="0" w:afterAutospacing="0"/>
              <w:jc w:val="right"/>
              <w:rPr>
                <w:sz w:val="20"/>
                <w:szCs w:val="20"/>
              </w:rPr>
            </w:pPr>
            <w:r>
              <w:rPr>
                <w:sz w:val="20"/>
                <w:szCs w:val="20"/>
              </w:rPr>
              <w:t>31,18</w:t>
            </w:r>
            <w:r>
              <w:rPr>
                <w:sz w:val="20"/>
                <w:szCs w:val="20"/>
              </w:rPr>
              <w:t>4</w:t>
            </w:r>
          </w:p>
        </w:tc>
        <w:tc>
          <w:tcPr>
            <w:tcW w:w="0" w:type="auto"/>
            <w:noWrap/>
            <w:vAlign w:val="bottom"/>
            <w:hideMark/>
          </w:tcPr>
          <w:p w14:paraId="4F5785DD" w14:textId="77777777" w:rsidR="00000000" w:rsidRDefault="00832D71">
            <w:pPr>
              <w:pStyle w:val="a3"/>
              <w:spacing w:before="0" w:beforeAutospacing="0" w:after="0" w:afterAutospacing="0"/>
              <w:rPr>
                <w:sz w:val="20"/>
                <w:szCs w:val="20"/>
              </w:rPr>
            </w:pPr>
            <w:r>
              <w:rPr>
                <w:sz w:val="20"/>
                <w:szCs w:val="20"/>
              </w:rPr>
              <w:t> </w:t>
            </w:r>
          </w:p>
        </w:tc>
      </w:tr>
      <w:tr w:rsidR="00000000" w14:paraId="0A8178F1" w14:textId="77777777">
        <w:trPr>
          <w:divId w:val="1814250964"/>
          <w:trHeight w:val="200"/>
          <w:tblCellSpacing w:w="15" w:type="dxa"/>
        </w:trPr>
        <w:tc>
          <w:tcPr>
            <w:tcW w:w="0" w:type="auto"/>
            <w:hideMark/>
          </w:tcPr>
          <w:p w14:paraId="732F2EC4" w14:textId="77777777" w:rsidR="00000000" w:rsidRDefault="00832D71">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14:paraId="74220C9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948D7C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A8B3460" w14:textId="77777777" w:rsidR="00000000" w:rsidRDefault="00832D71">
            <w:pPr>
              <w:pStyle w:val="a3"/>
              <w:spacing w:before="0" w:beforeAutospacing="0" w:after="0" w:afterAutospacing="0"/>
              <w:jc w:val="right"/>
              <w:rPr>
                <w:sz w:val="20"/>
                <w:szCs w:val="20"/>
              </w:rPr>
            </w:pPr>
            <w:r>
              <w:rPr>
                <w:sz w:val="20"/>
                <w:szCs w:val="20"/>
              </w:rPr>
              <w:t>53,24</w:t>
            </w:r>
            <w:r>
              <w:rPr>
                <w:sz w:val="20"/>
                <w:szCs w:val="20"/>
              </w:rPr>
              <w:t>1</w:t>
            </w:r>
          </w:p>
        </w:tc>
        <w:tc>
          <w:tcPr>
            <w:tcW w:w="0" w:type="auto"/>
            <w:noWrap/>
            <w:vAlign w:val="bottom"/>
            <w:hideMark/>
          </w:tcPr>
          <w:p w14:paraId="2965387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B34152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81C76E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70A2774" w14:textId="77777777" w:rsidR="00000000" w:rsidRDefault="00832D71">
            <w:pPr>
              <w:pStyle w:val="a3"/>
              <w:spacing w:before="0" w:beforeAutospacing="0" w:after="0" w:afterAutospacing="0"/>
              <w:jc w:val="right"/>
              <w:rPr>
                <w:sz w:val="20"/>
                <w:szCs w:val="20"/>
              </w:rPr>
            </w:pPr>
            <w:r>
              <w:rPr>
                <w:sz w:val="20"/>
                <w:szCs w:val="20"/>
              </w:rPr>
              <w:t>50,76</w:t>
            </w:r>
            <w:r>
              <w:rPr>
                <w:sz w:val="20"/>
                <w:szCs w:val="20"/>
              </w:rPr>
              <w:t>9</w:t>
            </w:r>
          </w:p>
        </w:tc>
        <w:tc>
          <w:tcPr>
            <w:tcW w:w="0" w:type="auto"/>
            <w:noWrap/>
            <w:vAlign w:val="bottom"/>
            <w:hideMark/>
          </w:tcPr>
          <w:p w14:paraId="6B98551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E047BC4"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1D0CDB2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4055EA" w14:textId="77777777" w:rsidR="00000000" w:rsidRDefault="00832D71">
            <w:pPr>
              <w:pStyle w:val="a3"/>
              <w:spacing w:before="0" w:beforeAutospacing="0" w:after="0" w:afterAutospacing="0"/>
              <w:jc w:val="right"/>
              <w:rPr>
                <w:sz w:val="20"/>
                <w:szCs w:val="20"/>
              </w:rPr>
            </w:pPr>
            <w:r>
              <w:rPr>
                <w:sz w:val="20"/>
                <w:szCs w:val="20"/>
              </w:rPr>
              <w:t>46,53</w:t>
            </w:r>
            <w:r>
              <w:rPr>
                <w:sz w:val="20"/>
                <w:szCs w:val="20"/>
              </w:rPr>
              <w:t>1</w:t>
            </w:r>
          </w:p>
        </w:tc>
        <w:tc>
          <w:tcPr>
            <w:tcW w:w="0" w:type="auto"/>
            <w:noWrap/>
            <w:vAlign w:val="bottom"/>
            <w:hideMark/>
          </w:tcPr>
          <w:p w14:paraId="6C2CB750" w14:textId="77777777" w:rsidR="00000000" w:rsidRDefault="00832D71">
            <w:pPr>
              <w:pStyle w:val="a3"/>
              <w:spacing w:before="0" w:beforeAutospacing="0" w:after="0" w:afterAutospacing="0"/>
              <w:rPr>
                <w:sz w:val="20"/>
                <w:szCs w:val="20"/>
              </w:rPr>
            </w:pPr>
            <w:r>
              <w:rPr>
                <w:sz w:val="20"/>
                <w:szCs w:val="20"/>
              </w:rPr>
              <w:t> </w:t>
            </w:r>
          </w:p>
        </w:tc>
      </w:tr>
      <w:tr w:rsidR="00000000" w14:paraId="26A914C1" w14:textId="77777777">
        <w:trPr>
          <w:divId w:val="1814250964"/>
          <w:trHeight w:val="200"/>
          <w:tblCellSpacing w:w="15" w:type="dxa"/>
        </w:trPr>
        <w:tc>
          <w:tcPr>
            <w:tcW w:w="0" w:type="auto"/>
            <w:hideMark/>
          </w:tcPr>
          <w:p w14:paraId="24097937" w14:textId="77777777" w:rsidR="00000000" w:rsidRDefault="00832D71">
            <w:pPr>
              <w:pStyle w:val="a3"/>
              <w:spacing w:before="0" w:beforeAutospacing="0" w:after="0" w:afterAutospacing="0"/>
              <w:ind w:left="400"/>
              <w:rPr>
                <w:sz w:val="20"/>
                <w:szCs w:val="20"/>
              </w:rPr>
            </w:pPr>
            <w:r>
              <w:rPr>
                <w:sz w:val="20"/>
                <w:szCs w:val="20"/>
              </w:rPr>
              <w:t>Total revenue</w:t>
            </w:r>
            <w:r>
              <w:rPr>
                <w:sz w:val="20"/>
                <w:szCs w:val="20"/>
              </w:rPr>
              <w:t>s</w:t>
            </w:r>
          </w:p>
        </w:tc>
        <w:tc>
          <w:tcPr>
            <w:tcW w:w="0" w:type="auto"/>
            <w:hideMark/>
          </w:tcPr>
          <w:p w14:paraId="1A7BE74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E6486C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1926C8A" w14:textId="77777777" w:rsidR="00000000" w:rsidRDefault="00832D71">
            <w:pPr>
              <w:pStyle w:val="a3"/>
              <w:spacing w:before="0" w:beforeAutospacing="0" w:after="0" w:afterAutospacing="0"/>
              <w:jc w:val="right"/>
              <w:rPr>
                <w:sz w:val="20"/>
                <w:szCs w:val="20"/>
              </w:rPr>
            </w:pPr>
            <w:r>
              <w:rPr>
                <w:sz w:val="20"/>
                <w:szCs w:val="20"/>
              </w:rPr>
              <w:t>1,501,46</w:t>
            </w:r>
            <w:r>
              <w:rPr>
                <w:sz w:val="20"/>
                <w:szCs w:val="20"/>
              </w:rPr>
              <w:t>5</w:t>
            </w:r>
          </w:p>
        </w:tc>
        <w:tc>
          <w:tcPr>
            <w:tcW w:w="0" w:type="auto"/>
            <w:noWrap/>
            <w:vAlign w:val="bottom"/>
            <w:hideMark/>
          </w:tcPr>
          <w:p w14:paraId="395A961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33DC846"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4391B4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DD8DB5F" w14:textId="77777777" w:rsidR="00000000" w:rsidRDefault="00832D71">
            <w:pPr>
              <w:pStyle w:val="a3"/>
              <w:spacing w:before="0" w:beforeAutospacing="0" w:after="0" w:afterAutospacing="0"/>
              <w:jc w:val="right"/>
              <w:rPr>
                <w:sz w:val="20"/>
                <w:szCs w:val="20"/>
              </w:rPr>
            </w:pPr>
            <w:r>
              <w:rPr>
                <w:sz w:val="20"/>
                <w:szCs w:val="20"/>
              </w:rPr>
              <w:t>1,288,75</w:t>
            </w:r>
            <w:r>
              <w:rPr>
                <w:sz w:val="20"/>
                <w:szCs w:val="20"/>
              </w:rPr>
              <w:t>5</w:t>
            </w:r>
          </w:p>
        </w:tc>
        <w:tc>
          <w:tcPr>
            <w:tcW w:w="0" w:type="auto"/>
            <w:noWrap/>
            <w:vAlign w:val="bottom"/>
            <w:hideMark/>
          </w:tcPr>
          <w:p w14:paraId="73649E2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6144BC8"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03AC1D3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CE872B5" w14:textId="77777777" w:rsidR="00000000" w:rsidRDefault="00832D71">
            <w:pPr>
              <w:pStyle w:val="a3"/>
              <w:spacing w:before="0" w:beforeAutospacing="0" w:after="0" w:afterAutospacing="0"/>
              <w:jc w:val="right"/>
              <w:rPr>
                <w:sz w:val="20"/>
                <w:szCs w:val="20"/>
              </w:rPr>
            </w:pPr>
            <w:r>
              <w:rPr>
                <w:sz w:val="20"/>
                <w:szCs w:val="20"/>
              </w:rPr>
              <w:t>1,107,89</w:t>
            </w:r>
            <w:r>
              <w:rPr>
                <w:sz w:val="20"/>
                <w:szCs w:val="20"/>
              </w:rPr>
              <w:t>7</w:t>
            </w:r>
          </w:p>
        </w:tc>
        <w:tc>
          <w:tcPr>
            <w:tcW w:w="0" w:type="auto"/>
            <w:noWrap/>
            <w:vAlign w:val="bottom"/>
            <w:hideMark/>
          </w:tcPr>
          <w:p w14:paraId="7C857366" w14:textId="77777777" w:rsidR="00000000" w:rsidRDefault="00832D71">
            <w:pPr>
              <w:pStyle w:val="a3"/>
              <w:spacing w:before="0" w:beforeAutospacing="0" w:after="0" w:afterAutospacing="0"/>
              <w:rPr>
                <w:sz w:val="20"/>
                <w:szCs w:val="20"/>
              </w:rPr>
            </w:pPr>
            <w:r>
              <w:rPr>
                <w:sz w:val="20"/>
                <w:szCs w:val="20"/>
              </w:rPr>
              <w:t> </w:t>
            </w:r>
          </w:p>
        </w:tc>
      </w:tr>
      <w:tr w:rsidR="00000000" w14:paraId="07B31507" w14:textId="77777777">
        <w:trPr>
          <w:divId w:val="1814250964"/>
          <w:tblCellSpacing w:w="15" w:type="dxa"/>
        </w:trPr>
        <w:tc>
          <w:tcPr>
            <w:tcW w:w="0" w:type="auto"/>
            <w:hideMark/>
          </w:tcPr>
          <w:p w14:paraId="3F8DFDF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554BC01"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EBD52F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023ECED"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D44FFDD"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7B188AD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794285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9DD36CE"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68C272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9C78E83" w14:textId="77777777" w:rsidR="00000000" w:rsidRDefault="00832D71">
            <w:pPr>
              <w:pStyle w:val="a3"/>
              <w:spacing w:before="0" w:beforeAutospacing="0" w:after="0" w:afterAutospacing="0"/>
              <w:jc w:val="right"/>
              <w:rPr>
                <w:sz w:val="20"/>
                <w:szCs w:val="20"/>
              </w:rPr>
            </w:pPr>
            <w:r>
              <w:rPr>
                <w:sz w:val="20"/>
                <w:szCs w:val="20"/>
              </w:rPr>
              <w:t> </w:t>
            </w:r>
          </w:p>
        </w:tc>
      </w:tr>
      <w:tr w:rsidR="00000000" w14:paraId="29F4C747" w14:textId="77777777">
        <w:trPr>
          <w:divId w:val="1814250964"/>
          <w:trHeight w:val="200"/>
          <w:tblCellSpacing w:w="15" w:type="dxa"/>
        </w:trPr>
        <w:tc>
          <w:tcPr>
            <w:tcW w:w="0" w:type="auto"/>
            <w:hideMark/>
          </w:tcPr>
          <w:p w14:paraId="7C3A746C" w14:textId="77777777" w:rsidR="00000000" w:rsidRDefault="00832D71">
            <w:pPr>
              <w:pStyle w:val="a3"/>
              <w:spacing w:before="0" w:beforeAutospacing="0" w:after="0" w:afterAutospacing="0"/>
              <w:rPr>
                <w:sz w:val="20"/>
                <w:szCs w:val="20"/>
              </w:rPr>
            </w:pPr>
            <w:r>
              <w:rPr>
                <w:b/>
                <w:bCs/>
                <w:sz w:val="20"/>
                <w:szCs w:val="20"/>
              </w:rPr>
              <w:t>Operating income (loss)</w:t>
            </w:r>
            <w:r>
              <w:rPr>
                <w:b/>
                <w:bCs/>
                <w:sz w:val="20"/>
                <w:szCs w:val="20"/>
              </w:rPr>
              <w:t>:</w:t>
            </w:r>
          </w:p>
        </w:tc>
        <w:tc>
          <w:tcPr>
            <w:tcW w:w="0" w:type="auto"/>
            <w:hideMark/>
          </w:tcPr>
          <w:p w14:paraId="69914CF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6438C8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8740D15"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4726D53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7CF739B"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C92D11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76CE3CF"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476C3E5C"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EA1382D" w14:textId="77777777" w:rsidR="00000000" w:rsidRDefault="00832D71">
            <w:pPr>
              <w:pStyle w:val="a3"/>
              <w:spacing w:before="0" w:beforeAutospacing="0" w:after="0" w:afterAutospacing="0"/>
              <w:jc w:val="right"/>
              <w:rPr>
                <w:sz w:val="20"/>
                <w:szCs w:val="20"/>
              </w:rPr>
            </w:pPr>
            <w:r>
              <w:rPr>
                <w:sz w:val="20"/>
                <w:szCs w:val="20"/>
              </w:rPr>
              <w:t> </w:t>
            </w:r>
          </w:p>
        </w:tc>
      </w:tr>
      <w:tr w:rsidR="00000000" w14:paraId="1CABD5C3" w14:textId="77777777">
        <w:trPr>
          <w:divId w:val="1814250964"/>
          <w:trHeight w:val="200"/>
          <w:tblCellSpacing w:w="15" w:type="dxa"/>
        </w:trPr>
        <w:tc>
          <w:tcPr>
            <w:tcW w:w="0" w:type="auto"/>
            <w:hideMark/>
          </w:tcPr>
          <w:p w14:paraId="2E8DB9B9" w14:textId="77777777" w:rsidR="00000000" w:rsidRDefault="00832D71">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14:paraId="0E1ABA4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2685DD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8E45E69" w14:textId="77777777" w:rsidR="00000000" w:rsidRDefault="00832D71">
            <w:pPr>
              <w:pStyle w:val="a3"/>
              <w:spacing w:before="0" w:beforeAutospacing="0" w:after="0" w:afterAutospacing="0"/>
              <w:jc w:val="right"/>
              <w:rPr>
                <w:sz w:val="20"/>
                <w:szCs w:val="20"/>
              </w:rPr>
            </w:pPr>
            <w:r>
              <w:rPr>
                <w:sz w:val="20"/>
                <w:szCs w:val="20"/>
              </w:rPr>
              <w:t>337,37</w:t>
            </w:r>
            <w:r>
              <w:rPr>
                <w:sz w:val="20"/>
                <w:szCs w:val="20"/>
              </w:rPr>
              <w:t>7</w:t>
            </w:r>
          </w:p>
        </w:tc>
        <w:tc>
          <w:tcPr>
            <w:tcW w:w="0" w:type="auto"/>
            <w:noWrap/>
            <w:vAlign w:val="bottom"/>
            <w:hideMark/>
          </w:tcPr>
          <w:p w14:paraId="1C06DE8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E93A89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1B7E15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64C34FF" w14:textId="77777777" w:rsidR="00000000" w:rsidRDefault="00832D71">
            <w:pPr>
              <w:pStyle w:val="a3"/>
              <w:spacing w:before="0" w:beforeAutospacing="0" w:after="0" w:afterAutospacing="0"/>
              <w:jc w:val="right"/>
              <w:rPr>
                <w:sz w:val="20"/>
                <w:szCs w:val="20"/>
              </w:rPr>
            </w:pPr>
            <w:r>
              <w:rPr>
                <w:sz w:val="20"/>
                <w:szCs w:val="20"/>
              </w:rPr>
              <w:t>330,44</w:t>
            </w:r>
            <w:r>
              <w:rPr>
                <w:sz w:val="20"/>
                <w:szCs w:val="20"/>
              </w:rPr>
              <w:t>3</w:t>
            </w:r>
          </w:p>
        </w:tc>
        <w:tc>
          <w:tcPr>
            <w:tcW w:w="0" w:type="auto"/>
            <w:noWrap/>
            <w:vAlign w:val="bottom"/>
            <w:hideMark/>
          </w:tcPr>
          <w:p w14:paraId="449A008A"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313892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F822B0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FBAC2A1" w14:textId="77777777" w:rsidR="00000000" w:rsidRDefault="00832D71">
            <w:pPr>
              <w:pStyle w:val="a3"/>
              <w:spacing w:before="0" w:beforeAutospacing="0" w:after="0" w:afterAutospacing="0"/>
              <w:jc w:val="right"/>
              <w:rPr>
                <w:sz w:val="20"/>
                <w:szCs w:val="20"/>
              </w:rPr>
            </w:pPr>
            <w:r>
              <w:rPr>
                <w:sz w:val="20"/>
                <w:szCs w:val="20"/>
              </w:rPr>
              <w:t>239,77</w:t>
            </w:r>
            <w:r>
              <w:rPr>
                <w:sz w:val="20"/>
                <w:szCs w:val="20"/>
              </w:rPr>
              <w:t>1</w:t>
            </w:r>
          </w:p>
        </w:tc>
        <w:tc>
          <w:tcPr>
            <w:tcW w:w="0" w:type="auto"/>
            <w:noWrap/>
            <w:vAlign w:val="bottom"/>
            <w:hideMark/>
          </w:tcPr>
          <w:p w14:paraId="7AC96EC8" w14:textId="77777777" w:rsidR="00000000" w:rsidRDefault="00832D71">
            <w:pPr>
              <w:pStyle w:val="a3"/>
              <w:spacing w:before="0" w:beforeAutospacing="0" w:after="0" w:afterAutospacing="0"/>
              <w:rPr>
                <w:sz w:val="20"/>
                <w:szCs w:val="20"/>
              </w:rPr>
            </w:pPr>
            <w:r>
              <w:rPr>
                <w:sz w:val="20"/>
                <w:szCs w:val="20"/>
              </w:rPr>
              <w:t> </w:t>
            </w:r>
          </w:p>
        </w:tc>
      </w:tr>
      <w:tr w:rsidR="00000000" w14:paraId="5EA35163" w14:textId="77777777">
        <w:trPr>
          <w:divId w:val="1814250964"/>
          <w:trHeight w:val="200"/>
          <w:tblCellSpacing w:w="15" w:type="dxa"/>
        </w:trPr>
        <w:tc>
          <w:tcPr>
            <w:tcW w:w="0" w:type="auto"/>
            <w:hideMark/>
          </w:tcPr>
          <w:p w14:paraId="07344AEC" w14:textId="77777777" w:rsidR="00000000" w:rsidRDefault="00832D71">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14:paraId="7C2AF23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69BD1F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2D2FFC4" w14:textId="77777777" w:rsidR="00000000" w:rsidRDefault="00832D71">
            <w:pPr>
              <w:pStyle w:val="a3"/>
              <w:spacing w:before="0" w:beforeAutospacing="0" w:after="0" w:afterAutospacing="0"/>
              <w:jc w:val="right"/>
              <w:rPr>
                <w:sz w:val="20"/>
                <w:szCs w:val="20"/>
              </w:rPr>
            </w:pPr>
            <w:r>
              <w:rPr>
                <w:sz w:val="20"/>
                <w:szCs w:val="20"/>
              </w:rPr>
              <w:t>6,71</w:t>
            </w:r>
            <w:r>
              <w:rPr>
                <w:sz w:val="20"/>
                <w:szCs w:val="20"/>
              </w:rPr>
              <w:t>1</w:t>
            </w:r>
          </w:p>
        </w:tc>
        <w:tc>
          <w:tcPr>
            <w:tcW w:w="0" w:type="auto"/>
            <w:noWrap/>
            <w:vAlign w:val="bottom"/>
            <w:hideMark/>
          </w:tcPr>
          <w:p w14:paraId="23AAF8E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11B11E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689B06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B41BE07" w14:textId="77777777" w:rsidR="00000000" w:rsidRDefault="00832D71">
            <w:pPr>
              <w:pStyle w:val="a3"/>
              <w:spacing w:before="0" w:beforeAutospacing="0" w:after="0" w:afterAutospacing="0"/>
              <w:jc w:val="right"/>
              <w:rPr>
                <w:sz w:val="20"/>
                <w:szCs w:val="20"/>
              </w:rPr>
            </w:pPr>
            <w:r>
              <w:rPr>
                <w:sz w:val="20"/>
                <w:szCs w:val="20"/>
              </w:rPr>
              <w:t>7,71</w:t>
            </w:r>
            <w:r>
              <w:rPr>
                <w:sz w:val="20"/>
                <w:szCs w:val="20"/>
              </w:rPr>
              <w:t>6</w:t>
            </w:r>
          </w:p>
        </w:tc>
        <w:tc>
          <w:tcPr>
            <w:tcW w:w="0" w:type="auto"/>
            <w:noWrap/>
            <w:vAlign w:val="bottom"/>
            <w:hideMark/>
          </w:tcPr>
          <w:p w14:paraId="0424057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4F331F2"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0D0113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9305D71" w14:textId="77777777" w:rsidR="00000000" w:rsidRDefault="00832D71">
            <w:pPr>
              <w:pStyle w:val="a3"/>
              <w:spacing w:before="0" w:beforeAutospacing="0" w:after="0" w:afterAutospacing="0"/>
              <w:jc w:val="right"/>
              <w:rPr>
                <w:sz w:val="20"/>
                <w:szCs w:val="20"/>
              </w:rPr>
            </w:pPr>
            <w:r>
              <w:rPr>
                <w:sz w:val="20"/>
                <w:szCs w:val="20"/>
              </w:rPr>
              <w:t>9,33</w:t>
            </w:r>
            <w:r>
              <w:rPr>
                <w:sz w:val="20"/>
                <w:szCs w:val="20"/>
              </w:rPr>
              <w:t>8</w:t>
            </w:r>
          </w:p>
        </w:tc>
        <w:tc>
          <w:tcPr>
            <w:tcW w:w="0" w:type="auto"/>
            <w:noWrap/>
            <w:vAlign w:val="bottom"/>
            <w:hideMark/>
          </w:tcPr>
          <w:p w14:paraId="0F7D8D53" w14:textId="77777777" w:rsidR="00000000" w:rsidRDefault="00832D71">
            <w:pPr>
              <w:pStyle w:val="a3"/>
              <w:spacing w:before="0" w:beforeAutospacing="0" w:after="0" w:afterAutospacing="0"/>
              <w:rPr>
                <w:sz w:val="20"/>
                <w:szCs w:val="20"/>
              </w:rPr>
            </w:pPr>
            <w:r>
              <w:rPr>
                <w:sz w:val="20"/>
                <w:szCs w:val="20"/>
              </w:rPr>
              <w:t> </w:t>
            </w:r>
          </w:p>
        </w:tc>
      </w:tr>
      <w:tr w:rsidR="00000000" w14:paraId="074984E3" w14:textId="77777777">
        <w:trPr>
          <w:divId w:val="1814250964"/>
          <w:trHeight w:val="200"/>
          <w:tblCellSpacing w:w="15" w:type="dxa"/>
        </w:trPr>
        <w:tc>
          <w:tcPr>
            <w:tcW w:w="0" w:type="auto"/>
            <w:hideMark/>
          </w:tcPr>
          <w:p w14:paraId="3A76318F" w14:textId="77777777" w:rsidR="00000000" w:rsidRDefault="00832D71">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14:paraId="635818A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5B7D45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85983CA" w14:textId="77777777" w:rsidR="00000000" w:rsidRDefault="00832D71">
            <w:pPr>
              <w:pStyle w:val="a3"/>
              <w:spacing w:before="0" w:beforeAutospacing="0" w:after="0" w:afterAutospacing="0"/>
              <w:jc w:val="right"/>
              <w:rPr>
                <w:sz w:val="20"/>
                <w:szCs w:val="20"/>
              </w:rPr>
            </w:pPr>
            <w:r>
              <w:rPr>
                <w:sz w:val="20"/>
                <w:szCs w:val="20"/>
              </w:rPr>
              <w:t>6,59</w:t>
            </w:r>
            <w:r>
              <w:rPr>
                <w:sz w:val="20"/>
                <w:szCs w:val="20"/>
              </w:rPr>
              <w:t>8</w:t>
            </w:r>
          </w:p>
        </w:tc>
        <w:tc>
          <w:tcPr>
            <w:tcW w:w="0" w:type="auto"/>
            <w:noWrap/>
            <w:vAlign w:val="bottom"/>
            <w:hideMark/>
          </w:tcPr>
          <w:p w14:paraId="5D21BE1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2864CC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53D232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57A3828" w14:textId="77777777" w:rsidR="00000000" w:rsidRDefault="00832D71">
            <w:pPr>
              <w:pStyle w:val="a3"/>
              <w:spacing w:before="0" w:beforeAutospacing="0" w:after="0" w:afterAutospacing="0"/>
              <w:jc w:val="right"/>
              <w:rPr>
                <w:sz w:val="20"/>
                <w:szCs w:val="20"/>
              </w:rPr>
            </w:pPr>
            <w:r>
              <w:rPr>
                <w:sz w:val="20"/>
                <w:szCs w:val="20"/>
              </w:rPr>
              <w:t>7,40</w:t>
            </w:r>
            <w:r>
              <w:rPr>
                <w:sz w:val="20"/>
                <w:szCs w:val="20"/>
              </w:rPr>
              <w:t>9</w:t>
            </w:r>
          </w:p>
        </w:tc>
        <w:tc>
          <w:tcPr>
            <w:tcW w:w="0" w:type="auto"/>
            <w:noWrap/>
            <w:vAlign w:val="bottom"/>
            <w:hideMark/>
          </w:tcPr>
          <w:p w14:paraId="2CC917B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99FC8B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1E4947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91F52BE" w14:textId="77777777" w:rsidR="00000000" w:rsidRDefault="00832D71">
            <w:pPr>
              <w:pStyle w:val="a3"/>
              <w:spacing w:before="0" w:beforeAutospacing="0" w:after="0" w:afterAutospacing="0"/>
              <w:jc w:val="right"/>
              <w:rPr>
                <w:sz w:val="20"/>
                <w:szCs w:val="20"/>
              </w:rPr>
            </w:pPr>
            <w:r>
              <w:rPr>
                <w:sz w:val="20"/>
                <w:szCs w:val="20"/>
              </w:rPr>
              <w:t>7,45</w:t>
            </w:r>
            <w:r>
              <w:rPr>
                <w:sz w:val="20"/>
                <w:szCs w:val="20"/>
              </w:rPr>
              <w:t>9</w:t>
            </w:r>
          </w:p>
        </w:tc>
        <w:tc>
          <w:tcPr>
            <w:tcW w:w="0" w:type="auto"/>
            <w:noWrap/>
            <w:vAlign w:val="bottom"/>
            <w:hideMark/>
          </w:tcPr>
          <w:p w14:paraId="41B63CDB" w14:textId="77777777" w:rsidR="00000000" w:rsidRDefault="00832D71">
            <w:pPr>
              <w:pStyle w:val="a3"/>
              <w:spacing w:before="0" w:beforeAutospacing="0" w:after="0" w:afterAutospacing="0"/>
              <w:rPr>
                <w:sz w:val="20"/>
                <w:szCs w:val="20"/>
              </w:rPr>
            </w:pPr>
            <w:r>
              <w:rPr>
                <w:sz w:val="20"/>
                <w:szCs w:val="20"/>
              </w:rPr>
              <w:t> </w:t>
            </w:r>
          </w:p>
        </w:tc>
      </w:tr>
      <w:tr w:rsidR="00000000" w14:paraId="4A5081E8" w14:textId="77777777">
        <w:trPr>
          <w:divId w:val="1814250964"/>
          <w:trHeight w:val="200"/>
          <w:tblCellSpacing w:w="15" w:type="dxa"/>
        </w:trPr>
        <w:tc>
          <w:tcPr>
            <w:tcW w:w="0" w:type="auto"/>
            <w:hideMark/>
          </w:tcPr>
          <w:p w14:paraId="2A7BBE73" w14:textId="77777777" w:rsidR="00000000" w:rsidRDefault="00832D71">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14:paraId="68460E4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29EA51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B304163" w14:textId="77777777" w:rsidR="00000000" w:rsidRDefault="00832D71">
            <w:pPr>
              <w:pStyle w:val="a3"/>
              <w:spacing w:before="0" w:beforeAutospacing="0" w:after="0" w:afterAutospacing="0"/>
              <w:jc w:val="right"/>
              <w:rPr>
                <w:sz w:val="20"/>
                <w:szCs w:val="20"/>
              </w:rPr>
            </w:pPr>
            <w:r>
              <w:rPr>
                <w:sz w:val="20"/>
                <w:szCs w:val="20"/>
              </w:rPr>
              <w:t>(</w:t>
            </w:r>
            <w:r>
              <w:rPr>
                <w:sz w:val="20"/>
                <w:szCs w:val="20"/>
              </w:rPr>
              <w:t>21,98</w:t>
            </w:r>
            <w:r>
              <w:rPr>
                <w:sz w:val="20"/>
                <w:szCs w:val="20"/>
              </w:rPr>
              <w:t>2</w:t>
            </w:r>
          </w:p>
        </w:tc>
        <w:tc>
          <w:tcPr>
            <w:tcW w:w="0" w:type="auto"/>
            <w:noWrap/>
            <w:vAlign w:val="bottom"/>
            <w:hideMark/>
          </w:tcPr>
          <w:p w14:paraId="05497199"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6D97AD2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EDAC8A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A51531D" w14:textId="77777777" w:rsidR="00000000" w:rsidRDefault="00832D71">
            <w:pPr>
              <w:pStyle w:val="a3"/>
              <w:spacing w:before="0" w:beforeAutospacing="0" w:after="0" w:afterAutospacing="0"/>
              <w:jc w:val="right"/>
              <w:rPr>
                <w:sz w:val="20"/>
                <w:szCs w:val="20"/>
              </w:rPr>
            </w:pPr>
            <w:r>
              <w:rPr>
                <w:sz w:val="20"/>
                <w:szCs w:val="20"/>
              </w:rPr>
              <w:t>(</w:t>
            </w:r>
            <w:r>
              <w:rPr>
                <w:sz w:val="20"/>
                <w:szCs w:val="20"/>
              </w:rPr>
              <w:t>20,11</w:t>
            </w:r>
            <w:r>
              <w:rPr>
                <w:sz w:val="20"/>
                <w:szCs w:val="20"/>
              </w:rPr>
              <w:t>9</w:t>
            </w:r>
          </w:p>
        </w:tc>
        <w:tc>
          <w:tcPr>
            <w:tcW w:w="0" w:type="auto"/>
            <w:noWrap/>
            <w:vAlign w:val="bottom"/>
            <w:hideMark/>
          </w:tcPr>
          <w:p w14:paraId="7CEE5746"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E970D2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3E1047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A74F48A" w14:textId="77777777" w:rsidR="00000000" w:rsidRDefault="00832D71">
            <w:pPr>
              <w:pStyle w:val="a3"/>
              <w:spacing w:before="0" w:beforeAutospacing="0" w:after="0" w:afterAutospacing="0"/>
              <w:jc w:val="right"/>
              <w:rPr>
                <w:sz w:val="20"/>
                <w:szCs w:val="20"/>
              </w:rPr>
            </w:pPr>
            <w:r>
              <w:rPr>
                <w:sz w:val="20"/>
                <w:szCs w:val="20"/>
              </w:rPr>
              <w:t>(</w:t>
            </w:r>
            <w:r>
              <w:rPr>
                <w:sz w:val="20"/>
                <w:szCs w:val="20"/>
              </w:rPr>
              <w:t>20,37</w:t>
            </w:r>
            <w:r>
              <w:rPr>
                <w:sz w:val="20"/>
                <w:szCs w:val="20"/>
              </w:rPr>
              <w:t>7</w:t>
            </w:r>
          </w:p>
        </w:tc>
        <w:tc>
          <w:tcPr>
            <w:tcW w:w="0" w:type="auto"/>
            <w:noWrap/>
            <w:vAlign w:val="bottom"/>
            <w:hideMark/>
          </w:tcPr>
          <w:p w14:paraId="03D62B87" w14:textId="77777777" w:rsidR="00000000" w:rsidRDefault="00832D71">
            <w:pPr>
              <w:pStyle w:val="a3"/>
              <w:spacing w:before="0" w:beforeAutospacing="0" w:after="0" w:afterAutospacing="0"/>
              <w:rPr>
                <w:sz w:val="20"/>
                <w:szCs w:val="20"/>
              </w:rPr>
            </w:pPr>
            <w:r>
              <w:rPr>
                <w:sz w:val="20"/>
                <w:szCs w:val="20"/>
              </w:rPr>
              <w:t>)</w:t>
            </w:r>
          </w:p>
        </w:tc>
      </w:tr>
      <w:tr w:rsidR="00000000" w14:paraId="63F5E7B7" w14:textId="77777777">
        <w:trPr>
          <w:divId w:val="1814250964"/>
          <w:trHeight w:val="200"/>
          <w:tblCellSpacing w:w="15" w:type="dxa"/>
        </w:trPr>
        <w:tc>
          <w:tcPr>
            <w:tcW w:w="0" w:type="auto"/>
            <w:hideMark/>
          </w:tcPr>
          <w:p w14:paraId="0D946D0A" w14:textId="77777777" w:rsidR="00000000" w:rsidRDefault="00832D71">
            <w:pPr>
              <w:pStyle w:val="a3"/>
              <w:spacing w:before="0" w:beforeAutospacing="0" w:after="0" w:afterAutospacing="0"/>
              <w:ind w:left="200"/>
              <w:rPr>
                <w:sz w:val="20"/>
                <w:szCs w:val="20"/>
              </w:rPr>
            </w:pPr>
            <w:r>
              <w:rPr>
                <w:sz w:val="20"/>
                <w:szCs w:val="20"/>
              </w:rPr>
              <w:t>Corporat</w:t>
            </w:r>
            <w:r>
              <w:rPr>
                <w:sz w:val="20"/>
                <w:szCs w:val="20"/>
              </w:rPr>
              <w:t>e</w:t>
            </w:r>
          </w:p>
        </w:tc>
        <w:tc>
          <w:tcPr>
            <w:tcW w:w="0" w:type="auto"/>
            <w:hideMark/>
          </w:tcPr>
          <w:p w14:paraId="1227BE4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9BA57C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CC5F517" w14:textId="77777777" w:rsidR="00000000" w:rsidRDefault="00832D71">
            <w:pPr>
              <w:pStyle w:val="a3"/>
              <w:spacing w:before="0" w:beforeAutospacing="0" w:after="0" w:afterAutospacing="0"/>
              <w:jc w:val="right"/>
              <w:rPr>
                <w:sz w:val="20"/>
                <w:szCs w:val="20"/>
              </w:rPr>
            </w:pPr>
            <w:r>
              <w:rPr>
                <w:sz w:val="20"/>
                <w:szCs w:val="20"/>
              </w:rPr>
              <w:t>(</w:t>
            </w:r>
            <w:r>
              <w:rPr>
                <w:sz w:val="20"/>
                <w:szCs w:val="20"/>
              </w:rPr>
              <w:t>122,37</w:t>
            </w:r>
            <w:r>
              <w:rPr>
                <w:sz w:val="20"/>
                <w:szCs w:val="20"/>
              </w:rPr>
              <w:t>7</w:t>
            </w:r>
          </w:p>
        </w:tc>
        <w:tc>
          <w:tcPr>
            <w:tcW w:w="0" w:type="auto"/>
            <w:noWrap/>
            <w:vAlign w:val="bottom"/>
            <w:hideMark/>
          </w:tcPr>
          <w:p w14:paraId="715822A2"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5D35924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B3A216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01F9A26" w14:textId="77777777" w:rsidR="00000000" w:rsidRDefault="00832D71">
            <w:pPr>
              <w:pStyle w:val="a3"/>
              <w:spacing w:before="0" w:beforeAutospacing="0" w:after="0" w:afterAutospacing="0"/>
              <w:jc w:val="right"/>
              <w:rPr>
                <w:sz w:val="20"/>
                <w:szCs w:val="20"/>
              </w:rPr>
            </w:pPr>
            <w:r>
              <w:rPr>
                <w:sz w:val="20"/>
                <w:szCs w:val="20"/>
              </w:rPr>
              <w:t>(</w:t>
            </w:r>
            <w:r>
              <w:rPr>
                <w:sz w:val="20"/>
                <w:szCs w:val="20"/>
              </w:rPr>
              <w:t>112,21</w:t>
            </w:r>
            <w:r>
              <w:rPr>
                <w:sz w:val="20"/>
                <w:szCs w:val="20"/>
              </w:rPr>
              <w:t>3</w:t>
            </w:r>
          </w:p>
        </w:tc>
        <w:tc>
          <w:tcPr>
            <w:tcW w:w="0" w:type="auto"/>
            <w:noWrap/>
            <w:vAlign w:val="bottom"/>
            <w:hideMark/>
          </w:tcPr>
          <w:p w14:paraId="47696CDC" w14:textId="77777777" w:rsidR="00000000" w:rsidRDefault="00832D71">
            <w:pPr>
              <w:pStyle w:val="a3"/>
              <w:spacing w:before="0" w:beforeAutospacing="0" w:after="0" w:afterAutospacing="0"/>
              <w:rPr>
                <w:sz w:val="20"/>
                <w:szCs w:val="20"/>
              </w:rPr>
            </w:pPr>
            <w:r>
              <w:rPr>
                <w:sz w:val="20"/>
                <w:szCs w:val="20"/>
              </w:rPr>
              <w:t>)</w:t>
            </w:r>
          </w:p>
        </w:tc>
        <w:tc>
          <w:tcPr>
            <w:tcW w:w="0" w:type="auto"/>
            <w:hideMark/>
          </w:tcPr>
          <w:p w14:paraId="3282119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2E95CE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D9E6A68" w14:textId="77777777" w:rsidR="00000000" w:rsidRDefault="00832D71">
            <w:pPr>
              <w:pStyle w:val="a3"/>
              <w:spacing w:before="0" w:beforeAutospacing="0" w:after="0" w:afterAutospacing="0"/>
              <w:jc w:val="right"/>
              <w:rPr>
                <w:sz w:val="20"/>
                <w:szCs w:val="20"/>
              </w:rPr>
            </w:pPr>
            <w:r>
              <w:rPr>
                <w:sz w:val="20"/>
                <w:szCs w:val="20"/>
              </w:rPr>
              <w:t>(</w:t>
            </w:r>
            <w:r>
              <w:rPr>
                <w:sz w:val="20"/>
                <w:szCs w:val="20"/>
              </w:rPr>
              <w:t>95,92</w:t>
            </w:r>
            <w:r>
              <w:rPr>
                <w:sz w:val="20"/>
                <w:szCs w:val="20"/>
              </w:rPr>
              <w:t>1</w:t>
            </w:r>
          </w:p>
        </w:tc>
        <w:tc>
          <w:tcPr>
            <w:tcW w:w="0" w:type="auto"/>
            <w:noWrap/>
            <w:vAlign w:val="bottom"/>
            <w:hideMark/>
          </w:tcPr>
          <w:p w14:paraId="1164D2C1" w14:textId="77777777" w:rsidR="00000000" w:rsidRDefault="00832D71">
            <w:pPr>
              <w:pStyle w:val="a3"/>
              <w:spacing w:before="0" w:beforeAutospacing="0" w:after="0" w:afterAutospacing="0"/>
              <w:rPr>
                <w:sz w:val="20"/>
                <w:szCs w:val="20"/>
              </w:rPr>
            </w:pPr>
            <w:r>
              <w:rPr>
                <w:sz w:val="20"/>
                <w:szCs w:val="20"/>
              </w:rPr>
              <w:t>)</w:t>
            </w:r>
          </w:p>
        </w:tc>
      </w:tr>
      <w:tr w:rsidR="00000000" w14:paraId="6DDCC491" w14:textId="77777777">
        <w:trPr>
          <w:divId w:val="1814250964"/>
          <w:trHeight w:val="200"/>
          <w:tblCellSpacing w:w="15" w:type="dxa"/>
        </w:trPr>
        <w:tc>
          <w:tcPr>
            <w:tcW w:w="0" w:type="auto"/>
            <w:hideMark/>
          </w:tcPr>
          <w:p w14:paraId="6BC73AC2" w14:textId="77777777" w:rsidR="00000000" w:rsidRDefault="00832D71">
            <w:pPr>
              <w:pStyle w:val="a3"/>
              <w:spacing w:before="0" w:beforeAutospacing="0" w:after="0" w:afterAutospacing="0"/>
              <w:ind w:left="400"/>
              <w:rPr>
                <w:sz w:val="20"/>
                <w:szCs w:val="20"/>
              </w:rPr>
            </w:pPr>
            <w:r>
              <w:rPr>
                <w:sz w:val="20"/>
                <w:szCs w:val="20"/>
              </w:rPr>
              <w:t>Total operating incom</w:t>
            </w:r>
            <w:r>
              <w:rPr>
                <w:sz w:val="20"/>
                <w:szCs w:val="20"/>
              </w:rPr>
              <w:t>e</w:t>
            </w:r>
          </w:p>
        </w:tc>
        <w:tc>
          <w:tcPr>
            <w:tcW w:w="0" w:type="auto"/>
            <w:hideMark/>
          </w:tcPr>
          <w:p w14:paraId="5526182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179EE7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DBEBBC0" w14:textId="77777777" w:rsidR="00000000" w:rsidRDefault="00832D71">
            <w:pPr>
              <w:pStyle w:val="a3"/>
              <w:spacing w:before="0" w:beforeAutospacing="0" w:after="0" w:afterAutospacing="0"/>
              <w:jc w:val="right"/>
              <w:rPr>
                <w:sz w:val="20"/>
                <w:szCs w:val="20"/>
              </w:rPr>
            </w:pPr>
            <w:r>
              <w:rPr>
                <w:sz w:val="20"/>
                <w:szCs w:val="20"/>
              </w:rPr>
              <w:t>206,32</w:t>
            </w:r>
            <w:r>
              <w:rPr>
                <w:sz w:val="20"/>
                <w:szCs w:val="20"/>
              </w:rPr>
              <w:t>7</w:t>
            </w:r>
          </w:p>
        </w:tc>
        <w:tc>
          <w:tcPr>
            <w:tcW w:w="0" w:type="auto"/>
            <w:noWrap/>
            <w:vAlign w:val="bottom"/>
            <w:hideMark/>
          </w:tcPr>
          <w:p w14:paraId="0935912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670DC42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62A0CB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636A371" w14:textId="77777777" w:rsidR="00000000" w:rsidRDefault="00832D71">
            <w:pPr>
              <w:pStyle w:val="a3"/>
              <w:spacing w:before="0" w:beforeAutospacing="0" w:after="0" w:afterAutospacing="0"/>
              <w:jc w:val="right"/>
              <w:rPr>
                <w:sz w:val="20"/>
                <w:szCs w:val="20"/>
              </w:rPr>
            </w:pPr>
            <w:r>
              <w:rPr>
                <w:sz w:val="20"/>
                <w:szCs w:val="20"/>
              </w:rPr>
              <w:t>213,23</w:t>
            </w:r>
            <w:r>
              <w:rPr>
                <w:sz w:val="20"/>
                <w:szCs w:val="20"/>
              </w:rPr>
              <w:t>6</w:t>
            </w:r>
          </w:p>
        </w:tc>
        <w:tc>
          <w:tcPr>
            <w:tcW w:w="0" w:type="auto"/>
            <w:noWrap/>
            <w:vAlign w:val="bottom"/>
            <w:hideMark/>
          </w:tcPr>
          <w:p w14:paraId="5929138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7DEBD9F"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571D2A3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4EA702E" w14:textId="77777777" w:rsidR="00000000" w:rsidRDefault="00832D71">
            <w:pPr>
              <w:pStyle w:val="a3"/>
              <w:spacing w:before="0" w:beforeAutospacing="0" w:after="0" w:afterAutospacing="0"/>
              <w:jc w:val="right"/>
              <w:rPr>
                <w:sz w:val="20"/>
                <w:szCs w:val="20"/>
              </w:rPr>
            </w:pPr>
            <w:r>
              <w:rPr>
                <w:sz w:val="20"/>
                <w:szCs w:val="20"/>
              </w:rPr>
              <w:t>140,27</w:t>
            </w:r>
            <w:r>
              <w:rPr>
                <w:sz w:val="20"/>
                <w:szCs w:val="20"/>
              </w:rPr>
              <w:t>0</w:t>
            </w:r>
          </w:p>
        </w:tc>
        <w:tc>
          <w:tcPr>
            <w:tcW w:w="0" w:type="auto"/>
            <w:noWrap/>
            <w:vAlign w:val="bottom"/>
            <w:hideMark/>
          </w:tcPr>
          <w:p w14:paraId="00DE5E85" w14:textId="77777777" w:rsidR="00000000" w:rsidRDefault="00832D71">
            <w:pPr>
              <w:pStyle w:val="a3"/>
              <w:spacing w:before="0" w:beforeAutospacing="0" w:after="0" w:afterAutospacing="0"/>
              <w:rPr>
                <w:sz w:val="20"/>
                <w:szCs w:val="20"/>
              </w:rPr>
            </w:pPr>
            <w:r>
              <w:rPr>
                <w:sz w:val="20"/>
                <w:szCs w:val="20"/>
              </w:rPr>
              <w:t> </w:t>
            </w:r>
          </w:p>
        </w:tc>
      </w:tr>
      <w:tr w:rsidR="00000000" w14:paraId="60BE79CF" w14:textId="77777777">
        <w:trPr>
          <w:divId w:val="1814250964"/>
          <w:tblCellSpacing w:w="15" w:type="dxa"/>
        </w:trPr>
        <w:tc>
          <w:tcPr>
            <w:tcW w:w="0" w:type="auto"/>
            <w:hideMark/>
          </w:tcPr>
          <w:p w14:paraId="496DEDFB"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94F8C94"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BD0CDC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474089E"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627B526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0149AA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17CACD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70071BA"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7717C56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5FE1D7F" w14:textId="77777777" w:rsidR="00000000" w:rsidRDefault="00832D71">
            <w:pPr>
              <w:pStyle w:val="a3"/>
              <w:spacing w:before="0" w:beforeAutospacing="0" w:after="0" w:afterAutospacing="0"/>
              <w:jc w:val="right"/>
              <w:rPr>
                <w:sz w:val="20"/>
                <w:szCs w:val="20"/>
              </w:rPr>
            </w:pPr>
            <w:r>
              <w:rPr>
                <w:sz w:val="20"/>
                <w:szCs w:val="20"/>
              </w:rPr>
              <w:t> </w:t>
            </w:r>
          </w:p>
        </w:tc>
      </w:tr>
      <w:tr w:rsidR="00000000" w14:paraId="02885C76" w14:textId="77777777">
        <w:trPr>
          <w:divId w:val="1814250964"/>
          <w:trHeight w:val="200"/>
          <w:tblCellSpacing w:w="15" w:type="dxa"/>
        </w:trPr>
        <w:tc>
          <w:tcPr>
            <w:tcW w:w="0" w:type="auto"/>
            <w:hideMark/>
          </w:tcPr>
          <w:p w14:paraId="0653F0E4" w14:textId="77777777" w:rsidR="00000000" w:rsidRDefault="00832D71">
            <w:pPr>
              <w:pStyle w:val="a3"/>
              <w:spacing w:before="0" w:beforeAutospacing="0" w:after="0" w:afterAutospacing="0"/>
              <w:ind w:left="200"/>
              <w:rPr>
                <w:sz w:val="20"/>
                <w:szCs w:val="20"/>
              </w:rPr>
            </w:pPr>
            <w:r>
              <w:rPr>
                <w:sz w:val="20"/>
                <w:szCs w:val="20"/>
              </w:rPr>
              <w:t>Reconciliation to net income</w:t>
            </w:r>
            <w:r>
              <w:rPr>
                <w:sz w:val="20"/>
                <w:szCs w:val="20"/>
              </w:rPr>
              <w:t>:</w:t>
            </w:r>
          </w:p>
        </w:tc>
        <w:tc>
          <w:tcPr>
            <w:tcW w:w="0" w:type="auto"/>
            <w:hideMark/>
          </w:tcPr>
          <w:p w14:paraId="5D4D0383"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E8CAAA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57ACDDD"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733855FF"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348191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FF8429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421F07D3"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B7BFE3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ED59380" w14:textId="77777777" w:rsidR="00000000" w:rsidRDefault="00832D71">
            <w:pPr>
              <w:pStyle w:val="a3"/>
              <w:spacing w:before="0" w:beforeAutospacing="0" w:after="0" w:afterAutospacing="0"/>
              <w:jc w:val="right"/>
              <w:rPr>
                <w:sz w:val="20"/>
                <w:szCs w:val="20"/>
              </w:rPr>
            </w:pPr>
            <w:r>
              <w:rPr>
                <w:sz w:val="20"/>
                <w:szCs w:val="20"/>
              </w:rPr>
              <w:t> </w:t>
            </w:r>
          </w:p>
        </w:tc>
      </w:tr>
      <w:tr w:rsidR="00000000" w14:paraId="5EA7A933" w14:textId="77777777">
        <w:trPr>
          <w:divId w:val="1814250964"/>
          <w:trHeight w:val="200"/>
          <w:tblCellSpacing w:w="15" w:type="dxa"/>
        </w:trPr>
        <w:tc>
          <w:tcPr>
            <w:tcW w:w="0" w:type="auto"/>
            <w:hideMark/>
          </w:tcPr>
          <w:p w14:paraId="444FCEDE" w14:textId="77777777" w:rsidR="00000000" w:rsidRDefault="00832D71">
            <w:pPr>
              <w:pStyle w:val="a3"/>
              <w:spacing w:before="0" w:beforeAutospacing="0" w:after="0" w:afterAutospacing="0"/>
              <w:ind w:left="400"/>
              <w:rPr>
                <w:sz w:val="20"/>
                <w:szCs w:val="20"/>
              </w:rPr>
            </w:pPr>
            <w:r>
              <w:rPr>
                <w:sz w:val="20"/>
                <w:szCs w:val="20"/>
              </w:rPr>
              <w:t>Loss on debt extinguishmen</w:t>
            </w:r>
            <w:r>
              <w:rPr>
                <w:sz w:val="20"/>
                <w:szCs w:val="20"/>
              </w:rPr>
              <w:t>t</w:t>
            </w:r>
          </w:p>
        </w:tc>
        <w:tc>
          <w:tcPr>
            <w:tcW w:w="0" w:type="auto"/>
            <w:hideMark/>
          </w:tcPr>
          <w:p w14:paraId="44BFF6B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369843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201AD09"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25580C8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DE69F1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371363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939395D" w14:textId="77777777" w:rsidR="00000000" w:rsidRDefault="00832D71">
            <w:pPr>
              <w:pStyle w:val="a3"/>
              <w:spacing w:before="0" w:beforeAutospacing="0" w:after="0" w:afterAutospacing="0"/>
              <w:jc w:val="right"/>
              <w:rPr>
                <w:sz w:val="20"/>
                <w:szCs w:val="20"/>
              </w:rPr>
            </w:pPr>
            <w:r>
              <w:rPr>
                <w:sz w:val="20"/>
                <w:szCs w:val="20"/>
              </w:rPr>
              <w:t>16,02</w:t>
            </w:r>
            <w:r>
              <w:rPr>
                <w:sz w:val="20"/>
                <w:szCs w:val="20"/>
              </w:rPr>
              <w:t>9</w:t>
            </w:r>
          </w:p>
        </w:tc>
        <w:tc>
          <w:tcPr>
            <w:tcW w:w="0" w:type="auto"/>
            <w:noWrap/>
            <w:vAlign w:val="bottom"/>
            <w:hideMark/>
          </w:tcPr>
          <w:p w14:paraId="635A81C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2314C5E"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584B77E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243DD3D" w14:textId="77777777" w:rsidR="00000000" w:rsidRDefault="00832D71">
            <w:pPr>
              <w:pStyle w:val="a3"/>
              <w:spacing w:before="0" w:beforeAutospacing="0" w:after="0" w:afterAutospacing="0"/>
              <w:jc w:val="right"/>
              <w:rPr>
                <w:sz w:val="20"/>
                <w:szCs w:val="20"/>
              </w:rPr>
            </w:pPr>
            <w:r>
              <w:rPr>
                <w:sz w:val="20"/>
                <w:szCs w:val="20"/>
              </w:rPr>
              <w:t>10</w:t>
            </w:r>
            <w:r>
              <w:rPr>
                <w:sz w:val="20"/>
                <w:szCs w:val="20"/>
              </w:rPr>
              <w:t>9</w:t>
            </w:r>
          </w:p>
        </w:tc>
        <w:tc>
          <w:tcPr>
            <w:tcW w:w="0" w:type="auto"/>
            <w:noWrap/>
            <w:vAlign w:val="bottom"/>
            <w:hideMark/>
          </w:tcPr>
          <w:p w14:paraId="608B64D2" w14:textId="77777777" w:rsidR="00000000" w:rsidRDefault="00832D71">
            <w:pPr>
              <w:pStyle w:val="a3"/>
              <w:spacing w:before="0" w:beforeAutospacing="0" w:after="0" w:afterAutospacing="0"/>
              <w:rPr>
                <w:sz w:val="20"/>
                <w:szCs w:val="20"/>
              </w:rPr>
            </w:pPr>
            <w:r>
              <w:rPr>
                <w:sz w:val="20"/>
                <w:szCs w:val="20"/>
              </w:rPr>
              <w:t> </w:t>
            </w:r>
          </w:p>
        </w:tc>
      </w:tr>
      <w:tr w:rsidR="00000000" w14:paraId="0747A2DF" w14:textId="77777777">
        <w:trPr>
          <w:divId w:val="1814250964"/>
          <w:trHeight w:val="200"/>
          <w:tblCellSpacing w:w="15" w:type="dxa"/>
        </w:trPr>
        <w:tc>
          <w:tcPr>
            <w:tcW w:w="0" w:type="auto"/>
            <w:hideMark/>
          </w:tcPr>
          <w:p w14:paraId="6112EC5B" w14:textId="77777777" w:rsidR="00000000" w:rsidRDefault="00832D71">
            <w:pPr>
              <w:pStyle w:val="a3"/>
              <w:spacing w:before="0" w:beforeAutospacing="0" w:after="0" w:afterAutospacing="0"/>
              <w:ind w:left="400"/>
              <w:rPr>
                <w:sz w:val="20"/>
                <w:szCs w:val="20"/>
              </w:rPr>
            </w:pPr>
            <w:r>
              <w:rPr>
                <w:sz w:val="20"/>
                <w:szCs w:val="20"/>
              </w:rPr>
              <w:t>Interest expense, ne</w:t>
            </w:r>
            <w:r>
              <w:rPr>
                <w:sz w:val="20"/>
                <w:szCs w:val="20"/>
              </w:rPr>
              <w:t>t</w:t>
            </w:r>
          </w:p>
        </w:tc>
        <w:tc>
          <w:tcPr>
            <w:tcW w:w="0" w:type="auto"/>
            <w:hideMark/>
          </w:tcPr>
          <w:p w14:paraId="2E024F4D"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9A91A8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76CB4C4" w14:textId="77777777" w:rsidR="00000000" w:rsidRDefault="00832D71">
            <w:pPr>
              <w:pStyle w:val="a3"/>
              <w:spacing w:before="0" w:beforeAutospacing="0" w:after="0" w:afterAutospacing="0"/>
              <w:jc w:val="right"/>
              <w:rPr>
                <w:sz w:val="20"/>
                <w:szCs w:val="20"/>
              </w:rPr>
            </w:pPr>
            <w:r>
              <w:rPr>
                <w:sz w:val="20"/>
                <w:szCs w:val="20"/>
              </w:rPr>
              <w:t>60,65</w:t>
            </w:r>
            <w:r>
              <w:rPr>
                <w:sz w:val="20"/>
                <w:szCs w:val="20"/>
              </w:rPr>
              <w:t>8</w:t>
            </w:r>
          </w:p>
        </w:tc>
        <w:tc>
          <w:tcPr>
            <w:tcW w:w="0" w:type="auto"/>
            <w:noWrap/>
            <w:vAlign w:val="bottom"/>
            <w:hideMark/>
          </w:tcPr>
          <w:p w14:paraId="005FB4B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2A4D7C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8F7AEF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0FFF35B" w14:textId="77777777" w:rsidR="00000000" w:rsidRDefault="00832D71">
            <w:pPr>
              <w:pStyle w:val="a3"/>
              <w:spacing w:before="0" w:beforeAutospacing="0" w:after="0" w:afterAutospacing="0"/>
              <w:jc w:val="right"/>
              <w:rPr>
                <w:sz w:val="20"/>
                <w:szCs w:val="20"/>
              </w:rPr>
            </w:pPr>
            <w:r>
              <w:rPr>
                <w:sz w:val="20"/>
                <w:szCs w:val="20"/>
              </w:rPr>
              <w:t>68,13</w:t>
            </w:r>
            <w:r>
              <w:rPr>
                <w:sz w:val="20"/>
                <w:szCs w:val="20"/>
              </w:rPr>
              <w:t>2</w:t>
            </w:r>
          </w:p>
        </w:tc>
        <w:tc>
          <w:tcPr>
            <w:tcW w:w="0" w:type="auto"/>
            <w:noWrap/>
            <w:vAlign w:val="bottom"/>
            <w:hideMark/>
          </w:tcPr>
          <w:p w14:paraId="4627915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6FED785"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299EF64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25A4660" w14:textId="77777777" w:rsidR="00000000" w:rsidRDefault="00832D71">
            <w:pPr>
              <w:pStyle w:val="a3"/>
              <w:spacing w:before="0" w:beforeAutospacing="0" w:after="0" w:afterAutospacing="0"/>
              <w:jc w:val="right"/>
              <w:rPr>
                <w:sz w:val="20"/>
                <w:szCs w:val="20"/>
              </w:rPr>
            </w:pPr>
            <w:r>
              <w:rPr>
                <w:sz w:val="20"/>
                <w:szCs w:val="20"/>
              </w:rPr>
              <w:t>74,72</w:t>
            </w:r>
            <w:r>
              <w:rPr>
                <w:sz w:val="20"/>
                <w:szCs w:val="20"/>
              </w:rPr>
              <w:t>7</w:t>
            </w:r>
          </w:p>
        </w:tc>
        <w:tc>
          <w:tcPr>
            <w:tcW w:w="0" w:type="auto"/>
            <w:noWrap/>
            <w:vAlign w:val="bottom"/>
            <w:hideMark/>
          </w:tcPr>
          <w:p w14:paraId="6C4AA923" w14:textId="77777777" w:rsidR="00000000" w:rsidRDefault="00832D71">
            <w:pPr>
              <w:pStyle w:val="a3"/>
              <w:spacing w:before="0" w:beforeAutospacing="0" w:after="0" w:afterAutospacing="0"/>
              <w:rPr>
                <w:sz w:val="20"/>
                <w:szCs w:val="20"/>
              </w:rPr>
            </w:pPr>
            <w:r>
              <w:rPr>
                <w:sz w:val="20"/>
                <w:szCs w:val="20"/>
              </w:rPr>
              <w:t> </w:t>
            </w:r>
          </w:p>
        </w:tc>
      </w:tr>
      <w:tr w:rsidR="00000000" w14:paraId="301AA4C1" w14:textId="77777777">
        <w:trPr>
          <w:divId w:val="1814250964"/>
          <w:trHeight w:val="200"/>
          <w:tblCellSpacing w:w="15" w:type="dxa"/>
        </w:trPr>
        <w:tc>
          <w:tcPr>
            <w:tcW w:w="0" w:type="auto"/>
            <w:hideMark/>
          </w:tcPr>
          <w:p w14:paraId="624001ED" w14:textId="77777777" w:rsidR="00000000" w:rsidRDefault="00832D71">
            <w:pPr>
              <w:pStyle w:val="a3"/>
              <w:spacing w:before="0" w:beforeAutospacing="0" w:after="0" w:afterAutospacing="0"/>
              <w:ind w:left="400"/>
              <w:rPr>
                <w:sz w:val="20"/>
                <w:szCs w:val="20"/>
              </w:rPr>
            </w:pPr>
            <w:r>
              <w:rPr>
                <w:sz w:val="20"/>
                <w:szCs w:val="20"/>
              </w:rPr>
              <w:t>Other, ne</w:t>
            </w:r>
            <w:r>
              <w:rPr>
                <w:sz w:val="20"/>
                <w:szCs w:val="20"/>
              </w:rPr>
              <w:t>t</w:t>
            </w:r>
          </w:p>
        </w:tc>
        <w:tc>
          <w:tcPr>
            <w:tcW w:w="0" w:type="auto"/>
            <w:hideMark/>
          </w:tcPr>
          <w:p w14:paraId="4C96D4C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16E0E3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6253798" w14:textId="77777777" w:rsidR="00000000" w:rsidRDefault="00832D71">
            <w:pPr>
              <w:pStyle w:val="a3"/>
              <w:spacing w:before="0" w:beforeAutospacing="0" w:after="0" w:afterAutospacing="0"/>
              <w:jc w:val="right"/>
              <w:rPr>
                <w:sz w:val="20"/>
                <w:szCs w:val="20"/>
              </w:rPr>
            </w:pPr>
            <w:r>
              <w:rPr>
                <w:sz w:val="20"/>
                <w:szCs w:val="20"/>
              </w:rPr>
              <w:t>5,53</w:t>
            </w:r>
            <w:r>
              <w:rPr>
                <w:sz w:val="20"/>
                <w:szCs w:val="20"/>
              </w:rPr>
              <w:t>2</w:t>
            </w:r>
          </w:p>
        </w:tc>
        <w:tc>
          <w:tcPr>
            <w:tcW w:w="0" w:type="auto"/>
            <w:noWrap/>
            <w:vAlign w:val="bottom"/>
            <w:hideMark/>
          </w:tcPr>
          <w:p w14:paraId="5CD2783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15BBAF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71F6FE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C153EF8" w14:textId="77777777" w:rsidR="00000000" w:rsidRDefault="00832D71">
            <w:pPr>
              <w:pStyle w:val="a3"/>
              <w:spacing w:before="0" w:beforeAutospacing="0" w:after="0" w:afterAutospacing="0"/>
              <w:jc w:val="right"/>
              <w:rPr>
                <w:sz w:val="20"/>
                <w:szCs w:val="20"/>
              </w:rPr>
            </w:pPr>
            <w:r>
              <w:rPr>
                <w:sz w:val="20"/>
                <w:szCs w:val="20"/>
              </w:rPr>
              <w:t>5,17</w:t>
            </w:r>
            <w:r>
              <w:rPr>
                <w:sz w:val="20"/>
                <w:szCs w:val="20"/>
              </w:rPr>
              <w:t>2</w:t>
            </w:r>
          </w:p>
        </w:tc>
        <w:tc>
          <w:tcPr>
            <w:tcW w:w="0" w:type="auto"/>
            <w:noWrap/>
            <w:vAlign w:val="bottom"/>
            <w:hideMark/>
          </w:tcPr>
          <w:p w14:paraId="361D9D9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932859D"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123CABE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C9ABA65" w14:textId="77777777" w:rsidR="00000000" w:rsidRDefault="00832D71">
            <w:pPr>
              <w:pStyle w:val="a3"/>
              <w:spacing w:before="0" w:beforeAutospacing="0" w:after="0" w:afterAutospacing="0"/>
              <w:jc w:val="right"/>
              <w:rPr>
                <w:sz w:val="20"/>
                <w:szCs w:val="20"/>
              </w:rPr>
            </w:pPr>
            <w:r>
              <w:rPr>
                <w:sz w:val="20"/>
                <w:szCs w:val="20"/>
              </w:rPr>
              <w:t>4,82</w:t>
            </w:r>
            <w:r>
              <w:rPr>
                <w:sz w:val="20"/>
                <w:szCs w:val="20"/>
              </w:rPr>
              <w:t>2</w:t>
            </w:r>
          </w:p>
        </w:tc>
        <w:tc>
          <w:tcPr>
            <w:tcW w:w="0" w:type="auto"/>
            <w:noWrap/>
            <w:vAlign w:val="bottom"/>
            <w:hideMark/>
          </w:tcPr>
          <w:p w14:paraId="16ED7E80" w14:textId="77777777" w:rsidR="00000000" w:rsidRDefault="00832D71">
            <w:pPr>
              <w:pStyle w:val="a3"/>
              <w:spacing w:before="0" w:beforeAutospacing="0" w:after="0" w:afterAutospacing="0"/>
              <w:rPr>
                <w:sz w:val="20"/>
                <w:szCs w:val="20"/>
              </w:rPr>
            </w:pPr>
            <w:r>
              <w:rPr>
                <w:sz w:val="20"/>
                <w:szCs w:val="20"/>
              </w:rPr>
              <w:t> </w:t>
            </w:r>
          </w:p>
        </w:tc>
      </w:tr>
      <w:tr w:rsidR="00000000" w14:paraId="73BEEEC4" w14:textId="77777777">
        <w:trPr>
          <w:divId w:val="1814250964"/>
          <w:trHeight w:val="200"/>
          <w:tblCellSpacing w:w="15" w:type="dxa"/>
        </w:trPr>
        <w:tc>
          <w:tcPr>
            <w:tcW w:w="0" w:type="auto"/>
            <w:hideMark/>
          </w:tcPr>
          <w:p w14:paraId="092F590F" w14:textId="77777777" w:rsidR="00000000" w:rsidRDefault="00832D71">
            <w:pPr>
              <w:pStyle w:val="a3"/>
              <w:spacing w:before="0" w:beforeAutospacing="0" w:after="0" w:afterAutospacing="0"/>
              <w:ind w:left="400"/>
              <w:rPr>
                <w:sz w:val="20"/>
                <w:szCs w:val="20"/>
              </w:rPr>
            </w:pPr>
            <w:r>
              <w:rPr>
                <w:sz w:val="20"/>
                <w:szCs w:val="20"/>
              </w:rPr>
              <w:t>Provision for (benefit from) income taxe</w:t>
            </w:r>
            <w:r>
              <w:rPr>
                <w:sz w:val="20"/>
                <w:szCs w:val="20"/>
              </w:rPr>
              <w:t>s</w:t>
            </w:r>
          </w:p>
        </w:tc>
        <w:tc>
          <w:tcPr>
            <w:tcW w:w="0" w:type="auto"/>
            <w:hideMark/>
          </w:tcPr>
          <w:p w14:paraId="787838D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72A5AC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EE8DB01" w14:textId="77777777" w:rsidR="00000000" w:rsidRDefault="00832D71">
            <w:pPr>
              <w:pStyle w:val="a3"/>
              <w:spacing w:before="0" w:beforeAutospacing="0" w:after="0" w:afterAutospacing="0"/>
              <w:jc w:val="right"/>
              <w:rPr>
                <w:sz w:val="20"/>
                <w:szCs w:val="20"/>
              </w:rPr>
            </w:pPr>
            <w:r>
              <w:rPr>
                <w:sz w:val="20"/>
                <w:szCs w:val="20"/>
              </w:rPr>
              <w:t>42</w:t>
            </w:r>
            <w:r>
              <w:rPr>
                <w:sz w:val="20"/>
                <w:szCs w:val="20"/>
              </w:rPr>
              <w:t>9</w:t>
            </w:r>
          </w:p>
        </w:tc>
        <w:tc>
          <w:tcPr>
            <w:tcW w:w="0" w:type="auto"/>
            <w:noWrap/>
            <w:vAlign w:val="bottom"/>
            <w:hideMark/>
          </w:tcPr>
          <w:p w14:paraId="7626B257"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594B2E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4A05F7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77C7695" w14:textId="77777777" w:rsidR="00000000" w:rsidRDefault="00832D71">
            <w:pPr>
              <w:pStyle w:val="a3"/>
              <w:spacing w:before="0" w:beforeAutospacing="0" w:after="0" w:afterAutospacing="0"/>
              <w:jc w:val="right"/>
              <w:rPr>
                <w:sz w:val="20"/>
                <w:szCs w:val="20"/>
              </w:rPr>
            </w:pPr>
            <w:r>
              <w:rPr>
                <w:sz w:val="20"/>
                <w:szCs w:val="20"/>
              </w:rPr>
              <w:t>1,11</w:t>
            </w:r>
            <w:r>
              <w:rPr>
                <w:sz w:val="20"/>
                <w:szCs w:val="20"/>
              </w:rPr>
              <w:t>0</w:t>
            </w:r>
          </w:p>
        </w:tc>
        <w:tc>
          <w:tcPr>
            <w:tcW w:w="0" w:type="auto"/>
            <w:noWrap/>
            <w:vAlign w:val="bottom"/>
            <w:hideMark/>
          </w:tcPr>
          <w:p w14:paraId="0CDE1E4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03B5B36"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4026F7E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201A8EC" w14:textId="77777777" w:rsidR="00000000" w:rsidRDefault="00832D71">
            <w:pPr>
              <w:pStyle w:val="a3"/>
              <w:spacing w:before="0" w:beforeAutospacing="0" w:after="0" w:afterAutospacing="0"/>
              <w:jc w:val="right"/>
              <w:rPr>
                <w:sz w:val="20"/>
                <w:szCs w:val="20"/>
              </w:rPr>
            </w:pPr>
            <w:r>
              <w:rPr>
                <w:sz w:val="20"/>
                <w:szCs w:val="20"/>
              </w:rPr>
              <w:t>(</w:t>
            </w:r>
            <w:r>
              <w:rPr>
                <w:sz w:val="20"/>
                <w:szCs w:val="20"/>
              </w:rPr>
              <w:t>14</w:t>
            </w:r>
            <w:r>
              <w:rPr>
                <w:sz w:val="20"/>
                <w:szCs w:val="20"/>
              </w:rPr>
              <w:t>6</w:t>
            </w:r>
          </w:p>
        </w:tc>
        <w:tc>
          <w:tcPr>
            <w:tcW w:w="0" w:type="auto"/>
            <w:noWrap/>
            <w:vAlign w:val="bottom"/>
            <w:hideMark/>
          </w:tcPr>
          <w:p w14:paraId="04BA2235" w14:textId="77777777" w:rsidR="00000000" w:rsidRDefault="00832D71">
            <w:pPr>
              <w:pStyle w:val="a3"/>
              <w:spacing w:before="0" w:beforeAutospacing="0" w:after="0" w:afterAutospacing="0"/>
              <w:rPr>
                <w:sz w:val="20"/>
                <w:szCs w:val="20"/>
              </w:rPr>
            </w:pPr>
            <w:r>
              <w:rPr>
                <w:sz w:val="20"/>
                <w:szCs w:val="20"/>
              </w:rPr>
              <w:t>)</w:t>
            </w:r>
          </w:p>
        </w:tc>
      </w:tr>
      <w:tr w:rsidR="00000000" w14:paraId="6F7A7720" w14:textId="77777777">
        <w:trPr>
          <w:divId w:val="1814250964"/>
          <w:trHeight w:val="200"/>
          <w:tblCellSpacing w:w="15" w:type="dxa"/>
        </w:trPr>
        <w:tc>
          <w:tcPr>
            <w:tcW w:w="0" w:type="auto"/>
            <w:hideMark/>
          </w:tcPr>
          <w:p w14:paraId="7EDAD926" w14:textId="77777777" w:rsidR="00000000" w:rsidRDefault="00832D71">
            <w:pPr>
              <w:pStyle w:val="a3"/>
              <w:spacing w:before="0" w:beforeAutospacing="0" w:after="0" w:afterAutospacing="0"/>
              <w:ind w:left="200"/>
              <w:rPr>
                <w:sz w:val="20"/>
                <w:szCs w:val="20"/>
              </w:rPr>
            </w:pPr>
            <w:r>
              <w:rPr>
                <w:sz w:val="20"/>
                <w:szCs w:val="20"/>
              </w:rPr>
              <w:t>Net incom</w:t>
            </w:r>
            <w:r>
              <w:rPr>
                <w:sz w:val="20"/>
                <w:szCs w:val="20"/>
              </w:rPr>
              <w:t>e</w:t>
            </w:r>
          </w:p>
        </w:tc>
        <w:tc>
          <w:tcPr>
            <w:tcW w:w="0" w:type="auto"/>
            <w:hideMark/>
          </w:tcPr>
          <w:p w14:paraId="2CC9821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98F7202"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F159A89" w14:textId="77777777" w:rsidR="00000000" w:rsidRDefault="00832D71">
            <w:pPr>
              <w:pStyle w:val="a3"/>
              <w:spacing w:before="0" w:beforeAutospacing="0" w:after="0" w:afterAutospacing="0"/>
              <w:jc w:val="right"/>
              <w:rPr>
                <w:sz w:val="20"/>
                <w:szCs w:val="20"/>
              </w:rPr>
            </w:pPr>
            <w:r>
              <w:rPr>
                <w:sz w:val="20"/>
                <w:szCs w:val="20"/>
              </w:rPr>
              <w:t>139,70</w:t>
            </w:r>
            <w:r>
              <w:rPr>
                <w:sz w:val="20"/>
                <w:szCs w:val="20"/>
              </w:rPr>
              <w:t>8</w:t>
            </w:r>
          </w:p>
        </w:tc>
        <w:tc>
          <w:tcPr>
            <w:tcW w:w="0" w:type="auto"/>
            <w:noWrap/>
            <w:vAlign w:val="bottom"/>
            <w:hideMark/>
          </w:tcPr>
          <w:p w14:paraId="1AD62B26"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5421F2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4B30166"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2499028" w14:textId="77777777" w:rsidR="00000000" w:rsidRDefault="00832D71">
            <w:pPr>
              <w:pStyle w:val="a3"/>
              <w:spacing w:before="0" w:beforeAutospacing="0" w:after="0" w:afterAutospacing="0"/>
              <w:jc w:val="right"/>
              <w:rPr>
                <w:sz w:val="20"/>
                <w:szCs w:val="20"/>
              </w:rPr>
            </w:pPr>
            <w:r>
              <w:rPr>
                <w:sz w:val="20"/>
                <w:szCs w:val="20"/>
              </w:rPr>
              <w:t>122,79</w:t>
            </w:r>
            <w:r>
              <w:rPr>
                <w:sz w:val="20"/>
                <w:szCs w:val="20"/>
              </w:rPr>
              <w:t>3</w:t>
            </w:r>
          </w:p>
        </w:tc>
        <w:tc>
          <w:tcPr>
            <w:tcW w:w="0" w:type="auto"/>
            <w:noWrap/>
            <w:vAlign w:val="bottom"/>
            <w:hideMark/>
          </w:tcPr>
          <w:p w14:paraId="2B2C09C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380CAF3"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0EF69F1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6416ABB" w14:textId="77777777" w:rsidR="00000000" w:rsidRDefault="00832D71">
            <w:pPr>
              <w:pStyle w:val="a3"/>
              <w:spacing w:before="0" w:beforeAutospacing="0" w:after="0" w:afterAutospacing="0"/>
              <w:jc w:val="right"/>
              <w:rPr>
                <w:sz w:val="20"/>
                <w:szCs w:val="20"/>
              </w:rPr>
            </w:pPr>
            <w:r>
              <w:rPr>
                <w:sz w:val="20"/>
                <w:szCs w:val="20"/>
              </w:rPr>
              <w:t>60,75</w:t>
            </w:r>
            <w:r>
              <w:rPr>
                <w:sz w:val="20"/>
                <w:szCs w:val="20"/>
              </w:rPr>
              <w:t>8</w:t>
            </w:r>
          </w:p>
        </w:tc>
        <w:tc>
          <w:tcPr>
            <w:tcW w:w="0" w:type="auto"/>
            <w:noWrap/>
            <w:vAlign w:val="bottom"/>
            <w:hideMark/>
          </w:tcPr>
          <w:p w14:paraId="36A83EB5" w14:textId="77777777" w:rsidR="00000000" w:rsidRDefault="00832D71">
            <w:pPr>
              <w:pStyle w:val="a3"/>
              <w:spacing w:before="0" w:beforeAutospacing="0" w:after="0" w:afterAutospacing="0"/>
              <w:rPr>
                <w:sz w:val="20"/>
                <w:szCs w:val="20"/>
              </w:rPr>
            </w:pPr>
            <w:r>
              <w:rPr>
                <w:sz w:val="20"/>
                <w:szCs w:val="20"/>
              </w:rPr>
              <w:t> </w:t>
            </w:r>
          </w:p>
        </w:tc>
      </w:tr>
    </w:tbl>
    <w:p w14:paraId="4838EA81" w14:textId="77777777" w:rsidR="00000000" w:rsidRDefault="00832D71">
      <w:pPr>
        <w:pStyle w:val="a3"/>
        <w:spacing w:before="200" w:beforeAutospacing="0" w:after="0" w:afterAutospacing="0"/>
        <w:jc w:val="center"/>
        <w:divId w:val="1814250964"/>
        <w:rPr>
          <w:sz w:val="20"/>
          <w:szCs w:val="20"/>
        </w:rPr>
      </w:pPr>
      <w:r>
        <w:rPr>
          <w:sz w:val="20"/>
          <w:szCs w:val="20"/>
        </w:rPr>
        <w:t>F</w:t>
      </w:r>
      <w:r>
        <w:rPr>
          <w:sz w:val="20"/>
          <w:szCs w:val="20"/>
        </w:rPr>
        <w:t>-</w:t>
      </w:r>
      <w:r>
        <w:rPr>
          <w:sz w:val="20"/>
          <w:szCs w:val="20"/>
        </w:rPr>
        <w:t>3</w:t>
      </w:r>
      <w:r>
        <w:rPr>
          <w:sz w:val="20"/>
          <w:szCs w:val="20"/>
        </w:rPr>
        <w:t>2</w:t>
      </w:r>
    </w:p>
    <w:p w14:paraId="4A8935A6" w14:textId="77777777" w:rsidR="00000000" w:rsidRDefault="00832D71">
      <w:pPr>
        <w:divId w:val="1814250964"/>
        <w:rPr>
          <w:rFonts w:ascii="Calibri" w:eastAsia="Times New Roman" w:hAnsi="Calibri" w:cs="Calibri"/>
          <w:sz w:val="22"/>
          <w:szCs w:val="22"/>
        </w:rPr>
      </w:pPr>
      <w:r>
        <w:rPr>
          <w:rFonts w:ascii="Calibri" w:eastAsia="Times New Roman" w:hAnsi="Calibri" w:cs="Calibri"/>
          <w:sz w:val="22"/>
          <w:szCs w:val="22"/>
        </w:rPr>
        <w:pict w14:anchorId="436A5DDC">
          <v:rect id="_x0000_i1151" style="width:0;height:1.5pt" o:hralign="center" o:hrstd="t" o:hr="t" fillcolor="#a0a0a0" stroked="f"/>
        </w:pict>
      </w:r>
    </w:p>
    <w:p w14:paraId="0CDBF288" w14:textId="77777777" w:rsidR="00000000" w:rsidRDefault="00832D71">
      <w:pPr>
        <w:pStyle w:val="a3"/>
        <w:spacing w:before="0" w:beforeAutospacing="0" w:after="0" w:afterAutospacing="0"/>
        <w:divId w:val="1814250964"/>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60"/>
        <w:gridCol w:w="110"/>
        <w:gridCol w:w="160"/>
        <w:gridCol w:w="610"/>
        <w:gridCol w:w="110"/>
        <w:gridCol w:w="110"/>
        <w:gridCol w:w="160"/>
        <w:gridCol w:w="710"/>
        <w:gridCol w:w="110"/>
        <w:gridCol w:w="110"/>
        <w:gridCol w:w="160"/>
        <w:gridCol w:w="710"/>
        <w:gridCol w:w="125"/>
      </w:tblGrid>
      <w:tr w:rsidR="00000000" w14:paraId="6BA59649" w14:textId="77777777">
        <w:trPr>
          <w:divId w:val="1814250964"/>
          <w:tblCellSpacing w:w="15" w:type="dxa"/>
        </w:trPr>
        <w:tc>
          <w:tcPr>
            <w:tcW w:w="2873" w:type="pct"/>
            <w:vAlign w:val="center"/>
            <w:hideMark/>
          </w:tcPr>
          <w:p w14:paraId="6CF3FAFC" w14:textId="77777777" w:rsidR="00000000" w:rsidRDefault="00832D71">
            <w:pPr>
              <w:rPr>
                <w:sz w:val="20"/>
                <w:szCs w:val="20"/>
              </w:rPr>
            </w:pPr>
          </w:p>
        </w:tc>
        <w:tc>
          <w:tcPr>
            <w:tcW w:w="70" w:type="pct"/>
            <w:vAlign w:val="center"/>
            <w:hideMark/>
          </w:tcPr>
          <w:p w14:paraId="66F07C7F" w14:textId="77777777" w:rsidR="00000000" w:rsidRDefault="00832D71">
            <w:pPr>
              <w:rPr>
                <w:rFonts w:eastAsia="Times New Roman"/>
                <w:sz w:val="20"/>
                <w:szCs w:val="20"/>
              </w:rPr>
            </w:pPr>
          </w:p>
        </w:tc>
        <w:tc>
          <w:tcPr>
            <w:tcW w:w="50" w:type="pct"/>
            <w:vAlign w:val="center"/>
            <w:hideMark/>
          </w:tcPr>
          <w:p w14:paraId="32E50428" w14:textId="77777777" w:rsidR="00000000" w:rsidRDefault="00832D71">
            <w:pPr>
              <w:rPr>
                <w:rFonts w:eastAsia="Times New Roman"/>
                <w:sz w:val="20"/>
                <w:szCs w:val="20"/>
              </w:rPr>
            </w:pPr>
          </w:p>
        </w:tc>
        <w:tc>
          <w:tcPr>
            <w:tcW w:w="535" w:type="pct"/>
            <w:vAlign w:val="center"/>
            <w:hideMark/>
          </w:tcPr>
          <w:p w14:paraId="16DD3B37" w14:textId="77777777" w:rsidR="00000000" w:rsidRDefault="00832D71">
            <w:pPr>
              <w:rPr>
                <w:rFonts w:eastAsia="Times New Roman"/>
                <w:sz w:val="20"/>
                <w:szCs w:val="20"/>
              </w:rPr>
            </w:pPr>
          </w:p>
        </w:tc>
        <w:tc>
          <w:tcPr>
            <w:tcW w:w="50" w:type="pct"/>
            <w:vAlign w:val="center"/>
            <w:hideMark/>
          </w:tcPr>
          <w:p w14:paraId="403567CD" w14:textId="77777777" w:rsidR="00000000" w:rsidRDefault="00832D71">
            <w:pPr>
              <w:rPr>
                <w:rFonts w:eastAsia="Times New Roman"/>
                <w:sz w:val="20"/>
                <w:szCs w:val="20"/>
              </w:rPr>
            </w:pPr>
          </w:p>
        </w:tc>
        <w:tc>
          <w:tcPr>
            <w:tcW w:w="70" w:type="pct"/>
            <w:vAlign w:val="center"/>
            <w:hideMark/>
          </w:tcPr>
          <w:p w14:paraId="5BDBED80" w14:textId="77777777" w:rsidR="00000000" w:rsidRDefault="00832D71">
            <w:pPr>
              <w:rPr>
                <w:rFonts w:eastAsia="Times New Roman"/>
                <w:sz w:val="20"/>
                <w:szCs w:val="20"/>
              </w:rPr>
            </w:pPr>
          </w:p>
        </w:tc>
        <w:tc>
          <w:tcPr>
            <w:tcW w:w="50" w:type="pct"/>
            <w:vAlign w:val="center"/>
            <w:hideMark/>
          </w:tcPr>
          <w:p w14:paraId="1F333306" w14:textId="77777777" w:rsidR="00000000" w:rsidRDefault="00832D71">
            <w:pPr>
              <w:rPr>
                <w:rFonts w:eastAsia="Times New Roman"/>
                <w:sz w:val="20"/>
                <w:szCs w:val="20"/>
              </w:rPr>
            </w:pPr>
          </w:p>
        </w:tc>
        <w:tc>
          <w:tcPr>
            <w:tcW w:w="535" w:type="pct"/>
            <w:vAlign w:val="center"/>
            <w:hideMark/>
          </w:tcPr>
          <w:p w14:paraId="0A3939C3" w14:textId="77777777" w:rsidR="00000000" w:rsidRDefault="00832D71">
            <w:pPr>
              <w:rPr>
                <w:rFonts w:eastAsia="Times New Roman"/>
                <w:sz w:val="20"/>
                <w:szCs w:val="20"/>
              </w:rPr>
            </w:pPr>
          </w:p>
        </w:tc>
        <w:tc>
          <w:tcPr>
            <w:tcW w:w="50" w:type="pct"/>
            <w:vAlign w:val="center"/>
            <w:hideMark/>
          </w:tcPr>
          <w:p w14:paraId="50699361" w14:textId="77777777" w:rsidR="00000000" w:rsidRDefault="00832D71">
            <w:pPr>
              <w:rPr>
                <w:rFonts w:eastAsia="Times New Roman"/>
                <w:sz w:val="20"/>
                <w:szCs w:val="20"/>
              </w:rPr>
            </w:pPr>
          </w:p>
        </w:tc>
        <w:tc>
          <w:tcPr>
            <w:tcW w:w="70" w:type="pct"/>
            <w:vAlign w:val="center"/>
            <w:hideMark/>
          </w:tcPr>
          <w:p w14:paraId="7D47CA26" w14:textId="77777777" w:rsidR="00000000" w:rsidRDefault="00832D71">
            <w:pPr>
              <w:rPr>
                <w:rFonts w:eastAsia="Times New Roman"/>
                <w:sz w:val="20"/>
                <w:szCs w:val="20"/>
              </w:rPr>
            </w:pPr>
          </w:p>
        </w:tc>
        <w:tc>
          <w:tcPr>
            <w:tcW w:w="50" w:type="pct"/>
            <w:vAlign w:val="center"/>
            <w:hideMark/>
          </w:tcPr>
          <w:p w14:paraId="462312CF" w14:textId="77777777" w:rsidR="00000000" w:rsidRDefault="00832D71">
            <w:pPr>
              <w:rPr>
                <w:rFonts w:eastAsia="Times New Roman"/>
                <w:sz w:val="20"/>
                <w:szCs w:val="20"/>
              </w:rPr>
            </w:pPr>
          </w:p>
        </w:tc>
        <w:tc>
          <w:tcPr>
            <w:tcW w:w="545" w:type="pct"/>
            <w:vAlign w:val="center"/>
            <w:hideMark/>
          </w:tcPr>
          <w:p w14:paraId="4A95648B" w14:textId="77777777" w:rsidR="00000000" w:rsidRDefault="00832D71">
            <w:pPr>
              <w:rPr>
                <w:rFonts w:eastAsia="Times New Roman"/>
                <w:sz w:val="20"/>
                <w:szCs w:val="20"/>
              </w:rPr>
            </w:pPr>
          </w:p>
        </w:tc>
        <w:tc>
          <w:tcPr>
            <w:tcW w:w="50" w:type="pct"/>
            <w:vAlign w:val="center"/>
            <w:hideMark/>
          </w:tcPr>
          <w:p w14:paraId="603EFE10" w14:textId="77777777" w:rsidR="00000000" w:rsidRDefault="00832D71">
            <w:pPr>
              <w:rPr>
                <w:rFonts w:eastAsia="Times New Roman"/>
                <w:sz w:val="20"/>
                <w:szCs w:val="20"/>
              </w:rPr>
            </w:pPr>
          </w:p>
        </w:tc>
      </w:tr>
      <w:tr w:rsidR="00000000" w14:paraId="74192837" w14:textId="77777777">
        <w:trPr>
          <w:divId w:val="1814250964"/>
          <w:tblCellSpacing w:w="15" w:type="dxa"/>
        </w:trPr>
        <w:tc>
          <w:tcPr>
            <w:tcW w:w="0" w:type="auto"/>
            <w:hideMark/>
          </w:tcPr>
          <w:p w14:paraId="4A834CA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A1F9BB9"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9A5DCE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B1760F5"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AEF59D8"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6B5667D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CDAA20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A8701B9"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4859D093"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8A38459" w14:textId="77777777" w:rsidR="00000000" w:rsidRDefault="00832D71">
            <w:pPr>
              <w:pStyle w:val="a3"/>
              <w:spacing w:before="0" w:beforeAutospacing="0" w:after="0" w:afterAutospacing="0"/>
              <w:jc w:val="right"/>
              <w:rPr>
                <w:sz w:val="20"/>
                <w:szCs w:val="20"/>
              </w:rPr>
            </w:pPr>
            <w:r>
              <w:rPr>
                <w:sz w:val="20"/>
                <w:szCs w:val="20"/>
              </w:rPr>
              <w:t> </w:t>
            </w:r>
          </w:p>
        </w:tc>
      </w:tr>
      <w:tr w:rsidR="00000000" w14:paraId="57DE38D7" w14:textId="77777777">
        <w:trPr>
          <w:divId w:val="1814250964"/>
          <w:trHeight w:val="200"/>
          <w:tblCellSpacing w:w="15" w:type="dxa"/>
        </w:trPr>
        <w:tc>
          <w:tcPr>
            <w:tcW w:w="0" w:type="auto"/>
            <w:hideMark/>
          </w:tcPr>
          <w:p w14:paraId="0428B6AD" w14:textId="77777777" w:rsidR="00000000" w:rsidRDefault="00832D71">
            <w:pPr>
              <w:pStyle w:val="a3"/>
              <w:spacing w:before="0" w:beforeAutospacing="0" w:after="0" w:afterAutospacing="0"/>
              <w:rPr>
                <w:sz w:val="20"/>
                <w:szCs w:val="20"/>
              </w:rPr>
            </w:pPr>
            <w:r>
              <w:rPr>
                <w:b/>
                <w:bCs/>
                <w:sz w:val="20"/>
                <w:szCs w:val="20"/>
              </w:rPr>
              <w:t>Depreciation and amortization</w:t>
            </w:r>
            <w:r>
              <w:rPr>
                <w:b/>
                <w:bCs/>
                <w:sz w:val="20"/>
                <w:szCs w:val="20"/>
              </w:rPr>
              <w:t>:</w:t>
            </w:r>
          </w:p>
        </w:tc>
        <w:tc>
          <w:tcPr>
            <w:tcW w:w="0" w:type="auto"/>
            <w:hideMark/>
          </w:tcPr>
          <w:p w14:paraId="28F4C585"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14A3B6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7D5F88C"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56ACDEB0"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40E7D8E2"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97832DE"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3441D2E"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7203FD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B3DAB38" w14:textId="77777777" w:rsidR="00000000" w:rsidRDefault="00832D71">
            <w:pPr>
              <w:pStyle w:val="a3"/>
              <w:spacing w:before="0" w:beforeAutospacing="0" w:after="0" w:afterAutospacing="0"/>
              <w:jc w:val="right"/>
              <w:rPr>
                <w:sz w:val="20"/>
                <w:szCs w:val="20"/>
              </w:rPr>
            </w:pPr>
            <w:r>
              <w:rPr>
                <w:sz w:val="20"/>
                <w:szCs w:val="20"/>
              </w:rPr>
              <w:t> </w:t>
            </w:r>
          </w:p>
        </w:tc>
      </w:tr>
      <w:tr w:rsidR="00000000" w14:paraId="4FCA114A" w14:textId="77777777">
        <w:trPr>
          <w:divId w:val="1814250964"/>
          <w:trHeight w:val="200"/>
          <w:tblCellSpacing w:w="15" w:type="dxa"/>
        </w:trPr>
        <w:tc>
          <w:tcPr>
            <w:tcW w:w="0" w:type="auto"/>
            <w:hideMark/>
          </w:tcPr>
          <w:p w14:paraId="03378479" w14:textId="77777777" w:rsidR="00000000" w:rsidRDefault="00832D71">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14:paraId="03E1CCC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87AD32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B045C19" w14:textId="77777777" w:rsidR="00000000" w:rsidRDefault="00832D71">
            <w:pPr>
              <w:pStyle w:val="a3"/>
              <w:spacing w:before="0" w:beforeAutospacing="0" w:after="0" w:afterAutospacing="0"/>
              <w:jc w:val="right"/>
              <w:rPr>
                <w:sz w:val="20"/>
                <w:szCs w:val="20"/>
              </w:rPr>
            </w:pPr>
            <w:r>
              <w:rPr>
                <w:sz w:val="20"/>
                <w:szCs w:val="20"/>
              </w:rPr>
              <w:t>50,05</w:t>
            </w:r>
            <w:r>
              <w:rPr>
                <w:sz w:val="20"/>
                <w:szCs w:val="20"/>
              </w:rPr>
              <w:t>3</w:t>
            </w:r>
          </w:p>
        </w:tc>
        <w:tc>
          <w:tcPr>
            <w:tcW w:w="0" w:type="auto"/>
            <w:noWrap/>
            <w:vAlign w:val="bottom"/>
            <w:hideMark/>
          </w:tcPr>
          <w:p w14:paraId="214E183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4C037634"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BDA97A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BF80D86" w14:textId="77777777" w:rsidR="00000000" w:rsidRDefault="00832D71">
            <w:pPr>
              <w:pStyle w:val="a3"/>
              <w:spacing w:before="0" w:beforeAutospacing="0" w:after="0" w:afterAutospacing="0"/>
              <w:jc w:val="right"/>
              <w:rPr>
                <w:sz w:val="20"/>
                <w:szCs w:val="20"/>
              </w:rPr>
            </w:pPr>
            <w:r>
              <w:rPr>
                <w:sz w:val="20"/>
                <w:szCs w:val="20"/>
              </w:rPr>
              <w:t>95,61</w:t>
            </w:r>
            <w:r>
              <w:rPr>
                <w:sz w:val="20"/>
                <w:szCs w:val="20"/>
              </w:rPr>
              <w:t>6</w:t>
            </w:r>
          </w:p>
        </w:tc>
        <w:tc>
          <w:tcPr>
            <w:tcW w:w="0" w:type="auto"/>
            <w:noWrap/>
            <w:vAlign w:val="bottom"/>
            <w:hideMark/>
          </w:tcPr>
          <w:p w14:paraId="062BA83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53E049D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E7CFE5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7C353B05" w14:textId="77777777" w:rsidR="00000000" w:rsidRDefault="00832D71">
            <w:pPr>
              <w:pStyle w:val="a3"/>
              <w:spacing w:before="0" w:beforeAutospacing="0" w:after="0" w:afterAutospacing="0"/>
              <w:jc w:val="right"/>
              <w:rPr>
                <w:sz w:val="20"/>
                <w:szCs w:val="20"/>
              </w:rPr>
            </w:pPr>
            <w:r>
              <w:rPr>
                <w:sz w:val="20"/>
                <w:szCs w:val="20"/>
              </w:rPr>
              <w:t>106,72</w:t>
            </w:r>
            <w:r>
              <w:rPr>
                <w:sz w:val="20"/>
                <w:szCs w:val="20"/>
              </w:rPr>
              <w:t>5</w:t>
            </w:r>
          </w:p>
        </w:tc>
        <w:tc>
          <w:tcPr>
            <w:tcW w:w="0" w:type="auto"/>
            <w:noWrap/>
            <w:vAlign w:val="bottom"/>
            <w:hideMark/>
          </w:tcPr>
          <w:p w14:paraId="2126279A" w14:textId="77777777" w:rsidR="00000000" w:rsidRDefault="00832D71">
            <w:pPr>
              <w:pStyle w:val="a3"/>
              <w:spacing w:before="0" w:beforeAutospacing="0" w:after="0" w:afterAutospacing="0"/>
              <w:rPr>
                <w:sz w:val="20"/>
                <w:szCs w:val="20"/>
              </w:rPr>
            </w:pPr>
            <w:r>
              <w:rPr>
                <w:sz w:val="20"/>
                <w:szCs w:val="20"/>
              </w:rPr>
              <w:t> </w:t>
            </w:r>
          </w:p>
        </w:tc>
      </w:tr>
      <w:tr w:rsidR="00000000" w14:paraId="611210FA" w14:textId="77777777">
        <w:trPr>
          <w:divId w:val="1814250964"/>
          <w:trHeight w:val="200"/>
          <w:tblCellSpacing w:w="15" w:type="dxa"/>
        </w:trPr>
        <w:tc>
          <w:tcPr>
            <w:tcW w:w="0" w:type="auto"/>
            <w:hideMark/>
          </w:tcPr>
          <w:p w14:paraId="160635A0" w14:textId="77777777" w:rsidR="00000000" w:rsidRDefault="00832D71">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14:paraId="07440AA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8586B4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31748E5" w14:textId="77777777" w:rsidR="00000000" w:rsidRDefault="00832D71">
            <w:pPr>
              <w:pStyle w:val="a3"/>
              <w:spacing w:before="0" w:beforeAutospacing="0" w:after="0" w:afterAutospacing="0"/>
              <w:jc w:val="right"/>
              <w:rPr>
                <w:sz w:val="20"/>
                <w:szCs w:val="20"/>
              </w:rPr>
            </w:pPr>
            <w:r>
              <w:rPr>
                <w:sz w:val="20"/>
                <w:szCs w:val="20"/>
              </w:rPr>
              <w:t>1,69</w:t>
            </w:r>
            <w:r>
              <w:rPr>
                <w:sz w:val="20"/>
                <w:szCs w:val="20"/>
              </w:rPr>
              <w:t>3</w:t>
            </w:r>
          </w:p>
        </w:tc>
        <w:tc>
          <w:tcPr>
            <w:tcW w:w="0" w:type="auto"/>
            <w:noWrap/>
            <w:vAlign w:val="bottom"/>
            <w:hideMark/>
          </w:tcPr>
          <w:p w14:paraId="3F54607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304B46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68AB09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A52F0E" w14:textId="77777777" w:rsidR="00000000" w:rsidRDefault="00832D71">
            <w:pPr>
              <w:pStyle w:val="a3"/>
              <w:spacing w:before="0" w:beforeAutospacing="0" w:after="0" w:afterAutospacing="0"/>
              <w:jc w:val="right"/>
              <w:rPr>
                <w:sz w:val="20"/>
                <w:szCs w:val="20"/>
              </w:rPr>
            </w:pPr>
            <w:r>
              <w:rPr>
                <w:sz w:val="20"/>
                <w:szCs w:val="20"/>
              </w:rPr>
              <w:t>1,65</w:t>
            </w:r>
            <w:r>
              <w:rPr>
                <w:sz w:val="20"/>
                <w:szCs w:val="20"/>
              </w:rPr>
              <w:t>4</w:t>
            </w:r>
          </w:p>
        </w:tc>
        <w:tc>
          <w:tcPr>
            <w:tcW w:w="0" w:type="auto"/>
            <w:noWrap/>
            <w:vAlign w:val="bottom"/>
            <w:hideMark/>
          </w:tcPr>
          <w:p w14:paraId="090AE748"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2577BA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12FFFA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9705E4C" w14:textId="77777777" w:rsidR="00000000" w:rsidRDefault="00832D71">
            <w:pPr>
              <w:pStyle w:val="a3"/>
              <w:spacing w:before="0" w:beforeAutospacing="0" w:after="0" w:afterAutospacing="0"/>
              <w:jc w:val="right"/>
              <w:rPr>
                <w:sz w:val="20"/>
                <w:szCs w:val="20"/>
              </w:rPr>
            </w:pPr>
            <w:r>
              <w:rPr>
                <w:sz w:val="20"/>
                <w:szCs w:val="20"/>
              </w:rPr>
              <w:t>1,84</w:t>
            </w:r>
            <w:r>
              <w:rPr>
                <w:sz w:val="20"/>
                <w:szCs w:val="20"/>
              </w:rPr>
              <w:t>3</w:t>
            </w:r>
          </w:p>
        </w:tc>
        <w:tc>
          <w:tcPr>
            <w:tcW w:w="0" w:type="auto"/>
            <w:noWrap/>
            <w:vAlign w:val="bottom"/>
            <w:hideMark/>
          </w:tcPr>
          <w:p w14:paraId="46DE8145" w14:textId="77777777" w:rsidR="00000000" w:rsidRDefault="00832D71">
            <w:pPr>
              <w:pStyle w:val="a3"/>
              <w:spacing w:before="0" w:beforeAutospacing="0" w:after="0" w:afterAutospacing="0"/>
              <w:rPr>
                <w:sz w:val="20"/>
                <w:szCs w:val="20"/>
              </w:rPr>
            </w:pPr>
            <w:r>
              <w:rPr>
                <w:sz w:val="20"/>
                <w:szCs w:val="20"/>
              </w:rPr>
              <w:t> </w:t>
            </w:r>
          </w:p>
        </w:tc>
      </w:tr>
      <w:tr w:rsidR="00000000" w14:paraId="7C19F703" w14:textId="77777777">
        <w:trPr>
          <w:divId w:val="1814250964"/>
          <w:trHeight w:val="200"/>
          <w:tblCellSpacing w:w="15" w:type="dxa"/>
        </w:trPr>
        <w:tc>
          <w:tcPr>
            <w:tcW w:w="0" w:type="auto"/>
            <w:hideMark/>
          </w:tcPr>
          <w:p w14:paraId="0D2229A7" w14:textId="77777777" w:rsidR="00000000" w:rsidRDefault="00832D71">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14:paraId="72A4B58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3D5997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46C7F4F" w14:textId="77777777" w:rsidR="00000000" w:rsidRDefault="00832D71">
            <w:pPr>
              <w:pStyle w:val="a3"/>
              <w:spacing w:before="0" w:beforeAutospacing="0" w:after="0" w:afterAutospacing="0"/>
              <w:jc w:val="right"/>
              <w:rPr>
                <w:sz w:val="20"/>
                <w:szCs w:val="20"/>
              </w:rPr>
            </w:pPr>
            <w:r>
              <w:rPr>
                <w:sz w:val="20"/>
                <w:szCs w:val="20"/>
              </w:rPr>
              <w:t>2</w:t>
            </w:r>
            <w:r>
              <w:rPr>
                <w:sz w:val="20"/>
                <w:szCs w:val="20"/>
              </w:rPr>
              <w:t>1</w:t>
            </w:r>
          </w:p>
        </w:tc>
        <w:tc>
          <w:tcPr>
            <w:tcW w:w="0" w:type="auto"/>
            <w:noWrap/>
            <w:vAlign w:val="bottom"/>
            <w:hideMark/>
          </w:tcPr>
          <w:p w14:paraId="715CCBD1"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1004142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784EB9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14DC849" w14:textId="77777777" w:rsidR="00000000" w:rsidRDefault="00832D71">
            <w:pPr>
              <w:pStyle w:val="a3"/>
              <w:spacing w:before="0" w:beforeAutospacing="0" w:after="0" w:afterAutospacing="0"/>
              <w:jc w:val="right"/>
              <w:rPr>
                <w:sz w:val="20"/>
                <w:szCs w:val="20"/>
              </w:rPr>
            </w:pPr>
            <w:r>
              <w:rPr>
                <w:sz w:val="20"/>
                <w:szCs w:val="20"/>
              </w:rPr>
              <w:t>2</w:t>
            </w:r>
            <w:r>
              <w:rPr>
                <w:sz w:val="20"/>
                <w:szCs w:val="20"/>
              </w:rPr>
              <w:t>4</w:t>
            </w:r>
          </w:p>
        </w:tc>
        <w:tc>
          <w:tcPr>
            <w:tcW w:w="0" w:type="auto"/>
            <w:noWrap/>
            <w:vAlign w:val="bottom"/>
            <w:hideMark/>
          </w:tcPr>
          <w:p w14:paraId="70094B3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F98889A"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9BD583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FECCD8E" w14:textId="77777777" w:rsidR="00000000" w:rsidRDefault="00832D71">
            <w:pPr>
              <w:pStyle w:val="a3"/>
              <w:spacing w:before="0" w:beforeAutospacing="0" w:after="0" w:afterAutospacing="0"/>
              <w:jc w:val="right"/>
              <w:rPr>
                <w:sz w:val="20"/>
                <w:szCs w:val="20"/>
              </w:rPr>
            </w:pPr>
            <w:r>
              <w:rPr>
                <w:sz w:val="20"/>
                <w:szCs w:val="20"/>
              </w:rPr>
              <w:t>1</w:t>
            </w:r>
            <w:r>
              <w:rPr>
                <w:sz w:val="20"/>
                <w:szCs w:val="20"/>
              </w:rPr>
              <w:t>8</w:t>
            </w:r>
          </w:p>
        </w:tc>
        <w:tc>
          <w:tcPr>
            <w:tcW w:w="0" w:type="auto"/>
            <w:noWrap/>
            <w:vAlign w:val="bottom"/>
            <w:hideMark/>
          </w:tcPr>
          <w:p w14:paraId="7A968930" w14:textId="77777777" w:rsidR="00000000" w:rsidRDefault="00832D71">
            <w:pPr>
              <w:pStyle w:val="a3"/>
              <w:spacing w:before="0" w:beforeAutospacing="0" w:after="0" w:afterAutospacing="0"/>
              <w:rPr>
                <w:sz w:val="20"/>
                <w:szCs w:val="20"/>
              </w:rPr>
            </w:pPr>
            <w:r>
              <w:rPr>
                <w:sz w:val="20"/>
                <w:szCs w:val="20"/>
              </w:rPr>
              <w:t> </w:t>
            </w:r>
          </w:p>
        </w:tc>
      </w:tr>
      <w:tr w:rsidR="00000000" w14:paraId="339D3973" w14:textId="77777777">
        <w:trPr>
          <w:divId w:val="1814250964"/>
          <w:trHeight w:val="200"/>
          <w:tblCellSpacing w:w="15" w:type="dxa"/>
        </w:trPr>
        <w:tc>
          <w:tcPr>
            <w:tcW w:w="0" w:type="auto"/>
            <w:hideMark/>
          </w:tcPr>
          <w:p w14:paraId="0B26229B" w14:textId="77777777" w:rsidR="00000000" w:rsidRDefault="00832D71">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14:paraId="510A592B"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50B9DB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9AD4552" w14:textId="77777777" w:rsidR="00000000" w:rsidRDefault="00832D71">
            <w:pPr>
              <w:pStyle w:val="a3"/>
              <w:spacing w:before="0" w:beforeAutospacing="0" w:after="0" w:afterAutospacing="0"/>
              <w:jc w:val="right"/>
              <w:rPr>
                <w:sz w:val="20"/>
                <w:szCs w:val="20"/>
              </w:rPr>
            </w:pPr>
            <w:r>
              <w:rPr>
                <w:sz w:val="20"/>
                <w:szCs w:val="20"/>
              </w:rPr>
              <w:t>17</w:t>
            </w:r>
            <w:r>
              <w:rPr>
                <w:sz w:val="20"/>
                <w:szCs w:val="20"/>
              </w:rPr>
              <w:t>9</w:t>
            </w:r>
          </w:p>
        </w:tc>
        <w:tc>
          <w:tcPr>
            <w:tcW w:w="0" w:type="auto"/>
            <w:noWrap/>
            <w:vAlign w:val="bottom"/>
            <w:hideMark/>
          </w:tcPr>
          <w:p w14:paraId="07495992"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23FDF668"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60E2A86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2627EB5" w14:textId="77777777" w:rsidR="00000000" w:rsidRDefault="00832D71">
            <w:pPr>
              <w:pStyle w:val="a3"/>
              <w:spacing w:before="0" w:beforeAutospacing="0" w:after="0" w:afterAutospacing="0"/>
              <w:jc w:val="right"/>
              <w:rPr>
                <w:sz w:val="20"/>
                <w:szCs w:val="20"/>
              </w:rPr>
            </w:pPr>
            <w:r>
              <w:rPr>
                <w:sz w:val="20"/>
                <w:szCs w:val="20"/>
              </w:rPr>
              <w:t>18</w:t>
            </w:r>
            <w:r>
              <w:rPr>
                <w:sz w:val="20"/>
                <w:szCs w:val="20"/>
              </w:rPr>
              <w:t>8</w:t>
            </w:r>
          </w:p>
        </w:tc>
        <w:tc>
          <w:tcPr>
            <w:tcW w:w="0" w:type="auto"/>
            <w:noWrap/>
            <w:vAlign w:val="bottom"/>
            <w:hideMark/>
          </w:tcPr>
          <w:p w14:paraId="47A3CE0E"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224C2E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757081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0DF30DB" w14:textId="77777777" w:rsidR="00000000" w:rsidRDefault="00832D71">
            <w:pPr>
              <w:pStyle w:val="a3"/>
              <w:spacing w:before="0" w:beforeAutospacing="0" w:after="0" w:afterAutospacing="0"/>
              <w:jc w:val="right"/>
              <w:rPr>
                <w:sz w:val="20"/>
                <w:szCs w:val="20"/>
              </w:rPr>
            </w:pPr>
            <w:r>
              <w:rPr>
                <w:sz w:val="20"/>
                <w:szCs w:val="20"/>
              </w:rPr>
              <w:t>18</w:t>
            </w:r>
            <w:r>
              <w:rPr>
                <w:sz w:val="20"/>
                <w:szCs w:val="20"/>
              </w:rPr>
              <w:t>9</w:t>
            </w:r>
          </w:p>
        </w:tc>
        <w:tc>
          <w:tcPr>
            <w:tcW w:w="0" w:type="auto"/>
            <w:noWrap/>
            <w:vAlign w:val="bottom"/>
            <w:hideMark/>
          </w:tcPr>
          <w:p w14:paraId="7D61FFBF" w14:textId="77777777" w:rsidR="00000000" w:rsidRDefault="00832D71">
            <w:pPr>
              <w:pStyle w:val="a3"/>
              <w:spacing w:before="0" w:beforeAutospacing="0" w:after="0" w:afterAutospacing="0"/>
              <w:rPr>
                <w:sz w:val="20"/>
                <w:szCs w:val="20"/>
              </w:rPr>
            </w:pPr>
            <w:r>
              <w:rPr>
                <w:sz w:val="20"/>
                <w:szCs w:val="20"/>
              </w:rPr>
              <w:t> </w:t>
            </w:r>
          </w:p>
        </w:tc>
      </w:tr>
      <w:tr w:rsidR="00000000" w14:paraId="6DD95A89" w14:textId="77777777">
        <w:trPr>
          <w:divId w:val="1814250964"/>
          <w:trHeight w:val="200"/>
          <w:tblCellSpacing w:w="15" w:type="dxa"/>
        </w:trPr>
        <w:tc>
          <w:tcPr>
            <w:tcW w:w="0" w:type="auto"/>
            <w:hideMark/>
          </w:tcPr>
          <w:p w14:paraId="31B1BC62" w14:textId="77777777" w:rsidR="00000000" w:rsidRDefault="00832D71">
            <w:pPr>
              <w:pStyle w:val="a3"/>
              <w:spacing w:before="0" w:beforeAutospacing="0" w:after="0" w:afterAutospacing="0"/>
              <w:ind w:left="200"/>
              <w:rPr>
                <w:sz w:val="20"/>
                <w:szCs w:val="20"/>
              </w:rPr>
            </w:pPr>
            <w:r>
              <w:rPr>
                <w:sz w:val="20"/>
                <w:szCs w:val="20"/>
              </w:rPr>
              <w:t>Corporat</w:t>
            </w:r>
            <w:r>
              <w:rPr>
                <w:sz w:val="20"/>
                <w:szCs w:val="20"/>
              </w:rPr>
              <w:t>e</w:t>
            </w:r>
          </w:p>
        </w:tc>
        <w:tc>
          <w:tcPr>
            <w:tcW w:w="0" w:type="auto"/>
            <w:hideMark/>
          </w:tcPr>
          <w:p w14:paraId="0A94B9A5"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6A2B1B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A881A29" w14:textId="77777777" w:rsidR="00000000" w:rsidRDefault="00832D71">
            <w:pPr>
              <w:pStyle w:val="a3"/>
              <w:spacing w:before="0" w:beforeAutospacing="0" w:after="0" w:afterAutospacing="0"/>
              <w:jc w:val="right"/>
              <w:rPr>
                <w:sz w:val="20"/>
                <w:szCs w:val="20"/>
              </w:rPr>
            </w:pPr>
            <w:r>
              <w:rPr>
                <w:sz w:val="20"/>
                <w:szCs w:val="20"/>
              </w:rPr>
              <w:t>6,90</w:t>
            </w:r>
            <w:r>
              <w:rPr>
                <w:sz w:val="20"/>
                <w:szCs w:val="20"/>
              </w:rPr>
              <w:t>2</w:t>
            </w:r>
          </w:p>
        </w:tc>
        <w:tc>
          <w:tcPr>
            <w:tcW w:w="0" w:type="auto"/>
            <w:noWrap/>
            <w:vAlign w:val="bottom"/>
            <w:hideMark/>
          </w:tcPr>
          <w:p w14:paraId="4260739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93EE90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D7F945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26A36FA" w14:textId="77777777" w:rsidR="00000000" w:rsidRDefault="00832D71">
            <w:pPr>
              <w:pStyle w:val="a3"/>
              <w:spacing w:before="0" w:beforeAutospacing="0" w:after="0" w:afterAutospacing="0"/>
              <w:jc w:val="right"/>
              <w:rPr>
                <w:sz w:val="20"/>
                <w:szCs w:val="20"/>
              </w:rPr>
            </w:pPr>
            <w:r>
              <w:rPr>
                <w:sz w:val="20"/>
                <w:szCs w:val="20"/>
              </w:rPr>
              <w:t>7,07</w:t>
            </w:r>
            <w:r>
              <w:rPr>
                <w:sz w:val="20"/>
                <w:szCs w:val="20"/>
              </w:rPr>
              <w:t>3</w:t>
            </w:r>
          </w:p>
        </w:tc>
        <w:tc>
          <w:tcPr>
            <w:tcW w:w="0" w:type="auto"/>
            <w:noWrap/>
            <w:vAlign w:val="bottom"/>
            <w:hideMark/>
          </w:tcPr>
          <w:p w14:paraId="2FCBF435"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E64517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997507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CF71BE8" w14:textId="77777777" w:rsidR="00000000" w:rsidRDefault="00832D71">
            <w:pPr>
              <w:pStyle w:val="a3"/>
              <w:spacing w:before="0" w:beforeAutospacing="0" w:after="0" w:afterAutospacing="0"/>
              <w:jc w:val="right"/>
              <w:rPr>
                <w:sz w:val="20"/>
                <w:szCs w:val="20"/>
              </w:rPr>
            </w:pPr>
            <w:r>
              <w:rPr>
                <w:sz w:val="20"/>
                <w:szCs w:val="20"/>
              </w:rPr>
              <w:t>8,01</w:t>
            </w:r>
            <w:r>
              <w:rPr>
                <w:sz w:val="20"/>
                <w:szCs w:val="20"/>
              </w:rPr>
              <w:t>6</w:t>
            </w:r>
          </w:p>
        </w:tc>
        <w:tc>
          <w:tcPr>
            <w:tcW w:w="0" w:type="auto"/>
            <w:noWrap/>
            <w:vAlign w:val="bottom"/>
            <w:hideMark/>
          </w:tcPr>
          <w:p w14:paraId="1EF666FA" w14:textId="77777777" w:rsidR="00000000" w:rsidRDefault="00832D71">
            <w:pPr>
              <w:pStyle w:val="a3"/>
              <w:spacing w:before="0" w:beforeAutospacing="0" w:after="0" w:afterAutospacing="0"/>
              <w:rPr>
                <w:sz w:val="20"/>
                <w:szCs w:val="20"/>
              </w:rPr>
            </w:pPr>
            <w:r>
              <w:rPr>
                <w:sz w:val="20"/>
                <w:szCs w:val="20"/>
              </w:rPr>
              <w:t> </w:t>
            </w:r>
          </w:p>
        </w:tc>
      </w:tr>
      <w:tr w:rsidR="00000000" w14:paraId="398489E1" w14:textId="77777777">
        <w:trPr>
          <w:divId w:val="1814250964"/>
          <w:trHeight w:val="200"/>
          <w:tblCellSpacing w:w="15" w:type="dxa"/>
        </w:trPr>
        <w:tc>
          <w:tcPr>
            <w:tcW w:w="0" w:type="auto"/>
            <w:hideMark/>
          </w:tcPr>
          <w:p w14:paraId="4673322E" w14:textId="77777777" w:rsidR="00000000" w:rsidRDefault="00832D71">
            <w:pPr>
              <w:pStyle w:val="a3"/>
              <w:spacing w:before="0" w:beforeAutospacing="0" w:after="0" w:afterAutospacing="0"/>
              <w:ind w:left="400"/>
              <w:rPr>
                <w:sz w:val="20"/>
                <w:szCs w:val="20"/>
              </w:rPr>
            </w:pPr>
            <w:r>
              <w:rPr>
                <w:sz w:val="20"/>
                <w:szCs w:val="20"/>
              </w:rPr>
              <w:t>Total depreciation and amortizatio</w:t>
            </w:r>
            <w:r>
              <w:rPr>
                <w:sz w:val="20"/>
                <w:szCs w:val="20"/>
              </w:rPr>
              <w:t>n</w:t>
            </w:r>
          </w:p>
        </w:tc>
        <w:tc>
          <w:tcPr>
            <w:tcW w:w="0" w:type="auto"/>
            <w:hideMark/>
          </w:tcPr>
          <w:p w14:paraId="4C58E4A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948C1A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738BA44" w14:textId="77777777" w:rsidR="00000000" w:rsidRDefault="00832D71">
            <w:pPr>
              <w:pStyle w:val="a3"/>
              <w:spacing w:before="0" w:beforeAutospacing="0" w:after="0" w:afterAutospacing="0"/>
              <w:jc w:val="right"/>
              <w:rPr>
                <w:sz w:val="20"/>
                <w:szCs w:val="20"/>
              </w:rPr>
            </w:pPr>
            <w:r>
              <w:rPr>
                <w:sz w:val="20"/>
                <w:szCs w:val="20"/>
              </w:rPr>
              <w:t>58,84</w:t>
            </w:r>
            <w:r>
              <w:rPr>
                <w:sz w:val="20"/>
                <w:szCs w:val="20"/>
              </w:rPr>
              <w:t>8</w:t>
            </w:r>
          </w:p>
        </w:tc>
        <w:tc>
          <w:tcPr>
            <w:tcW w:w="0" w:type="auto"/>
            <w:noWrap/>
            <w:vAlign w:val="bottom"/>
            <w:hideMark/>
          </w:tcPr>
          <w:p w14:paraId="664EA3C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1EF259F"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E833467"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A7E4623" w14:textId="77777777" w:rsidR="00000000" w:rsidRDefault="00832D71">
            <w:pPr>
              <w:pStyle w:val="a3"/>
              <w:spacing w:before="0" w:beforeAutospacing="0" w:after="0" w:afterAutospacing="0"/>
              <w:jc w:val="right"/>
              <w:rPr>
                <w:sz w:val="20"/>
                <w:szCs w:val="20"/>
              </w:rPr>
            </w:pPr>
            <w:r>
              <w:rPr>
                <w:sz w:val="20"/>
                <w:szCs w:val="20"/>
              </w:rPr>
              <w:t>104,55</w:t>
            </w:r>
            <w:r>
              <w:rPr>
                <w:sz w:val="20"/>
                <w:szCs w:val="20"/>
              </w:rPr>
              <w:t>5</w:t>
            </w:r>
          </w:p>
        </w:tc>
        <w:tc>
          <w:tcPr>
            <w:tcW w:w="0" w:type="auto"/>
            <w:noWrap/>
            <w:vAlign w:val="bottom"/>
            <w:hideMark/>
          </w:tcPr>
          <w:p w14:paraId="295563C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BE20344"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38A41B19"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AB06E4B" w14:textId="77777777" w:rsidR="00000000" w:rsidRDefault="00832D71">
            <w:pPr>
              <w:pStyle w:val="a3"/>
              <w:spacing w:before="0" w:beforeAutospacing="0" w:after="0" w:afterAutospacing="0"/>
              <w:jc w:val="right"/>
              <w:rPr>
                <w:sz w:val="20"/>
                <w:szCs w:val="20"/>
              </w:rPr>
            </w:pPr>
            <w:r>
              <w:rPr>
                <w:sz w:val="20"/>
                <w:szCs w:val="20"/>
              </w:rPr>
              <w:t>116,79</w:t>
            </w:r>
            <w:r>
              <w:rPr>
                <w:sz w:val="20"/>
                <w:szCs w:val="20"/>
              </w:rPr>
              <w:t>1</w:t>
            </w:r>
          </w:p>
        </w:tc>
        <w:tc>
          <w:tcPr>
            <w:tcW w:w="0" w:type="auto"/>
            <w:noWrap/>
            <w:vAlign w:val="bottom"/>
            <w:hideMark/>
          </w:tcPr>
          <w:p w14:paraId="2D83EF6A" w14:textId="77777777" w:rsidR="00000000" w:rsidRDefault="00832D71">
            <w:pPr>
              <w:pStyle w:val="a3"/>
              <w:spacing w:before="0" w:beforeAutospacing="0" w:after="0" w:afterAutospacing="0"/>
              <w:rPr>
                <w:sz w:val="20"/>
                <w:szCs w:val="20"/>
              </w:rPr>
            </w:pPr>
            <w:r>
              <w:rPr>
                <w:sz w:val="20"/>
                <w:szCs w:val="20"/>
              </w:rPr>
              <w:t> </w:t>
            </w:r>
          </w:p>
        </w:tc>
      </w:tr>
    </w:tbl>
    <w:p w14:paraId="2CAA4472" w14:textId="77777777" w:rsidR="00000000" w:rsidRDefault="00832D71">
      <w:pPr>
        <w:pStyle w:val="a3"/>
        <w:spacing w:before="0" w:beforeAutospacing="0" w:after="0" w:afterAutospacing="0"/>
        <w:divId w:val="1814250964"/>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314"/>
        <w:gridCol w:w="110"/>
        <w:gridCol w:w="160"/>
        <w:gridCol w:w="860"/>
        <w:gridCol w:w="110"/>
        <w:gridCol w:w="115"/>
        <w:gridCol w:w="160"/>
        <w:gridCol w:w="860"/>
        <w:gridCol w:w="125"/>
      </w:tblGrid>
      <w:tr w:rsidR="00000000" w14:paraId="4E77495F" w14:textId="77777777">
        <w:trPr>
          <w:divId w:val="1814250964"/>
          <w:tblCellSpacing w:w="15" w:type="dxa"/>
        </w:trPr>
        <w:tc>
          <w:tcPr>
            <w:tcW w:w="3350" w:type="pct"/>
            <w:vAlign w:val="center"/>
            <w:hideMark/>
          </w:tcPr>
          <w:p w14:paraId="1B109CBD" w14:textId="77777777" w:rsidR="00000000" w:rsidRDefault="00832D71">
            <w:pPr>
              <w:rPr>
                <w:sz w:val="20"/>
                <w:szCs w:val="20"/>
              </w:rPr>
            </w:pPr>
          </w:p>
        </w:tc>
        <w:tc>
          <w:tcPr>
            <w:tcW w:w="81" w:type="pct"/>
            <w:vAlign w:val="center"/>
            <w:hideMark/>
          </w:tcPr>
          <w:p w14:paraId="6759B189" w14:textId="77777777" w:rsidR="00000000" w:rsidRDefault="00832D71">
            <w:pPr>
              <w:rPr>
                <w:rFonts w:eastAsia="Times New Roman"/>
                <w:sz w:val="20"/>
                <w:szCs w:val="20"/>
              </w:rPr>
            </w:pPr>
          </w:p>
        </w:tc>
        <w:tc>
          <w:tcPr>
            <w:tcW w:w="50" w:type="pct"/>
            <w:vAlign w:val="center"/>
            <w:hideMark/>
          </w:tcPr>
          <w:p w14:paraId="76FCBB6B" w14:textId="77777777" w:rsidR="00000000" w:rsidRDefault="00832D71">
            <w:pPr>
              <w:rPr>
                <w:rFonts w:eastAsia="Times New Roman"/>
                <w:sz w:val="20"/>
                <w:szCs w:val="20"/>
              </w:rPr>
            </w:pPr>
          </w:p>
        </w:tc>
        <w:tc>
          <w:tcPr>
            <w:tcW w:w="624" w:type="pct"/>
            <w:vAlign w:val="center"/>
            <w:hideMark/>
          </w:tcPr>
          <w:p w14:paraId="58AEF23A" w14:textId="77777777" w:rsidR="00000000" w:rsidRDefault="00832D71">
            <w:pPr>
              <w:rPr>
                <w:rFonts w:eastAsia="Times New Roman"/>
                <w:sz w:val="20"/>
                <w:szCs w:val="20"/>
              </w:rPr>
            </w:pPr>
          </w:p>
        </w:tc>
        <w:tc>
          <w:tcPr>
            <w:tcW w:w="50" w:type="pct"/>
            <w:vAlign w:val="center"/>
            <w:hideMark/>
          </w:tcPr>
          <w:p w14:paraId="4A8F8CBC" w14:textId="77777777" w:rsidR="00000000" w:rsidRDefault="00832D71">
            <w:pPr>
              <w:rPr>
                <w:rFonts w:eastAsia="Times New Roman"/>
                <w:sz w:val="20"/>
                <w:szCs w:val="20"/>
              </w:rPr>
            </w:pPr>
          </w:p>
        </w:tc>
        <w:tc>
          <w:tcPr>
            <w:tcW w:w="80" w:type="pct"/>
            <w:vAlign w:val="center"/>
            <w:hideMark/>
          </w:tcPr>
          <w:p w14:paraId="0016F732" w14:textId="77777777" w:rsidR="00000000" w:rsidRDefault="00832D71">
            <w:pPr>
              <w:rPr>
                <w:rFonts w:eastAsia="Times New Roman"/>
                <w:sz w:val="20"/>
                <w:szCs w:val="20"/>
              </w:rPr>
            </w:pPr>
          </w:p>
        </w:tc>
        <w:tc>
          <w:tcPr>
            <w:tcW w:w="50" w:type="pct"/>
            <w:vAlign w:val="center"/>
            <w:hideMark/>
          </w:tcPr>
          <w:p w14:paraId="0C15E60D" w14:textId="77777777" w:rsidR="00000000" w:rsidRDefault="00832D71">
            <w:pPr>
              <w:rPr>
                <w:rFonts w:eastAsia="Times New Roman"/>
                <w:sz w:val="20"/>
                <w:szCs w:val="20"/>
              </w:rPr>
            </w:pPr>
          </w:p>
        </w:tc>
        <w:tc>
          <w:tcPr>
            <w:tcW w:w="662" w:type="pct"/>
            <w:vAlign w:val="center"/>
            <w:hideMark/>
          </w:tcPr>
          <w:p w14:paraId="3F272CA2" w14:textId="77777777" w:rsidR="00000000" w:rsidRDefault="00832D71">
            <w:pPr>
              <w:rPr>
                <w:rFonts w:eastAsia="Times New Roman"/>
                <w:sz w:val="20"/>
                <w:szCs w:val="20"/>
              </w:rPr>
            </w:pPr>
          </w:p>
        </w:tc>
        <w:tc>
          <w:tcPr>
            <w:tcW w:w="50" w:type="pct"/>
            <w:vAlign w:val="center"/>
            <w:hideMark/>
          </w:tcPr>
          <w:p w14:paraId="5CE814EA" w14:textId="77777777" w:rsidR="00000000" w:rsidRDefault="00832D71">
            <w:pPr>
              <w:rPr>
                <w:rFonts w:eastAsia="Times New Roman"/>
                <w:sz w:val="20"/>
                <w:szCs w:val="20"/>
              </w:rPr>
            </w:pPr>
          </w:p>
        </w:tc>
      </w:tr>
      <w:tr w:rsidR="00000000" w14:paraId="160034C8" w14:textId="77777777">
        <w:trPr>
          <w:divId w:val="1814250964"/>
          <w:trHeight w:val="160"/>
          <w:tblCellSpacing w:w="15" w:type="dxa"/>
        </w:trPr>
        <w:tc>
          <w:tcPr>
            <w:tcW w:w="0" w:type="auto"/>
            <w:vAlign w:val="bottom"/>
            <w:hideMark/>
          </w:tcPr>
          <w:p w14:paraId="51469EB9"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1D43F78D"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537C959E" w14:textId="77777777" w:rsidR="00000000" w:rsidRDefault="00832D71">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14:paraId="6D84AD7B"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37419BBE" w14:textId="77777777">
        <w:trPr>
          <w:divId w:val="1814250964"/>
          <w:trHeight w:val="160"/>
          <w:tblCellSpacing w:w="15" w:type="dxa"/>
        </w:trPr>
        <w:tc>
          <w:tcPr>
            <w:tcW w:w="0" w:type="auto"/>
            <w:vAlign w:val="bottom"/>
            <w:hideMark/>
          </w:tcPr>
          <w:p w14:paraId="20F5A21E"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A591AFD"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76D1755" w14:textId="77777777" w:rsidR="00000000" w:rsidRDefault="00832D71">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14:paraId="4F24CCED"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51D69104"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F861607" w14:textId="77777777" w:rsidR="00000000" w:rsidRDefault="00832D71">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14:paraId="4607E0A3"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7970E854" w14:textId="77777777">
        <w:trPr>
          <w:divId w:val="1814250964"/>
          <w:trHeight w:val="160"/>
          <w:tblCellSpacing w:w="15" w:type="dxa"/>
        </w:trPr>
        <w:tc>
          <w:tcPr>
            <w:tcW w:w="0" w:type="auto"/>
            <w:vAlign w:val="bottom"/>
            <w:hideMark/>
          </w:tcPr>
          <w:p w14:paraId="6B008949"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E9F9761"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B7F2069"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770B0A26"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7D9141DF"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489901C5" w14:textId="77777777" w:rsidR="00000000" w:rsidRDefault="00832D71">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0E5C2DA"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53F2C767" w14:textId="77777777">
        <w:trPr>
          <w:divId w:val="1814250964"/>
          <w:trHeight w:val="200"/>
          <w:tblCellSpacing w:w="15" w:type="dxa"/>
        </w:trPr>
        <w:tc>
          <w:tcPr>
            <w:tcW w:w="0" w:type="auto"/>
            <w:hideMark/>
          </w:tcPr>
          <w:p w14:paraId="7B8DD520" w14:textId="77777777" w:rsidR="00000000" w:rsidRDefault="00832D71">
            <w:pPr>
              <w:pStyle w:val="a3"/>
              <w:spacing w:before="0" w:beforeAutospacing="0" w:after="0" w:afterAutospacing="0"/>
              <w:rPr>
                <w:sz w:val="20"/>
                <w:szCs w:val="20"/>
              </w:rPr>
            </w:pPr>
            <w:r>
              <w:rPr>
                <w:b/>
                <w:bCs/>
                <w:sz w:val="20"/>
                <w:szCs w:val="20"/>
              </w:rPr>
              <w:t>Assets</w:t>
            </w:r>
            <w:r>
              <w:rPr>
                <w:b/>
                <w:bCs/>
                <w:sz w:val="20"/>
                <w:szCs w:val="20"/>
              </w:rPr>
              <w:t>:</w:t>
            </w:r>
          </w:p>
        </w:tc>
        <w:tc>
          <w:tcPr>
            <w:tcW w:w="0" w:type="auto"/>
            <w:hideMark/>
          </w:tcPr>
          <w:p w14:paraId="0B361B26"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5BC314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FBB850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7EA35C8" w14:textId="77777777" w:rsidR="00000000" w:rsidRDefault="00832D71">
            <w:pPr>
              <w:pStyle w:val="a3"/>
              <w:spacing w:before="0" w:beforeAutospacing="0" w:after="0" w:afterAutospacing="0"/>
              <w:rPr>
                <w:sz w:val="22"/>
                <w:szCs w:val="22"/>
              </w:rPr>
            </w:pPr>
            <w:r>
              <w:rPr>
                <w:sz w:val="22"/>
                <w:szCs w:val="22"/>
              </w:rPr>
              <w:t> </w:t>
            </w:r>
          </w:p>
        </w:tc>
        <w:tc>
          <w:tcPr>
            <w:tcW w:w="0" w:type="auto"/>
            <w:gridSpan w:val="2"/>
            <w:vAlign w:val="bottom"/>
            <w:hideMark/>
          </w:tcPr>
          <w:p w14:paraId="5F1DF8E5"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BE24EB9" w14:textId="77777777" w:rsidR="00000000" w:rsidRDefault="00832D71">
            <w:pPr>
              <w:pStyle w:val="a3"/>
              <w:spacing w:before="0" w:beforeAutospacing="0" w:after="0" w:afterAutospacing="0"/>
              <w:jc w:val="right"/>
              <w:rPr>
                <w:sz w:val="20"/>
                <w:szCs w:val="20"/>
              </w:rPr>
            </w:pPr>
            <w:r>
              <w:rPr>
                <w:sz w:val="20"/>
                <w:szCs w:val="20"/>
              </w:rPr>
              <w:t> </w:t>
            </w:r>
          </w:p>
        </w:tc>
      </w:tr>
      <w:tr w:rsidR="00000000" w14:paraId="7ED572D5" w14:textId="77777777">
        <w:trPr>
          <w:divId w:val="1814250964"/>
          <w:trHeight w:val="200"/>
          <w:tblCellSpacing w:w="15" w:type="dxa"/>
        </w:trPr>
        <w:tc>
          <w:tcPr>
            <w:tcW w:w="0" w:type="auto"/>
            <w:hideMark/>
          </w:tcPr>
          <w:p w14:paraId="23D89D1A" w14:textId="77777777" w:rsidR="00000000" w:rsidRDefault="00832D71">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14:paraId="480FAA63"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C087DC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CCEA8D2" w14:textId="77777777" w:rsidR="00000000" w:rsidRDefault="00832D71">
            <w:pPr>
              <w:pStyle w:val="a3"/>
              <w:spacing w:before="0" w:beforeAutospacing="0" w:after="0" w:afterAutospacing="0"/>
              <w:jc w:val="right"/>
              <w:rPr>
                <w:sz w:val="20"/>
                <w:szCs w:val="20"/>
              </w:rPr>
            </w:pPr>
            <w:r>
              <w:rPr>
                <w:sz w:val="20"/>
                <w:szCs w:val="20"/>
              </w:rPr>
              <w:t>1,957,25</w:t>
            </w:r>
            <w:r>
              <w:rPr>
                <w:sz w:val="20"/>
                <w:szCs w:val="20"/>
              </w:rPr>
              <w:t>7</w:t>
            </w:r>
          </w:p>
        </w:tc>
        <w:tc>
          <w:tcPr>
            <w:tcW w:w="0" w:type="auto"/>
            <w:noWrap/>
            <w:vAlign w:val="bottom"/>
            <w:hideMark/>
          </w:tcPr>
          <w:p w14:paraId="6F2F2C1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FBC8510" w14:textId="77777777" w:rsidR="00000000" w:rsidRDefault="00832D71">
            <w:pPr>
              <w:pStyle w:val="a3"/>
              <w:spacing w:before="0" w:beforeAutospacing="0" w:after="0" w:afterAutospacing="0"/>
              <w:rPr>
                <w:sz w:val="22"/>
                <w:szCs w:val="22"/>
              </w:rPr>
            </w:pPr>
            <w:r>
              <w:rPr>
                <w:sz w:val="22"/>
                <w:szCs w:val="22"/>
              </w:rPr>
              <w:t> </w:t>
            </w:r>
          </w:p>
        </w:tc>
        <w:tc>
          <w:tcPr>
            <w:tcW w:w="0" w:type="auto"/>
            <w:noWrap/>
            <w:vAlign w:val="bottom"/>
            <w:hideMark/>
          </w:tcPr>
          <w:p w14:paraId="7E49B4E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CAE69D2" w14:textId="77777777" w:rsidR="00000000" w:rsidRDefault="00832D71">
            <w:pPr>
              <w:pStyle w:val="a3"/>
              <w:spacing w:before="0" w:beforeAutospacing="0" w:after="0" w:afterAutospacing="0"/>
              <w:jc w:val="right"/>
              <w:rPr>
                <w:sz w:val="20"/>
                <w:szCs w:val="20"/>
              </w:rPr>
            </w:pPr>
            <w:r>
              <w:rPr>
                <w:sz w:val="20"/>
                <w:szCs w:val="20"/>
              </w:rPr>
              <w:t>1,935,39</w:t>
            </w:r>
            <w:r>
              <w:rPr>
                <w:sz w:val="20"/>
                <w:szCs w:val="20"/>
              </w:rPr>
              <w:t>9</w:t>
            </w:r>
          </w:p>
        </w:tc>
        <w:tc>
          <w:tcPr>
            <w:tcW w:w="0" w:type="auto"/>
            <w:noWrap/>
            <w:vAlign w:val="bottom"/>
            <w:hideMark/>
          </w:tcPr>
          <w:p w14:paraId="7A1E7E05" w14:textId="77777777" w:rsidR="00000000" w:rsidRDefault="00832D71">
            <w:pPr>
              <w:pStyle w:val="a3"/>
              <w:spacing w:before="0" w:beforeAutospacing="0" w:after="0" w:afterAutospacing="0"/>
              <w:rPr>
                <w:sz w:val="20"/>
                <w:szCs w:val="20"/>
              </w:rPr>
            </w:pPr>
            <w:r>
              <w:rPr>
                <w:sz w:val="20"/>
                <w:szCs w:val="20"/>
              </w:rPr>
              <w:t> </w:t>
            </w:r>
          </w:p>
        </w:tc>
      </w:tr>
      <w:tr w:rsidR="00000000" w14:paraId="07ABF593" w14:textId="77777777">
        <w:trPr>
          <w:divId w:val="1814250964"/>
          <w:trHeight w:val="200"/>
          <w:tblCellSpacing w:w="15" w:type="dxa"/>
        </w:trPr>
        <w:tc>
          <w:tcPr>
            <w:tcW w:w="0" w:type="auto"/>
            <w:hideMark/>
          </w:tcPr>
          <w:p w14:paraId="5DA360AB" w14:textId="77777777" w:rsidR="00000000" w:rsidRDefault="00832D71">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14:paraId="5FC073BC"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524D78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16E176A" w14:textId="77777777" w:rsidR="00000000" w:rsidRDefault="00832D71">
            <w:pPr>
              <w:pStyle w:val="a3"/>
              <w:spacing w:before="0" w:beforeAutospacing="0" w:after="0" w:afterAutospacing="0"/>
              <w:jc w:val="right"/>
              <w:rPr>
                <w:sz w:val="20"/>
                <w:szCs w:val="20"/>
              </w:rPr>
            </w:pPr>
            <w:r>
              <w:rPr>
                <w:sz w:val="20"/>
                <w:szCs w:val="20"/>
              </w:rPr>
              <w:t>49,68</w:t>
            </w:r>
            <w:r>
              <w:rPr>
                <w:sz w:val="20"/>
                <w:szCs w:val="20"/>
              </w:rPr>
              <w:t>3</w:t>
            </w:r>
          </w:p>
        </w:tc>
        <w:tc>
          <w:tcPr>
            <w:tcW w:w="0" w:type="auto"/>
            <w:noWrap/>
            <w:vAlign w:val="bottom"/>
            <w:hideMark/>
          </w:tcPr>
          <w:p w14:paraId="1784F33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2740156" w14:textId="77777777" w:rsidR="00000000" w:rsidRDefault="00832D71">
            <w:pPr>
              <w:pStyle w:val="a3"/>
              <w:spacing w:before="0" w:beforeAutospacing="0" w:after="0" w:afterAutospacing="0"/>
              <w:rPr>
                <w:sz w:val="22"/>
                <w:szCs w:val="22"/>
              </w:rPr>
            </w:pPr>
            <w:r>
              <w:rPr>
                <w:sz w:val="22"/>
                <w:szCs w:val="22"/>
              </w:rPr>
              <w:t> </w:t>
            </w:r>
          </w:p>
        </w:tc>
        <w:tc>
          <w:tcPr>
            <w:tcW w:w="0" w:type="auto"/>
            <w:noWrap/>
            <w:vAlign w:val="bottom"/>
            <w:hideMark/>
          </w:tcPr>
          <w:p w14:paraId="1764377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AB0369A" w14:textId="77777777" w:rsidR="00000000" w:rsidRDefault="00832D71">
            <w:pPr>
              <w:pStyle w:val="a3"/>
              <w:spacing w:before="0" w:beforeAutospacing="0" w:after="0" w:afterAutospacing="0"/>
              <w:jc w:val="right"/>
              <w:rPr>
                <w:sz w:val="20"/>
                <w:szCs w:val="20"/>
              </w:rPr>
            </w:pPr>
            <w:r>
              <w:rPr>
                <w:sz w:val="20"/>
                <w:szCs w:val="20"/>
              </w:rPr>
              <w:t>47,03</w:t>
            </w:r>
            <w:r>
              <w:rPr>
                <w:sz w:val="20"/>
                <w:szCs w:val="20"/>
              </w:rPr>
              <w:t>9</w:t>
            </w:r>
          </w:p>
        </w:tc>
        <w:tc>
          <w:tcPr>
            <w:tcW w:w="0" w:type="auto"/>
            <w:noWrap/>
            <w:vAlign w:val="bottom"/>
            <w:hideMark/>
          </w:tcPr>
          <w:p w14:paraId="552BAD80" w14:textId="77777777" w:rsidR="00000000" w:rsidRDefault="00832D71">
            <w:pPr>
              <w:pStyle w:val="a3"/>
              <w:spacing w:before="0" w:beforeAutospacing="0" w:after="0" w:afterAutospacing="0"/>
              <w:rPr>
                <w:sz w:val="20"/>
                <w:szCs w:val="20"/>
              </w:rPr>
            </w:pPr>
            <w:r>
              <w:rPr>
                <w:sz w:val="20"/>
                <w:szCs w:val="20"/>
              </w:rPr>
              <w:t> </w:t>
            </w:r>
          </w:p>
        </w:tc>
      </w:tr>
      <w:tr w:rsidR="00000000" w14:paraId="48E7D91A" w14:textId="77777777">
        <w:trPr>
          <w:divId w:val="1814250964"/>
          <w:trHeight w:val="200"/>
          <w:tblCellSpacing w:w="15" w:type="dxa"/>
        </w:trPr>
        <w:tc>
          <w:tcPr>
            <w:tcW w:w="0" w:type="auto"/>
            <w:hideMark/>
          </w:tcPr>
          <w:p w14:paraId="6AF8B55B" w14:textId="77777777" w:rsidR="00000000" w:rsidRDefault="00832D71">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14:paraId="625263A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DC6312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7574D3A" w14:textId="77777777" w:rsidR="00000000" w:rsidRDefault="00832D71">
            <w:pPr>
              <w:pStyle w:val="a3"/>
              <w:spacing w:before="0" w:beforeAutospacing="0" w:after="0" w:afterAutospacing="0"/>
              <w:jc w:val="right"/>
              <w:rPr>
                <w:sz w:val="20"/>
                <w:szCs w:val="20"/>
              </w:rPr>
            </w:pPr>
            <w:r>
              <w:rPr>
                <w:sz w:val="20"/>
                <w:szCs w:val="20"/>
              </w:rPr>
              <w:t>12,50</w:t>
            </w:r>
            <w:r>
              <w:rPr>
                <w:sz w:val="20"/>
                <w:szCs w:val="20"/>
              </w:rPr>
              <w:t>4</w:t>
            </w:r>
          </w:p>
        </w:tc>
        <w:tc>
          <w:tcPr>
            <w:tcW w:w="0" w:type="auto"/>
            <w:noWrap/>
            <w:vAlign w:val="bottom"/>
            <w:hideMark/>
          </w:tcPr>
          <w:p w14:paraId="3B3A712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C14B3A6" w14:textId="77777777" w:rsidR="00000000" w:rsidRDefault="00832D71">
            <w:pPr>
              <w:pStyle w:val="a3"/>
              <w:spacing w:before="0" w:beforeAutospacing="0" w:after="0" w:afterAutospacing="0"/>
              <w:rPr>
                <w:sz w:val="22"/>
                <w:szCs w:val="22"/>
              </w:rPr>
            </w:pPr>
            <w:r>
              <w:rPr>
                <w:sz w:val="22"/>
                <w:szCs w:val="22"/>
              </w:rPr>
              <w:t> </w:t>
            </w:r>
          </w:p>
        </w:tc>
        <w:tc>
          <w:tcPr>
            <w:tcW w:w="0" w:type="auto"/>
            <w:noWrap/>
            <w:vAlign w:val="bottom"/>
            <w:hideMark/>
          </w:tcPr>
          <w:p w14:paraId="513CBB2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1E48476" w14:textId="77777777" w:rsidR="00000000" w:rsidRDefault="00832D71">
            <w:pPr>
              <w:pStyle w:val="a3"/>
              <w:spacing w:before="0" w:beforeAutospacing="0" w:after="0" w:afterAutospacing="0"/>
              <w:jc w:val="right"/>
              <w:rPr>
                <w:sz w:val="20"/>
                <w:szCs w:val="20"/>
              </w:rPr>
            </w:pPr>
            <w:r>
              <w:rPr>
                <w:sz w:val="20"/>
                <w:szCs w:val="20"/>
              </w:rPr>
              <w:t>11,27</w:t>
            </w:r>
            <w:r>
              <w:rPr>
                <w:sz w:val="20"/>
                <w:szCs w:val="20"/>
              </w:rPr>
              <w:t>5</w:t>
            </w:r>
          </w:p>
        </w:tc>
        <w:tc>
          <w:tcPr>
            <w:tcW w:w="0" w:type="auto"/>
            <w:noWrap/>
            <w:vAlign w:val="bottom"/>
            <w:hideMark/>
          </w:tcPr>
          <w:p w14:paraId="56BA6CAC" w14:textId="77777777" w:rsidR="00000000" w:rsidRDefault="00832D71">
            <w:pPr>
              <w:pStyle w:val="a3"/>
              <w:spacing w:before="0" w:beforeAutospacing="0" w:after="0" w:afterAutospacing="0"/>
              <w:rPr>
                <w:sz w:val="20"/>
                <w:szCs w:val="20"/>
              </w:rPr>
            </w:pPr>
            <w:r>
              <w:rPr>
                <w:sz w:val="20"/>
                <w:szCs w:val="20"/>
              </w:rPr>
              <w:t> </w:t>
            </w:r>
          </w:p>
        </w:tc>
      </w:tr>
      <w:tr w:rsidR="00000000" w14:paraId="79EE563E" w14:textId="77777777">
        <w:trPr>
          <w:divId w:val="1814250964"/>
          <w:trHeight w:val="200"/>
          <w:tblCellSpacing w:w="15" w:type="dxa"/>
        </w:trPr>
        <w:tc>
          <w:tcPr>
            <w:tcW w:w="0" w:type="auto"/>
            <w:hideMark/>
          </w:tcPr>
          <w:p w14:paraId="01809364" w14:textId="77777777" w:rsidR="00000000" w:rsidRDefault="00832D71">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14:paraId="3CA307B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556CE88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E20720E" w14:textId="77777777" w:rsidR="00000000" w:rsidRDefault="00832D71">
            <w:pPr>
              <w:pStyle w:val="a3"/>
              <w:spacing w:before="0" w:beforeAutospacing="0" w:after="0" w:afterAutospacing="0"/>
              <w:jc w:val="right"/>
              <w:rPr>
                <w:sz w:val="20"/>
                <w:szCs w:val="20"/>
              </w:rPr>
            </w:pPr>
            <w:r>
              <w:rPr>
                <w:sz w:val="20"/>
                <w:szCs w:val="20"/>
              </w:rPr>
              <w:t>47,85</w:t>
            </w:r>
            <w:r>
              <w:rPr>
                <w:sz w:val="20"/>
                <w:szCs w:val="20"/>
              </w:rPr>
              <w:t>3</w:t>
            </w:r>
          </w:p>
        </w:tc>
        <w:tc>
          <w:tcPr>
            <w:tcW w:w="0" w:type="auto"/>
            <w:noWrap/>
            <w:vAlign w:val="bottom"/>
            <w:hideMark/>
          </w:tcPr>
          <w:p w14:paraId="4DC4711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432FEFC" w14:textId="77777777" w:rsidR="00000000" w:rsidRDefault="00832D71">
            <w:pPr>
              <w:pStyle w:val="a3"/>
              <w:spacing w:before="0" w:beforeAutospacing="0" w:after="0" w:afterAutospacing="0"/>
              <w:rPr>
                <w:sz w:val="22"/>
                <w:szCs w:val="22"/>
              </w:rPr>
            </w:pPr>
            <w:r>
              <w:rPr>
                <w:sz w:val="22"/>
                <w:szCs w:val="22"/>
              </w:rPr>
              <w:t> </w:t>
            </w:r>
          </w:p>
        </w:tc>
        <w:tc>
          <w:tcPr>
            <w:tcW w:w="0" w:type="auto"/>
            <w:noWrap/>
            <w:vAlign w:val="bottom"/>
            <w:hideMark/>
          </w:tcPr>
          <w:p w14:paraId="336CC08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E237AC5" w14:textId="77777777" w:rsidR="00000000" w:rsidRDefault="00832D71">
            <w:pPr>
              <w:pStyle w:val="a3"/>
              <w:spacing w:before="0" w:beforeAutospacing="0" w:after="0" w:afterAutospacing="0"/>
              <w:jc w:val="right"/>
              <w:rPr>
                <w:sz w:val="20"/>
                <w:szCs w:val="20"/>
              </w:rPr>
            </w:pPr>
            <w:r>
              <w:rPr>
                <w:sz w:val="20"/>
                <w:szCs w:val="20"/>
              </w:rPr>
              <w:t>17,76</w:t>
            </w:r>
            <w:r>
              <w:rPr>
                <w:sz w:val="20"/>
                <w:szCs w:val="20"/>
              </w:rPr>
              <w:t>7</w:t>
            </w:r>
          </w:p>
        </w:tc>
        <w:tc>
          <w:tcPr>
            <w:tcW w:w="0" w:type="auto"/>
            <w:noWrap/>
            <w:vAlign w:val="bottom"/>
            <w:hideMark/>
          </w:tcPr>
          <w:p w14:paraId="6229D572" w14:textId="77777777" w:rsidR="00000000" w:rsidRDefault="00832D71">
            <w:pPr>
              <w:pStyle w:val="a3"/>
              <w:spacing w:before="0" w:beforeAutospacing="0" w:after="0" w:afterAutospacing="0"/>
              <w:rPr>
                <w:sz w:val="20"/>
                <w:szCs w:val="20"/>
              </w:rPr>
            </w:pPr>
            <w:r>
              <w:rPr>
                <w:sz w:val="20"/>
                <w:szCs w:val="20"/>
              </w:rPr>
              <w:t> </w:t>
            </w:r>
          </w:p>
        </w:tc>
      </w:tr>
      <w:tr w:rsidR="00000000" w14:paraId="273F9488" w14:textId="77777777">
        <w:trPr>
          <w:divId w:val="1814250964"/>
          <w:trHeight w:val="200"/>
          <w:tblCellSpacing w:w="15" w:type="dxa"/>
        </w:trPr>
        <w:tc>
          <w:tcPr>
            <w:tcW w:w="0" w:type="auto"/>
            <w:hideMark/>
          </w:tcPr>
          <w:p w14:paraId="476F94F0" w14:textId="77777777" w:rsidR="00000000" w:rsidRDefault="00832D71">
            <w:pPr>
              <w:pStyle w:val="a3"/>
              <w:spacing w:before="0" w:beforeAutospacing="0" w:after="0" w:afterAutospacing="0"/>
              <w:ind w:left="200"/>
              <w:rPr>
                <w:sz w:val="20"/>
                <w:szCs w:val="20"/>
              </w:rPr>
            </w:pPr>
            <w:r>
              <w:rPr>
                <w:sz w:val="20"/>
                <w:szCs w:val="20"/>
              </w:rPr>
              <w:t>Corporat</w:t>
            </w:r>
            <w:r>
              <w:rPr>
                <w:sz w:val="20"/>
                <w:szCs w:val="20"/>
              </w:rPr>
              <w:t>e</w:t>
            </w:r>
          </w:p>
        </w:tc>
        <w:tc>
          <w:tcPr>
            <w:tcW w:w="0" w:type="auto"/>
            <w:hideMark/>
          </w:tcPr>
          <w:p w14:paraId="1EB1A45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1FF964D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D9E1C11" w14:textId="77777777" w:rsidR="00000000" w:rsidRDefault="00832D71">
            <w:pPr>
              <w:pStyle w:val="a3"/>
              <w:spacing w:before="0" w:beforeAutospacing="0" w:after="0" w:afterAutospacing="0"/>
              <w:jc w:val="right"/>
              <w:rPr>
                <w:sz w:val="20"/>
                <w:szCs w:val="20"/>
              </w:rPr>
            </w:pPr>
            <w:r>
              <w:rPr>
                <w:sz w:val="20"/>
                <w:szCs w:val="20"/>
              </w:rPr>
              <w:t>36,42</w:t>
            </w:r>
            <w:r>
              <w:rPr>
                <w:sz w:val="20"/>
                <w:szCs w:val="20"/>
              </w:rPr>
              <w:t>9</w:t>
            </w:r>
          </w:p>
        </w:tc>
        <w:tc>
          <w:tcPr>
            <w:tcW w:w="0" w:type="auto"/>
            <w:noWrap/>
            <w:vAlign w:val="bottom"/>
            <w:hideMark/>
          </w:tcPr>
          <w:p w14:paraId="75A7861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6D069B0" w14:textId="77777777" w:rsidR="00000000" w:rsidRDefault="00832D71">
            <w:pPr>
              <w:pStyle w:val="a3"/>
              <w:spacing w:before="0" w:beforeAutospacing="0" w:after="0" w:afterAutospacing="0"/>
              <w:rPr>
                <w:sz w:val="22"/>
                <w:szCs w:val="22"/>
              </w:rPr>
            </w:pPr>
            <w:r>
              <w:rPr>
                <w:sz w:val="22"/>
                <w:szCs w:val="22"/>
              </w:rPr>
              <w:t> </w:t>
            </w:r>
          </w:p>
        </w:tc>
        <w:tc>
          <w:tcPr>
            <w:tcW w:w="0" w:type="auto"/>
            <w:noWrap/>
            <w:vAlign w:val="bottom"/>
            <w:hideMark/>
          </w:tcPr>
          <w:p w14:paraId="7473617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96F4550" w14:textId="77777777" w:rsidR="00000000" w:rsidRDefault="00832D71">
            <w:pPr>
              <w:pStyle w:val="a3"/>
              <w:spacing w:before="0" w:beforeAutospacing="0" w:after="0" w:afterAutospacing="0"/>
              <w:jc w:val="right"/>
              <w:rPr>
                <w:sz w:val="20"/>
                <w:szCs w:val="20"/>
              </w:rPr>
            </w:pPr>
            <w:r>
              <w:rPr>
                <w:sz w:val="20"/>
                <w:szCs w:val="20"/>
              </w:rPr>
              <w:t>40,25</w:t>
            </w:r>
            <w:r>
              <w:rPr>
                <w:sz w:val="20"/>
                <w:szCs w:val="20"/>
              </w:rPr>
              <w:t>0</w:t>
            </w:r>
          </w:p>
        </w:tc>
        <w:tc>
          <w:tcPr>
            <w:tcW w:w="0" w:type="auto"/>
            <w:noWrap/>
            <w:vAlign w:val="bottom"/>
            <w:hideMark/>
          </w:tcPr>
          <w:p w14:paraId="0CC2C656" w14:textId="77777777" w:rsidR="00000000" w:rsidRDefault="00832D71">
            <w:pPr>
              <w:pStyle w:val="a3"/>
              <w:spacing w:before="0" w:beforeAutospacing="0" w:after="0" w:afterAutospacing="0"/>
              <w:rPr>
                <w:sz w:val="20"/>
                <w:szCs w:val="20"/>
              </w:rPr>
            </w:pPr>
            <w:r>
              <w:rPr>
                <w:sz w:val="20"/>
                <w:szCs w:val="20"/>
              </w:rPr>
              <w:t> </w:t>
            </w:r>
          </w:p>
        </w:tc>
      </w:tr>
      <w:tr w:rsidR="00000000" w14:paraId="7CA2E4D1" w14:textId="77777777">
        <w:trPr>
          <w:divId w:val="1814250964"/>
          <w:trHeight w:val="200"/>
          <w:tblCellSpacing w:w="15" w:type="dxa"/>
        </w:trPr>
        <w:tc>
          <w:tcPr>
            <w:tcW w:w="0" w:type="auto"/>
            <w:hideMark/>
          </w:tcPr>
          <w:p w14:paraId="4D31DD3A" w14:textId="77777777" w:rsidR="00000000" w:rsidRDefault="00832D71">
            <w:pPr>
              <w:pStyle w:val="a3"/>
              <w:spacing w:before="0" w:beforeAutospacing="0" w:after="0" w:afterAutospacing="0"/>
              <w:ind w:left="400"/>
              <w:rPr>
                <w:sz w:val="20"/>
                <w:szCs w:val="20"/>
              </w:rPr>
            </w:pPr>
            <w:r>
              <w:rPr>
                <w:sz w:val="20"/>
                <w:szCs w:val="20"/>
              </w:rPr>
              <w:t>Total asset</w:t>
            </w:r>
            <w:r>
              <w:rPr>
                <w:sz w:val="20"/>
                <w:szCs w:val="20"/>
              </w:rPr>
              <w:t>s</w:t>
            </w:r>
          </w:p>
        </w:tc>
        <w:tc>
          <w:tcPr>
            <w:tcW w:w="0" w:type="auto"/>
            <w:hideMark/>
          </w:tcPr>
          <w:p w14:paraId="0D00E047"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5A8ADFA"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32733C6" w14:textId="77777777" w:rsidR="00000000" w:rsidRDefault="00832D71">
            <w:pPr>
              <w:pStyle w:val="a3"/>
              <w:spacing w:before="0" w:beforeAutospacing="0" w:after="0" w:afterAutospacing="0"/>
              <w:jc w:val="right"/>
              <w:rPr>
                <w:sz w:val="20"/>
                <w:szCs w:val="20"/>
              </w:rPr>
            </w:pPr>
            <w:r>
              <w:rPr>
                <w:sz w:val="20"/>
                <w:szCs w:val="20"/>
              </w:rPr>
              <w:t>2,103,72</w:t>
            </w:r>
            <w:r>
              <w:rPr>
                <w:sz w:val="20"/>
                <w:szCs w:val="20"/>
              </w:rPr>
              <w:t>6</w:t>
            </w:r>
          </w:p>
        </w:tc>
        <w:tc>
          <w:tcPr>
            <w:tcW w:w="0" w:type="auto"/>
            <w:noWrap/>
            <w:vAlign w:val="bottom"/>
            <w:hideMark/>
          </w:tcPr>
          <w:p w14:paraId="71FA18C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2949E8C" w14:textId="77777777" w:rsidR="00000000" w:rsidRDefault="00832D71">
            <w:pPr>
              <w:pStyle w:val="a3"/>
              <w:spacing w:before="0" w:beforeAutospacing="0" w:after="0" w:afterAutospacing="0"/>
              <w:rPr>
                <w:sz w:val="22"/>
                <w:szCs w:val="22"/>
              </w:rPr>
            </w:pPr>
            <w:r>
              <w:rPr>
                <w:sz w:val="22"/>
                <w:szCs w:val="22"/>
              </w:rPr>
              <w:t> </w:t>
            </w:r>
          </w:p>
        </w:tc>
        <w:tc>
          <w:tcPr>
            <w:tcW w:w="0" w:type="auto"/>
            <w:noWrap/>
            <w:vAlign w:val="bottom"/>
            <w:hideMark/>
          </w:tcPr>
          <w:p w14:paraId="3A93333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C2043A2" w14:textId="77777777" w:rsidR="00000000" w:rsidRDefault="00832D71">
            <w:pPr>
              <w:pStyle w:val="a3"/>
              <w:spacing w:before="0" w:beforeAutospacing="0" w:after="0" w:afterAutospacing="0"/>
              <w:jc w:val="right"/>
              <w:rPr>
                <w:sz w:val="20"/>
                <w:szCs w:val="20"/>
              </w:rPr>
            </w:pPr>
            <w:r>
              <w:rPr>
                <w:sz w:val="20"/>
                <w:szCs w:val="20"/>
              </w:rPr>
              <w:t>2,051,73</w:t>
            </w:r>
            <w:r>
              <w:rPr>
                <w:sz w:val="20"/>
                <w:szCs w:val="20"/>
              </w:rPr>
              <w:t>0</w:t>
            </w:r>
          </w:p>
        </w:tc>
        <w:tc>
          <w:tcPr>
            <w:tcW w:w="0" w:type="auto"/>
            <w:noWrap/>
            <w:vAlign w:val="bottom"/>
            <w:hideMark/>
          </w:tcPr>
          <w:p w14:paraId="3CCF6D5A" w14:textId="77777777" w:rsidR="00000000" w:rsidRDefault="00832D71">
            <w:pPr>
              <w:pStyle w:val="a3"/>
              <w:spacing w:before="0" w:beforeAutospacing="0" w:after="0" w:afterAutospacing="0"/>
              <w:rPr>
                <w:sz w:val="20"/>
                <w:szCs w:val="20"/>
              </w:rPr>
            </w:pPr>
            <w:r>
              <w:rPr>
                <w:sz w:val="20"/>
                <w:szCs w:val="20"/>
              </w:rPr>
              <w:t> </w:t>
            </w:r>
          </w:p>
        </w:tc>
      </w:tr>
    </w:tbl>
    <w:p w14:paraId="10311EF0" w14:textId="77777777" w:rsidR="00000000" w:rsidRDefault="00832D71">
      <w:pPr>
        <w:pStyle w:val="a3"/>
        <w:spacing w:before="0" w:beforeAutospacing="0" w:after="0" w:afterAutospacing="0"/>
        <w:rPr>
          <w:sz w:val="20"/>
          <w:szCs w:val="20"/>
        </w:rPr>
      </w:pPr>
      <w:r>
        <w:rPr>
          <w:sz w:val="20"/>
          <w:szCs w:val="20"/>
        </w:rPr>
        <w:t> </w:t>
      </w:r>
    </w:p>
    <w:p w14:paraId="477C9E26" w14:textId="77777777" w:rsidR="00000000" w:rsidRDefault="00832D71">
      <w:pPr>
        <w:pStyle w:val="a3"/>
        <w:spacing w:before="200" w:beforeAutospacing="0" w:after="0" w:afterAutospacing="0"/>
        <w:jc w:val="center"/>
        <w:rPr>
          <w:sz w:val="20"/>
          <w:szCs w:val="20"/>
        </w:rPr>
      </w:pPr>
      <w:r>
        <w:rPr>
          <w:sz w:val="20"/>
          <w:szCs w:val="20"/>
        </w:rPr>
        <w:t>F</w:t>
      </w:r>
      <w:r>
        <w:rPr>
          <w:sz w:val="20"/>
          <w:szCs w:val="20"/>
        </w:rPr>
        <w:t>-</w:t>
      </w:r>
      <w:r>
        <w:rPr>
          <w:sz w:val="20"/>
          <w:szCs w:val="20"/>
        </w:rPr>
        <w:t>3</w:t>
      </w:r>
      <w:r>
        <w:rPr>
          <w:sz w:val="20"/>
          <w:szCs w:val="20"/>
        </w:rPr>
        <w:t>3</w:t>
      </w:r>
    </w:p>
    <w:p w14:paraId="12CC0427" w14:textId="77777777" w:rsidR="00000000" w:rsidRDefault="00832D71">
      <w:pPr>
        <w:rPr>
          <w:rFonts w:eastAsia="Times New Roman"/>
        </w:rPr>
      </w:pPr>
      <w:r>
        <w:rPr>
          <w:rFonts w:eastAsia="Times New Roman"/>
        </w:rPr>
        <w:pict w14:anchorId="629F9597">
          <v:rect id="_x0000_i1152" style="width:0;height:1.5pt" o:hralign="center" o:hrstd="t" o:hr="t" fillcolor="#a0a0a0" stroked="f"/>
        </w:pict>
      </w:r>
    </w:p>
    <w:p w14:paraId="37C818AC" w14:textId="77777777" w:rsidR="00000000" w:rsidRDefault="00832D71">
      <w:pPr>
        <w:pStyle w:val="a3"/>
        <w:spacing w:before="0" w:beforeAutospacing="0" w:after="0" w:afterAutospacing="0"/>
        <w:rPr>
          <w:sz w:val="20"/>
          <w:szCs w:val="20"/>
        </w:rPr>
      </w:pPr>
      <w:r>
        <w:rPr>
          <w:sz w:val="20"/>
          <w:szCs w:val="20"/>
        </w:rPr>
        <w:t> </w:t>
      </w:r>
    </w:p>
    <w:p w14:paraId="1267436C" w14:textId="77777777" w:rsidR="00000000" w:rsidRDefault="00832D71">
      <w:pPr>
        <w:pStyle w:val="a3"/>
        <w:spacing w:before="0" w:beforeAutospacing="0" w:after="0" w:afterAutospacing="0"/>
        <w:jc w:val="center"/>
        <w:rPr>
          <w:sz w:val="20"/>
          <w:szCs w:val="20"/>
        </w:rPr>
      </w:pPr>
      <w:r>
        <w:rPr>
          <w:b/>
          <w:bCs/>
          <w:sz w:val="20"/>
          <w:szCs w:val="20"/>
        </w:rPr>
        <w:t>INDEX TO FINANCIAL STATEMENT SCHEDUL</w:t>
      </w:r>
      <w:r>
        <w:rPr>
          <w:b/>
          <w:bCs/>
          <w:sz w:val="20"/>
          <w:szCs w:val="20"/>
        </w:rPr>
        <w:t>E</w:t>
      </w:r>
    </w:p>
    <w:p w14:paraId="1E923DE9" w14:textId="77777777" w:rsidR="00000000" w:rsidRDefault="00832D71">
      <w:pPr>
        <w:pStyle w:val="a3"/>
        <w:spacing w:before="240" w:beforeAutospacing="0" w:after="0" w:afterAutospacing="0"/>
        <w:jc w:val="center"/>
        <w:rPr>
          <w:sz w:val="20"/>
          <w:szCs w:val="20"/>
        </w:rPr>
      </w:pPr>
      <w:r>
        <w:rPr>
          <w:b/>
          <w:bCs/>
          <w:sz w:val="20"/>
          <w:szCs w:val="20"/>
        </w:rPr>
        <w:t>SUBURBAN PROPANE PARTNERS, L.P. AND SUBSIDIARIE</w:t>
      </w:r>
      <w:r>
        <w:rPr>
          <w:b/>
          <w:bCs/>
          <w:sz w:val="20"/>
          <w:szCs w:val="20"/>
        </w:rPr>
        <w:t>S</w:t>
      </w:r>
    </w:p>
    <w:p w14:paraId="6B5DC58B" w14:textId="77777777" w:rsidR="00000000" w:rsidRDefault="00832D71">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3"/>
        <w:gridCol w:w="112"/>
        <w:gridCol w:w="6847"/>
        <w:gridCol w:w="110"/>
        <w:gridCol w:w="404"/>
      </w:tblGrid>
      <w:tr w:rsidR="00000000" w14:paraId="6ECF9E44" w14:textId="77777777">
        <w:trPr>
          <w:tblCellSpacing w:w="15" w:type="dxa"/>
        </w:trPr>
        <w:tc>
          <w:tcPr>
            <w:tcW w:w="492" w:type="pct"/>
            <w:vAlign w:val="center"/>
            <w:hideMark/>
          </w:tcPr>
          <w:p w14:paraId="077064A7" w14:textId="77777777" w:rsidR="00000000" w:rsidRDefault="00832D71">
            <w:pPr>
              <w:rPr>
                <w:sz w:val="20"/>
                <w:szCs w:val="20"/>
              </w:rPr>
            </w:pPr>
          </w:p>
        </w:tc>
        <w:tc>
          <w:tcPr>
            <w:tcW w:w="57" w:type="pct"/>
            <w:vAlign w:val="center"/>
            <w:hideMark/>
          </w:tcPr>
          <w:p w14:paraId="7DD21795" w14:textId="77777777" w:rsidR="00000000" w:rsidRDefault="00832D71">
            <w:pPr>
              <w:rPr>
                <w:rFonts w:eastAsia="Times New Roman"/>
                <w:sz w:val="20"/>
                <w:szCs w:val="20"/>
              </w:rPr>
            </w:pPr>
          </w:p>
        </w:tc>
        <w:tc>
          <w:tcPr>
            <w:tcW w:w="4200" w:type="pct"/>
            <w:vAlign w:val="center"/>
            <w:hideMark/>
          </w:tcPr>
          <w:p w14:paraId="7FDFA2D1" w14:textId="77777777" w:rsidR="00000000" w:rsidRDefault="00832D71">
            <w:pPr>
              <w:rPr>
                <w:rFonts w:eastAsia="Times New Roman"/>
                <w:sz w:val="20"/>
                <w:szCs w:val="20"/>
              </w:rPr>
            </w:pPr>
          </w:p>
        </w:tc>
        <w:tc>
          <w:tcPr>
            <w:tcW w:w="50" w:type="pct"/>
            <w:vAlign w:val="center"/>
            <w:hideMark/>
          </w:tcPr>
          <w:p w14:paraId="41761726" w14:textId="77777777" w:rsidR="00000000" w:rsidRDefault="00832D71">
            <w:pPr>
              <w:rPr>
                <w:rFonts w:eastAsia="Times New Roman"/>
                <w:sz w:val="20"/>
                <w:szCs w:val="20"/>
              </w:rPr>
            </w:pPr>
          </w:p>
        </w:tc>
        <w:tc>
          <w:tcPr>
            <w:tcW w:w="200" w:type="pct"/>
            <w:vAlign w:val="center"/>
            <w:hideMark/>
          </w:tcPr>
          <w:p w14:paraId="6A62E3F2" w14:textId="77777777" w:rsidR="00000000" w:rsidRDefault="00832D71">
            <w:pPr>
              <w:rPr>
                <w:rFonts w:eastAsia="Times New Roman"/>
                <w:sz w:val="20"/>
                <w:szCs w:val="20"/>
              </w:rPr>
            </w:pPr>
          </w:p>
        </w:tc>
      </w:tr>
      <w:tr w:rsidR="00000000" w14:paraId="512969F3" w14:textId="77777777">
        <w:trPr>
          <w:trHeight w:val="160"/>
          <w:tblCellSpacing w:w="15" w:type="dxa"/>
        </w:trPr>
        <w:tc>
          <w:tcPr>
            <w:tcW w:w="0" w:type="auto"/>
            <w:hideMark/>
          </w:tcPr>
          <w:p w14:paraId="2DF7915D"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0D905D9A"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766394FD" w14:textId="77777777" w:rsidR="00000000" w:rsidRDefault="00832D71">
            <w:pPr>
              <w:pStyle w:val="a3"/>
              <w:spacing w:before="0" w:beforeAutospacing="0" w:after="0" w:afterAutospacing="0"/>
              <w:rPr>
                <w:sz w:val="16"/>
                <w:szCs w:val="16"/>
              </w:rPr>
            </w:pPr>
            <w:r>
              <w:rPr>
                <w:sz w:val="16"/>
                <w:szCs w:val="16"/>
              </w:rPr>
              <w:t> </w:t>
            </w:r>
          </w:p>
        </w:tc>
        <w:tc>
          <w:tcPr>
            <w:tcW w:w="0" w:type="auto"/>
            <w:hideMark/>
          </w:tcPr>
          <w:p w14:paraId="6557A904" w14:textId="77777777" w:rsidR="00000000" w:rsidRDefault="00832D71">
            <w:pPr>
              <w:pStyle w:val="a3"/>
              <w:spacing w:before="0" w:beforeAutospacing="0" w:after="0" w:afterAutospacing="0"/>
              <w:rPr>
                <w:sz w:val="16"/>
                <w:szCs w:val="16"/>
              </w:rPr>
            </w:pPr>
            <w:r>
              <w:rPr>
                <w:sz w:val="16"/>
                <w:szCs w:val="16"/>
              </w:rPr>
              <w:t> </w:t>
            </w:r>
          </w:p>
        </w:tc>
        <w:tc>
          <w:tcPr>
            <w:tcW w:w="0" w:type="auto"/>
            <w:tcBorders>
              <w:bottom w:val="single" w:sz="4" w:space="0" w:color="auto"/>
            </w:tcBorders>
            <w:vAlign w:val="bottom"/>
            <w:hideMark/>
          </w:tcPr>
          <w:p w14:paraId="6EFBE913" w14:textId="77777777" w:rsidR="00000000" w:rsidRDefault="00832D71">
            <w:pPr>
              <w:pStyle w:val="a3"/>
              <w:spacing w:before="0" w:beforeAutospacing="0" w:after="0" w:afterAutospacing="0"/>
              <w:jc w:val="center"/>
              <w:rPr>
                <w:sz w:val="16"/>
                <w:szCs w:val="16"/>
              </w:rPr>
            </w:pPr>
            <w:r>
              <w:rPr>
                <w:b/>
                <w:bCs/>
                <w:sz w:val="16"/>
                <w:szCs w:val="16"/>
              </w:rPr>
              <w:t>Pag</w:t>
            </w:r>
            <w:r>
              <w:rPr>
                <w:b/>
                <w:bCs/>
                <w:sz w:val="16"/>
                <w:szCs w:val="16"/>
              </w:rPr>
              <w:t>e</w:t>
            </w:r>
          </w:p>
        </w:tc>
      </w:tr>
      <w:tr w:rsidR="00000000" w14:paraId="01A52EFD" w14:textId="77777777">
        <w:trPr>
          <w:trHeight w:val="389"/>
          <w:tblCellSpacing w:w="15" w:type="dxa"/>
        </w:trPr>
        <w:tc>
          <w:tcPr>
            <w:tcW w:w="0" w:type="auto"/>
            <w:hideMark/>
          </w:tcPr>
          <w:p w14:paraId="3CD2666B" w14:textId="77777777" w:rsidR="00000000" w:rsidRDefault="00832D71">
            <w:pPr>
              <w:pStyle w:val="a3"/>
              <w:spacing w:before="0" w:beforeAutospacing="0" w:after="0" w:afterAutospacing="0"/>
              <w:rPr>
                <w:sz w:val="20"/>
                <w:szCs w:val="20"/>
              </w:rPr>
            </w:pPr>
            <w:r>
              <w:rPr>
                <w:sz w:val="20"/>
                <w:szCs w:val="20"/>
              </w:rPr>
              <w:t>Schedule I</w:t>
            </w:r>
            <w:r>
              <w:rPr>
                <w:sz w:val="20"/>
                <w:szCs w:val="20"/>
              </w:rPr>
              <w:t>I</w:t>
            </w:r>
          </w:p>
        </w:tc>
        <w:tc>
          <w:tcPr>
            <w:tcW w:w="0" w:type="auto"/>
            <w:hideMark/>
          </w:tcPr>
          <w:p w14:paraId="6EAFFA39"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01F575D" w14:textId="77777777" w:rsidR="00000000" w:rsidRDefault="00832D71">
            <w:pPr>
              <w:pStyle w:val="a3"/>
              <w:spacing w:before="0" w:beforeAutospacing="0" w:after="0" w:afterAutospacing="0"/>
              <w:rPr>
                <w:sz w:val="20"/>
                <w:szCs w:val="20"/>
              </w:rPr>
            </w:pPr>
            <w:hyperlink w:anchor="valuation_qualifying_accounts" w:history="1">
              <w:r>
                <w:rPr>
                  <w:rStyle w:val="a4"/>
                  <w:sz w:val="20"/>
                  <w:szCs w:val="20"/>
                </w:rPr>
                <w:t>Valuation and Qualifying Accounts – Years Ended September 24, 2022, September 25, 2021 and September 26, 202</w:t>
              </w:r>
              <w:r>
                <w:rPr>
                  <w:rStyle w:val="a4"/>
                  <w:sz w:val="20"/>
                  <w:szCs w:val="20"/>
                </w:rPr>
                <w:t>0</w:t>
              </w:r>
            </w:hyperlink>
            <w:r>
              <w:rPr>
                <w:sz w:val="20"/>
                <w:szCs w:val="20"/>
              </w:rPr>
              <w:t xml:space="preserve"> </w:t>
            </w:r>
          </w:p>
        </w:tc>
        <w:tc>
          <w:tcPr>
            <w:tcW w:w="0" w:type="auto"/>
            <w:hideMark/>
          </w:tcPr>
          <w:p w14:paraId="7D6771F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48BC8DB" w14:textId="77777777" w:rsidR="00000000" w:rsidRDefault="00832D71">
            <w:pPr>
              <w:pStyle w:val="a3"/>
              <w:spacing w:before="0" w:beforeAutospacing="0" w:after="0" w:afterAutospacing="0"/>
              <w:jc w:val="right"/>
              <w:rPr>
                <w:sz w:val="20"/>
                <w:szCs w:val="20"/>
              </w:rPr>
            </w:pPr>
            <w:r>
              <w:rPr>
                <w:sz w:val="20"/>
                <w:szCs w:val="20"/>
              </w:rPr>
              <w:t>S</w:t>
            </w:r>
            <w:r>
              <w:rPr>
                <w:sz w:val="20"/>
                <w:szCs w:val="20"/>
              </w:rPr>
              <w:t>-</w:t>
            </w:r>
            <w:r>
              <w:rPr>
                <w:sz w:val="20"/>
                <w:szCs w:val="20"/>
              </w:rPr>
              <w:t>2</w:t>
            </w:r>
          </w:p>
        </w:tc>
      </w:tr>
    </w:tbl>
    <w:p w14:paraId="39084094" w14:textId="77777777" w:rsidR="00000000" w:rsidRDefault="00832D71">
      <w:pPr>
        <w:pStyle w:val="a3"/>
        <w:spacing w:before="0" w:beforeAutospacing="0" w:after="0" w:afterAutospacing="0"/>
        <w:rPr>
          <w:sz w:val="20"/>
          <w:szCs w:val="20"/>
        </w:rPr>
      </w:pPr>
      <w:r>
        <w:rPr>
          <w:sz w:val="20"/>
          <w:szCs w:val="20"/>
        </w:rPr>
        <w:t> </w:t>
      </w:r>
    </w:p>
    <w:p w14:paraId="0CA24F1A" w14:textId="77777777" w:rsidR="00000000" w:rsidRDefault="00832D71">
      <w:pPr>
        <w:pStyle w:val="a3"/>
        <w:spacing w:before="0" w:beforeAutospacing="0" w:after="0" w:afterAutospacing="0"/>
        <w:jc w:val="center"/>
        <w:rPr>
          <w:sz w:val="20"/>
          <w:szCs w:val="20"/>
        </w:rPr>
      </w:pPr>
      <w:r>
        <w:rPr>
          <w:sz w:val="20"/>
          <w:szCs w:val="20"/>
        </w:rPr>
        <w:t>S</w:t>
      </w:r>
      <w:r>
        <w:rPr>
          <w:sz w:val="20"/>
          <w:szCs w:val="20"/>
        </w:rPr>
        <w:t>-</w:t>
      </w:r>
      <w:r>
        <w:rPr>
          <w:sz w:val="20"/>
          <w:szCs w:val="20"/>
        </w:rPr>
        <w:t>1</w:t>
      </w:r>
    </w:p>
    <w:p w14:paraId="49C15583" w14:textId="77777777" w:rsidR="00000000" w:rsidRDefault="00832D71">
      <w:pPr>
        <w:rPr>
          <w:rFonts w:eastAsia="Times New Roman"/>
        </w:rPr>
      </w:pPr>
      <w:r>
        <w:rPr>
          <w:rFonts w:eastAsia="Times New Roman"/>
        </w:rPr>
        <w:pict w14:anchorId="1F3ABC71">
          <v:rect id="_x0000_i1153" style="width:0;height:1.5pt" o:hralign="center" o:hrstd="t" o:hr="t" fillcolor="#a0a0a0" stroked="f"/>
        </w:pict>
      </w:r>
    </w:p>
    <w:p w14:paraId="18FA5DDB" w14:textId="77777777" w:rsidR="00000000" w:rsidRDefault="00832D71">
      <w:pPr>
        <w:pStyle w:val="a3"/>
        <w:spacing w:before="0" w:beforeAutospacing="0" w:after="0" w:afterAutospacing="0"/>
        <w:rPr>
          <w:sz w:val="20"/>
          <w:szCs w:val="20"/>
        </w:rPr>
      </w:pPr>
      <w:r>
        <w:rPr>
          <w:sz w:val="20"/>
          <w:szCs w:val="20"/>
        </w:rPr>
        <w:t> </w:t>
      </w:r>
    </w:p>
    <w:p w14:paraId="57EF572D" w14:textId="77777777" w:rsidR="00000000" w:rsidRDefault="00832D71">
      <w:pPr>
        <w:pStyle w:val="a3"/>
        <w:spacing w:before="0" w:beforeAutospacing="0" w:after="0" w:afterAutospacing="0"/>
        <w:jc w:val="right"/>
        <w:rPr>
          <w:sz w:val="20"/>
          <w:szCs w:val="20"/>
        </w:rPr>
      </w:pPr>
      <w:r>
        <w:rPr>
          <w:b/>
          <w:bCs/>
          <w:sz w:val="20"/>
          <w:szCs w:val="20"/>
          <w:u w:val="single"/>
        </w:rPr>
        <w:t>SCHEDULE I</w:t>
      </w:r>
      <w:r>
        <w:rPr>
          <w:b/>
          <w:bCs/>
          <w:sz w:val="20"/>
          <w:szCs w:val="20"/>
          <w:u w:val="single"/>
        </w:rPr>
        <w:t>I</w:t>
      </w:r>
    </w:p>
    <w:p w14:paraId="13F0312B" w14:textId="77777777" w:rsidR="00000000" w:rsidRDefault="00832D71">
      <w:pPr>
        <w:pStyle w:val="a3"/>
        <w:spacing w:before="240" w:beforeAutospacing="0" w:after="0" w:afterAutospacing="0"/>
        <w:jc w:val="center"/>
        <w:divId w:val="1546789829"/>
        <w:rPr>
          <w:sz w:val="20"/>
          <w:szCs w:val="20"/>
        </w:rPr>
      </w:pPr>
      <w:r>
        <w:rPr>
          <w:b/>
          <w:bCs/>
          <w:sz w:val="20"/>
          <w:szCs w:val="20"/>
        </w:rPr>
        <w:t>SUBURBAN PROPANE PARTNERS, L.P. AND SUBSIDIARIE</w:t>
      </w:r>
      <w:r>
        <w:rPr>
          <w:b/>
          <w:bCs/>
          <w:sz w:val="20"/>
          <w:szCs w:val="20"/>
        </w:rPr>
        <w:t>S</w:t>
      </w:r>
    </w:p>
    <w:p w14:paraId="009AED9B" w14:textId="77777777" w:rsidR="00000000" w:rsidRDefault="00832D71">
      <w:pPr>
        <w:pStyle w:val="a3"/>
        <w:spacing w:before="240" w:beforeAutospacing="0" w:after="0" w:afterAutospacing="0"/>
        <w:jc w:val="center"/>
        <w:divId w:val="1546789829"/>
        <w:rPr>
          <w:sz w:val="20"/>
          <w:szCs w:val="20"/>
        </w:rPr>
      </w:pPr>
      <w:r>
        <w:rPr>
          <w:b/>
          <w:bCs/>
          <w:sz w:val="20"/>
          <w:szCs w:val="20"/>
        </w:rPr>
        <w:t>VALUATION AND QU</w:t>
      </w:r>
      <w:r>
        <w:rPr>
          <w:b/>
          <w:bCs/>
          <w:sz w:val="20"/>
          <w:szCs w:val="20"/>
        </w:rPr>
        <w:t>A</w:t>
      </w:r>
      <w:r>
        <w:rPr>
          <w:b/>
          <w:bCs/>
          <w:sz w:val="20"/>
          <w:szCs w:val="20"/>
        </w:rPr>
        <w:t>LIFYING ACCOUNT</w:t>
      </w:r>
      <w:r>
        <w:rPr>
          <w:b/>
          <w:bCs/>
          <w:sz w:val="20"/>
          <w:szCs w:val="20"/>
        </w:rPr>
        <w:t>S</w:t>
      </w:r>
    </w:p>
    <w:p w14:paraId="529A0283" w14:textId="77777777" w:rsidR="00000000" w:rsidRDefault="00832D71">
      <w:pPr>
        <w:pStyle w:val="a3"/>
        <w:spacing w:before="0" w:beforeAutospacing="0" w:after="0" w:afterAutospacing="0"/>
        <w:jc w:val="center"/>
        <w:divId w:val="1546789829"/>
        <w:rPr>
          <w:sz w:val="20"/>
          <w:szCs w:val="20"/>
        </w:rPr>
      </w:pPr>
      <w:r>
        <w:rPr>
          <w:sz w:val="20"/>
          <w:szCs w:val="20"/>
        </w:rPr>
        <w:t>(in thousands</w:t>
      </w:r>
      <w:r>
        <w:rPr>
          <w:sz w:val="20"/>
          <w:szCs w:val="20"/>
        </w:rPr>
        <w:t>)</w:t>
      </w:r>
    </w:p>
    <w:p w14:paraId="795F4610" w14:textId="77777777" w:rsidR="00000000" w:rsidRDefault="00832D71">
      <w:pPr>
        <w:pStyle w:val="a3"/>
        <w:spacing w:before="0" w:beforeAutospacing="0" w:after="0" w:afterAutospacing="0"/>
        <w:divId w:val="154678982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97"/>
        <w:gridCol w:w="110"/>
        <w:gridCol w:w="160"/>
        <w:gridCol w:w="1000"/>
        <w:gridCol w:w="110"/>
        <w:gridCol w:w="110"/>
        <w:gridCol w:w="161"/>
        <w:gridCol w:w="1302"/>
        <w:gridCol w:w="127"/>
        <w:gridCol w:w="110"/>
        <w:gridCol w:w="161"/>
        <w:gridCol w:w="943"/>
        <w:gridCol w:w="110"/>
        <w:gridCol w:w="310"/>
        <w:gridCol w:w="161"/>
        <w:gridCol w:w="872"/>
        <w:gridCol w:w="127"/>
        <w:gridCol w:w="110"/>
        <w:gridCol w:w="160"/>
        <w:gridCol w:w="840"/>
        <w:gridCol w:w="125"/>
      </w:tblGrid>
      <w:tr w:rsidR="00000000" w14:paraId="60FC0AF0" w14:textId="77777777">
        <w:trPr>
          <w:divId w:val="1546789829"/>
          <w:tblCellSpacing w:w="15" w:type="dxa"/>
        </w:trPr>
        <w:tc>
          <w:tcPr>
            <w:tcW w:w="760" w:type="pct"/>
            <w:vAlign w:val="center"/>
            <w:hideMark/>
          </w:tcPr>
          <w:p w14:paraId="570FBD63" w14:textId="77777777" w:rsidR="00000000" w:rsidRDefault="00832D71">
            <w:pPr>
              <w:rPr>
                <w:sz w:val="20"/>
                <w:szCs w:val="20"/>
              </w:rPr>
            </w:pPr>
          </w:p>
        </w:tc>
        <w:tc>
          <w:tcPr>
            <w:tcW w:w="35" w:type="pct"/>
            <w:vAlign w:val="center"/>
            <w:hideMark/>
          </w:tcPr>
          <w:p w14:paraId="11E15642" w14:textId="77777777" w:rsidR="00000000" w:rsidRDefault="00832D71">
            <w:pPr>
              <w:rPr>
                <w:rFonts w:eastAsia="Times New Roman"/>
                <w:sz w:val="20"/>
                <w:szCs w:val="20"/>
              </w:rPr>
            </w:pPr>
          </w:p>
        </w:tc>
        <w:tc>
          <w:tcPr>
            <w:tcW w:w="50" w:type="pct"/>
            <w:vAlign w:val="center"/>
            <w:hideMark/>
          </w:tcPr>
          <w:p w14:paraId="0CB6ECE9" w14:textId="77777777" w:rsidR="00000000" w:rsidRDefault="00832D71">
            <w:pPr>
              <w:rPr>
                <w:rFonts w:eastAsia="Times New Roman"/>
                <w:sz w:val="20"/>
                <w:szCs w:val="20"/>
              </w:rPr>
            </w:pPr>
          </w:p>
        </w:tc>
        <w:tc>
          <w:tcPr>
            <w:tcW w:w="768" w:type="pct"/>
            <w:vAlign w:val="center"/>
            <w:hideMark/>
          </w:tcPr>
          <w:p w14:paraId="60AB4C55" w14:textId="77777777" w:rsidR="00000000" w:rsidRDefault="00832D71">
            <w:pPr>
              <w:rPr>
                <w:rFonts w:eastAsia="Times New Roman"/>
                <w:sz w:val="20"/>
                <w:szCs w:val="20"/>
              </w:rPr>
            </w:pPr>
          </w:p>
        </w:tc>
        <w:tc>
          <w:tcPr>
            <w:tcW w:w="50" w:type="pct"/>
            <w:vAlign w:val="center"/>
            <w:hideMark/>
          </w:tcPr>
          <w:p w14:paraId="269C40BB" w14:textId="77777777" w:rsidR="00000000" w:rsidRDefault="00832D71">
            <w:pPr>
              <w:rPr>
                <w:rFonts w:eastAsia="Times New Roman"/>
                <w:sz w:val="20"/>
                <w:szCs w:val="20"/>
              </w:rPr>
            </w:pPr>
          </w:p>
        </w:tc>
        <w:tc>
          <w:tcPr>
            <w:tcW w:w="35" w:type="pct"/>
            <w:vAlign w:val="center"/>
            <w:hideMark/>
          </w:tcPr>
          <w:p w14:paraId="536C1655" w14:textId="77777777" w:rsidR="00000000" w:rsidRDefault="00832D71">
            <w:pPr>
              <w:rPr>
                <w:rFonts w:eastAsia="Times New Roman"/>
                <w:sz w:val="20"/>
                <w:szCs w:val="20"/>
              </w:rPr>
            </w:pPr>
          </w:p>
        </w:tc>
        <w:tc>
          <w:tcPr>
            <w:tcW w:w="50" w:type="pct"/>
            <w:vAlign w:val="center"/>
            <w:hideMark/>
          </w:tcPr>
          <w:p w14:paraId="74A190E5" w14:textId="77777777" w:rsidR="00000000" w:rsidRDefault="00832D71">
            <w:pPr>
              <w:rPr>
                <w:rFonts w:eastAsia="Times New Roman"/>
                <w:sz w:val="20"/>
                <w:szCs w:val="20"/>
              </w:rPr>
            </w:pPr>
          </w:p>
        </w:tc>
        <w:tc>
          <w:tcPr>
            <w:tcW w:w="902" w:type="pct"/>
            <w:vAlign w:val="center"/>
            <w:hideMark/>
          </w:tcPr>
          <w:p w14:paraId="75408F1C" w14:textId="77777777" w:rsidR="00000000" w:rsidRDefault="00832D71">
            <w:pPr>
              <w:rPr>
                <w:rFonts w:eastAsia="Times New Roman"/>
                <w:sz w:val="20"/>
                <w:szCs w:val="20"/>
              </w:rPr>
            </w:pPr>
          </w:p>
        </w:tc>
        <w:tc>
          <w:tcPr>
            <w:tcW w:w="50" w:type="pct"/>
            <w:vAlign w:val="center"/>
            <w:hideMark/>
          </w:tcPr>
          <w:p w14:paraId="48BF10FE" w14:textId="77777777" w:rsidR="00000000" w:rsidRDefault="00832D71">
            <w:pPr>
              <w:rPr>
                <w:rFonts w:eastAsia="Times New Roman"/>
                <w:sz w:val="20"/>
                <w:szCs w:val="20"/>
              </w:rPr>
            </w:pPr>
          </w:p>
        </w:tc>
        <w:tc>
          <w:tcPr>
            <w:tcW w:w="35" w:type="pct"/>
            <w:vAlign w:val="center"/>
            <w:hideMark/>
          </w:tcPr>
          <w:p w14:paraId="64FBC8CC" w14:textId="77777777" w:rsidR="00000000" w:rsidRDefault="00832D71">
            <w:pPr>
              <w:rPr>
                <w:rFonts w:eastAsia="Times New Roman"/>
                <w:sz w:val="20"/>
                <w:szCs w:val="20"/>
              </w:rPr>
            </w:pPr>
          </w:p>
        </w:tc>
        <w:tc>
          <w:tcPr>
            <w:tcW w:w="50" w:type="pct"/>
            <w:vAlign w:val="center"/>
            <w:hideMark/>
          </w:tcPr>
          <w:p w14:paraId="2A5322DC" w14:textId="77777777" w:rsidR="00000000" w:rsidRDefault="00832D71">
            <w:pPr>
              <w:rPr>
                <w:rFonts w:eastAsia="Times New Roman"/>
                <w:sz w:val="20"/>
                <w:szCs w:val="20"/>
              </w:rPr>
            </w:pPr>
          </w:p>
        </w:tc>
        <w:tc>
          <w:tcPr>
            <w:tcW w:w="667" w:type="pct"/>
            <w:vAlign w:val="center"/>
            <w:hideMark/>
          </w:tcPr>
          <w:p w14:paraId="526D2936" w14:textId="77777777" w:rsidR="00000000" w:rsidRDefault="00832D71">
            <w:pPr>
              <w:rPr>
                <w:rFonts w:eastAsia="Times New Roman"/>
                <w:sz w:val="20"/>
                <w:szCs w:val="20"/>
              </w:rPr>
            </w:pPr>
          </w:p>
        </w:tc>
        <w:tc>
          <w:tcPr>
            <w:tcW w:w="50" w:type="pct"/>
            <w:vAlign w:val="center"/>
            <w:hideMark/>
          </w:tcPr>
          <w:p w14:paraId="40D2EDE9" w14:textId="77777777" w:rsidR="00000000" w:rsidRDefault="00832D71">
            <w:pPr>
              <w:rPr>
                <w:rFonts w:eastAsia="Times New Roman"/>
                <w:sz w:val="20"/>
                <w:szCs w:val="20"/>
              </w:rPr>
            </w:pPr>
          </w:p>
        </w:tc>
        <w:tc>
          <w:tcPr>
            <w:tcW w:w="36" w:type="pct"/>
            <w:vAlign w:val="center"/>
            <w:hideMark/>
          </w:tcPr>
          <w:p w14:paraId="76FDCFB2" w14:textId="77777777" w:rsidR="00000000" w:rsidRDefault="00832D71">
            <w:pPr>
              <w:rPr>
                <w:rFonts w:eastAsia="Times New Roman"/>
                <w:sz w:val="20"/>
                <w:szCs w:val="20"/>
              </w:rPr>
            </w:pPr>
          </w:p>
        </w:tc>
        <w:tc>
          <w:tcPr>
            <w:tcW w:w="50" w:type="pct"/>
            <w:vAlign w:val="center"/>
            <w:hideMark/>
          </w:tcPr>
          <w:p w14:paraId="0215C785" w14:textId="77777777" w:rsidR="00000000" w:rsidRDefault="00832D71">
            <w:pPr>
              <w:rPr>
                <w:rFonts w:eastAsia="Times New Roman"/>
                <w:sz w:val="20"/>
                <w:szCs w:val="20"/>
              </w:rPr>
            </w:pPr>
          </w:p>
        </w:tc>
        <w:tc>
          <w:tcPr>
            <w:tcW w:w="621" w:type="pct"/>
            <w:vAlign w:val="center"/>
            <w:hideMark/>
          </w:tcPr>
          <w:p w14:paraId="1893E381" w14:textId="77777777" w:rsidR="00000000" w:rsidRDefault="00832D71">
            <w:pPr>
              <w:rPr>
                <w:rFonts w:eastAsia="Times New Roman"/>
                <w:sz w:val="20"/>
                <w:szCs w:val="20"/>
              </w:rPr>
            </w:pPr>
          </w:p>
        </w:tc>
        <w:tc>
          <w:tcPr>
            <w:tcW w:w="50" w:type="pct"/>
            <w:vAlign w:val="center"/>
            <w:hideMark/>
          </w:tcPr>
          <w:p w14:paraId="7C8B8974" w14:textId="77777777" w:rsidR="00000000" w:rsidRDefault="00832D71">
            <w:pPr>
              <w:rPr>
                <w:rFonts w:eastAsia="Times New Roman"/>
                <w:sz w:val="20"/>
                <w:szCs w:val="20"/>
              </w:rPr>
            </w:pPr>
          </w:p>
        </w:tc>
        <w:tc>
          <w:tcPr>
            <w:tcW w:w="36" w:type="pct"/>
            <w:vAlign w:val="center"/>
            <w:hideMark/>
          </w:tcPr>
          <w:p w14:paraId="102523D3" w14:textId="77777777" w:rsidR="00000000" w:rsidRDefault="00832D71">
            <w:pPr>
              <w:rPr>
                <w:rFonts w:eastAsia="Times New Roman"/>
                <w:sz w:val="20"/>
                <w:szCs w:val="20"/>
              </w:rPr>
            </w:pPr>
          </w:p>
        </w:tc>
        <w:tc>
          <w:tcPr>
            <w:tcW w:w="50" w:type="pct"/>
            <w:vAlign w:val="center"/>
            <w:hideMark/>
          </w:tcPr>
          <w:p w14:paraId="7BDC12B7" w14:textId="77777777" w:rsidR="00000000" w:rsidRDefault="00832D71">
            <w:pPr>
              <w:rPr>
                <w:rFonts w:eastAsia="Times New Roman"/>
                <w:sz w:val="20"/>
                <w:szCs w:val="20"/>
              </w:rPr>
            </w:pPr>
          </w:p>
        </w:tc>
        <w:tc>
          <w:tcPr>
            <w:tcW w:w="600" w:type="pct"/>
            <w:vAlign w:val="center"/>
            <w:hideMark/>
          </w:tcPr>
          <w:p w14:paraId="44C6F81B" w14:textId="77777777" w:rsidR="00000000" w:rsidRDefault="00832D71">
            <w:pPr>
              <w:rPr>
                <w:rFonts w:eastAsia="Times New Roman"/>
                <w:sz w:val="20"/>
                <w:szCs w:val="20"/>
              </w:rPr>
            </w:pPr>
          </w:p>
        </w:tc>
        <w:tc>
          <w:tcPr>
            <w:tcW w:w="50" w:type="pct"/>
            <w:vAlign w:val="center"/>
            <w:hideMark/>
          </w:tcPr>
          <w:p w14:paraId="202906F1" w14:textId="77777777" w:rsidR="00000000" w:rsidRDefault="00832D71">
            <w:pPr>
              <w:rPr>
                <w:rFonts w:eastAsia="Times New Roman"/>
                <w:sz w:val="20"/>
                <w:szCs w:val="20"/>
              </w:rPr>
            </w:pPr>
          </w:p>
        </w:tc>
      </w:tr>
      <w:tr w:rsidR="00000000" w14:paraId="54DEA2D4" w14:textId="77777777">
        <w:trPr>
          <w:divId w:val="1546789829"/>
          <w:trHeight w:val="160"/>
          <w:tblCellSpacing w:w="15" w:type="dxa"/>
        </w:trPr>
        <w:tc>
          <w:tcPr>
            <w:tcW w:w="0" w:type="auto"/>
            <w:vAlign w:val="bottom"/>
            <w:hideMark/>
          </w:tcPr>
          <w:p w14:paraId="403C8CA7"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6DECB8FC"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2D817EFA" w14:textId="77777777" w:rsidR="00000000" w:rsidRDefault="00832D71">
            <w:pPr>
              <w:pStyle w:val="a3"/>
              <w:spacing w:before="0" w:beforeAutospacing="0" w:after="0" w:afterAutospacing="0"/>
              <w:jc w:val="center"/>
              <w:rPr>
                <w:sz w:val="16"/>
                <w:szCs w:val="16"/>
              </w:rPr>
            </w:pPr>
            <w:r>
              <w:rPr>
                <w:b/>
                <w:bCs/>
                <w:sz w:val="16"/>
                <w:szCs w:val="16"/>
              </w:rPr>
              <w:t>Balance at</w:t>
            </w:r>
            <w:r>
              <w:rPr>
                <w:b/>
                <w:bCs/>
                <w:sz w:val="16"/>
                <w:szCs w:val="16"/>
              </w:rPr>
              <w:br/>
              <w:t>Beginning o</w:t>
            </w:r>
            <w:r>
              <w:rPr>
                <w:b/>
                <w:bCs/>
                <w:sz w:val="16"/>
                <w:szCs w:val="16"/>
              </w:rPr>
              <w:t>f</w:t>
            </w:r>
            <w:r>
              <w:rPr>
                <w:rFonts w:ascii="Calibri" w:hAnsi="Calibri" w:cs="Calibri"/>
                <w:b/>
                <w:bCs/>
                <w:sz w:val="16"/>
                <w:szCs w:val="16"/>
              </w:rPr>
              <w:t xml:space="preserve"> </w:t>
            </w:r>
            <w:r>
              <w:rPr>
                <w:b/>
                <w:bCs/>
                <w:sz w:val="16"/>
                <w:szCs w:val="16"/>
              </w:rPr>
              <w:t>Perio</w:t>
            </w:r>
            <w:r>
              <w:rPr>
                <w:b/>
                <w:bCs/>
                <w:sz w:val="16"/>
                <w:szCs w:val="16"/>
              </w:rPr>
              <w:t>d</w:t>
            </w:r>
          </w:p>
        </w:tc>
        <w:tc>
          <w:tcPr>
            <w:tcW w:w="0" w:type="auto"/>
            <w:vAlign w:val="bottom"/>
            <w:hideMark/>
          </w:tcPr>
          <w:p w14:paraId="5BF11828" w14:textId="77777777" w:rsidR="00000000" w:rsidRDefault="00832D71">
            <w:pPr>
              <w:pStyle w:val="a3"/>
              <w:spacing w:before="0" w:beforeAutospacing="0" w:after="0" w:afterAutospacing="0"/>
              <w:jc w:val="center"/>
              <w:rPr>
                <w:sz w:val="16"/>
                <w:szCs w:val="16"/>
              </w:rPr>
            </w:pPr>
            <w:r>
              <w:rPr>
                <w:sz w:val="16"/>
                <w:szCs w:val="16"/>
              </w:rPr>
              <w:t> </w:t>
            </w:r>
          </w:p>
        </w:tc>
        <w:tc>
          <w:tcPr>
            <w:tcW w:w="0" w:type="auto"/>
            <w:hideMark/>
          </w:tcPr>
          <w:p w14:paraId="4B38A07B"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56716261" w14:textId="77777777" w:rsidR="00000000" w:rsidRDefault="00832D71">
            <w:pPr>
              <w:pStyle w:val="a3"/>
              <w:spacing w:before="0" w:beforeAutospacing="0" w:after="0" w:afterAutospacing="0"/>
              <w:jc w:val="center"/>
              <w:rPr>
                <w:sz w:val="16"/>
                <w:szCs w:val="16"/>
              </w:rPr>
            </w:pPr>
            <w:r>
              <w:rPr>
                <w:b/>
                <w:bCs/>
                <w:sz w:val="16"/>
                <w:szCs w:val="16"/>
              </w:rPr>
              <w:t>Charged (credited) to</w:t>
            </w:r>
            <w:r>
              <w:rPr>
                <w:b/>
                <w:bCs/>
                <w:sz w:val="16"/>
                <w:szCs w:val="16"/>
              </w:rPr>
              <w:br/>
              <w:t>Costs and Expense</w:t>
            </w:r>
            <w:r>
              <w:rPr>
                <w:b/>
                <w:bCs/>
                <w:sz w:val="16"/>
                <w:szCs w:val="16"/>
              </w:rPr>
              <w:t>s</w:t>
            </w:r>
          </w:p>
        </w:tc>
        <w:tc>
          <w:tcPr>
            <w:tcW w:w="0" w:type="auto"/>
            <w:vAlign w:val="bottom"/>
            <w:hideMark/>
          </w:tcPr>
          <w:p w14:paraId="56D7F8F5"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3676A10D" w14:textId="77777777" w:rsidR="00000000" w:rsidRDefault="00832D71">
            <w:pPr>
              <w:pStyle w:val="a3"/>
              <w:spacing w:before="0" w:beforeAutospacing="0" w:after="0" w:afterAutospacing="0"/>
              <w:rPr>
                <w:sz w:val="16"/>
                <w:szCs w:val="16"/>
              </w:rPr>
            </w:pPr>
            <w:r>
              <w:rPr>
                <w:sz w:val="16"/>
                <w:szCs w:val="16"/>
              </w:rPr>
              <w:t> </w:t>
            </w:r>
          </w:p>
        </w:tc>
        <w:tc>
          <w:tcPr>
            <w:tcW w:w="0" w:type="auto"/>
            <w:gridSpan w:val="2"/>
            <w:vAlign w:val="bottom"/>
            <w:hideMark/>
          </w:tcPr>
          <w:p w14:paraId="000D4598" w14:textId="77777777" w:rsidR="00000000" w:rsidRDefault="00832D71">
            <w:pPr>
              <w:pStyle w:val="a3"/>
              <w:spacing w:before="0" w:beforeAutospacing="0" w:after="0" w:afterAutospacing="0"/>
              <w:jc w:val="center"/>
              <w:rPr>
                <w:sz w:val="16"/>
                <w:szCs w:val="16"/>
              </w:rPr>
            </w:pPr>
            <w:r>
              <w:rPr>
                <w:b/>
                <w:bCs/>
                <w:sz w:val="16"/>
                <w:szCs w:val="16"/>
              </w:rPr>
              <w:t>Other Addition</w:t>
            </w:r>
            <w:r>
              <w:rPr>
                <w:b/>
                <w:bCs/>
                <w:sz w:val="16"/>
                <w:szCs w:val="16"/>
              </w:rPr>
              <w:t>s</w:t>
            </w:r>
          </w:p>
        </w:tc>
        <w:tc>
          <w:tcPr>
            <w:tcW w:w="0" w:type="auto"/>
            <w:vAlign w:val="bottom"/>
            <w:hideMark/>
          </w:tcPr>
          <w:p w14:paraId="183391D7"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0D6EB2BC"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ACB9E52" w14:textId="77777777" w:rsidR="00000000" w:rsidRDefault="00832D71">
            <w:pPr>
              <w:pStyle w:val="a3"/>
              <w:spacing w:before="0" w:beforeAutospacing="0" w:after="0" w:afterAutospacing="0"/>
              <w:jc w:val="center"/>
              <w:rPr>
                <w:sz w:val="16"/>
                <w:szCs w:val="16"/>
              </w:rPr>
            </w:pPr>
            <w:r>
              <w:rPr>
                <w:b/>
                <w:bCs/>
                <w:sz w:val="16"/>
                <w:szCs w:val="16"/>
              </w:rPr>
              <w:t>Deductions (a</w:t>
            </w:r>
            <w:r>
              <w:rPr>
                <w:b/>
                <w:bCs/>
                <w:sz w:val="16"/>
                <w:szCs w:val="16"/>
              </w:rPr>
              <w:t>)</w:t>
            </w:r>
          </w:p>
        </w:tc>
        <w:tc>
          <w:tcPr>
            <w:tcW w:w="0" w:type="auto"/>
            <w:vAlign w:val="bottom"/>
            <w:hideMark/>
          </w:tcPr>
          <w:p w14:paraId="20859723" w14:textId="77777777" w:rsidR="00000000" w:rsidRDefault="00832D71">
            <w:pPr>
              <w:pStyle w:val="a3"/>
              <w:spacing w:before="0" w:beforeAutospacing="0" w:after="0" w:afterAutospacing="0"/>
              <w:jc w:val="center"/>
              <w:rPr>
                <w:sz w:val="16"/>
                <w:szCs w:val="16"/>
              </w:rPr>
            </w:pPr>
            <w:r>
              <w:rPr>
                <w:sz w:val="16"/>
                <w:szCs w:val="16"/>
              </w:rPr>
              <w:t> </w:t>
            </w:r>
          </w:p>
        </w:tc>
        <w:tc>
          <w:tcPr>
            <w:tcW w:w="0" w:type="auto"/>
            <w:vAlign w:val="bottom"/>
            <w:hideMark/>
          </w:tcPr>
          <w:p w14:paraId="4003D7FB" w14:textId="77777777" w:rsidR="00000000" w:rsidRDefault="00832D71">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E818FD9" w14:textId="77777777" w:rsidR="00000000" w:rsidRDefault="00832D71">
            <w:pPr>
              <w:pStyle w:val="a3"/>
              <w:spacing w:before="0" w:beforeAutospacing="0" w:after="0" w:afterAutospacing="0"/>
              <w:jc w:val="center"/>
              <w:rPr>
                <w:sz w:val="16"/>
                <w:szCs w:val="16"/>
              </w:rPr>
            </w:pPr>
            <w:r>
              <w:rPr>
                <w:b/>
                <w:bCs/>
                <w:sz w:val="16"/>
                <w:szCs w:val="16"/>
              </w:rPr>
              <w:t>Balance at</w:t>
            </w:r>
            <w:r>
              <w:rPr>
                <w:b/>
                <w:bCs/>
                <w:sz w:val="16"/>
                <w:szCs w:val="16"/>
              </w:rPr>
              <w:br/>
              <w:t>End of Perio</w:t>
            </w:r>
            <w:r>
              <w:rPr>
                <w:b/>
                <w:bCs/>
                <w:sz w:val="16"/>
                <w:szCs w:val="16"/>
              </w:rPr>
              <w:t>d</w:t>
            </w:r>
          </w:p>
        </w:tc>
        <w:tc>
          <w:tcPr>
            <w:tcW w:w="0" w:type="auto"/>
            <w:vAlign w:val="bottom"/>
            <w:hideMark/>
          </w:tcPr>
          <w:p w14:paraId="7B786599" w14:textId="77777777" w:rsidR="00000000" w:rsidRDefault="00832D71">
            <w:pPr>
              <w:pStyle w:val="a3"/>
              <w:spacing w:before="0" w:beforeAutospacing="0" w:after="0" w:afterAutospacing="0"/>
              <w:jc w:val="center"/>
              <w:rPr>
                <w:sz w:val="16"/>
                <w:szCs w:val="16"/>
              </w:rPr>
            </w:pPr>
            <w:r>
              <w:rPr>
                <w:sz w:val="16"/>
                <w:szCs w:val="16"/>
              </w:rPr>
              <w:t> </w:t>
            </w:r>
          </w:p>
        </w:tc>
      </w:tr>
      <w:tr w:rsidR="00000000" w14:paraId="6E9D3EBF" w14:textId="77777777">
        <w:trPr>
          <w:divId w:val="1546789829"/>
          <w:trHeight w:val="200"/>
          <w:tblCellSpacing w:w="15" w:type="dxa"/>
        </w:trPr>
        <w:tc>
          <w:tcPr>
            <w:tcW w:w="0" w:type="auto"/>
            <w:vAlign w:val="bottom"/>
            <w:hideMark/>
          </w:tcPr>
          <w:p w14:paraId="7C198FC8" w14:textId="77777777" w:rsidR="00000000" w:rsidRDefault="00832D71">
            <w:pPr>
              <w:pStyle w:val="a3"/>
              <w:spacing w:before="0" w:beforeAutospacing="0" w:after="0" w:afterAutospacing="0"/>
              <w:ind w:left="200"/>
              <w:rPr>
                <w:sz w:val="20"/>
                <w:szCs w:val="20"/>
              </w:rPr>
            </w:pPr>
            <w:r>
              <w:rPr>
                <w:b/>
                <w:bCs/>
                <w:sz w:val="20"/>
                <w:szCs w:val="20"/>
              </w:rPr>
              <w:t>Year Ended September 26, 202</w:t>
            </w:r>
            <w:r>
              <w:rPr>
                <w:b/>
                <w:bCs/>
                <w:sz w:val="20"/>
                <w:szCs w:val="20"/>
              </w:rPr>
              <w:t>0</w:t>
            </w:r>
          </w:p>
        </w:tc>
        <w:tc>
          <w:tcPr>
            <w:tcW w:w="0" w:type="auto"/>
            <w:hideMark/>
          </w:tcPr>
          <w:p w14:paraId="7BADD3A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569DB25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AD08DFF"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2DE46547"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2E0E0F2A"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C6884D6"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00BD09FF"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F351FAD"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40D17D9"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6558C9B4" w14:textId="77777777" w:rsidR="00000000" w:rsidRDefault="00832D71">
            <w:pPr>
              <w:pStyle w:val="a3"/>
              <w:spacing w:before="0" w:beforeAutospacing="0" w:after="0" w:afterAutospacing="0"/>
              <w:ind w:left="200"/>
              <w:rPr>
                <w:sz w:val="20"/>
                <w:szCs w:val="20"/>
              </w:rPr>
            </w:pPr>
            <w:r>
              <w:rPr>
                <w:sz w:val="20"/>
                <w:szCs w:val="20"/>
              </w:rPr>
              <w:t> </w:t>
            </w:r>
          </w:p>
        </w:tc>
        <w:tc>
          <w:tcPr>
            <w:tcW w:w="0" w:type="auto"/>
            <w:gridSpan w:val="2"/>
            <w:hideMark/>
          </w:tcPr>
          <w:p w14:paraId="1A3EF17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BC2D58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C864759"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hideMark/>
          </w:tcPr>
          <w:p w14:paraId="466C213C"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3D43D709" w14:textId="77777777" w:rsidR="00000000" w:rsidRDefault="00832D71">
            <w:pPr>
              <w:pStyle w:val="a3"/>
              <w:spacing w:before="0" w:beforeAutospacing="0" w:after="0" w:afterAutospacing="0"/>
              <w:rPr>
                <w:sz w:val="20"/>
                <w:szCs w:val="20"/>
              </w:rPr>
            </w:pPr>
            <w:r>
              <w:rPr>
                <w:sz w:val="20"/>
                <w:szCs w:val="20"/>
              </w:rPr>
              <w:t> </w:t>
            </w:r>
          </w:p>
        </w:tc>
      </w:tr>
      <w:tr w:rsidR="00000000" w14:paraId="4ACD6FCB" w14:textId="77777777">
        <w:trPr>
          <w:divId w:val="1546789829"/>
          <w:trHeight w:val="200"/>
          <w:tblCellSpacing w:w="15" w:type="dxa"/>
        </w:trPr>
        <w:tc>
          <w:tcPr>
            <w:tcW w:w="0" w:type="auto"/>
            <w:hideMark/>
          </w:tcPr>
          <w:p w14:paraId="217D145C" w14:textId="77777777" w:rsidR="00000000" w:rsidRDefault="00832D71">
            <w:pPr>
              <w:pStyle w:val="a3"/>
              <w:spacing w:before="0" w:beforeAutospacing="0" w:after="0" w:afterAutospacing="0"/>
              <w:ind w:left="200"/>
              <w:rPr>
                <w:sz w:val="20"/>
                <w:szCs w:val="20"/>
              </w:rPr>
            </w:pPr>
            <w:r>
              <w:rPr>
                <w:sz w:val="20"/>
                <w:szCs w:val="20"/>
              </w:rPr>
              <w:t>Allowance for doubtful account</w:t>
            </w:r>
            <w:r>
              <w:rPr>
                <w:sz w:val="20"/>
                <w:szCs w:val="20"/>
              </w:rPr>
              <w:t>s</w:t>
            </w:r>
          </w:p>
        </w:tc>
        <w:tc>
          <w:tcPr>
            <w:tcW w:w="0" w:type="auto"/>
            <w:hideMark/>
          </w:tcPr>
          <w:p w14:paraId="5682C159"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1404873"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A284ACE" w14:textId="77777777" w:rsidR="00000000" w:rsidRDefault="00832D71">
            <w:pPr>
              <w:pStyle w:val="a3"/>
              <w:spacing w:before="0" w:beforeAutospacing="0" w:after="0" w:afterAutospacing="0"/>
              <w:jc w:val="right"/>
              <w:rPr>
                <w:sz w:val="20"/>
                <w:szCs w:val="20"/>
              </w:rPr>
            </w:pPr>
            <w:r>
              <w:rPr>
                <w:sz w:val="20"/>
                <w:szCs w:val="20"/>
              </w:rPr>
              <w:t>2,57</w:t>
            </w:r>
            <w:r>
              <w:rPr>
                <w:sz w:val="20"/>
                <w:szCs w:val="20"/>
              </w:rPr>
              <w:t>3</w:t>
            </w:r>
          </w:p>
        </w:tc>
        <w:tc>
          <w:tcPr>
            <w:tcW w:w="0" w:type="auto"/>
            <w:noWrap/>
            <w:vAlign w:val="bottom"/>
            <w:hideMark/>
          </w:tcPr>
          <w:p w14:paraId="06CA9163"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438408F"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1D116D4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40998FD6" w14:textId="77777777" w:rsidR="00000000" w:rsidRDefault="00832D71">
            <w:pPr>
              <w:pStyle w:val="a3"/>
              <w:spacing w:before="0" w:beforeAutospacing="0" w:after="0" w:afterAutospacing="0"/>
              <w:jc w:val="right"/>
              <w:rPr>
                <w:sz w:val="20"/>
                <w:szCs w:val="20"/>
              </w:rPr>
            </w:pPr>
            <w:r>
              <w:rPr>
                <w:sz w:val="20"/>
                <w:szCs w:val="20"/>
              </w:rPr>
              <w:t>3,85</w:t>
            </w:r>
            <w:r>
              <w:rPr>
                <w:sz w:val="20"/>
                <w:szCs w:val="20"/>
              </w:rPr>
              <w:t>5</w:t>
            </w:r>
          </w:p>
        </w:tc>
        <w:tc>
          <w:tcPr>
            <w:tcW w:w="0" w:type="auto"/>
            <w:noWrap/>
            <w:vAlign w:val="bottom"/>
            <w:hideMark/>
          </w:tcPr>
          <w:p w14:paraId="5E2FDF2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D91CAC4"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0D1C9FFE"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E327E36"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1220942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6E0F218"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7EB4263B"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02BA961" w14:textId="77777777" w:rsidR="00000000" w:rsidRDefault="00832D71">
            <w:pPr>
              <w:pStyle w:val="a3"/>
              <w:spacing w:before="0" w:beforeAutospacing="0" w:after="0" w:afterAutospacing="0"/>
              <w:jc w:val="right"/>
              <w:rPr>
                <w:sz w:val="20"/>
                <w:szCs w:val="20"/>
              </w:rPr>
            </w:pPr>
            <w:r>
              <w:rPr>
                <w:sz w:val="20"/>
                <w:szCs w:val="20"/>
              </w:rPr>
              <w:t>(</w:t>
            </w:r>
            <w:r>
              <w:rPr>
                <w:sz w:val="20"/>
                <w:szCs w:val="20"/>
              </w:rPr>
              <w:t>1,95</w:t>
            </w:r>
            <w:r>
              <w:rPr>
                <w:sz w:val="20"/>
                <w:szCs w:val="20"/>
              </w:rPr>
              <w:t>5</w:t>
            </w:r>
          </w:p>
        </w:tc>
        <w:tc>
          <w:tcPr>
            <w:tcW w:w="0" w:type="auto"/>
            <w:noWrap/>
            <w:vAlign w:val="bottom"/>
            <w:hideMark/>
          </w:tcPr>
          <w:p w14:paraId="060DE98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EC37F42"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0CF5E3D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50317E6D" w14:textId="77777777" w:rsidR="00000000" w:rsidRDefault="00832D71">
            <w:pPr>
              <w:pStyle w:val="a3"/>
              <w:spacing w:before="0" w:beforeAutospacing="0" w:after="0" w:afterAutospacing="0"/>
              <w:jc w:val="right"/>
              <w:rPr>
                <w:sz w:val="20"/>
                <w:szCs w:val="20"/>
              </w:rPr>
            </w:pPr>
            <w:r>
              <w:rPr>
                <w:sz w:val="20"/>
                <w:szCs w:val="20"/>
              </w:rPr>
              <w:t>4,47</w:t>
            </w:r>
            <w:r>
              <w:rPr>
                <w:sz w:val="20"/>
                <w:szCs w:val="20"/>
              </w:rPr>
              <w:t>3</w:t>
            </w:r>
          </w:p>
        </w:tc>
        <w:tc>
          <w:tcPr>
            <w:tcW w:w="0" w:type="auto"/>
            <w:noWrap/>
            <w:vAlign w:val="bottom"/>
            <w:hideMark/>
          </w:tcPr>
          <w:p w14:paraId="15CBE99A" w14:textId="77777777" w:rsidR="00000000" w:rsidRDefault="00832D71">
            <w:pPr>
              <w:pStyle w:val="a3"/>
              <w:spacing w:before="0" w:beforeAutospacing="0" w:after="0" w:afterAutospacing="0"/>
              <w:rPr>
                <w:sz w:val="20"/>
                <w:szCs w:val="20"/>
              </w:rPr>
            </w:pPr>
            <w:r>
              <w:rPr>
                <w:sz w:val="20"/>
                <w:szCs w:val="20"/>
              </w:rPr>
              <w:t> </w:t>
            </w:r>
          </w:p>
        </w:tc>
      </w:tr>
      <w:tr w:rsidR="00000000" w14:paraId="032F346D" w14:textId="77777777">
        <w:trPr>
          <w:divId w:val="1546789829"/>
          <w:trHeight w:val="200"/>
          <w:tblCellSpacing w:w="15" w:type="dxa"/>
        </w:trPr>
        <w:tc>
          <w:tcPr>
            <w:tcW w:w="0" w:type="auto"/>
            <w:hideMark/>
          </w:tcPr>
          <w:p w14:paraId="46469716" w14:textId="77777777" w:rsidR="00000000" w:rsidRDefault="00832D71">
            <w:pPr>
              <w:pStyle w:val="a3"/>
              <w:spacing w:before="0" w:beforeAutospacing="0" w:after="0" w:afterAutospacing="0"/>
              <w:ind w:left="200"/>
              <w:rPr>
                <w:sz w:val="20"/>
                <w:szCs w:val="20"/>
              </w:rPr>
            </w:pPr>
            <w:r>
              <w:rPr>
                <w:sz w:val="20"/>
                <w:szCs w:val="20"/>
              </w:rPr>
              <w:t>Valuation allowance for deferred tax asset</w:t>
            </w:r>
            <w:r>
              <w:rPr>
                <w:sz w:val="20"/>
                <w:szCs w:val="20"/>
              </w:rPr>
              <w:t>s</w:t>
            </w:r>
          </w:p>
        </w:tc>
        <w:tc>
          <w:tcPr>
            <w:tcW w:w="0" w:type="auto"/>
            <w:hideMark/>
          </w:tcPr>
          <w:p w14:paraId="1D1F06C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4A52D2D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66F2279" w14:textId="77777777" w:rsidR="00000000" w:rsidRDefault="00832D71">
            <w:pPr>
              <w:pStyle w:val="a3"/>
              <w:spacing w:before="0" w:beforeAutospacing="0" w:after="0" w:afterAutospacing="0"/>
              <w:jc w:val="right"/>
              <w:rPr>
                <w:sz w:val="20"/>
                <w:szCs w:val="20"/>
              </w:rPr>
            </w:pPr>
            <w:r>
              <w:rPr>
                <w:sz w:val="20"/>
                <w:szCs w:val="20"/>
              </w:rPr>
              <w:t>37,99</w:t>
            </w:r>
            <w:r>
              <w:rPr>
                <w:sz w:val="20"/>
                <w:szCs w:val="20"/>
              </w:rPr>
              <w:t>6</w:t>
            </w:r>
          </w:p>
        </w:tc>
        <w:tc>
          <w:tcPr>
            <w:tcW w:w="0" w:type="auto"/>
            <w:noWrap/>
            <w:vAlign w:val="bottom"/>
            <w:hideMark/>
          </w:tcPr>
          <w:p w14:paraId="508A67C7"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8BC25BE"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1500CBCF"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A97793F" w14:textId="77777777" w:rsidR="00000000" w:rsidRDefault="00832D71">
            <w:pPr>
              <w:pStyle w:val="a3"/>
              <w:spacing w:before="0" w:beforeAutospacing="0" w:after="0" w:afterAutospacing="0"/>
              <w:jc w:val="right"/>
              <w:rPr>
                <w:sz w:val="20"/>
                <w:szCs w:val="20"/>
              </w:rPr>
            </w:pPr>
            <w:r>
              <w:rPr>
                <w:sz w:val="20"/>
                <w:szCs w:val="20"/>
              </w:rPr>
              <w:t>(</w:t>
            </w:r>
            <w:r>
              <w:rPr>
                <w:sz w:val="20"/>
                <w:szCs w:val="20"/>
              </w:rPr>
              <w:t>29</w:t>
            </w:r>
            <w:r>
              <w:rPr>
                <w:sz w:val="20"/>
                <w:szCs w:val="20"/>
              </w:rPr>
              <w:t>8</w:t>
            </w:r>
          </w:p>
        </w:tc>
        <w:tc>
          <w:tcPr>
            <w:tcW w:w="0" w:type="auto"/>
            <w:noWrap/>
            <w:vAlign w:val="bottom"/>
            <w:hideMark/>
          </w:tcPr>
          <w:p w14:paraId="001356C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0F5EC6A"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757B4E3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6755658"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2E7E1E2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75769C7"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2F81C63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09D29E8"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485D7688"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49923A9"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41F9E59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AE96124" w14:textId="77777777" w:rsidR="00000000" w:rsidRDefault="00832D71">
            <w:pPr>
              <w:pStyle w:val="a3"/>
              <w:spacing w:before="0" w:beforeAutospacing="0" w:after="0" w:afterAutospacing="0"/>
              <w:jc w:val="right"/>
              <w:rPr>
                <w:sz w:val="20"/>
                <w:szCs w:val="20"/>
              </w:rPr>
            </w:pPr>
            <w:r>
              <w:rPr>
                <w:sz w:val="20"/>
                <w:szCs w:val="20"/>
              </w:rPr>
              <w:t>37,69</w:t>
            </w:r>
            <w:r>
              <w:rPr>
                <w:sz w:val="20"/>
                <w:szCs w:val="20"/>
              </w:rPr>
              <w:t>8</w:t>
            </w:r>
          </w:p>
        </w:tc>
        <w:tc>
          <w:tcPr>
            <w:tcW w:w="0" w:type="auto"/>
            <w:noWrap/>
            <w:vAlign w:val="bottom"/>
            <w:hideMark/>
          </w:tcPr>
          <w:p w14:paraId="56407E04" w14:textId="77777777" w:rsidR="00000000" w:rsidRDefault="00832D71">
            <w:pPr>
              <w:pStyle w:val="a3"/>
              <w:spacing w:before="0" w:beforeAutospacing="0" w:after="0" w:afterAutospacing="0"/>
              <w:rPr>
                <w:sz w:val="20"/>
                <w:szCs w:val="20"/>
              </w:rPr>
            </w:pPr>
            <w:r>
              <w:rPr>
                <w:sz w:val="20"/>
                <w:szCs w:val="20"/>
              </w:rPr>
              <w:t> </w:t>
            </w:r>
          </w:p>
        </w:tc>
      </w:tr>
      <w:tr w:rsidR="00000000" w14:paraId="442457B2" w14:textId="77777777">
        <w:trPr>
          <w:divId w:val="1546789829"/>
          <w:trHeight w:val="200"/>
          <w:tblCellSpacing w:w="15" w:type="dxa"/>
        </w:trPr>
        <w:tc>
          <w:tcPr>
            <w:tcW w:w="0" w:type="auto"/>
            <w:vAlign w:val="bottom"/>
            <w:hideMark/>
          </w:tcPr>
          <w:p w14:paraId="44FAEC53" w14:textId="77777777" w:rsidR="00000000" w:rsidRDefault="00832D71">
            <w:pPr>
              <w:pStyle w:val="a3"/>
              <w:spacing w:before="0" w:beforeAutospacing="0" w:after="0" w:afterAutospacing="0"/>
              <w:ind w:left="200"/>
              <w:rPr>
                <w:sz w:val="20"/>
                <w:szCs w:val="20"/>
              </w:rPr>
            </w:pPr>
            <w:r>
              <w:rPr>
                <w:b/>
                <w:bCs/>
                <w:sz w:val="20"/>
                <w:szCs w:val="20"/>
              </w:rPr>
              <w:t>Year Ended September 25, 202</w:t>
            </w:r>
            <w:r>
              <w:rPr>
                <w:b/>
                <w:bCs/>
                <w:sz w:val="20"/>
                <w:szCs w:val="20"/>
              </w:rPr>
              <w:t>1</w:t>
            </w:r>
          </w:p>
        </w:tc>
        <w:tc>
          <w:tcPr>
            <w:tcW w:w="0" w:type="auto"/>
            <w:hideMark/>
          </w:tcPr>
          <w:p w14:paraId="694904DE"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314CABE4"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56B0B3D"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569B12F4"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632F4C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3BE563D7"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6A33F802"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6BE5AD0"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2FAEC198"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5E45AA80" w14:textId="77777777" w:rsidR="00000000" w:rsidRDefault="00832D71">
            <w:pPr>
              <w:pStyle w:val="a3"/>
              <w:spacing w:before="0" w:beforeAutospacing="0" w:after="0" w:afterAutospacing="0"/>
              <w:ind w:left="200"/>
              <w:rPr>
                <w:sz w:val="20"/>
                <w:szCs w:val="20"/>
              </w:rPr>
            </w:pPr>
            <w:r>
              <w:rPr>
                <w:sz w:val="20"/>
                <w:szCs w:val="20"/>
              </w:rPr>
              <w:t> </w:t>
            </w:r>
          </w:p>
        </w:tc>
        <w:tc>
          <w:tcPr>
            <w:tcW w:w="0" w:type="auto"/>
            <w:gridSpan w:val="2"/>
            <w:hideMark/>
          </w:tcPr>
          <w:p w14:paraId="31AAD8E0"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24EE43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2794E4F9"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hideMark/>
          </w:tcPr>
          <w:p w14:paraId="1620EEA4"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086FCD51" w14:textId="77777777" w:rsidR="00000000" w:rsidRDefault="00832D71">
            <w:pPr>
              <w:pStyle w:val="a3"/>
              <w:spacing w:before="0" w:beforeAutospacing="0" w:after="0" w:afterAutospacing="0"/>
              <w:rPr>
                <w:sz w:val="20"/>
                <w:szCs w:val="20"/>
              </w:rPr>
            </w:pPr>
            <w:r>
              <w:rPr>
                <w:sz w:val="20"/>
                <w:szCs w:val="20"/>
              </w:rPr>
              <w:t> </w:t>
            </w:r>
          </w:p>
        </w:tc>
      </w:tr>
      <w:tr w:rsidR="00000000" w14:paraId="029CB687" w14:textId="77777777">
        <w:trPr>
          <w:divId w:val="1546789829"/>
          <w:trHeight w:val="200"/>
          <w:tblCellSpacing w:w="15" w:type="dxa"/>
        </w:trPr>
        <w:tc>
          <w:tcPr>
            <w:tcW w:w="0" w:type="auto"/>
            <w:hideMark/>
          </w:tcPr>
          <w:p w14:paraId="41451524" w14:textId="77777777" w:rsidR="00000000" w:rsidRDefault="00832D71">
            <w:pPr>
              <w:pStyle w:val="a3"/>
              <w:spacing w:before="0" w:beforeAutospacing="0" w:after="0" w:afterAutospacing="0"/>
              <w:ind w:left="200"/>
              <w:rPr>
                <w:sz w:val="20"/>
                <w:szCs w:val="20"/>
              </w:rPr>
            </w:pPr>
            <w:r>
              <w:rPr>
                <w:sz w:val="20"/>
                <w:szCs w:val="20"/>
              </w:rPr>
              <w:t>Allowance for doubtful account</w:t>
            </w:r>
            <w:r>
              <w:rPr>
                <w:sz w:val="20"/>
                <w:szCs w:val="20"/>
              </w:rPr>
              <w:t>s</w:t>
            </w:r>
          </w:p>
        </w:tc>
        <w:tc>
          <w:tcPr>
            <w:tcW w:w="0" w:type="auto"/>
            <w:hideMark/>
          </w:tcPr>
          <w:p w14:paraId="1248D8E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0FB4D83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7D6F9AA" w14:textId="77777777" w:rsidR="00000000" w:rsidRDefault="00832D71">
            <w:pPr>
              <w:pStyle w:val="a3"/>
              <w:spacing w:before="0" w:beforeAutospacing="0" w:after="0" w:afterAutospacing="0"/>
              <w:jc w:val="right"/>
              <w:rPr>
                <w:sz w:val="20"/>
                <w:szCs w:val="20"/>
              </w:rPr>
            </w:pPr>
            <w:r>
              <w:rPr>
                <w:sz w:val="20"/>
                <w:szCs w:val="20"/>
              </w:rPr>
              <w:t>4,47</w:t>
            </w:r>
            <w:r>
              <w:rPr>
                <w:sz w:val="20"/>
                <w:szCs w:val="20"/>
              </w:rPr>
              <w:t>3</w:t>
            </w:r>
          </w:p>
        </w:tc>
        <w:tc>
          <w:tcPr>
            <w:tcW w:w="0" w:type="auto"/>
            <w:noWrap/>
            <w:vAlign w:val="bottom"/>
            <w:hideMark/>
          </w:tcPr>
          <w:p w14:paraId="7D34C02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BBB95DE"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1671447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125B27A0" w14:textId="77777777" w:rsidR="00000000" w:rsidRDefault="00832D71">
            <w:pPr>
              <w:pStyle w:val="a3"/>
              <w:spacing w:before="0" w:beforeAutospacing="0" w:after="0" w:afterAutospacing="0"/>
              <w:jc w:val="right"/>
              <w:rPr>
                <w:sz w:val="20"/>
                <w:szCs w:val="20"/>
              </w:rPr>
            </w:pPr>
            <w:r>
              <w:rPr>
                <w:sz w:val="20"/>
                <w:szCs w:val="20"/>
              </w:rPr>
              <w:t>77</w:t>
            </w:r>
            <w:r>
              <w:rPr>
                <w:sz w:val="20"/>
                <w:szCs w:val="20"/>
              </w:rPr>
              <w:t>0</w:t>
            </w:r>
          </w:p>
        </w:tc>
        <w:tc>
          <w:tcPr>
            <w:tcW w:w="0" w:type="auto"/>
            <w:noWrap/>
            <w:vAlign w:val="bottom"/>
            <w:hideMark/>
          </w:tcPr>
          <w:p w14:paraId="4E0BDBA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7F73851"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2238454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3C79EEB"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7C28988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C714ABD"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614D15B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54609C1" w14:textId="77777777" w:rsidR="00000000" w:rsidRDefault="00832D71">
            <w:pPr>
              <w:pStyle w:val="a3"/>
              <w:spacing w:before="0" w:beforeAutospacing="0" w:after="0" w:afterAutospacing="0"/>
              <w:jc w:val="right"/>
              <w:rPr>
                <w:sz w:val="20"/>
                <w:szCs w:val="20"/>
              </w:rPr>
            </w:pPr>
            <w:r>
              <w:rPr>
                <w:sz w:val="20"/>
                <w:szCs w:val="20"/>
              </w:rPr>
              <w:t>(</w:t>
            </w:r>
            <w:r>
              <w:rPr>
                <w:sz w:val="20"/>
                <w:szCs w:val="20"/>
              </w:rPr>
              <w:t>1,91</w:t>
            </w:r>
            <w:r>
              <w:rPr>
                <w:sz w:val="20"/>
                <w:szCs w:val="20"/>
              </w:rPr>
              <w:t>1</w:t>
            </w:r>
          </w:p>
        </w:tc>
        <w:tc>
          <w:tcPr>
            <w:tcW w:w="0" w:type="auto"/>
            <w:noWrap/>
            <w:vAlign w:val="bottom"/>
            <w:hideMark/>
          </w:tcPr>
          <w:p w14:paraId="4AF124E1"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0209791"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1D6368A0"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9B17887" w14:textId="77777777" w:rsidR="00000000" w:rsidRDefault="00832D71">
            <w:pPr>
              <w:pStyle w:val="a3"/>
              <w:spacing w:before="0" w:beforeAutospacing="0" w:after="0" w:afterAutospacing="0"/>
              <w:jc w:val="right"/>
              <w:rPr>
                <w:sz w:val="20"/>
                <w:szCs w:val="20"/>
              </w:rPr>
            </w:pPr>
            <w:r>
              <w:rPr>
                <w:sz w:val="20"/>
                <w:szCs w:val="20"/>
              </w:rPr>
              <w:t>3,33</w:t>
            </w:r>
            <w:r>
              <w:rPr>
                <w:sz w:val="20"/>
                <w:szCs w:val="20"/>
              </w:rPr>
              <w:t>2</w:t>
            </w:r>
          </w:p>
        </w:tc>
        <w:tc>
          <w:tcPr>
            <w:tcW w:w="0" w:type="auto"/>
            <w:noWrap/>
            <w:vAlign w:val="bottom"/>
            <w:hideMark/>
          </w:tcPr>
          <w:p w14:paraId="78698192" w14:textId="77777777" w:rsidR="00000000" w:rsidRDefault="00832D71">
            <w:pPr>
              <w:pStyle w:val="a3"/>
              <w:spacing w:before="0" w:beforeAutospacing="0" w:after="0" w:afterAutospacing="0"/>
              <w:rPr>
                <w:sz w:val="20"/>
                <w:szCs w:val="20"/>
              </w:rPr>
            </w:pPr>
            <w:r>
              <w:rPr>
                <w:sz w:val="20"/>
                <w:szCs w:val="20"/>
              </w:rPr>
              <w:t> </w:t>
            </w:r>
          </w:p>
        </w:tc>
      </w:tr>
      <w:tr w:rsidR="00000000" w14:paraId="35CEF622" w14:textId="77777777">
        <w:trPr>
          <w:divId w:val="1546789829"/>
          <w:trHeight w:val="200"/>
          <w:tblCellSpacing w:w="15" w:type="dxa"/>
        </w:trPr>
        <w:tc>
          <w:tcPr>
            <w:tcW w:w="0" w:type="auto"/>
            <w:hideMark/>
          </w:tcPr>
          <w:p w14:paraId="51130F84" w14:textId="77777777" w:rsidR="00000000" w:rsidRDefault="00832D71">
            <w:pPr>
              <w:pStyle w:val="a3"/>
              <w:spacing w:before="0" w:beforeAutospacing="0" w:after="0" w:afterAutospacing="0"/>
              <w:ind w:left="200"/>
              <w:rPr>
                <w:sz w:val="20"/>
                <w:szCs w:val="20"/>
              </w:rPr>
            </w:pPr>
            <w:r>
              <w:rPr>
                <w:sz w:val="20"/>
                <w:szCs w:val="20"/>
              </w:rPr>
              <w:t>Valuation allowance for deferred tax asset</w:t>
            </w:r>
            <w:r>
              <w:rPr>
                <w:sz w:val="20"/>
                <w:szCs w:val="20"/>
              </w:rPr>
              <w:t>s</w:t>
            </w:r>
          </w:p>
        </w:tc>
        <w:tc>
          <w:tcPr>
            <w:tcW w:w="0" w:type="auto"/>
            <w:hideMark/>
          </w:tcPr>
          <w:p w14:paraId="634716D1"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394334E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252629B" w14:textId="77777777" w:rsidR="00000000" w:rsidRDefault="00832D71">
            <w:pPr>
              <w:pStyle w:val="a3"/>
              <w:spacing w:before="0" w:beforeAutospacing="0" w:after="0" w:afterAutospacing="0"/>
              <w:jc w:val="right"/>
              <w:rPr>
                <w:sz w:val="20"/>
                <w:szCs w:val="20"/>
              </w:rPr>
            </w:pPr>
            <w:r>
              <w:rPr>
                <w:sz w:val="20"/>
                <w:szCs w:val="20"/>
              </w:rPr>
              <w:t>37,69</w:t>
            </w:r>
            <w:r>
              <w:rPr>
                <w:sz w:val="20"/>
                <w:szCs w:val="20"/>
              </w:rPr>
              <w:t>8</w:t>
            </w:r>
          </w:p>
        </w:tc>
        <w:tc>
          <w:tcPr>
            <w:tcW w:w="0" w:type="auto"/>
            <w:noWrap/>
            <w:vAlign w:val="bottom"/>
            <w:hideMark/>
          </w:tcPr>
          <w:p w14:paraId="0D9DAD7A"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514DAA3"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3C149DB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DF28084" w14:textId="77777777" w:rsidR="00000000" w:rsidRDefault="00832D71">
            <w:pPr>
              <w:pStyle w:val="a3"/>
              <w:spacing w:before="0" w:beforeAutospacing="0" w:after="0" w:afterAutospacing="0"/>
              <w:jc w:val="right"/>
              <w:rPr>
                <w:sz w:val="20"/>
                <w:szCs w:val="20"/>
              </w:rPr>
            </w:pPr>
            <w:r>
              <w:rPr>
                <w:sz w:val="20"/>
                <w:szCs w:val="20"/>
              </w:rPr>
              <w:t>57</w:t>
            </w:r>
            <w:r>
              <w:rPr>
                <w:sz w:val="20"/>
                <w:szCs w:val="20"/>
              </w:rPr>
              <w:t>0</w:t>
            </w:r>
          </w:p>
        </w:tc>
        <w:tc>
          <w:tcPr>
            <w:tcW w:w="0" w:type="auto"/>
            <w:noWrap/>
            <w:vAlign w:val="bottom"/>
            <w:hideMark/>
          </w:tcPr>
          <w:p w14:paraId="5B39336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C75BC2D"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0BC0E850"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29CF000"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59AFE68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C2C6BB1"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5F2C462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08D4D98"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7E695DE"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4100A5D"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666A6BC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BB56A8A" w14:textId="77777777" w:rsidR="00000000" w:rsidRDefault="00832D71">
            <w:pPr>
              <w:pStyle w:val="a3"/>
              <w:spacing w:before="0" w:beforeAutospacing="0" w:after="0" w:afterAutospacing="0"/>
              <w:jc w:val="right"/>
              <w:rPr>
                <w:sz w:val="20"/>
                <w:szCs w:val="20"/>
              </w:rPr>
            </w:pPr>
            <w:r>
              <w:rPr>
                <w:sz w:val="20"/>
                <w:szCs w:val="20"/>
              </w:rPr>
              <w:t>38,26</w:t>
            </w:r>
            <w:r>
              <w:rPr>
                <w:sz w:val="20"/>
                <w:szCs w:val="20"/>
              </w:rPr>
              <w:t>8</w:t>
            </w:r>
          </w:p>
        </w:tc>
        <w:tc>
          <w:tcPr>
            <w:tcW w:w="0" w:type="auto"/>
            <w:noWrap/>
            <w:vAlign w:val="bottom"/>
            <w:hideMark/>
          </w:tcPr>
          <w:p w14:paraId="19C50148" w14:textId="77777777" w:rsidR="00000000" w:rsidRDefault="00832D71">
            <w:pPr>
              <w:pStyle w:val="a3"/>
              <w:spacing w:before="0" w:beforeAutospacing="0" w:after="0" w:afterAutospacing="0"/>
              <w:rPr>
                <w:sz w:val="20"/>
                <w:szCs w:val="20"/>
              </w:rPr>
            </w:pPr>
            <w:r>
              <w:rPr>
                <w:sz w:val="20"/>
                <w:szCs w:val="20"/>
              </w:rPr>
              <w:t> </w:t>
            </w:r>
          </w:p>
        </w:tc>
      </w:tr>
      <w:tr w:rsidR="00000000" w14:paraId="58650B73" w14:textId="77777777">
        <w:trPr>
          <w:divId w:val="1546789829"/>
          <w:trHeight w:val="200"/>
          <w:tblCellSpacing w:w="15" w:type="dxa"/>
        </w:trPr>
        <w:tc>
          <w:tcPr>
            <w:tcW w:w="0" w:type="auto"/>
            <w:vAlign w:val="bottom"/>
            <w:hideMark/>
          </w:tcPr>
          <w:p w14:paraId="5FC53B0F" w14:textId="77777777" w:rsidR="00000000" w:rsidRDefault="00832D71">
            <w:pPr>
              <w:pStyle w:val="a3"/>
              <w:spacing w:before="0" w:beforeAutospacing="0" w:after="0" w:afterAutospacing="0"/>
              <w:ind w:left="200"/>
              <w:rPr>
                <w:sz w:val="20"/>
                <w:szCs w:val="20"/>
              </w:rPr>
            </w:pPr>
            <w:r>
              <w:rPr>
                <w:b/>
                <w:bCs/>
                <w:sz w:val="20"/>
                <w:szCs w:val="20"/>
              </w:rPr>
              <w:t>Year Ended September 24, 202</w:t>
            </w:r>
            <w:r>
              <w:rPr>
                <w:b/>
                <w:bCs/>
                <w:sz w:val="20"/>
                <w:szCs w:val="20"/>
              </w:rPr>
              <w:t>2</w:t>
            </w:r>
          </w:p>
        </w:tc>
        <w:tc>
          <w:tcPr>
            <w:tcW w:w="0" w:type="auto"/>
            <w:hideMark/>
          </w:tcPr>
          <w:p w14:paraId="2C779DF2"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03F30B2F"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E00BB61"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1D213FA6" w14:textId="77777777" w:rsidR="00000000" w:rsidRDefault="00832D71">
            <w:pPr>
              <w:pStyle w:val="a3"/>
              <w:spacing w:before="0" w:beforeAutospacing="0" w:after="0" w:afterAutospacing="0"/>
              <w:rPr>
                <w:sz w:val="20"/>
                <w:szCs w:val="20"/>
              </w:rPr>
            </w:pPr>
            <w:r>
              <w:rPr>
                <w:sz w:val="20"/>
                <w:szCs w:val="20"/>
              </w:rPr>
              <w:t> </w:t>
            </w:r>
          </w:p>
        </w:tc>
        <w:tc>
          <w:tcPr>
            <w:tcW w:w="0" w:type="auto"/>
            <w:gridSpan w:val="2"/>
            <w:vAlign w:val="bottom"/>
            <w:hideMark/>
          </w:tcPr>
          <w:p w14:paraId="1F937AC1"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77D90179"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5B1A641C"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E7F6868" w14:textId="77777777" w:rsidR="00000000" w:rsidRDefault="00832D71">
            <w:pPr>
              <w:pStyle w:val="a3"/>
              <w:spacing w:before="0" w:beforeAutospacing="0" w:after="0" w:afterAutospacing="0"/>
              <w:jc w:val="right"/>
              <w:rPr>
                <w:sz w:val="20"/>
                <w:szCs w:val="20"/>
              </w:rPr>
            </w:pPr>
            <w:r>
              <w:rPr>
                <w:sz w:val="20"/>
                <w:szCs w:val="20"/>
              </w:rPr>
              <w:t> </w:t>
            </w:r>
          </w:p>
        </w:tc>
        <w:tc>
          <w:tcPr>
            <w:tcW w:w="0" w:type="auto"/>
            <w:vAlign w:val="bottom"/>
            <w:hideMark/>
          </w:tcPr>
          <w:p w14:paraId="18D51648" w14:textId="77777777" w:rsidR="00000000" w:rsidRDefault="00832D71">
            <w:pPr>
              <w:pStyle w:val="a3"/>
              <w:spacing w:before="0" w:beforeAutospacing="0" w:after="0" w:afterAutospacing="0"/>
              <w:jc w:val="right"/>
              <w:rPr>
                <w:sz w:val="20"/>
                <w:szCs w:val="20"/>
              </w:rPr>
            </w:pPr>
            <w:r>
              <w:rPr>
                <w:sz w:val="20"/>
                <w:szCs w:val="20"/>
              </w:rPr>
              <w:t> </w:t>
            </w:r>
          </w:p>
        </w:tc>
        <w:tc>
          <w:tcPr>
            <w:tcW w:w="0" w:type="auto"/>
            <w:hideMark/>
          </w:tcPr>
          <w:p w14:paraId="41C479FC" w14:textId="77777777" w:rsidR="00000000" w:rsidRDefault="00832D71">
            <w:pPr>
              <w:pStyle w:val="a3"/>
              <w:spacing w:before="0" w:beforeAutospacing="0" w:after="0" w:afterAutospacing="0"/>
              <w:ind w:left="200"/>
              <w:rPr>
                <w:sz w:val="20"/>
                <w:szCs w:val="20"/>
              </w:rPr>
            </w:pPr>
            <w:r>
              <w:rPr>
                <w:sz w:val="20"/>
                <w:szCs w:val="20"/>
              </w:rPr>
              <w:t> </w:t>
            </w:r>
          </w:p>
        </w:tc>
        <w:tc>
          <w:tcPr>
            <w:tcW w:w="0" w:type="auto"/>
            <w:gridSpan w:val="2"/>
            <w:hideMark/>
          </w:tcPr>
          <w:p w14:paraId="29888A5F"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6311F79"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591514D" w14:textId="77777777" w:rsidR="00000000" w:rsidRDefault="00832D71">
            <w:pPr>
              <w:pStyle w:val="a3"/>
              <w:spacing w:before="0" w:beforeAutospacing="0" w:after="0" w:afterAutospacing="0"/>
              <w:jc w:val="right"/>
              <w:rPr>
                <w:sz w:val="20"/>
                <w:szCs w:val="20"/>
              </w:rPr>
            </w:pPr>
            <w:r>
              <w:rPr>
                <w:sz w:val="20"/>
                <w:szCs w:val="20"/>
              </w:rPr>
              <w:t> </w:t>
            </w:r>
          </w:p>
        </w:tc>
        <w:tc>
          <w:tcPr>
            <w:tcW w:w="0" w:type="auto"/>
            <w:gridSpan w:val="2"/>
            <w:hideMark/>
          </w:tcPr>
          <w:p w14:paraId="42E8E9FD" w14:textId="77777777" w:rsidR="00000000" w:rsidRDefault="00832D71">
            <w:pPr>
              <w:pStyle w:val="a3"/>
              <w:spacing w:before="0" w:beforeAutospacing="0" w:after="0" w:afterAutospacing="0"/>
              <w:rPr>
                <w:sz w:val="20"/>
                <w:szCs w:val="20"/>
              </w:rPr>
            </w:pPr>
            <w:r>
              <w:rPr>
                <w:sz w:val="20"/>
                <w:szCs w:val="20"/>
              </w:rPr>
              <w:t> </w:t>
            </w:r>
          </w:p>
        </w:tc>
        <w:tc>
          <w:tcPr>
            <w:tcW w:w="0" w:type="auto"/>
            <w:hideMark/>
          </w:tcPr>
          <w:p w14:paraId="7C6561C7" w14:textId="77777777" w:rsidR="00000000" w:rsidRDefault="00832D71">
            <w:pPr>
              <w:pStyle w:val="a3"/>
              <w:spacing w:before="0" w:beforeAutospacing="0" w:after="0" w:afterAutospacing="0"/>
              <w:rPr>
                <w:sz w:val="20"/>
                <w:szCs w:val="20"/>
              </w:rPr>
            </w:pPr>
            <w:r>
              <w:rPr>
                <w:sz w:val="20"/>
                <w:szCs w:val="20"/>
              </w:rPr>
              <w:t> </w:t>
            </w:r>
          </w:p>
        </w:tc>
      </w:tr>
      <w:tr w:rsidR="00000000" w14:paraId="5747311B" w14:textId="77777777">
        <w:trPr>
          <w:divId w:val="1546789829"/>
          <w:trHeight w:val="200"/>
          <w:tblCellSpacing w:w="15" w:type="dxa"/>
        </w:trPr>
        <w:tc>
          <w:tcPr>
            <w:tcW w:w="0" w:type="auto"/>
            <w:hideMark/>
          </w:tcPr>
          <w:p w14:paraId="377513DE" w14:textId="77777777" w:rsidR="00000000" w:rsidRDefault="00832D71">
            <w:pPr>
              <w:pStyle w:val="a3"/>
              <w:spacing w:before="0" w:beforeAutospacing="0" w:after="0" w:afterAutospacing="0"/>
              <w:ind w:left="200"/>
              <w:rPr>
                <w:sz w:val="20"/>
                <w:szCs w:val="20"/>
              </w:rPr>
            </w:pPr>
            <w:r>
              <w:rPr>
                <w:sz w:val="20"/>
                <w:szCs w:val="20"/>
              </w:rPr>
              <w:t>Allowance for doubtful account</w:t>
            </w:r>
            <w:r>
              <w:rPr>
                <w:sz w:val="20"/>
                <w:szCs w:val="20"/>
              </w:rPr>
              <w:t>s</w:t>
            </w:r>
          </w:p>
        </w:tc>
        <w:tc>
          <w:tcPr>
            <w:tcW w:w="0" w:type="auto"/>
            <w:hideMark/>
          </w:tcPr>
          <w:p w14:paraId="2188045E"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7A1C400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8D0F0A9" w14:textId="77777777" w:rsidR="00000000" w:rsidRDefault="00832D71">
            <w:pPr>
              <w:pStyle w:val="a3"/>
              <w:spacing w:before="0" w:beforeAutospacing="0" w:after="0" w:afterAutospacing="0"/>
              <w:jc w:val="right"/>
              <w:rPr>
                <w:sz w:val="20"/>
                <w:szCs w:val="20"/>
              </w:rPr>
            </w:pPr>
            <w:r>
              <w:rPr>
                <w:sz w:val="20"/>
                <w:szCs w:val="20"/>
              </w:rPr>
              <w:t>3,33</w:t>
            </w:r>
            <w:r>
              <w:rPr>
                <w:sz w:val="20"/>
                <w:szCs w:val="20"/>
              </w:rPr>
              <w:t>2</w:t>
            </w:r>
          </w:p>
        </w:tc>
        <w:tc>
          <w:tcPr>
            <w:tcW w:w="0" w:type="auto"/>
            <w:noWrap/>
            <w:vAlign w:val="bottom"/>
            <w:hideMark/>
          </w:tcPr>
          <w:p w14:paraId="72AD4C26"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D4F35F4"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62D5BE0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CE93F5C" w14:textId="77777777" w:rsidR="00000000" w:rsidRDefault="00832D71">
            <w:pPr>
              <w:pStyle w:val="a3"/>
              <w:spacing w:before="0" w:beforeAutospacing="0" w:after="0" w:afterAutospacing="0"/>
              <w:jc w:val="right"/>
              <w:rPr>
                <w:sz w:val="20"/>
                <w:szCs w:val="20"/>
              </w:rPr>
            </w:pPr>
            <w:r>
              <w:rPr>
                <w:sz w:val="20"/>
                <w:szCs w:val="20"/>
              </w:rPr>
              <w:t>4,43</w:t>
            </w:r>
            <w:r>
              <w:rPr>
                <w:sz w:val="20"/>
                <w:szCs w:val="20"/>
              </w:rPr>
              <w:t>3</w:t>
            </w:r>
          </w:p>
        </w:tc>
        <w:tc>
          <w:tcPr>
            <w:tcW w:w="0" w:type="auto"/>
            <w:noWrap/>
            <w:vAlign w:val="bottom"/>
            <w:hideMark/>
          </w:tcPr>
          <w:p w14:paraId="5B30743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6CE6C92D"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6CC0BED4"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3965B20B"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D6C208C"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8295874"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35331975"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046463A4" w14:textId="77777777" w:rsidR="00000000" w:rsidRDefault="00832D71">
            <w:pPr>
              <w:pStyle w:val="a3"/>
              <w:spacing w:before="0" w:beforeAutospacing="0" w:after="0" w:afterAutospacing="0"/>
              <w:jc w:val="right"/>
              <w:rPr>
                <w:sz w:val="20"/>
                <w:szCs w:val="20"/>
              </w:rPr>
            </w:pPr>
            <w:r>
              <w:rPr>
                <w:sz w:val="20"/>
                <w:szCs w:val="20"/>
              </w:rPr>
              <w:t>(</w:t>
            </w:r>
            <w:r>
              <w:rPr>
                <w:sz w:val="20"/>
                <w:szCs w:val="20"/>
              </w:rPr>
              <w:t>2,94</w:t>
            </w:r>
            <w:r>
              <w:rPr>
                <w:sz w:val="20"/>
                <w:szCs w:val="20"/>
              </w:rPr>
              <w:t>3</w:t>
            </w:r>
          </w:p>
        </w:tc>
        <w:tc>
          <w:tcPr>
            <w:tcW w:w="0" w:type="auto"/>
            <w:noWrap/>
            <w:vAlign w:val="bottom"/>
            <w:hideMark/>
          </w:tcPr>
          <w:p w14:paraId="1A4F3EA8"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6D236FB9"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0381EAFF" w14:textId="77777777" w:rsidR="00000000" w:rsidRDefault="00832D71">
            <w:pPr>
              <w:pStyle w:val="a3"/>
              <w:spacing w:before="0" w:beforeAutospacing="0" w:after="0" w:afterAutospacing="0"/>
              <w:rPr>
                <w:sz w:val="20"/>
                <w:szCs w:val="20"/>
              </w:rPr>
            </w:pPr>
            <w:r>
              <w:rPr>
                <w:sz w:val="20"/>
                <w:szCs w:val="20"/>
              </w:rPr>
              <w:t>$</w:t>
            </w:r>
          </w:p>
        </w:tc>
        <w:tc>
          <w:tcPr>
            <w:tcW w:w="0" w:type="auto"/>
            <w:vAlign w:val="bottom"/>
            <w:hideMark/>
          </w:tcPr>
          <w:p w14:paraId="2A20E393" w14:textId="77777777" w:rsidR="00000000" w:rsidRDefault="00832D71">
            <w:pPr>
              <w:pStyle w:val="a3"/>
              <w:spacing w:before="0" w:beforeAutospacing="0" w:after="0" w:afterAutospacing="0"/>
              <w:jc w:val="right"/>
              <w:rPr>
                <w:sz w:val="20"/>
                <w:szCs w:val="20"/>
              </w:rPr>
            </w:pPr>
            <w:r>
              <w:rPr>
                <w:sz w:val="20"/>
                <w:szCs w:val="20"/>
              </w:rPr>
              <w:t>4,82</w:t>
            </w:r>
            <w:r>
              <w:rPr>
                <w:sz w:val="20"/>
                <w:szCs w:val="20"/>
              </w:rPr>
              <w:t>2</w:t>
            </w:r>
          </w:p>
        </w:tc>
        <w:tc>
          <w:tcPr>
            <w:tcW w:w="0" w:type="auto"/>
            <w:noWrap/>
            <w:vAlign w:val="bottom"/>
            <w:hideMark/>
          </w:tcPr>
          <w:p w14:paraId="4AC734F3" w14:textId="77777777" w:rsidR="00000000" w:rsidRDefault="00832D71">
            <w:pPr>
              <w:pStyle w:val="a3"/>
              <w:spacing w:before="0" w:beforeAutospacing="0" w:after="0" w:afterAutospacing="0"/>
              <w:rPr>
                <w:sz w:val="20"/>
                <w:szCs w:val="20"/>
              </w:rPr>
            </w:pPr>
            <w:r>
              <w:rPr>
                <w:sz w:val="20"/>
                <w:szCs w:val="20"/>
              </w:rPr>
              <w:t> </w:t>
            </w:r>
          </w:p>
        </w:tc>
      </w:tr>
      <w:tr w:rsidR="00000000" w14:paraId="631AEEC1" w14:textId="77777777">
        <w:trPr>
          <w:divId w:val="1546789829"/>
          <w:trHeight w:val="200"/>
          <w:tblCellSpacing w:w="15" w:type="dxa"/>
        </w:trPr>
        <w:tc>
          <w:tcPr>
            <w:tcW w:w="0" w:type="auto"/>
            <w:hideMark/>
          </w:tcPr>
          <w:p w14:paraId="6133C90D" w14:textId="77777777" w:rsidR="00000000" w:rsidRDefault="00832D71">
            <w:pPr>
              <w:pStyle w:val="a3"/>
              <w:spacing w:before="0" w:beforeAutospacing="0" w:after="0" w:afterAutospacing="0"/>
              <w:ind w:left="200"/>
              <w:rPr>
                <w:sz w:val="20"/>
                <w:szCs w:val="20"/>
              </w:rPr>
            </w:pPr>
            <w:r>
              <w:rPr>
                <w:sz w:val="20"/>
                <w:szCs w:val="20"/>
              </w:rPr>
              <w:t>Valuation allowance for deferred tax asset</w:t>
            </w:r>
            <w:r>
              <w:rPr>
                <w:sz w:val="20"/>
                <w:szCs w:val="20"/>
              </w:rPr>
              <w:t>s</w:t>
            </w:r>
          </w:p>
        </w:tc>
        <w:tc>
          <w:tcPr>
            <w:tcW w:w="0" w:type="auto"/>
            <w:hideMark/>
          </w:tcPr>
          <w:p w14:paraId="1AB4D550" w14:textId="77777777" w:rsidR="00000000" w:rsidRDefault="00832D71">
            <w:pPr>
              <w:pStyle w:val="a3"/>
              <w:spacing w:before="0" w:beforeAutospacing="0" w:after="0" w:afterAutospacing="0"/>
              <w:rPr>
                <w:sz w:val="20"/>
                <w:szCs w:val="20"/>
              </w:rPr>
            </w:pPr>
            <w:r>
              <w:rPr>
                <w:sz w:val="20"/>
                <w:szCs w:val="20"/>
              </w:rPr>
              <w:t> </w:t>
            </w:r>
          </w:p>
        </w:tc>
        <w:tc>
          <w:tcPr>
            <w:tcW w:w="0" w:type="auto"/>
            <w:noWrap/>
            <w:vAlign w:val="bottom"/>
            <w:hideMark/>
          </w:tcPr>
          <w:p w14:paraId="26680C8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00B51579" w14:textId="77777777" w:rsidR="00000000" w:rsidRDefault="00832D71">
            <w:pPr>
              <w:pStyle w:val="a3"/>
              <w:spacing w:before="0" w:beforeAutospacing="0" w:after="0" w:afterAutospacing="0"/>
              <w:jc w:val="right"/>
              <w:rPr>
                <w:sz w:val="20"/>
                <w:szCs w:val="20"/>
              </w:rPr>
            </w:pPr>
            <w:r>
              <w:rPr>
                <w:sz w:val="20"/>
                <w:szCs w:val="20"/>
              </w:rPr>
              <w:t>38,26</w:t>
            </w:r>
            <w:r>
              <w:rPr>
                <w:sz w:val="20"/>
                <w:szCs w:val="20"/>
              </w:rPr>
              <w:t>8</w:t>
            </w:r>
          </w:p>
        </w:tc>
        <w:tc>
          <w:tcPr>
            <w:tcW w:w="0" w:type="auto"/>
            <w:noWrap/>
            <w:vAlign w:val="bottom"/>
            <w:hideMark/>
          </w:tcPr>
          <w:p w14:paraId="3E057D8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3AE65B5"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0480D41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D55D351" w14:textId="77777777" w:rsidR="00000000" w:rsidRDefault="00832D71">
            <w:pPr>
              <w:pStyle w:val="a3"/>
              <w:spacing w:before="0" w:beforeAutospacing="0" w:after="0" w:afterAutospacing="0"/>
              <w:jc w:val="right"/>
              <w:rPr>
                <w:sz w:val="20"/>
                <w:szCs w:val="20"/>
              </w:rPr>
            </w:pPr>
            <w:r>
              <w:rPr>
                <w:sz w:val="20"/>
                <w:szCs w:val="20"/>
              </w:rPr>
              <w:t>1,17</w:t>
            </w:r>
            <w:r>
              <w:rPr>
                <w:sz w:val="20"/>
                <w:szCs w:val="20"/>
              </w:rPr>
              <w:t>4</w:t>
            </w:r>
          </w:p>
        </w:tc>
        <w:tc>
          <w:tcPr>
            <w:tcW w:w="0" w:type="auto"/>
            <w:noWrap/>
            <w:vAlign w:val="bottom"/>
            <w:hideMark/>
          </w:tcPr>
          <w:p w14:paraId="4098BD84"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EAB4ACB"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4C611F6B"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44FF2543"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0B454992"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7C240B6D"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0DD746F1"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16C94639" w14:textId="77777777" w:rsidR="00000000" w:rsidRDefault="00832D71">
            <w:pPr>
              <w:pStyle w:val="a3"/>
              <w:spacing w:before="0" w:beforeAutospacing="0" w:after="0" w:afterAutospacing="0"/>
              <w:jc w:val="right"/>
              <w:rPr>
                <w:sz w:val="20"/>
                <w:szCs w:val="20"/>
              </w:rPr>
            </w:pPr>
            <w:r>
              <w:rPr>
                <w:sz w:val="20"/>
                <w:szCs w:val="20"/>
              </w:rPr>
              <w:t>—</w:t>
            </w:r>
          </w:p>
        </w:tc>
        <w:tc>
          <w:tcPr>
            <w:tcW w:w="0" w:type="auto"/>
            <w:noWrap/>
            <w:vAlign w:val="bottom"/>
            <w:hideMark/>
          </w:tcPr>
          <w:p w14:paraId="4297B4CD"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50FFE9DF" w14:textId="77777777" w:rsidR="00000000" w:rsidRDefault="00832D71">
            <w:pPr>
              <w:pStyle w:val="a3"/>
              <w:spacing w:before="0" w:beforeAutospacing="0" w:after="0" w:afterAutospacing="0"/>
              <w:jc w:val="right"/>
              <w:rPr>
                <w:sz w:val="20"/>
                <w:szCs w:val="20"/>
              </w:rPr>
            </w:pPr>
            <w:r>
              <w:rPr>
                <w:sz w:val="20"/>
                <w:szCs w:val="20"/>
              </w:rPr>
              <w:t> </w:t>
            </w:r>
          </w:p>
        </w:tc>
        <w:tc>
          <w:tcPr>
            <w:tcW w:w="0" w:type="auto"/>
            <w:noWrap/>
            <w:vAlign w:val="bottom"/>
            <w:hideMark/>
          </w:tcPr>
          <w:p w14:paraId="04BC0235" w14:textId="77777777" w:rsidR="00000000" w:rsidRDefault="00832D71">
            <w:pPr>
              <w:pStyle w:val="a3"/>
              <w:spacing w:before="0" w:beforeAutospacing="0" w:after="0" w:afterAutospacing="0"/>
              <w:rPr>
                <w:sz w:val="20"/>
                <w:szCs w:val="20"/>
              </w:rPr>
            </w:pPr>
            <w:r>
              <w:rPr>
                <w:sz w:val="20"/>
                <w:szCs w:val="20"/>
              </w:rPr>
              <w:t> </w:t>
            </w:r>
          </w:p>
        </w:tc>
        <w:tc>
          <w:tcPr>
            <w:tcW w:w="0" w:type="auto"/>
            <w:vAlign w:val="bottom"/>
            <w:hideMark/>
          </w:tcPr>
          <w:p w14:paraId="3BAD57D6" w14:textId="77777777" w:rsidR="00000000" w:rsidRDefault="00832D71">
            <w:pPr>
              <w:pStyle w:val="a3"/>
              <w:spacing w:before="0" w:beforeAutospacing="0" w:after="0" w:afterAutospacing="0"/>
              <w:jc w:val="right"/>
              <w:rPr>
                <w:sz w:val="20"/>
                <w:szCs w:val="20"/>
              </w:rPr>
            </w:pPr>
            <w:r>
              <w:rPr>
                <w:sz w:val="20"/>
                <w:szCs w:val="20"/>
              </w:rPr>
              <w:t>39,44</w:t>
            </w:r>
            <w:r>
              <w:rPr>
                <w:sz w:val="20"/>
                <w:szCs w:val="20"/>
              </w:rPr>
              <w:t>2</w:t>
            </w:r>
          </w:p>
        </w:tc>
        <w:tc>
          <w:tcPr>
            <w:tcW w:w="0" w:type="auto"/>
            <w:noWrap/>
            <w:vAlign w:val="bottom"/>
            <w:hideMark/>
          </w:tcPr>
          <w:p w14:paraId="040F8982" w14:textId="77777777" w:rsidR="00000000" w:rsidRDefault="00832D71">
            <w:pPr>
              <w:pStyle w:val="a3"/>
              <w:spacing w:before="0" w:beforeAutospacing="0" w:after="0" w:afterAutospacing="0"/>
              <w:rPr>
                <w:sz w:val="20"/>
                <w:szCs w:val="20"/>
              </w:rPr>
            </w:pPr>
            <w:r>
              <w:rPr>
                <w:sz w:val="20"/>
                <w:szCs w:val="20"/>
              </w:rPr>
              <w:t> </w:t>
            </w:r>
          </w:p>
        </w:tc>
      </w:tr>
    </w:tbl>
    <w:p w14:paraId="1B465A9A" w14:textId="77777777" w:rsidR="00000000" w:rsidRDefault="00832D71">
      <w:pPr>
        <w:pStyle w:val="a3"/>
        <w:spacing w:before="0" w:beforeAutospacing="0" w:after="0" w:afterAutospacing="0"/>
        <w:divId w:val="1546789829"/>
        <w:rPr>
          <w:sz w:val="20"/>
          <w:szCs w:val="20"/>
        </w:rPr>
      </w:pPr>
      <w:r>
        <w:rPr>
          <w:sz w:val="20"/>
          <w:szCs w:val="20"/>
        </w:rPr>
        <w:t> </w:t>
      </w:r>
    </w:p>
    <w:p w14:paraId="750E7C6A" w14:textId="77777777" w:rsidR="00000000" w:rsidRDefault="00832D71">
      <w:pPr>
        <w:jc w:val="both"/>
        <w:divId w:val="1455323714"/>
        <w:rPr>
          <w:rFonts w:eastAsia="Times New Roman"/>
          <w:sz w:val="20"/>
          <w:szCs w:val="20"/>
        </w:rPr>
      </w:pPr>
      <w:r>
        <w:rPr>
          <w:rFonts w:eastAsia="Times New Roman"/>
          <w:sz w:val="20"/>
          <w:szCs w:val="20"/>
        </w:rPr>
        <w:t>(a</w:t>
      </w:r>
      <w:r>
        <w:rPr>
          <w:rFonts w:eastAsia="Times New Roman"/>
          <w:sz w:val="20"/>
          <w:szCs w:val="20"/>
        </w:rPr>
        <w:t>)</w:t>
      </w:r>
    </w:p>
    <w:p w14:paraId="47C7F0BC" w14:textId="77777777" w:rsidR="00000000" w:rsidRDefault="00832D71">
      <w:pPr>
        <w:jc w:val="both"/>
        <w:divId w:val="1618637147"/>
        <w:rPr>
          <w:rFonts w:eastAsia="Times New Roman"/>
          <w:sz w:val="20"/>
          <w:szCs w:val="20"/>
        </w:rPr>
      </w:pPr>
      <w:r>
        <w:rPr>
          <w:rFonts w:eastAsia="Times New Roman"/>
          <w:sz w:val="20"/>
          <w:szCs w:val="20"/>
        </w:rPr>
        <w:t>Represents amounts that did not impact earnings</w:t>
      </w:r>
      <w:r>
        <w:rPr>
          <w:rFonts w:eastAsia="Times New Roman"/>
          <w:sz w:val="20"/>
          <w:szCs w:val="20"/>
        </w:rPr>
        <w:t>.</w:t>
      </w:r>
    </w:p>
    <w:p w14:paraId="5C6B2A72" w14:textId="77777777" w:rsidR="00000000" w:rsidRDefault="00832D71">
      <w:pPr>
        <w:pStyle w:val="a3"/>
        <w:spacing w:before="0" w:beforeAutospacing="0" w:after="0" w:afterAutospacing="0"/>
        <w:rPr>
          <w:sz w:val="20"/>
          <w:szCs w:val="20"/>
        </w:rPr>
      </w:pPr>
      <w:r>
        <w:rPr>
          <w:sz w:val="20"/>
          <w:szCs w:val="20"/>
        </w:rPr>
        <w:t> </w:t>
      </w:r>
    </w:p>
    <w:p w14:paraId="16484290" w14:textId="77777777" w:rsidR="00000000" w:rsidRDefault="00832D71">
      <w:pPr>
        <w:pStyle w:val="a3"/>
        <w:spacing w:before="0" w:beforeAutospacing="0" w:after="0" w:afterAutospacing="0"/>
        <w:jc w:val="center"/>
        <w:rPr>
          <w:sz w:val="20"/>
          <w:szCs w:val="20"/>
        </w:rPr>
      </w:pPr>
      <w:r>
        <w:rPr>
          <w:sz w:val="20"/>
          <w:szCs w:val="20"/>
        </w:rPr>
        <w:t>S</w:t>
      </w:r>
      <w:r>
        <w:rPr>
          <w:sz w:val="20"/>
          <w:szCs w:val="20"/>
        </w:rPr>
        <w:t>-</w:t>
      </w:r>
      <w:r>
        <w:rPr>
          <w:sz w:val="20"/>
          <w:szCs w:val="20"/>
        </w:rPr>
        <w:t>2</w:t>
      </w:r>
    </w:p>
    <w:p w14:paraId="6D2E5E69" w14:textId="77777777" w:rsidR="00832D71" w:rsidRDefault="00832D71">
      <w:pPr>
        <w:rPr>
          <w:rFonts w:eastAsia="Times New Roman"/>
        </w:rPr>
      </w:pPr>
      <w:r>
        <w:rPr>
          <w:rFonts w:eastAsia="Times New Roman"/>
        </w:rPr>
        <w:pict w14:anchorId="2B5BF4D2">
          <v:rect id="_x0000_i1154" style="width:0;height:1.5pt" o:hralign="center" o:hrstd="t" o:hr="t" fillcolor="#a0a0a0" stroked="f"/>
        </w:pict>
      </w:r>
    </w:p>
    <w:sectPr w:rsidR="00832D7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32D71"/>
    <w:rsid w:val="00832D71"/>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2"/>
  <w:attachedSchema w:val="http://fasb.org/us-gaap/2022"/>
  <w:attachedSchema w:val="http://www.xbrl.org/2003/iso4217"/>
  <w:attachedSchema w:val="http://xbrl.org/2020/extensible-enumerations-2.0"/>
  <w:attachedSchema w:val="http://www.xbrl.org/dtr/type/2020-01-21"/>
  <w:attachedSchema w:val="http://www.suburbanpropane.com/20220924"/>
  <w:attachedSchema w:val="http://xbrl.sec.gov/country/2022"/>
  <w:attachedSchema w:val="http://fasb.org/us-types/2022"/>
  <w:attachedSchema w:val="http://fasb.org/srt/2022"/>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03EB0"/>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639">
      <w:marLeft w:val="3"/>
      <w:marRight w:val="0"/>
      <w:marTop w:val="100"/>
      <w:marBottom w:val="0"/>
      <w:divBdr>
        <w:top w:val="none" w:sz="0" w:space="0" w:color="auto"/>
        <w:left w:val="none" w:sz="0" w:space="0" w:color="auto"/>
        <w:bottom w:val="none" w:sz="0" w:space="0" w:color="auto"/>
        <w:right w:val="none" w:sz="0" w:space="0" w:color="auto"/>
      </w:divBdr>
      <w:divsChild>
        <w:div w:id="614871804">
          <w:marLeft w:val="0"/>
          <w:marRight w:val="0"/>
          <w:marTop w:val="0"/>
          <w:marBottom w:val="0"/>
          <w:divBdr>
            <w:top w:val="none" w:sz="0" w:space="0" w:color="auto"/>
            <w:left w:val="none" w:sz="0" w:space="0" w:color="auto"/>
            <w:bottom w:val="none" w:sz="0" w:space="0" w:color="auto"/>
            <w:right w:val="none" w:sz="0" w:space="0" w:color="auto"/>
          </w:divBdr>
        </w:div>
      </w:divsChild>
    </w:div>
    <w:div w:id="11686356">
      <w:marLeft w:val="0"/>
      <w:marRight w:val="0"/>
      <w:marTop w:val="0"/>
      <w:marBottom w:val="0"/>
      <w:divBdr>
        <w:top w:val="none" w:sz="0" w:space="0" w:color="auto"/>
        <w:left w:val="none" w:sz="0" w:space="0" w:color="auto"/>
        <w:bottom w:val="none" w:sz="0" w:space="0" w:color="auto"/>
        <w:right w:val="none" w:sz="0" w:space="0" w:color="auto"/>
      </w:divBdr>
      <w:divsChild>
        <w:div w:id="1814250964">
          <w:marLeft w:val="0"/>
          <w:marRight w:val="0"/>
          <w:marTop w:val="0"/>
          <w:marBottom w:val="0"/>
          <w:divBdr>
            <w:top w:val="none" w:sz="0" w:space="0" w:color="auto"/>
            <w:left w:val="none" w:sz="0" w:space="0" w:color="auto"/>
            <w:bottom w:val="none" w:sz="0" w:space="0" w:color="auto"/>
            <w:right w:val="none" w:sz="0" w:space="0" w:color="auto"/>
          </w:divBdr>
        </w:div>
      </w:divsChild>
    </w:div>
    <w:div w:id="13850438">
      <w:marLeft w:val="0"/>
      <w:marRight w:val="0"/>
      <w:marTop w:val="0"/>
      <w:marBottom w:val="0"/>
      <w:divBdr>
        <w:top w:val="none" w:sz="0" w:space="0" w:color="auto"/>
        <w:left w:val="none" w:sz="0" w:space="0" w:color="auto"/>
        <w:bottom w:val="none" w:sz="0" w:space="0" w:color="auto"/>
        <w:right w:val="none" w:sz="0" w:space="0" w:color="auto"/>
      </w:divBdr>
    </w:div>
    <w:div w:id="24068314">
      <w:marLeft w:val="4"/>
      <w:marRight w:val="0"/>
      <w:marTop w:val="120"/>
      <w:marBottom w:val="0"/>
      <w:divBdr>
        <w:top w:val="none" w:sz="0" w:space="0" w:color="auto"/>
        <w:left w:val="none" w:sz="0" w:space="0" w:color="auto"/>
        <w:bottom w:val="none" w:sz="0" w:space="0" w:color="auto"/>
        <w:right w:val="none" w:sz="0" w:space="0" w:color="auto"/>
      </w:divBdr>
      <w:divsChild>
        <w:div w:id="1438911752">
          <w:marLeft w:val="0"/>
          <w:marRight w:val="0"/>
          <w:marTop w:val="0"/>
          <w:marBottom w:val="0"/>
          <w:divBdr>
            <w:top w:val="none" w:sz="0" w:space="0" w:color="auto"/>
            <w:left w:val="none" w:sz="0" w:space="0" w:color="auto"/>
            <w:bottom w:val="none" w:sz="0" w:space="0" w:color="auto"/>
            <w:right w:val="none" w:sz="0" w:space="0" w:color="auto"/>
          </w:divBdr>
        </w:div>
      </w:divsChild>
    </w:div>
    <w:div w:id="25454130">
      <w:marLeft w:val="4"/>
      <w:marRight w:val="0"/>
      <w:marTop w:val="0"/>
      <w:marBottom w:val="0"/>
      <w:divBdr>
        <w:top w:val="none" w:sz="0" w:space="0" w:color="auto"/>
        <w:left w:val="none" w:sz="0" w:space="0" w:color="auto"/>
        <w:bottom w:val="none" w:sz="0" w:space="0" w:color="auto"/>
        <w:right w:val="none" w:sz="0" w:space="0" w:color="auto"/>
      </w:divBdr>
      <w:divsChild>
        <w:div w:id="2030257974">
          <w:marLeft w:val="0"/>
          <w:marRight w:val="0"/>
          <w:marTop w:val="0"/>
          <w:marBottom w:val="0"/>
          <w:divBdr>
            <w:top w:val="none" w:sz="0" w:space="0" w:color="auto"/>
            <w:left w:val="none" w:sz="0" w:space="0" w:color="auto"/>
            <w:bottom w:val="none" w:sz="0" w:space="0" w:color="auto"/>
            <w:right w:val="none" w:sz="0" w:space="0" w:color="auto"/>
          </w:divBdr>
        </w:div>
      </w:divsChild>
    </w:div>
    <w:div w:id="35467666">
      <w:marLeft w:val="4"/>
      <w:marRight w:val="0"/>
      <w:marTop w:val="0"/>
      <w:marBottom w:val="0"/>
      <w:divBdr>
        <w:top w:val="none" w:sz="0" w:space="0" w:color="auto"/>
        <w:left w:val="none" w:sz="0" w:space="0" w:color="auto"/>
        <w:bottom w:val="none" w:sz="0" w:space="0" w:color="auto"/>
        <w:right w:val="none" w:sz="0" w:space="0" w:color="auto"/>
      </w:divBdr>
      <w:divsChild>
        <w:div w:id="855845671">
          <w:marLeft w:val="0"/>
          <w:marRight w:val="0"/>
          <w:marTop w:val="0"/>
          <w:marBottom w:val="0"/>
          <w:divBdr>
            <w:top w:val="none" w:sz="0" w:space="0" w:color="auto"/>
            <w:left w:val="none" w:sz="0" w:space="0" w:color="auto"/>
            <w:bottom w:val="none" w:sz="0" w:space="0" w:color="auto"/>
            <w:right w:val="none" w:sz="0" w:space="0" w:color="auto"/>
          </w:divBdr>
        </w:div>
      </w:divsChild>
    </w:div>
    <w:div w:id="39742496">
      <w:marLeft w:val="4"/>
      <w:marRight w:val="0"/>
      <w:marTop w:val="120"/>
      <w:marBottom w:val="0"/>
      <w:divBdr>
        <w:top w:val="none" w:sz="0" w:space="0" w:color="auto"/>
        <w:left w:val="none" w:sz="0" w:space="0" w:color="auto"/>
        <w:bottom w:val="none" w:sz="0" w:space="0" w:color="auto"/>
        <w:right w:val="none" w:sz="0" w:space="0" w:color="auto"/>
      </w:divBdr>
      <w:divsChild>
        <w:div w:id="1466584753">
          <w:marLeft w:val="0"/>
          <w:marRight w:val="0"/>
          <w:marTop w:val="0"/>
          <w:marBottom w:val="0"/>
          <w:divBdr>
            <w:top w:val="none" w:sz="0" w:space="0" w:color="auto"/>
            <w:left w:val="none" w:sz="0" w:space="0" w:color="auto"/>
            <w:bottom w:val="none" w:sz="0" w:space="0" w:color="auto"/>
            <w:right w:val="none" w:sz="0" w:space="0" w:color="auto"/>
          </w:divBdr>
        </w:div>
      </w:divsChild>
    </w:div>
    <w:div w:id="53353639">
      <w:marLeft w:val="4"/>
      <w:marRight w:val="0"/>
      <w:marTop w:val="0"/>
      <w:marBottom w:val="0"/>
      <w:divBdr>
        <w:top w:val="none" w:sz="0" w:space="0" w:color="auto"/>
        <w:left w:val="none" w:sz="0" w:space="0" w:color="auto"/>
        <w:bottom w:val="none" w:sz="0" w:space="0" w:color="auto"/>
        <w:right w:val="none" w:sz="0" w:space="0" w:color="auto"/>
      </w:divBdr>
      <w:divsChild>
        <w:div w:id="819931095">
          <w:marLeft w:val="0"/>
          <w:marRight w:val="0"/>
          <w:marTop w:val="0"/>
          <w:marBottom w:val="0"/>
          <w:divBdr>
            <w:top w:val="none" w:sz="0" w:space="0" w:color="auto"/>
            <w:left w:val="none" w:sz="0" w:space="0" w:color="auto"/>
            <w:bottom w:val="none" w:sz="0" w:space="0" w:color="auto"/>
            <w:right w:val="none" w:sz="0" w:space="0" w:color="auto"/>
          </w:divBdr>
        </w:div>
      </w:divsChild>
    </w:div>
    <w:div w:id="59593863">
      <w:marLeft w:val="0"/>
      <w:marRight w:val="0"/>
      <w:marTop w:val="120"/>
      <w:marBottom w:val="0"/>
      <w:divBdr>
        <w:top w:val="none" w:sz="0" w:space="0" w:color="auto"/>
        <w:left w:val="none" w:sz="0" w:space="0" w:color="auto"/>
        <w:bottom w:val="none" w:sz="0" w:space="0" w:color="auto"/>
        <w:right w:val="none" w:sz="0" w:space="0" w:color="auto"/>
      </w:divBdr>
      <w:divsChild>
        <w:div w:id="1639189315">
          <w:marLeft w:val="0"/>
          <w:marRight w:val="0"/>
          <w:marTop w:val="0"/>
          <w:marBottom w:val="0"/>
          <w:divBdr>
            <w:top w:val="none" w:sz="0" w:space="0" w:color="auto"/>
            <w:left w:val="none" w:sz="0" w:space="0" w:color="auto"/>
            <w:bottom w:val="none" w:sz="0" w:space="0" w:color="auto"/>
            <w:right w:val="none" w:sz="0" w:space="0" w:color="auto"/>
          </w:divBdr>
        </w:div>
      </w:divsChild>
    </w:div>
    <w:div w:id="61950242">
      <w:marLeft w:val="0"/>
      <w:marRight w:val="0"/>
      <w:marTop w:val="120"/>
      <w:marBottom w:val="0"/>
      <w:divBdr>
        <w:top w:val="none" w:sz="0" w:space="0" w:color="auto"/>
        <w:left w:val="none" w:sz="0" w:space="0" w:color="auto"/>
        <w:bottom w:val="none" w:sz="0" w:space="0" w:color="auto"/>
        <w:right w:val="none" w:sz="0" w:space="0" w:color="auto"/>
      </w:divBdr>
      <w:divsChild>
        <w:div w:id="984313537">
          <w:marLeft w:val="0"/>
          <w:marRight w:val="0"/>
          <w:marTop w:val="0"/>
          <w:marBottom w:val="0"/>
          <w:divBdr>
            <w:top w:val="none" w:sz="0" w:space="0" w:color="auto"/>
            <w:left w:val="none" w:sz="0" w:space="0" w:color="auto"/>
            <w:bottom w:val="none" w:sz="0" w:space="0" w:color="auto"/>
            <w:right w:val="none" w:sz="0" w:space="0" w:color="auto"/>
          </w:divBdr>
        </w:div>
      </w:divsChild>
    </w:div>
    <w:div w:id="65887184">
      <w:marLeft w:val="10"/>
      <w:marRight w:val="0"/>
      <w:marTop w:val="0"/>
      <w:marBottom w:val="0"/>
      <w:divBdr>
        <w:top w:val="none" w:sz="0" w:space="0" w:color="auto"/>
        <w:left w:val="none" w:sz="0" w:space="0" w:color="auto"/>
        <w:bottom w:val="none" w:sz="0" w:space="0" w:color="auto"/>
        <w:right w:val="none" w:sz="0" w:space="0" w:color="auto"/>
      </w:divBdr>
      <w:divsChild>
        <w:div w:id="1551646171">
          <w:marLeft w:val="0"/>
          <w:marRight w:val="0"/>
          <w:marTop w:val="0"/>
          <w:marBottom w:val="0"/>
          <w:divBdr>
            <w:top w:val="none" w:sz="0" w:space="0" w:color="auto"/>
            <w:left w:val="none" w:sz="0" w:space="0" w:color="auto"/>
            <w:bottom w:val="none" w:sz="0" w:space="0" w:color="auto"/>
            <w:right w:val="none" w:sz="0" w:space="0" w:color="auto"/>
          </w:divBdr>
        </w:div>
      </w:divsChild>
    </w:div>
    <w:div w:id="71204282">
      <w:marLeft w:val="4"/>
      <w:marRight w:val="0"/>
      <w:marTop w:val="0"/>
      <w:marBottom w:val="0"/>
      <w:divBdr>
        <w:top w:val="none" w:sz="0" w:space="0" w:color="auto"/>
        <w:left w:val="none" w:sz="0" w:space="0" w:color="auto"/>
        <w:bottom w:val="none" w:sz="0" w:space="0" w:color="auto"/>
        <w:right w:val="none" w:sz="0" w:space="0" w:color="auto"/>
      </w:divBdr>
      <w:divsChild>
        <w:div w:id="2054185844">
          <w:marLeft w:val="0"/>
          <w:marRight w:val="0"/>
          <w:marTop w:val="0"/>
          <w:marBottom w:val="0"/>
          <w:divBdr>
            <w:top w:val="none" w:sz="0" w:space="0" w:color="auto"/>
            <w:left w:val="none" w:sz="0" w:space="0" w:color="auto"/>
            <w:bottom w:val="none" w:sz="0" w:space="0" w:color="auto"/>
            <w:right w:val="none" w:sz="0" w:space="0" w:color="auto"/>
          </w:divBdr>
        </w:div>
      </w:divsChild>
    </w:div>
    <w:div w:id="71396419">
      <w:marLeft w:val="4"/>
      <w:marRight w:val="0"/>
      <w:marTop w:val="120"/>
      <w:marBottom w:val="0"/>
      <w:divBdr>
        <w:top w:val="none" w:sz="0" w:space="0" w:color="auto"/>
        <w:left w:val="none" w:sz="0" w:space="0" w:color="auto"/>
        <w:bottom w:val="none" w:sz="0" w:space="0" w:color="auto"/>
        <w:right w:val="none" w:sz="0" w:space="0" w:color="auto"/>
      </w:divBdr>
      <w:divsChild>
        <w:div w:id="1627857015">
          <w:marLeft w:val="0"/>
          <w:marRight w:val="0"/>
          <w:marTop w:val="0"/>
          <w:marBottom w:val="0"/>
          <w:divBdr>
            <w:top w:val="none" w:sz="0" w:space="0" w:color="auto"/>
            <w:left w:val="none" w:sz="0" w:space="0" w:color="auto"/>
            <w:bottom w:val="none" w:sz="0" w:space="0" w:color="auto"/>
            <w:right w:val="none" w:sz="0" w:space="0" w:color="auto"/>
          </w:divBdr>
        </w:div>
      </w:divsChild>
    </w:div>
    <w:div w:id="89014521">
      <w:marLeft w:val="3"/>
      <w:marRight w:val="0"/>
      <w:marTop w:val="100"/>
      <w:marBottom w:val="0"/>
      <w:divBdr>
        <w:top w:val="none" w:sz="0" w:space="0" w:color="auto"/>
        <w:left w:val="none" w:sz="0" w:space="0" w:color="auto"/>
        <w:bottom w:val="none" w:sz="0" w:space="0" w:color="auto"/>
        <w:right w:val="none" w:sz="0" w:space="0" w:color="auto"/>
      </w:divBdr>
      <w:divsChild>
        <w:div w:id="2145077944">
          <w:marLeft w:val="0"/>
          <w:marRight w:val="0"/>
          <w:marTop w:val="0"/>
          <w:marBottom w:val="0"/>
          <w:divBdr>
            <w:top w:val="none" w:sz="0" w:space="0" w:color="auto"/>
            <w:left w:val="none" w:sz="0" w:space="0" w:color="auto"/>
            <w:bottom w:val="none" w:sz="0" w:space="0" w:color="auto"/>
            <w:right w:val="none" w:sz="0" w:space="0" w:color="auto"/>
          </w:divBdr>
        </w:div>
      </w:divsChild>
    </w:div>
    <w:div w:id="90202731">
      <w:marLeft w:val="4"/>
      <w:marRight w:val="0"/>
      <w:marTop w:val="120"/>
      <w:marBottom w:val="0"/>
      <w:divBdr>
        <w:top w:val="none" w:sz="0" w:space="0" w:color="auto"/>
        <w:left w:val="none" w:sz="0" w:space="0" w:color="auto"/>
        <w:bottom w:val="none" w:sz="0" w:space="0" w:color="auto"/>
        <w:right w:val="none" w:sz="0" w:space="0" w:color="auto"/>
      </w:divBdr>
      <w:divsChild>
        <w:div w:id="306394593">
          <w:marLeft w:val="0"/>
          <w:marRight w:val="0"/>
          <w:marTop w:val="0"/>
          <w:marBottom w:val="0"/>
          <w:divBdr>
            <w:top w:val="none" w:sz="0" w:space="0" w:color="auto"/>
            <w:left w:val="none" w:sz="0" w:space="0" w:color="auto"/>
            <w:bottom w:val="none" w:sz="0" w:space="0" w:color="auto"/>
            <w:right w:val="none" w:sz="0" w:space="0" w:color="auto"/>
          </w:divBdr>
        </w:div>
      </w:divsChild>
    </w:div>
    <w:div w:id="116796924">
      <w:marLeft w:val="10"/>
      <w:marRight w:val="0"/>
      <w:marTop w:val="0"/>
      <w:marBottom w:val="0"/>
      <w:divBdr>
        <w:top w:val="none" w:sz="0" w:space="0" w:color="auto"/>
        <w:left w:val="none" w:sz="0" w:space="0" w:color="auto"/>
        <w:bottom w:val="none" w:sz="0" w:space="0" w:color="auto"/>
        <w:right w:val="none" w:sz="0" w:space="0" w:color="auto"/>
      </w:divBdr>
      <w:divsChild>
        <w:div w:id="1596597064">
          <w:marLeft w:val="0"/>
          <w:marRight w:val="0"/>
          <w:marTop w:val="0"/>
          <w:marBottom w:val="0"/>
          <w:divBdr>
            <w:top w:val="none" w:sz="0" w:space="0" w:color="auto"/>
            <w:left w:val="none" w:sz="0" w:space="0" w:color="auto"/>
            <w:bottom w:val="none" w:sz="0" w:space="0" w:color="auto"/>
            <w:right w:val="none" w:sz="0" w:space="0" w:color="auto"/>
          </w:divBdr>
        </w:div>
      </w:divsChild>
    </w:div>
    <w:div w:id="121775484">
      <w:marLeft w:val="4"/>
      <w:marRight w:val="0"/>
      <w:marTop w:val="0"/>
      <w:marBottom w:val="0"/>
      <w:divBdr>
        <w:top w:val="none" w:sz="0" w:space="0" w:color="auto"/>
        <w:left w:val="none" w:sz="0" w:space="0" w:color="auto"/>
        <w:bottom w:val="none" w:sz="0" w:space="0" w:color="auto"/>
        <w:right w:val="none" w:sz="0" w:space="0" w:color="auto"/>
      </w:divBdr>
      <w:divsChild>
        <w:div w:id="1521771360">
          <w:marLeft w:val="0"/>
          <w:marRight w:val="0"/>
          <w:marTop w:val="0"/>
          <w:marBottom w:val="0"/>
          <w:divBdr>
            <w:top w:val="none" w:sz="0" w:space="0" w:color="auto"/>
            <w:left w:val="none" w:sz="0" w:space="0" w:color="auto"/>
            <w:bottom w:val="none" w:sz="0" w:space="0" w:color="auto"/>
            <w:right w:val="none" w:sz="0" w:space="0" w:color="auto"/>
          </w:divBdr>
        </w:div>
      </w:divsChild>
    </w:div>
    <w:div w:id="125054741">
      <w:marLeft w:val="4"/>
      <w:marRight w:val="0"/>
      <w:marTop w:val="240"/>
      <w:marBottom w:val="0"/>
      <w:divBdr>
        <w:top w:val="none" w:sz="0" w:space="0" w:color="auto"/>
        <w:left w:val="none" w:sz="0" w:space="0" w:color="auto"/>
        <w:bottom w:val="none" w:sz="0" w:space="0" w:color="auto"/>
        <w:right w:val="none" w:sz="0" w:space="0" w:color="auto"/>
      </w:divBdr>
      <w:divsChild>
        <w:div w:id="1307317453">
          <w:marLeft w:val="0"/>
          <w:marRight w:val="0"/>
          <w:marTop w:val="0"/>
          <w:marBottom w:val="0"/>
          <w:divBdr>
            <w:top w:val="none" w:sz="0" w:space="0" w:color="auto"/>
            <w:left w:val="none" w:sz="0" w:space="0" w:color="auto"/>
            <w:bottom w:val="none" w:sz="0" w:space="0" w:color="auto"/>
            <w:right w:val="none" w:sz="0" w:space="0" w:color="auto"/>
          </w:divBdr>
        </w:div>
      </w:divsChild>
    </w:div>
    <w:div w:id="132254965">
      <w:marLeft w:val="4"/>
      <w:marRight w:val="0"/>
      <w:marTop w:val="0"/>
      <w:marBottom w:val="0"/>
      <w:divBdr>
        <w:top w:val="none" w:sz="0" w:space="0" w:color="auto"/>
        <w:left w:val="none" w:sz="0" w:space="0" w:color="auto"/>
        <w:bottom w:val="none" w:sz="0" w:space="0" w:color="auto"/>
        <w:right w:val="none" w:sz="0" w:space="0" w:color="auto"/>
      </w:divBdr>
      <w:divsChild>
        <w:div w:id="1747653477">
          <w:marLeft w:val="0"/>
          <w:marRight w:val="0"/>
          <w:marTop w:val="0"/>
          <w:marBottom w:val="0"/>
          <w:divBdr>
            <w:top w:val="none" w:sz="0" w:space="0" w:color="auto"/>
            <w:left w:val="none" w:sz="0" w:space="0" w:color="auto"/>
            <w:bottom w:val="none" w:sz="0" w:space="0" w:color="auto"/>
            <w:right w:val="none" w:sz="0" w:space="0" w:color="auto"/>
          </w:divBdr>
        </w:div>
      </w:divsChild>
    </w:div>
    <w:div w:id="138571048">
      <w:marLeft w:val="4"/>
      <w:marRight w:val="0"/>
      <w:marTop w:val="0"/>
      <w:marBottom w:val="0"/>
      <w:divBdr>
        <w:top w:val="none" w:sz="0" w:space="0" w:color="auto"/>
        <w:left w:val="none" w:sz="0" w:space="0" w:color="auto"/>
        <w:bottom w:val="none" w:sz="0" w:space="0" w:color="auto"/>
        <w:right w:val="none" w:sz="0" w:space="0" w:color="auto"/>
      </w:divBdr>
      <w:divsChild>
        <w:div w:id="1331983051">
          <w:marLeft w:val="0"/>
          <w:marRight w:val="0"/>
          <w:marTop w:val="0"/>
          <w:marBottom w:val="0"/>
          <w:divBdr>
            <w:top w:val="none" w:sz="0" w:space="0" w:color="auto"/>
            <w:left w:val="none" w:sz="0" w:space="0" w:color="auto"/>
            <w:bottom w:val="none" w:sz="0" w:space="0" w:color="auto"/>
            <w:right w:val="none" w:sz="0" w:space="0" w:color="auto"/>
          </w:divBdr>
        </w:div>
      </w:divsChild>
    </w:div>
    <w:div w:id="151063091">
      <w:marLeft w:val="4"/>
      <w:marRight w:val="0"/>
      <w:marTop w:val="120"/>
      <w:marBottom w:val="0"/>
      <w:divBdr>
        <w:top w:val="none" w:sz="0" w:space="0" w:color="auto"/>
        <w:left w:val="none" w:sz="0" w:space="0" w:color="auto"/>
        <w:bottom w:val="none" w:sz="0" w:space="0" w:color="auto"/>
        <w:right w:val="none" w:sz="0" w:space="0" w:color="auto"/>
      </w:divBdr>
      <w:divsChild>
        <w:div w:id="1731659797">
          <w:marLeft w:val="0"/>
          <w:marRight w:val="0"/>
          <w:marTop w:val="0"/>
          <w:marBottom w:val="0"/>
          <w:divBdr>
            <w:top w:val="none" w:sz="0" w:space="0" w:color="auto"/>
            <w:left w:val="none" w:sz="0" w:space="0" w:color="auto"/>
            <w:bottom w:val="none" w:sz="0" w:space="0" w:color="auto"/>
            <w:right w:val="none" w:sz="0" w:space="0" w:color="auto"/>
          </w:divBdr>
        </w:div>
      </w:divsChild>
    </w:div>
    <w:div w:id="154417166">
      <w:marLeft w:val="0"/>
      <w:marRight w:val="0"/>
      <w:marTop w:val="120"/>
      <w:marBottom w:val="0"/>
      <w:divBdr>
        <w:top w:val="none" w:sz="0" w:space="0" w:color="auto"/>
        <w:left w:val="none" w:sz="0" w:space="0" w:color="auto"/>
        <w:bottom w:val="none" w:sz="0" w:space="0" w:color="auto"/>
        <w:right w:val="none" w:sz="0" w:space="0" w:color="auto"/>
      </w:divBdr>
      <w:divsChild>
        <w:div w:id="961420520">
          <w:marLeft w:val="0"/>
          <w:marRight w:val="0"/>
          <w:marTop w:val="0"/>
          <w:marBottom w:val="0"/>
          <w:divBdr>
            <w:top w:val="none" w:sz="0" w:space="0" w:color="auto"/>
            <w:left w:val="none" w:sz="0" w:space="0" w:color="auto"/>
            <w:bottom w:val="none" w:sz="0" w:space="0" w:color="auto"/>
            <w:right w:val="none" w:sz="0" w:space="0" w:color="auto"/>
          </w:divBdr>
        </w:div>
      </w:divsChild>
    </w:div>
    <w:div w:id="177424780">
      <w:marLeft w:val="0"/>
      <w:marRight w:val="0"/>
      <w:marTop w:val="120"/>
      <w:marBottom w:val="0"/>
      <w:divBdr>
        <w:top w:val="none" w:sz="0" w:space="0" w:color="auto"/>
        <w:left w:val="none" w:sz="0" w:space="0" w:color="auto"/>
        <w:bottom w:val="none" w:sz="0" w:space="0" w:color="auto"/>
        <w:right w:val="none" w:sz="0" w:space="0" w:color="auto"/>
      </w:divBdr>
      <w:divsChild>
        <w:div w:id="85425858">
          <w:marLeft w:val="0"/>
          <w:marRight w:val="0"/>
          <w:marTop w:val="0"/>
          <w:marBottom w:val="0"/>
          <w:divBdr>
            <w:top w:val="none" w:sz="0" w:space="0" w:color="auto"/>
            <w:left w:val="none" w:sz="0" w:space="0" w:color="auto"/>
            <w:bottom w:val="none" w:sz="0" w:space="0" w:color="auto"/>
            <w:right w:val="none" w:sz="0" w:space="0" w:color="auto"/>
          </w:divBdr>
        </w:div>
      </w:divsChild>
    </w:div>
    <w:div w:id="181555327">
      <w:marLeft w:val="3"/>
      <w:marRight w:val="0"/>
      <w:marTop w:val="0"/>
      <w:marBottom w:val="0"/>
      <w:divBdr>
        <w:top w:val="none" w:sz="0" w:space="0" w:color="auto"/>
        <w:left w:val="none" w:sz="0" w:space="0" w:color="auto"/>
        <w:bottom w:val="none" w:sz="0" w:space="0" w:color="auto"/>
        <w:right w:val="none" w:sz="0" w:space="0" w:color="auto"/>
      </w:divBdr>
      <w:divsChild>
        <w:div w:id="707685807">
          <w:marLeft w:val="0"/>
          <w:marRight w:val="0"/>
          <w:marTop w:val="0"/>
          <w:marBottom w:val="0"/>
          <w:divBdr>
            <w:top w:val="none" w:sz="0" w:space="0" w:color="auto"/>
            <w:left w:val="none" w:sz="0" w:space="0" w:color="auto"/>
            <w:bottom w:val="none" w:sz="0" w:space="0" w:color="auto"/>
            <w:right w:val="none" w:sz="0" w:space="0" w:color="auto"/>
          </w:divBdr>
        </w:div>
      </w:divsChild>
    </w:div>
    <w:div w:id="195122185">
      <w:marLeft w:val="3"/>
      <w:marRight w:val="0"/>
      <w:marTop w:val="240"/>
      <w:marBottom w:val="0"/>
      <w:divBdr>
        <w:top w:val="none" w:sz="0" w:space="0" w:color="auto"/>
        <w:left w:val="none" w:sz="0" w:space="0" w:color="auto"/>
        <w:bottom w:val="none" w:sz="0" w:space="0" w:color="auto"/>
        <w:right w:val="none" w:sz="0" w:space="0" w:color="auto"/>
      </w:divBdr>
      <w:divsChild>
        <w:div w:id="1831168635">
          <w:marLeft w:val="0"/>
          <w:marRight w:val="0"/>
          <w:marTop w:val="0"/>
          <w:marBottom w:val="0"/>
          <w:divBdr>
            <w:top w:val="none" w:sz="0" w:space="0" w:color="auto"/>
            <w:left w:val="none" w:sz="0" w:space="0" w:color="auto"/>
            <w:bottom w:val="none" w:sz="0" w:space="0" w:color="auto"/>
            <w:right w:val="none" w:sz="0" w:space="0" w:color="auto"/>
          </w:divBdr>
        </w:div>
      </w:divsChild>
    </w:div>
    <w:div w:id="200289569">
      <w:marLeft w:val="0"/>
      <w:marRight w:val="0"/>
      <w:marTop w:val="0"/>
      <w:marBottom w:val="0"/>
      <w:divBdr>
        <w:top w:val="none" w:sz="0" w:space="0" w:color="auto"/>
        <w:left w:val="none" w:sz="0" w:space="0" w:color="auto"/>
        <w:bottom w:val="none" w:sz="0" w:space="0" w:color="auto"/>
        <w:right w:val="none" w:sz="0" w:space="0" w:color="auto"/>
      </w:divBdr>
    </w:div>
    <w:div w:id="211381399">
      <w:marLeft w:val="3"/>
      <w:marRight w:val="0"/>
      <w:marTop w:val="100"/>
      <w:marBottom w:val="0"/>
      <w:divBdr>
        <w:top w:val="none" w:sz="0" w:space="0" w:color="auto"/>
        <w:left w:val="none" w:sz="0" w:space="0" w:color="auto"/>
        <w:bottom w:val="none" w:sz="0" w:space="0" w:color="auto"/>
        <w:right w:val="none" w:sz="0" w:space="0" w:color="auto"/>
      </w:divBdr>
      <w:divsChild>
        <w:div w:id="1131902274">
          <w:marLeft w:val="0"/>
          <w:marRight w:val="0"/>
          <w:marTop w:val="0"/>
          <w:marBottom w:val="0"/>
          <w:divBdr>
            <w:top w:val="none" w:sz="0" w:space="0" w:color="auto"/>
            <w:left w:val="none" w:sz="0" w:space="0" w:color="auto"/>
            <w:bottom w:val="none" w:sz="0" w:space="0" w:color="auto"/>
            <w:right w:val="none" w:sz="0" w:space="0" w:color="auto"/>
          </w:divBdr>
        </w:div>
      </w:divsChild>
    </w:div>
    <w:div w:id="214395682">
      <w:marLeft w:val="0"/>
      <w:marRight w:val="0"/>
      <w:marTop w:val="120"/>
      <w:marBottom w:val="0"/>
      <w:divBdr>
        <w:top w:val="none" w:sz="0" w:space="0" w:color="auto"/>
        <w:left w:val="none" w:sz="0" w:space="0" w:color="auto"/>
        <w:bottom w:val="none" w:sz="0" w:space="0" w:color="auto"/>
        <w:right w:val="none" w:sz="0" w:space="0" w:color="auto"/>
      </w:divBdr>
      <w:divsChild>
        <w:div w:id="945428956">
          <w:marLeft w:val="0"/>
          <w:marRight w:val="0"/>
          <w:marTop w:val="0"/>
          <w:marBottom w:val="0"/>
          <w:divBdr>
            <w:top w:val="none" w:sz="0" w:space="0" w:color="auto"/>
            <w:left w:val="none" w:sz="0" w:space="0" w:color="auto"/>
            <w:bottom w:val="none" w:sz="0" w:space="0" w:color="auto"/>
            <w:right w:val="none" w:sz="0" w:space="0" w:color="auto"/>
          </w:divBdr>
        </w:div>
      </w:divsChild>
    </w:div>
    <w:div w:id="215548422">
      <w:marLeft w:val="4"/>
      <w:marRight w:val="0"/>
      <w:marTop w:val="0"/>
      <w:marBottom w:val="0"/>
      <w:divBdr>
        <w:top w:val="none" w:sz="0" w:space="0" w:color="auto"/>
        <w:left w:val="none" w:sz="0" w:space="0" w:color="auto"/>
        <w:bottom w:val="none" w:sz="0" w:space="0" w:color="auto"/>
        <w:right w:val="none" w:sz="0" w:space="0" w:color="auto"/>
      </w:divBdr>
      <w:divsChild>
        <w:div w:id="1334795864">
          <w:marLeft w:val="0"/>
          <w:marRight w:val="0"/>
          <w:marTop w:val="0"/>
          <w:marBottom w:val="0"/>
          <w:divBdr>
            <w:top w:val="none" w:sz="0" w:space="0" w:color="auto"/>
            <w:left w:val="none" w:sz="0" w:space="0" w:color="auto"/>
            <w:bottom w:val="none" w:sz="0" w:space="0" w:color="auto"/>
            <w:right w:val="none" w:sz="0" w:space="0" w:color="auto"/>
          </w:divBdr>
        </w:div>
      </w:divsChild>
    </w:div>
    <w:div w:id="215703232">
      <w:marLeft w:val="4"/>
      <w:marRight w:val="0"/>
      <w:marTop w:val="240"/>
      <w:marBottom w:val="0"/>
      <w:divBdr>
        <w:top w:val="none" w:sz="0" w:space="0" w:color="auto"/>
        <w:left w:val="none" w:sz="0" w:space="0" w:color="auto"/>
        <w:bottom w:val="none" w:sz="0" w:space="0" w:color="auto"/>
        <w:right w:val="none" w:sz="0" w:space="0" w:color="auto"/>
      </w:divBdr>
      <w:divsChild>
        <w:div w:id="1067608712">
          <w:marLeft w:val="0"/>
          <w:marRight w:val="0"/>
          <w:marTop w:val="0"/>
          <w:marBottom w:val="0"/>
          <w:divBdr>
            <w:top w:val="none" w:sz="0" w:space="0" w:color="auto"/>
            <w:left w:val="none" w:sz="0" w:space="0" w:color="auto"/>
            <w:bottom w:val="none" w:sz="0" w:space="0" w:color="auto"/>
            <w:right w:val="none" w:sz="0" w:space="0" w:color="auto"/>
          </w:divBdr>
        </w:div>
      </w:divsChild>
    </w:div>
    <w:div w:id="218173465">
      <w:marLeft w:val="10"/>
      <w:marRight w:val="0"/>
      <w:marTop w:val="0"/>
      <w:marBottom w:val="0"/>
      <w:divBdr>
        <w:top w:val="none" w:sz="0" w:space="0" w:color="auto"/>
        <w:left w:val="none" w:sz="0" w:space="0" w:color="auto"/>
        <w:bottom w:val="none" w:sz="0" w:space="0" w:color="auto"/>
        <w:right w:val="none" w:sz="0" w:space="0" w:color="auto"/>
      </w:divBdr>
      <w:divsChild>
        <w:div w:id="132676670">
          <w:marLeft w:val="0"/>
          <w:marRight w:val="0"/>
          <w:marTop w:val="0"/>
          <w:marBottom w:val="0"/>
          <w:divBdr>
            <w:top w:val="none" w:sz="0" w:space="0" w:color="auto"/>
            <w:left w:val="none" w:sz="0" w:space="0" w:color="auto"/>
            <w:bottom w:val="none" w:sz="0" w:space="0" w:color="auto"/>
            <w:right w:val="none" w:sz="0" w:space="0" w:color="auto"/>
          </w:divBdr>
        </w:div>
      </w:divsChild>
    </w:div>
    <w:div w:id="219562502">
      <w:marLeft w:val="0"/>
      <w:marRight w:val="0"/>
      <w:marTop w:val="0"/>
      <w:marBottom w:val="0"/>
      <w:divBdr>
        <w:top w:val="none" w:sz="0" w:space="0" w:color="auto"/>
        <w:left w:val="none" w:sz="0" w:space="0" w:color="auto"/>
        <w:bottom w:val="none" w:sz="0" w:space="0" w:color="auto"/>
        <w:right w:val="none" w:sz="0" w:space="0" w:color="auto"/>
      </w:divBdr>
    </w:div>
    <w:div w:id="237591687">
      <w:marLeft w:val="0"/>
      <w:marRight w:val="0"/>
      <w:marTop w:val="120"/>
      <w:marBottom w:val="0"/>
      <w:divBdr>
        <w:top w:val="none" w:sz="0" w:space="0" w:color="auto"/>
        <w:left w:val="none" w:sz="0" w:space="0" w:color="auto"/>
        <w:bottom w:val="none" w:sz="0" w:space="0" w:color="auto"/>
        <w:right w:val="none" w:sz="0" w:space="0" w:color="auto"/>
      </w:divBdr>
      <w:divsChild>
        <w:div w:id="1416592033">
          <w:marLeft w:val="0"/>
          <w:marRight w:val="0"/>
          <w:marTop w:val="0"/>
          <w:marBottom w:val="0"/>
          <w:divBdr>
            <w:top w:val="none" w:sz="0" w:space="0" w:color="auto"/>
            <w:left w:val="none" w:sz="0" w:space="0" w:color="auto"/>
            <w:bottom w:val="none" w:sz="0" w:space="0" w:color="auto"/>
            <w:right w:val="none" w:sz="0" w:space="0" w:color="auto"/>
          </w:divBdr>
        </w:div>
      </w:divsChild>
    </w:div>
    <w:div w:id="250705310">
      <w:marLeft w:val="4"/>
      <w:marRight w:val="0"/>
      <w:marTop w:val="120"/>
      <w:marBottom w:val="0"/>
      <w:divBdr>
        <w:top w:val="none" w:sz="0" w:space="0" w:color="auto"/>
        <w:left w:val="none" w:sz="0" w:space="0" w:color="auto"/>
        <w:bottom w:val="none" w:sz="0" w:space="0" w:color="auto"/>
        <w:right w:val="none" w:sz="0" w:space="0" w:color="auto"/>
      </w:divBdr>
      <w:divsChild>
        <w:div w:id="1671787231">
          <w:marLeft w:val="0"/>
          <w:marRight w:val="0"/>
          <w:marTop w:val="0"/>
          <w:marBottom w:val="0"/>
          <w:divBdr>
            <w:top w:val="none" w:sz="0" w:space="0" w:color="auto"/>
            <w:left w:val="none" w:sz="0" w:space="0" w:color="auto"/>
            <w:bottom w:val="none" w:sz="0" w:space="0" w:color="auto"/>
            <w:right w:val="none" w:sz="0" w:space="0" w:color="auto"/>
          </w:divBdr>
        </w:div>
      </w:divsChild>
    </w:div>
    <w:div w:id="258873882">
      <w:marLeft w:val="7"/>
      <w:marRight w:val="0"/>
      <w:marTop w:val="120"/>
      <w:marBottom w:val="0"/>
      <w:divBdr>
        <w:top w:val="none" w:sz="0" w:space="0" w:color="auto"/>
        <w:left w:val="none" w:sz="0" w:space="0" w:color="auto"/>
        <w:bottom w:val="none" w:sz="0" w:space="0" w:color="auto"/>
        <w:right w:val="none" w:sz="0" w:space="0" w:color="auto"/>
      </w:divBdr>
      <w:divsChild>
        <w:div w:id="891698250">
          <w:marLeft w:val="0"/>
          <w:marRight w:val="0"/>
          <w:marTop w:val="0"/>
          <w:marBottom w:val="0"/>
          <w:divBdr>
            <w:top w:val="none" w:sz="0" w:space="0" w:color="auto"/>
            <w:left w:val="none" w:sz="0" w:space="0" w:color="auto"/>
            <w:bottom w:val="none" w:sz="0" w:space="0" w:color="auto"/>
            <w:right w:val="none" w:sz="0" w:space="0" w:color="auto"/>
          </w:divBdr>
        </w:div>
      </w:divsChild>
    </w:div>
    <w:div w:id="265118421">
      <w:marLeft w:val="4"/>
      <w:marRight w:val="0"/>
      <w:marTop w:val="0"/>
      <w:marBottom w:val="0"/>
      <w:divBdr>
        <w:top w:val="none" w:sz="0" w:space="0" w:color="auto"/>
        <w:left w:val="none" w:sz="0" w:space="0" w:color="auto"/>
        <w:bottom w:val="none" w:sz="0" w:space="0" w:color="auto"/>
        <w:right w:val="none" w:sz="0" w:space="0" w:color="auto"/>
      </w:divBdr>
      <w:divsChild>
        <w:div w:id="1249387409">
          <w:marLeft w:val="0"/>
          <w:marRight w:val="0"/>
          <w:marTop w:val="0"/>
          <w:marBottom w:val="0"/>
          <w:divBdr>
            <w:top w:val="none" w:sz="0" w:space="0" w:color="auto"/>
            <w:left w:val="none" w:sz="0" w:space="0" w:color="auto"/>
            <w:bottom w:val="none" w:sz="0" w:space="0" w:color="auto"/>
            <w:right w:val="none" w:sz="0" w:space="0" w:color="auto"/>
          </w:divBdr>
        </w:div>
      </w:divsChild>
    </w:div>
    <w:div w:id="284970627">
      <w:marLeft w:val="4"/>
      <w:marRight w:val="0"/>
      <w:marTop w:val="0"/>
      <w:marBottom w:val="0"/>
      <w:divBdr>
        <w:top w:val="none" w:sz="0" w:space="0" w:color="auto"/>
        <w:left w:val="none" w:sz="0" w:space="0" w:color="auto"/>
        <w:bottom w:val="none" w:sz="0" w:space="0" w:color="auto"/>
        <w:right w:val="none" w:sz="0" w:space="0" w:color="auto"/>
      </w:divBdr>
      <w:divsChild>
        <w:div w:id="1095831493">
          <w:marLeft w:val="0"/>
          <w:marRight w:val="0"/>
          <w:marTop w:val="0"/>
          <w:marBottom w:val="0"/>
          <w:divBdr>
            <w:top w:val="none" w:sz="0" w:space="0" w:color="auto"/>
            <w:left w:val="none" w:sz="0" w:space="0" w:color="auto"/>
            <w:bottom w:val="none" w:sz="0" w:space="0" w:color="auto"/>
            <w:right w:val="none" w:sz="0" w:space="0" w:color="auto"/>
          </w:divBdr>
        </w:div>
      </w:divsChild>
    </w:div>
    <w:div w:id="285433056">
      <w:marLeft w:val="4"/>
      <w:marRight w:val="0"/>
      <w:marTop w:val="0"/>
      <w:marBottom w:val="0"/>
      <w:divBdr>
        <w:top w:val="none" w:sz="0" w:space="0" w:color="auto"/>
        <w:left w:val="none" w:sz="0" w:space="0" w:color="auto"/>
        <w:bottom w:val="none" w:sz="0" w:space="0" w:color="auto"/>
        <w:right w:val="none" w:sz="0" w:space="0" w:color="auto"/>
      </w:divBdr>
      <w:divsChild>
        <w:div w:id="630091781">
          <w:marLeft w:val="0"/>
          <w:marRight w:val="0"/>
          <w:marTop w:val="0"/>
          <w:marBottom w:val="0"/>
          <w:divBdr>
            <w:top w:val="none" w:sz="0" w:space="0" w:color="auto"/>
            <w:left w:val="none" w:sz="0" w:space="0" w:color="auto"/>
            <w:bottom w:val="none" w:sz="0" w:space="0" w:color="auto"/>
            <w:right w:val="none" w:sz="0" w:space="0" w:color="auto"/>
          </w:divBdr>
        </w:div>
      </w:divsChild>
    </w:div>
    <w:div w:id="298875558">
      <w:marLeft w:val="0"/>
      <w:marRight w:val="0"/>
      <w:marTop w:val="40"/>
      <w:marBottom w:val="0"/>
      <w:divBdr>
        <w:top w:val="none" w:sz="0" w:space="0" w:color="auto"/>
        <w:left w:val="none" w:sz="0" w:space="0" w:color="auto"/>
        <w:bottom w:val="none" w:sz="0" w:space="0" w:color="auto"/>
        <w:right w:val="none" w:sz="0" w:space="0" w:color="auto"/>
      </w:divBdr>
      <w:divsChild>
        <w:div w:id="213347122">
          <w:marLeft w:val="0"/>
          <w:marRight w:val="0"/>
          <w:marTop w:val="0"/>
          <w:marBottom w:val="0"/>
          <w:divBdr>
            <w:top w:val="none" w:sz="0" w:space="0" w:color="auto"/>
            <w:left w:val="none" w:sz="0" w:space="0" w:color="auto"/>
            <w:bottom w:val="none" w:sz="0" w:space="0" w:color="auto"/>
            <w:right w:val="none" w:sz="0" w:space="0" w:color="auto"/>
          </w:divBdr>
        </w:div>
      </w:divsChild>
    </w:div>
    <w:div w:id="299848789">
      <w:marLeft w:val="4"/>
      <w:marRight w:val="0"/>
      <w:marTop w:val="0"/>
      <w:marBottom w:val="0"/>
      <w:divBdr>
        <w:top w:val="none" w:sz="0" w:space="0" w:color="auto"/>
        <w:left w:val="none" w:sz="0" w:space="0" w:color="auto"/>
        <w:bottom w:val="none" w:sz="0" w:space="0" w:color="auto"/>
        <w:right w:val="none" w:sz="0" w:space="0" w:color="auto"/>
      </w:divBdr>
      <w:divsChild>
        <w:div w:id="182979669">
          <w:marLeft w:val="0"/>
          <w:marRight w:val="0"/>
          <w:marTop w:val="0"/>
          <w:marBottom w:val="0"/>
          <w:divBdr>
            <w:top w:val="none" w:sz="0" w:space="0" w:color="auto"/>
            <w:left w:val="none" w:sz="0" w:space="0" w:color="auto"/>
            <w:bottom w:val="none" w:sz="0" w:space="0" w:color="auto"/>
            <w:right w:val="none" w:sz="0" w:space="0" w:color="auto"/>
          </w:divBdr>
        </w:div>
      </w:divsChild>
    </w:div>
    <w:div w:id="302395895">
      <w:marLeft w:val="4"/>
      <w:marRight w:val="0"/>
      <w:marTop w:val="120"/>
      <w:marBottom w:val="0"/>
      <w:divBdr>
        <w:top w:val="none" w:sz="0" w:space="0" w:color="auto"/>
        <w:left w:val="none" w:sz="0" w:space="0" w:color="auto"/>
        <w:bottom w:val="none" w:sz="0" w:space="0" w:color="auto"/>
        <w:right w:val="none" w:sz="0" w:space="0" w:color="auto"/>
      </w:divBdr>
      <w:divsChild>
        <w:div w:id="1859923541">
          <w:marLeft w:val="0"/>
          <w:marRight w:val="0"/>
          <w:marTop w:val="0"/>
          <w:marBottom w:val="0"/>
          <w:divBdr>
            <w:top w:val="none" w:sz="0" w:space="0" w:color="auto"/>
            <w:left w:val="none" w:sz="0" w:space="0" w:color="auto"/>
            <w:bottom w:val="none" w:sz="0" w:space="0" w:color="auto"/>
            <w:right w:val="none" w:sz="0" w:space="0" w:color="auto"/>
          </w:divBdr>
        </w:div>
      </w:divsChild>
    </w:div>
    <w:div w:id="303513231">
      <w:marLeft w:val="4"/>
      <w:marRight w:val="0"/>
      <w:marTop w:val="120"/>
      <w:marBottom w:val="0"/>
      <w:divBdr>
        <w:top w:val="none" w:sz="0" w:space="0" w:color="auto"/>
        <w:left w:val="none" w:sz="0" w:space="0" w:color="auto"/>
        <w:bottom w:val="none" w:sz="0" w:space="0" w:color="auto"/>
        <w:right w:val="none" w:sz="0" w:space="0" w:color="auto"/>
      </w:divBdr>
      <w:divsChild>
        <w:div w:id="1906407132">
          <w:marLeft w:val="0"/>
          <w:marRight w:val="0"/>
          <w:marTop w:val="0"/>
          <w:marBottom w:val="0"/>
          <w:divBdr>
            <w:top w:val="none" w:sz="0" w:space="0" w:color="auto"/>
            <w:left w:val="none" w:sz="0" w:space="0" w:color="auto"/>
            <w:bottom w:val="none" w:sz="0" w:space="0" w:color="auto"/>
            <w:right w:val="none" w:sz="0" w:space="0" w:color="auto"/>
          </w:divBdr>
        </w:div>
      </w:divsChild>
    </w:div>
    <w:div w:id="308020489">
      <w:marLeft w:val="4"/>
      <w:marRight w:val="0"/>
      <w:marTop w:val="120"/>
      <w:marBottom w:val="0"/>
      <w:divBdr>
        <w:top w:val="none" w:sz="0" w:space="0" w:color="auto"/>
        <w:left w:val="none" w:sz="0" w:space="0" w:color="auto"/>
        <w:bottom w:val="none" w:sz="0" w:space="0" w:color="auto"/>
        <w:right w:val="none" w:sz="0" w:space="0" w:color="auto"/>
      </w:divBdr>
      <w:divsChild>
        <w:div w:id="930238190">
          <w:marLeft w:val="0"/>
          <w:marRight w:val="0"/>
          <w:marTop w:val="0"/>
          <w:marBottom w:val="0"/>
          <w:divBdr>
            <w:top w:val="none" w:sz="0" w:space="0" w:color="auto"/>
            <w:left w:val="none" w:sz="0" w:space="0" w:color="auto"/>
            <w:bottom w:val="none" w:sz="0" w:space="0" w:color="auto"/>
            <w:right w:val="none" w:sz="0" w:space="0" w:color="auto"/>
          </w:divBdr>
        </w:div>
      </w:divsChild>
    </w:div>
    <w:div w:id="321856426">
      <w:marLeft w:val="4"/>
      <w:marRight w:val="0"/>
      <w:marTop w:val="120"/>
      <w:marBottom w:val="0"/>
      <w:divBdr>
        <w:top w:val="none" w:sz="0" w:space="0" w:color="auto"/>
        <w:left w:val="none" w:sz="0" w:space="0" w:color="auto"/>
        <w:bottom w:val="none" w:sz="0" w:space="0" w:color="auto"/>
        <w:right w:val="none" w:sz="0" w:space="0" w:color="auto"/>
      </w:divBdr>
      <w:divsChild>
        <w:div w:id="413866536">
          <w:marLeft w:val="0"/>
          <w:marRight w:val="0"/>
          <w:marTop w:val="0"/>
          <w:marBottom w:val="0"/>
          <w:divBdr>
            <w:top w:val="none" w:sz="0" w:space="0" w:color="auto"/>
            <w:left w:val="none" w:sz="0" w:space="0" w:color="auto"/>
            <w:bottom w:val="none" w:sz="0" w:space="0" w:color="auto"/>
            <w:right w:val="none" w:sz="0" w:space="0" w:color="auto"/>
          </w:divBdr>
        </w:div>
      </w:divsChild>
    </w:div>
    <w:div w:id="322122840">
      <w:marLeft w:val="0"/>
      <w:marRight w:val="0"/>
      <w:marTop w:val="120"/>
      <w:marBottom w:val="0"/>
      <w:divBdr>
        <w:top w:val="none" w:sz="0" w:space="0" w:color="auto"/>
        <w:left w:val="none" w:sz="0" w:space="0" w:color="auto"/>
        <w:bottom w:val="none" w:sz="0" w:space="0" w:color="auto"/>
        <w:right w:val="none" w:sz="0" w:space="0" w:color="auto"/>
      </w:divBdr>
      <w:divsChild>
        <w:div w:id="226645392">
          <w:marLeft w:val="0"/>
          <w:marRight w:val="0"/>
          <w:marTop w:val="0"/>
          <w:marBottom w:val="0"/>
          <w:divBdr>
            <w:top w:val="none" w:sz="0" w:space="0" w:color="auto"/>
            <w:left w:val="none" w:sz="0" w:space="0" w:color="auto"/>
            <w:bottom w:val="none" w:sz="0" w:space="0" w:color="auto"/>
            <w:right w:val="none" w:sz="0" w:space="0" w:color="auto"/>
          </w:divBdr>
        </w:div>
      </w:divsChild>
    </w:div>
    <w:div w:id="329715422">
      <w:marLeft w:val="3"/>
      <w:marRight w:val="0"/>
      <w:marTop w:val="0"/>
      <w:marBottom w:val="0"/>
      <w:divBdr>
        <w:top w:val="none" w:sz="0" w:space="0" w:color="auto"/>
        <w:left w:val="none" w:sz="0" w:space="0" w:color="auto"/>
        <w:bottom w:val="none" w:sz="0" w:space="0" w:color="auto"/>
        <w:right w:val="none" w:sz="0" w:space="0" w:color="auto"/>
      </w:divBdr>
      <w:divsChild>
        <w:div w:id="535510354">
          <w:marLeft w:val="0"/>
          <w:marRight w:val="0"/>
          <w:marTop w:val="0"/>
          <w:marBottom w:val="0"/>
          <w:divBdr>
            <w:top w:val="none" w:sz="0" w:space="0" w:color="auto"/>
            <w:left w:val="none" w:sz="0" w:space="0" w:color="auto"/>
            <w:bottom w:val="none" w:sz="0" w:space="0" w:color="auto"/>
            <w:right w:val="none" w:sz="0" w:space="0" w:color="auto"/>
          </w:divBdr>
        </w:div>
      </w:divsChild>
    </w:div>
    <w:div w:id="336005151">
      <w:marLeft w:val="10"/>
      <w:marRight w:val="0"/>
      <w:marTop w:val="0"/>
      <w:marBottom w:val="0"/>
      <w:divBdr>
        <w:top w:val="none" w:sz="0" w:space="0" w:color="auto"/>
        <w:left w:val="none" w:sz="0" w:space="0" w:color="auto"/>
        <w:bottom w:val="none" w:sz="0" w:space="0" w:color="auto"/>
        <w:right w:val="none" w:sz="0" w:space="0" w:color="auto"/>
      </w:divBdr>
      <w:divsChild>
        <w:div w:id="1243836825">
          <w:marLeft w:val="0"/>
          <w:marRight w:val="0"/>
          <w:marTop w:val="0"/>
          <w:marBottom w:val="0"/>
          <w:divBdr>
            <w:top w:val="none" w:sz="0" w:space="0" w:color="auto"/>
            <w:left w:val="none" w:sz="0" w:space="0" w:color="auto"/>
            <w:bottom w:val="none" w:sz="0" w:space="0" w:color="auto"/>
            <w:right w:val="none" w:sz="0" w:space="0" w:color="auto"/>
          </w:divBdr>
        </w:div>
      </w:divsChild>
    </w:div>
    <w:div w:id="349843911">
      <w:marLeft w:val="4"/>
      <w:marRight w:val="0"/>
      <w:marTop w:val="0"/>
      <w:marBottom w:val="0"/>
      <w:divBdr>
        <w:top w:val="none" w:sz="0" w:space="0" w:color="auto"/>
        <w:left w:val="none" w:sz="0" w:space="0" w:color="auto"/>
        <w:bottom w:val="none" w:sz="0" w:space="0" w:color="auto"/>
        <w:right w:val="none" w:sz="0" w:space="0" w:color="auto"/>
      </w:divBdr>
      <w:divsChild>
        <w:div w:id="931738965">
          <w:marLeft w:val="0"/>
          <w:marRight w:val="0"/>
          <w:marTop w:val="0"/>
          <w:marBottom w:val="0"/>
          <w:divBdr>
            <w:top w:val="none" w:sz="0" w:space="0" w:color="auto"/>
            <w:left w:val="none" w:sz="0" w:space="0" w:color="auto"/>
            <w:bottom w:val="none" w:sz="0" w:space="0" w:color="auto"/>
            <w:right w:val="none" w:sz="0" w:space="0" w:color="auto"/>
          </w:divBdr>
        </w:div>
      </w:divsChild>
    </w:div>
    <w:div w:id="351495010">
      <w:marLeft w:val="0"/>
      <w:marRight w:val="0"/>
      <w:marTop w:val="120"/>
      <w:marBottom w:val="0"/>
      <w:divBdr>
        <w:top w:val="none" w:sz="0" w:space="0" w:color="auto"/>
        <w:left w:val="none" w:sz="0" w:space="0" w:color="auto"/>
        <w:bottom w:val="none" w:sz="0" w:space="0" w:color="auto"/>
        <w:right w:val="none" w:sz="0" w:space="0" w:color="auto"/>
      </w:divBdr>
      <w:divsChild>
        <w:div w:id="571813702">
          <w:marLeft w:val="0"/>
          <w:marRight w:val="0"/>
          <w:marTop w:val="0"/>
          <w:marBottom w:val="0"/>
          <w:divBdr>
            <w:top w:val="none" w:sz="0" w:space="0" w:color="auto"/>
            <w:left w:val="none" w:sz="0" w:space="0" w:color="auto"/>
            <w:bottom w:val="none" w:sz="0" w:space="0" w:color="auto"/>
            <w:right w:val="none" w:sz="0" w:space="0" w:color="auto"/>
          </w:divBdr>
        </w:div>
      </w:divsChild>
    </w:div>
    <w:div w:id="373850069">
      <w:marLeft w:val="0"/>
      <w:marRight w:val="0"/>
      <w:marTop w:val="120"/>
      <w:marBottom w:val="0"/>
      <w:divBdr>
        <w:top w:val="none" w:sz="0" w:space="0" w:color="auto"/>
        <w:left w:val="none" w:sz="0" w:space="0" w:color="auto"/>
        <w:bottom w:val="none" w:sz="0" w:space="0" w:color="auto"/>
        <w:right w:val="none" w:sz="0" w:space="0" w:color="auto"/>
      </w:divBdr>
      <w:divsChild>
        <w:div w:id="444543120">
          <w:marLeft w:val="0"/>
          <w:marRight w:val="0"/>
          <w:marTop w:val="0"/>
          <w:marBottom w:val="0"/>
          <w:divBdr>
            <w:top w:val="none" w:sz="0" w:space="0" w:color="auto"/>
            <w:left w:val="none" w:sz="0" w:space="0" w:color="auto"/>
            <w:bottom w:val="none" w:sz="0" w:space="0" w:color="auto"/>
            <w:right w:val="none" w:sz="0" w:space="0" w:color="auto"/>
          </w:divBdr>
        </w:div>
      </w:divsChild>
    </w:div>
    <w:div w:id="379937791">
      <w:marLeft w:val="4"/>
      <w:marRight w:val="0"/>
      <w:marTop w:val="240"/>
      <w:marBottom w:val="0"/>
      <w:divBdr>
        <w:top w:val="none" w:sz="0" w:space="0" w:color="auto"/>
        <w:left w:val="none" w:sz="0" w:space="0" w:color="auto"/>
        <w:bottom w:val="none" w:sz="0" w:space="0" w:color="auto"/>
        <w:right w:val="none" w:sz="0" w:space="0" w:color="auto"/>
      </w:divBdr>
      <w:divsChild>
        <w:div w:id="1457600209">
          <w:marLeft w:val="0"/>
          <w:marRight w:val="0"/>
          <w:marTop w:val="0"/>
          <w:marBottom w:val="0"/>
          <w:divBdr>
            <w:top w:val="none" w:sz="0" w:space="0" w:color="auto"/>
            <w:left w:val="none" w:sz="0" w:space="0" w:color="auto"/>
            <w:bottom w:val="none" w:sz="0" w:space="0" w:color="auto"/>
            <w:right w:val="none" w:sz="0" w:space="0" w:color="auto"/>
          </w:divBdr>
        </w:div>
      </w:divsChild>
    </w:div>
    <w:div w:id="385181475">
      <w:marLeft w:val="3"/>
      <w:marRight w:val="0"/>
      <w:marTop w:val="100"/>
      <w:marBottom w:val="0"/>
      <w:divBdr>
        <w:top w:val="none" w:sz="0" w:space="0" w:color="auto"/>
        <w:left w:val="none" w:sz="0" w:space="0" w:color="auto"/>
        <w:bottom w:val="none" w:sz="0" w:space="0" w:color="auto"/>
        <w:right w:val="none" w:sz="0" w:space="0" w:color="auto"/>
      </w:divBdr>
      <w:divsChild>
        <w:div w:id="1860971924">
          <w:marLeft w:val="0"/>
          <w:marRight w:val="0"/>
          <w:marTop w:val="0"/>
          <w:marBottom w:val="0"/>
          <w:divBdr>
            <w:top w:val="none" w:sz="0" w:space="0" w:color="auto"/>
            <w:left w:val="none" w:sz="0" w:space="0" w:color="auto"/>
            <w:bottom w:val="none" w:sz="0" w:space="0" w:color="auto"/>
            <w:right w:val="none" w:sz="0" w:space="0" w:color="auto"/>
          </w:divBdr>
        </w:div>
      </w:divsChild>
    </w:div>
    <w:div w:id="395664412">
      <w:marLeft w:val="4"/>
      <w:marRight w:val="0"/>
      <w:marTop w:val="240"/>
      <w:marBottom w:val="0"/>
      <w:divBdr>
        <w:top w:val="none" w:sz="0" w:space="0" w:color="auto"/>
        <w:left w:val="none" w:sz="0" w:space="0" w:color="auto"/>
        <w:bottom w:val="none" w:sz="0" w:space="0" w:color="auto"/>
        <w:right w:val="none" w:sz="0" w:space="0" w:color="auto"/>
      </w:divBdr>
      <w:divsChild>
        <w:div w:id="341204205">
          <w:marLeft w:val="0"/>
          <w:marRight w:val="0"/>
          <w:marTop w:val="0"/>
          <w:marBottom w:val="0"/>
          <w:divBdr>
            <w:top w:val="none" w:sz="0" w:space="0" w:color="auto"/>
            <w:left w:val="none" w:sz="0" w:space="0" w:color="auto"/>
            <w:bottom w:val="none" w:sz="0" w:space="0" w:color="auto"/>
            <w:right w:val="none" w:sz="0" w:space="0" w:color="auto"/>
          </w:divBdr>
        </w:div>
      </w:divsChild>
    </w:div>
    <w:div w:id="409280291">
      <w:marLeft w:val="4"/>
      <w:marRight w:val="0"/>
      <w:marTop w:val="120"/>
      <w:marBottom w:val="0"/>
      <w:divBdr>
        <w:top w:val="none" w:sz="0" w:space="0" w:color="auto"/>
        <w:left w:val="none" w:sz="0" w:space="0" w:color="auto"/>
        <w:bottom w:val="none" w:sz="0" w:space="0" w:color="auto"/>
        <w:right w:val="none" w:sz="0" w:space="0" w:color="auto"/>
      </w:divBdr>
      <w:divsChild>
        <w:div w:id="425729504">
          <w:marLeft w:val="0"/>
          <w:marRight w:val="0"/>
          <w:marTop w:val="0"/>
          <w:marBottom w:val="0"/>
          <w:divBdr>
            <w:top w:val="none" w:sz="0" w:space="0" w:color="auto"/>
            <w:left w:val="none" w:sz="0" w:space="0" w:color="auto"/>
            <w:bottom w:val="none" w:sz="0" w:space="0" w:color="auto"/>
            <w:right w:val="none" w:sz="0" w:space="0" w:color="auto"/>
          </w:divBdr>
        </w:div>
      </w:divsChild>
    </w:div>
    <w:div w:id="410010934">
      <w:marLeft w:val="0"/>
      <w:marRight w:val="0"/>
      <w:marTop w:val="40"/>
      <w:marBottom w:val="0"/>
      <w:divBdr>
        <w:top w:val="none" w:sz="0" w:space="0" w:color="auto"/>
        <w:left w:val="none" w:sz="0" w:space="0" w:color="auto"/>
        <w:bottom w:val="none" w:sz="0" w:space="0" w:color="auto"/>
        <w:right w:val="none" w:sz="0" w:space="0" w:color="auto"/>
      </w:divBdr>
      <w:divsChild>
        <w:div w:id="1177115465">
          <w:marLeft w:val="0"/>
          <w:marRight w:val="0"/>
          <w:marTop w:val="0"/>
          <w:marBottom w:val="0"/>
          <w:divBdr>
            <w:top w:val="none" w:sz="0" w:space="0" w:color="auto"/>
            <w:left w:val="none" w:sz="0" w:space="0" w:color="auto"/>
            <w:bottom w:val="none" w:sz="0" w:space="0" w:color="auto"/>
            <w:right w:val="none" w:sz="0" w:space="0" w:color="auto"/>
          </w:divBdr>
        </w:div>
      </w:divsChild>
    </w:div>
    <w:div w:id="418135264">
      <w:marLeft w:val="4"/>
      <w:marRight w:val="0"/>
      <w:marTop w:val="120"/>
      <w:marBottom w:val="0"/>
      <w:divBdr>
        <w:top w:val="none" w:sz="0" w:space="0" w:color="auto"/>
        <w:left w:val="none" w:sz="0" w:space="0" w:color="auto"/>
        <w:bottom w:val="none" w:sz="0" w:space="0" w:color="auto"/>
        <w:right w:val="none" w:sz="0" w:space="0" w:color="auto"/>
      </w:divBdr>
      <w:divsChild>
        <w:div w:id="2126845480">
          <w:marLeft w:val="0"/>
          <w:marRight w:val="0"/>
          <w:marTop w:val="0"/>
          <w:marBottom w:val="0"/>
          <w:divBdr>
            <w:top w:val="none" w:sz="0" w:space="0" w:color="auto"/>
            <w:left w:val="none" w:sz="0" w:space="0" w:color="auto"/>
            <w:bottom w:val="none" w:sz="0" w:space="0" w:color="auto"/>
            <w:right w:val="none" w:sz="0" w:space="0" w:color="auto"/>
          </w:divBdr>
        </w:div>
      </w:divsChild>
    </w:div>
    <w:div w:id="419061238">
      <w:marLeft w:val="4"/>
      <w:marRight w:val="0"/>
      <w:marTop w:val="120"/>
      <w:marBottom w:val="0"/>
      <w:divBdr>
        <w:top w:val="none" w:sz="0" w:space="0" w:color="auto"/>
        <w:left w:val="none" w:sz="0" w:space="0" w:color="auto"/>
        <w:bottom w:val="none" w:sz="0" w:space="0" w:color="auto"/>
        <w:right w:val="none" w:sz="0" w:space="0" w:color="auto"/>
      </w:divBdr>
      <w:divsChild>
        <w:div w:id="1269696386">
          <w:marLeft w:val="0"/>
          <w:marRight w:val="0"/>
          <w:marTop w:val="0"/>
          <w:marBottom w:val="0"/>
          <w:divBdr>
            <w:top w:val="none" w:sz="0" w:space="0" w:color="auto"/>
            <w:left w:val="none" w:sz="0" w:space="0" w:color="auto"/>
            <w:bottom w:val="none" w:sz="0" w:space="0" w:color="auto"/>
            <w:right w:val="none" w:sz="0" w:space="0" w:color="auto"/>
          </w:divBdr>
        </w:div>
      </w:divsChild>
    </w:div>
    <w:div w:id="431054227">
      <w:marLeft w:val="0"/>
      <w:marRight w:val="0"/>
      <w:marTop w:val="120"/>
      <w:marBottom w:val="0"/>
      <w:divBdr>
        <w:top w:val="none" w:sz="0" w:space="0" w:color="auto"/>
        <w:left w:val="none" w:sz="0" w:space="0" w:color="auto"/>
        <w:bottom w:val="none" w:sz="0" w:space="0" w:color="auto"/>
        <w:right w:val="none" w:sz="0" w:space="0" w:color="auto"/>
      </w:divBdr>
      <w:divsChild>
        <w:div w:id="165246251">
          <w:marLeft w:val="0"/>
          <w:marRight w:val="0"/>
          <w:marTop w:val="0"/>
          <w:marBottom w:val="0"/>
          <w:divBdr>
            <w:top w:val="none" w:sz="0" w:space="0" w:color="auto"/>
            <w:left w:val="none" w:sz="0" w:space="0" w:color="auto"/>
            <w:bottom w:val="none" w:sz="0" w:space="0" w:color="auto"/>
            <w:right w:val="none" w:sz="0" w:space="0" w:color="auto"/>
          </w:divBdr>
        </w:div>
      </w:divsChild>
    </w:div>
    <w:div w:id="437062046">
      <w:marLeft w:val="3"/>
      <w:marRight w:val="0"/>
      <w:marTop w:val="0"/>
      <w:marBottom w:val="0"/>
      <w:divBdr>
        <w:top w:val="none" w:sz="0" w:space="0" w:color="auto"/>
        <w:left w:val="none" w:sz="0" w:space="0" w:color="auto"/>
        <w:bottom w:val="none" w:sz="0" w:space="0" w:color="auto"/>
        <w:right w:val="none" w:sz="0" w:space="0" w:color="auto"/>
      </w:divBdr>
      <w:divsChild>
        <w:div w:id="1527520162">
          <w:marLeft w:val="0"/>
          <w:marRight w:val="0"/>
          <w:marTop w:val="0"/>
          <w:marBottom w:val="0"/>
          <w:divBdr>
            <w:top w:val="none" w:sz="0" w:space="0" w:color="auto"/>
            <w:left w:val="none" w:sz="0" w:space="0" w:color="auto"/>
            <w:bottom w:val="none" w:sz="0" w:space="0" w:color="auto"/>
            <w:right w:val="none" w:sz="0" w:space="0" w:color="auto"/>
          </w:divBdr>
        </w:div>
      </w:divsChild>
    </w:div>
    <w:div w:id="438180507">
      <w:marLeft w:val="4"/>
      <w:marRight w:val="0"/>
      <w:marTop w:val="120"/>
      <w:marBottom w:val="0"/>
      <w:divBdr>
        <w:top w:val="none" w:sz="0" w:space="0" w:color="auto"/>
        <w:left w:val="none" w:sz="0" w:space="0" w:color="auto"/>
        <w:bottom w:val="none" w:sz="0" w:space="0" w:color="auto"/>
        <w:right w:val="none" w:sz="0" w:space="0" w:color="auto"/>
      </w:divBdr>
      <w:divsChild>
        <w:div w:id="883980827">
          <w:marLeft w:val="0"/>
          <w:marRight w:val="0"/>
          <w:marTop w:val="0"/>
          <w:marBottom w:val="0"/>
          <w:divBdr>
            <w:top w:val="none" w:sz="0" w:space="0" w:color="auto"/>
            <w:left w:val="none" w:sz="0" w:space="0" w:color="auto"/>
            <w:bottom w:val="none" w:sz="0" w:space="0" w:color="auto"/>
            <w:right w:val="none" w:sz="0" w:space="0" w:color="auto"/>
          </w:divBdr>
        </w:div>
      </w:divsChild>
    </w:div>
    <w:div w:id="449908064">
      <w:marLeft w:val="3"/>
      <w:marRight w:val="0"/>
      <w:marTop w:val="0"/>
      <w:marBottom w:val="0"/>
      <w:divBdr>
        <w:top w:val="none" w:sz="0" w:space="0" w:color="auto"/>
        <w:left w:val="none" w:sz="0" w:space="0" w:color="auto"/>
        <w:bottom w:val="none" w:sz="0" w:space="0" w:color="auto"/>
        <w:right w:val="none" w:sz="0" w:space="0" w:color="auto"/>
      </w:divBdr>
      <w:divsChild>
        <w:div w:id="1665935453">
          <w:marLeft w:val="0"/>
          <w:marRight w:val="0"/>
          <w:marTop w:val="0"/>
          <w:marBottom w:val="0"/>
          <w:divBdr>
            <w:top w:val="none" w:sz="0" w:space="0" w:color="auto"/>
            <w:left w:val="none" w:sz="0" w:space="0" w:color="auto"/>
            <w:bottom w:val="none" w:sz="0" w:space="0" w:color="auto"/>
            <w:right w:val="none" w:sz="0" w:space="0" w:color="auto"/>
          </w:divBdr>
        </w:div>
      </w:divsChild>
    </w:div>
    <w:div w:id="471218679">
      <w:marLeft w:val="7"/>
      <w:marRight w:val="0"/>
      <w:marTop w:val="0"/>
      <w:marBottom w:val="0"/>
      <w:divBdr>
        <w:top w:val="none" w:sz="0" w:space="0" w:color="auto"/>
        <w:left w:val="none" w:sz="0" w:space="0" w:color="auto"/>
        <w:bottom w:val="none" w:sz="0" w:space="0" w:color="auto"/>
        <w:right w:val="none" w:sz="0" w:space="0" w:color="auto"/>
      </w:divBdr>
      <w:divsChild>
        <w:div w:id="1214543334">
          <w:marLeft w:val="0"/>
          <w:marRight w:val="0"/>
          <w:marTop w:val="0"/>
          <w:marBottom w:val="0"/>
          <w:divBdr>
            <w:top w:val="none" w:sz="0" w:space="0" w:color="auto"/>
            <w:left w:val="none" w:sz="0" w:space="0" w:color="auto"/>
            <w:bottom w:val="none" w:sz="0" w:space="0" w:color="auto"/>
            <w:right w:val="none" w:sz="0" w:space="0" w:color="auto"/>
          </w:divBdr>
        </w:div>
      </w:divsChild>
    </w:div>
    <w:div w:id="473062050">
      <w:marLeft w:val="10"/>
      <w:marRight w:val="0"/>
      <w:marTop w:val="0"/>
      <w:marBottom w:val="0"/>
      <w:divBdr>
        <w:top w:val="none" w:sz="0" w:space="0" w:color="auto"/>
        <w:left w:val="none" w:sz="0" w:space="0" w:color="auto"/>
        <w:bottom w:val="none" w:sz="0" w:space="0" w:color="auto"/>
        <w:right w:val="none" w:sz="0" w:space="0" w:color="auto"/>
      </w:divBdr>
      <w:divsChild>
        <w:div w:id="236474608">
          <w:marLeft w:val="0"/>
          <w:marRight w:val="0"/>
          <w:marTop w:val="0"/>
          <w:marBottom w:val="0"/>
          <w:divBdr>
            <w:top w:val="none" w:sz="0" w:space="0" w:color="auto"/>
            <w:left w:val="none" w:sz="0" w:space="0" w:color="auto"/>
            <w:bottom w:val="none" w:sz="0" w:space="0" w:color="auto"/>
            <w:right w:val="none" w:sz="0" w:space="0" w:color="auto"/>
          </w:divBdr>
        </w:div>
      </w:divsChild>
    </w:div>
    <w:div w:id="476147002">
      <w:marLeft w:val="0"/>
      <w:marRight w:val="0"/>
      <w:marTop w:val="0"/>
      <w:marBottom w:val="0"/>
      <w:divBdr>
        <w:top w:val="none" w:sz="0" w:space="0" w:color="auto"/>
        <w:left w:val="none" w:sz="0" w:space="0" w:color="auto"/>
        <w:bottom w:val="none" w:sz="0" w:space="0" w:color="auto"/>
        <w:right w:val="none" w:sz="0" w:space="0" w:color="auto"/>
      </w:divBdr>
      <w:divsChild>
        <w:div w:id="2018117003">
          <w:marLeft w:val="0"/>
          <w:marRight w:val="0"/>
          <w:marTop w:val="0"/>
          <w:marBottom w:val="0"/>
          <w:divBdr>
            <w:top w:val="none" w:sz="0" w:space="0" w:color="auto"/>
            <w:left w:val="none" w:sz="0" w:space="0" w:color="auto"/>
            <w:bottom w:val="none" w:sz="0" w:space="0" w:color="auto"/>
            <w:right w:val="none" w:sz="0" w:space="0" w:color="auto"/>
          </w:divBdr>
        </w:div>
        <w:div w:id="552691016">
          <w:marLeft w:val="0"/>
          <w:marRight w:val="0"/>
          <w:marTop w:val="0"/>
          <w:marBottom w:val="0"/>
          <w:divBdr>
            <w:top w:val="none" w:sz="0" w:space="0" w:color="auto"/>
            <w:left w:val="none" w:sz="0" w:space="0" w:color="auto"/>
            <w:bottom w:val="none" w:sz="0" w:space="0" w:color="auto"/>
            <w:right w:val="none" w:sz="0" w:space="0" w:color="auto"/>
          </w:divBdr>
          <w:divsChild>
            <w:div w:id="1171987410">
              <w:marLeft w:val="3"/>
              <w:marRight w:val="0"/>
              <w:marTop w:val="0"/>
              <w:marBottom w:val="0"/>
              <w:divBdr>
                <w:top w:val="none" w:sz="0" w:space="0" w:color="auto"/>
                <w:left w:val="none" w:sz="0" w:space="0" w:color="auto"/>
                <w:bottom w:val="none" w:sz="0" w:space="0" w:color="auto"/>
                <w:right w:val="none" w:sz="0" w:space="0" w:color="auto"/>
              </w:divBdr>
              <w:divsChild>
                <w:div w:id="943419335">
                  <w:marLeft w:val="0"/>
                  <w:marRight w:val="0"/>
                  <w:marTop w:val="0"/>
                  <w:marBottom w:val="0"/>
                  <w:divBdr>
                    <w:top w:val="none" w:sz="0" w:space="0" w:color="auto"/>
                    <w:left w:val="none" w:sz="0" w:space="0" w:color="auto"/>
                    <w:bottom w:val="none" w:sz="0" w:space="0" w:color="auto"/>
                    <w:right w:val="none" w:sz="0" w:space="0" w:color="auto"/>
                  </w:divBdr>
                </w:div>
              </w:divsChild>
            </w:div>
            <w:div w:id="857043870">
              <w:marLeft w:val="3"/>
              <w:marRight w:val="0"/>
              <w:marTop w:val="0"/>
              <w:marBottom w:val="0"/>
              <w:divBdr>
                <w:top w:val="none" w:sz="0" w:space="0" w:color="auto"/>
                <w:left w:val="none" w:sz="0" w:space="0" w:color="auto"/>
                <w:bottom w:val="none" w:sz="0" w:space="0" w:color="auto"/>
                <w:right w:val="none" w:sz="0" w:space="0" w:color="auto"/>
              </w:divBdr>
              <w:divsChild>
                <w:div w:id="16496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40257">
      <w:marLeft w:val="0"/>
      <w:marRight w:val="0"/>
      <w:marTop w:val="40"/>
      <w:marBottom w:val="0"/>
      <w:divBdr>
        <w:top w:val="none" w:sz="0" w:space="0" w:color="auto"/>
        <w:left w:val="none" w:sz="0" w:space="0" w:color="auto"/>
        <w:bottom w:val="none" w:sz="0" w:space="0" w:color="auto"/>
        <w:right w:val="none" w:sz="0" w:space="0" w:color="auto"/>
      </w:divBdr>
      <w:divsChild>
        <w:div w:id="987824686">
          <w:marLeft w:val="0"/>
          <w:marRight w:val="0"/>
          <w:marTop w:val="0"/>
          <w:marBottom w:val="0"/>
          <w:divBdr>
            <w:top w:val="none" w:sz="0" w:space="0" w:color="auto"/>
            <w:left w:val="none" w:sz="0" w:space="0" w:color="auto"/>
            <w:bottom w:val="none" w:sz="0" w:space="0" w:color="auto"/>
            <w:right w:val="none" w:sz="0" w:space="0" w:color="auto"/>
          </w:divBdr>
        </w:div>
      </w:divsChild>
    </w:div>
    <w:div w:id="494345413">
      <w:marLeft w:val="4"/>
      <w:marRight w:val="0"/>
      <w:marTop w:val="0"/>
      <w:marBottom w:val="0"/>
      <w:divBdr>
        <w:top w:val="none" w:sz="0" w:space="0" w:color="auto"/>
        <w:left w:val="none" w:sz="0" w:space="0" w:color="auto"/>
        <w:bottom w:val="none" w:sz="0" w:space="0" w:color="auto"/>
        <w:right w:val="none" w:sz="0" w:space="0" w:color="auto"/>
      </w:divBdr>
      <w:divsChild>
        <w:div w:id="1117942829">
          <w:marLeft w:val="0"/>
          <w:marRight w:val="0"/>
          <w:marTop w:val="0"/>
          <w:marBottom w:val="0"/>
          <w:divBdr>
            <w:top w:val="none" w:sz="0" w:space="0" w:color="auto"/>
            <w:left w:val="none" w:sz="0" w:space="0" w:color="auto"/>
            <w:bottom w:val="none" w:sz="0" w:space="0" w:color="auto"/>
            <w:right w:val="none" w:sz="0" w:space="0" w:color="auto"/>
          </w:divBdr>
        </w:div>
      </w:divsChild>
    </w:div>
    <w:div w:id="494877304">
      <w:marLeft w:val="0"/>
      <w:marRight w:val="0"/>
      <w:marTop w:val="120"/>
      <w:marBottom w:val="0"/>
      <w:divBdr>
        <w:top w:val="none" w:sz="0" w:space="0" w:color="auto"/>
        <w:left w:val="none" w:sz="0" w:space="0" w:color="auto"/>
        <w:bottom w:val="none" w:sz="0" w:space="0" w:color="auto"/>
        <w:right w:val="none" w:sz="0" w:space="0" w:color="auto"/>
      </w:divBdr>
      <w:divsChild>
        <w:div w:id="1609967883">
          <w:marLeft w:val="0"/>
          <w:marRight w:val="0"/>
          <w:marTop w:val="0"/>
          <w:marBottom w:val="0"/>
          <w:divBdr>
            <w:top w:val="none" w:sz="0" w:space="0" w:color="auto"/>
            <w:left w:val="none" w:sz="0" w:space="0" w:color="auto"/>
            <w:bottom w:val="none" w:sz="0" w:space="0" w:color="auto"/>
            <w:right w:val="none" w:sz="0" w:space="0" w:color="auto"/>
          </w:divBdr>
        </w:div>
      </w:divsChild>
    </w:div>
    <w:div w:id="504785563">
      <w:marLeft w:val="0"/>
      <w:marRight w:val="0"/>
      <w:marTop w:val="0"/>
      <w:marBottom w:val="0"/>
      <w:divBdr>
        <w:top w:val="none" w:sz="0" w:space="0" w:color="auto"/>
        <w:left w:val="none" w:sz="0" w:space="0" w:color="auto"/>
        <w:bottom w:val="none" w:sz="0" w:space="0" w:color="auto"/>
        <w:right w:val="none" w:sz="0" w:space="0" w:color="auto"/>
      </w:divBdr>
    </w:div>
    <w:div w:id="505293835">
      <w:marLeft w:val="0"/>
      <w:marRight w:val="0"/>
      <w:marTop w:val="120"/>
      <w:marBottom w:val="0"/>
      <w:divBdr>
        <w:top w:val="none" w:sz="0" w:space="0" w:color="auto"/>
        <w:left w:val="none" w:sz="0" w:space="0" w:color="auto"/>
        <w:bottom w:val="none" w:sz="0" w:space="0" w:color="auto"/>
        <w:right w:val="none" w:sz="0" w:space="0" w:color="auto"/>
      </w:divBdr>
      <w:divsChild>
        <w:div w:id="241066946">
          <w:marLeft w:val="0"/>
          <w:marRight w:val="0"/>
          <w:marTop w:val="0"/>
          <w:marBottom w:val="0"/>
          <w:divBdr>
            <w:top w:val="none" w:sz="0" w:space="0" w:color="auto"/>
            <w:left w:val="none" w:sz="0" w:space="0" w:color="auto"/>
            <w:bottom w:val="none" w:sz="0" w:space="0" w:color="auto"/>
            <w:right w:val="none" w:sz="0" w:space="0" w:color="auto"/>
          </w:divBdr>
        </w:div>
      </w:divsChild>
    </w:div>
    <w:div w:id="510417170">
      <w:marLeft w:val="4"/>
      <w:marRight w:val="0"/>
      <w:marTop w:val="120"/>
      <w:marBottom w:val="0"/>
      <w:divBdr>
        <w:top w:val="none" w:sz="0" w:space="0" w:color="auto"/>
        <w:left w:val="none" w:sz="0" w:space="0" w:color="auto"/>
        <w:bottom w:val="none" w:sz="0" w:space="0" w:color="auto"/>
        <w:right w:val="none" w:sz="0" w:space="0" w:color="auto"/>
      </w:divBdr>
      <w:divsChild>
        <w:div w:id="980038450">
          <w:marLeft w:val="0"/>
          <w:marRight w:val="0"/>
          <w:marTop w:val="0"/>
          <w:marBottom w:val="0"/>
          <w:divBdr>
            <w:top w:val="none" w:sz="0" w:space="0" w:color="auto"/>
            <w:left w:val="none" w:sz="0" w:space="0" w:color="auto"/>
            <w:bottom w:val="none" w:sz="0" w:space="0" w:color="auto"/>
            <w:right w:val="none" w:sz="0" w:space="0" w:color="auto"/>
          </w:divBdr>
        </w:div>
      </w:divsChild>
    </w:div>
    <w:div w:id="512652005">
      <w:marLeft w:val="3"/>
      <w:marRight w:val="0"/>
      <w:marTop w:val="240"/>
      <w:marBottom w:val="0"/>
      <w:divBdr>
        <w:top w:val="none" w:sz="0" w:space="0" w:color="auto"/>
        <w:left w:val="none" w:sz="0" w:space="0" w:color="auto"/>
        <w:bottom w:val="none" w:sz="0" w:space="0" w:color="auto"/>
        <w:right w:val="none" w:sz="0" w:space="0" w:color="auto"/>
      </w:divBdr>
      <w:divsChild>
        <w:div w:id="1133981667">
          <w:marLeft w:val="0"/>
          <w:marRight w:val="0"/>
          <w:marTop w:val="0"/>
          <w:marBottom w:val="0"/>
          <w:divBdr>
            <w:top w:val="none" w:sz="0" w:space="0" w:color="auto"/>
            <w:left w:val="none" w:sz="0" w:space="0" w:color="auto"/>
            <w:bottom w:val="none" w:sz="0" w:space="0" w:color="auto"/>
            <w:right w:val="none" w:sz="0" w:space="0" w:color="auto"/>
          </w:divBdr>
        </w:div>
      </w:divsChild>
    </w:div>
    <w:div w:id="530532277">
      <w:marLeft w:val="0"/>
      <w:marRight w:val="0"/>
      <w:marTop w:val="0"/>
      <w:marBottom w:val="0"/>
      <w:divBdr>
        <w:top w:val="none" w:sz="0" w:space="0" w:color="auto"/>
        <w:left w:val="none" w:sz="0" w:space="0" w:color="auto"/>
        <w:bottom w:val="none" w:sz="0" w:space="0" w:color="auto"/>
        <w:right w:val="none" w:sz="0" w:space="0" w:color="auto"/>
      </w:divBdr>
      <w:divsChild>
        <w:div w:id="414278992">
          <w:marLeft w:val="0"/>
          <w:marRight w:val="0"/>
          <w:marTop w:val="0"/>
          <w:marBottom w:val="0"/>
          <w:divBdr>
            <w:top w:val="none" w:sz="0" w:space="0" w:color="auto"/>
            <w:left w:val="none" w:sz="0" w:space="0" w:color="auto"/>
            <w:bottom w:val="none" w:sz="0" w:space="0" w:color="auto"/>
            <w:right w:val="none" w:sz="0" w:space="0" w:color="auto"/>
          </w:divBdr>
        </w:div>
        <w:div w:id="408190152">
          <w:marLeft w:val="0"/>
          <w:marRight w:val="0"/>
          <w:marTop w:val="0"/>
          <w:marBottom w:val="0"/>
          <w:divBdr>
            <w:top w:val="none" w:sz="0" w:space="0" w:color="auto"/>
            <w:left w:val="none" w:sz="0" w:space="0" w:color="auto"/>
            <w:bottom w:val="none" w:sz="0" w:space="0" w:color="auto"/>
            <w:right w:val="none" w:sz="0" w:space="0" w:color="auto"/>
          </w:divBdr>
        </w:div>
      </w:divsChild>
    </w:div>
    <w:div w:id="539630807">
      <w:marLeft w:val="4"/>
      <w:marRight w:val="0"/>
      <w:marTop w:val="0"/>
      <w:marBottom w:val="0"/>
      <w:divBdr>
        <w:top w:val="none" w:sz="0" w:space="0" w:color="auto"/>
        <w:left w:val="none" w:sz="0" w:space="0" w:color="auto"/>
        <w:bottom w:val="none" w:sz="0" w:space="0" w:color="auto"/>
        <w:right w:val="none" w:sz="0" w:space="0" w:color="auto"/>
      </w:divBdr>
      <w:divsChild>
        <w:div w:id="1320230875">
          <w:marLeft w:val="0"/>
          <w:marRight w:val="0"/>
          <w:marTop w:val="0"/>
          <w:marBottom w:val="0"/>
          <w:divBdr>
            <w:top w:val="none" w:sz="0" w:space="0" w:color="auto"/>
            <w:left w:val="none" w:sz="0" w:space="0" w:color="auto"/>
            <w:bottom w:val="none" w:sz="0" w:space="0" w:color="auto"/>
            <w:right w:val="none" w:sz="0" w:space="0" w:color="auto"/>
          </w:divBdr>
        </w:div>
      </w:divsChild>
    </w:div>
    <w:div w:id="561252980">
      <w:marLeft w:val="10"/>
      <w:marRight w:val="0"/>
      <w:marTop w:val="0"/>
      <w:marBottom w:val="0"/>
      <w:divBdr>
        <w:top w:val="none" w:sz="0" w:space="0" w:color="auto"/>
        <w:left w:val="none" w:sz="0" w:space="0" w:color="auto"/>
        <w:bottom w:val="none" w:sz="0" w:space="0" w:color="auto"/>
        <w:right w:val="none" w:sz="0" w:space="0" w:color="auto"/>
      </w:divBdr>
      <w:divsChild>
        <w:div w:id="182020284">
          <w:marLeft w:val="0"/>
          <w:marRight w:val="0"/>
          <w:marTop w:val="0"/>
          <w:marBottom w:val="0"/>
          <w:divBdr>
            <w:top w:val="none" w:sz="0" w:space="0" w:color="auto"/>
            <w:left w:val="none" w:sz="0" w:space="0" w:color="auto"/>
            <w:bottom w:val="none" w:sz="0" w:space="0" w:color="auto"/>
            <w:right w:val="none" w:sz="0" w:space="0" w:color="auto"/>
          </w:divBdr>
        </w:div>
      </w:divsChild>
    </w:div>
    <w:div w:id="586383357">
      <w:marLeft w:val="10"/>
      <w:marRight w:val="0"/>
      <w:marTop w:val="0"/>
      <w:marBottom w:val="0"/>
      <w:divBdr>
        <w:top w:val="none" w:sz="0" w:space="0" w:color="auto"/>
        <w:left w:val="none" w:sz="0" w:space="0" w:color="auto"/>
        <w:bottom w:val="none" w:sz="0" w:space="0" w:color="auto"/>
        <w:right w:val="none" w:sz="0" w:space="0" w:color="auto"/>
      </w:divBdr>
      <w:divsChild>
        <w:div w:id="1099250549">
          <w:marLeft w:val="0"/>
          <w:marRight w:val="0"/>
          <w:marTop w:val="0"/>
          <w:marBottom w:val="0"/>
          <w:divBdr>
            <w:top w:val="none" w:sz="0" w:space="0" w:color="auto"/>
            <w:left w:val="none" w:sz="0" w:space="0" w:color="auto"/>
            <w:bottom w:val="none" w:sz="0" w:space="0" w:color="auto"/>
            <w:right w:val="none" w:sz="0" w:space="0" w:color="auto"/>
          </w:divBdr>
        </w:div>
      </w:divsChild>
    </w:div>
    <w:div w:id="591938923">
      <w:marLeft w:val="3"/>
      <w:marRight w:val="0"/>
      <w:marTop w:val="100"/>
      <w:marBottom w:val="0"/>
      <w:divBdr>
        <w:top w:val="none" w:sz="0" w:space="0" w:color="auto"/>
        <w:left w:val="none" w:sz="0" w:space="0" w:color="auto"/>
        <w:bottom w:val="none" w:sz="0" w:space="0" w:color="auto"/>
        <w:right w:val="none" w:sz="0" w:space="0" w:color="auto"/>
      </w:divBdr>
      <w:divsChild>
        <w:div w:id="26562319">
          <w:marLeft w:val="0"/>
          <w:marRight w:val="0"/>
          <w:marTop w:val="0"/>
          <w:marBottom w:val="0"/>
          <w:divBdr>
            <w:top w:val="none" w:sz="0" w:space="0" w:color="auto"/>
            <w:left w:val="none" w:sz="0" w:space="0" w:color="auto"/>
            <w:bottom w:val="none" w:sz="0" w:space="0" w:color="auto"/>
            <w:right w:val="none" w:sz="0" w:space="0" w:color="auto"/>
          </w:divBdr>
        </w:div>
      </w:divsChild>
    </w:div>
    <w:div w:id="595864251">
      <w:marLeft w:val="7"/>
      <w:marRight w:val="0"/>
      <w:marTop w:val="0"/>
      <w:marBottom w:val="0"/>
      <w:divBdr>
        <w:top w:val="none" w:sz="0" w:space="0" w:color="auto"/>
        <w:left w:val="none" w:sz="0" w:space="0" w:color="auto"/>
        <w:bottom w:val="none" w:sz="0" w:space="0" w:color="auto"/>
        <w:right w:val="none" w:sz="0" w:space="0" w:color="auto"/>
      </w:divBdr>
      <w:divsChild>
        <w:div w:id="1310015240">
          <w:marLeft w:val="0"/>
          <w:marRight w:val="0"/>
          <w:marTop w:val="0"/>
          <w:marBottom w:val="0"/>
          <w:divBdr>
            <w:top w:val="none" w:sz="0" w:space="0" w:color="auto"/>
            <w:left w:val="none" w:sz="0" w:space="0" w:color="auto"/>
            <w:bottom w:val="none" w:sz="0" w:space="0" w:color="auto"/>
            <w:right w:val="none" w:sz="0" w:space="0" w:color="auto"/>
          </w:divBdr>
        </w:div>
      </w:divsChild>
    </w:div>
    <w:div w:id="596868334">
      <w:marLeft w:val="4"/>
      <w:marRight w:val="0"/>
      <w:marTop w:val="240"/>
      <w:marBottom w:val="0"/>
      <w:divBdr>
        <w:top w:val="none" w:sz="0" w:space="0" w:color="auto"/>
        <w:left w:val="none" w:sz="0" w:space="0" w:color="auto"/>
        <w:bottom w:val="none" w:sz="0" w:space="0" w:color="auto"/>
        <w:right w:val="none" w:sz="0" w:space="0" w:color="auto"/>
      </w:divBdr>
      <w:divsChild>
        <w:div w:id="1161701573">
          <w:marLeft w:val="0"/>
          <w:marRight w:val="0"/>
          <w:marTop w:val="0"/>
          <w:marBottom w:val="0"/>
          <w:divBdr>
            <w:top w:val="none" w:sz="0" w:space="0" w:color="auto"/>
            <w:left w:val="none" w:sz="0" w:space="0" w:color="auto"/>
            <w:bottom w:val="none" w:sz="0" w:space="0" w:color="auto"/>
            <w:right w:val="none" w:sz="0" w:space="0" w:color="auto"/>
          </w:divBdr>
        </w:div>
      </w:divsChild>
    </w:div>
    <w:div w:id="598373079">
      <w:marLeft w:val="4"/>
      <w:marRight w:val="0"/>
      <w:marTop w:val="0"/>
      <w:marBottom w:val="0"/>
      <w:divBdr>
        <w:top w:val="none" w:sz="0" w:space="0" w:color="auto"/>
        <w:left w:val="none" w:sz="0" w:space="0" w:color="auto"/>
        <w:bottom w:val="none" w:sz="0" w:space="0" w:color="auto"/>
        <w:right w:val="none" w:sz="0" w:space="0" w:color="auto"/>
      </w:divBdr>
      <w:divsChild>
        <w:div w:id="181475631">
          <w:marLeft w:val="0"/>
          <w:marRight w:val="0"/>
          <w:marTop w:val="0"/>
          <w:marBottom w:val="0"/>
          <w:divBdr>
            <w:top w:val="none" w:sz="0" w:space="0" w:color="auto"/>
            <w:left w:val="none" w:sz="0" w:space="0" w:color="auto"/>
            <w:bottom w:val="none" w:sz="0" w:space="0" w:color="auto"/>
            <w:right w:val="none" w:sz="0" w:space="0" w:color="auto"/>
          </w:divBdr>
        </w:div>
      </w:divsChild>
    </w:div>
    <w:div w:id="599458494">
      <w:marLeft w:val="4"/>
      <w:marRight w:val="0"/>
      <w:marTop w:val="240"/>
      <w:marBottom w:val="0"/>
      <w:divBdr>
        <w:top w:val="none" w:sz="0" w:space="0" w:color="auto"/>
        <w:left w:val="none" w:sz="0" w:space="0" w:color="auto"/>
        <w:bottom w:val="none" w:sz="0" w:space="0" w:color="auto"/>
        <w:right w:val="none" w:sz="0" w:space="0" w:color="auto"/>
      </w:divBdr>
      <w:divsChild>
        <w:div w:id="1308897114">
          <w:marLeft w:val="0"/>
          <w:marRight w:val="0"/>
          <w:marTop w:val="0"/>
          <w:marBottom w:val="0"/>
          <w:divBdr>
            <w:top w:val="none" w:sz="0" w:space="0" w:color="auto"/>
            <w:left w:val="none" w:sz="0" w:space="0" w:color="auto"/>
            <w:bottom w:val="none" w:sz="0" w:space="0" w:color="auto"/>
            <w:right w:val="none" w:sz="0" w:space="0" w:color="auto"/>
          </w:divBdr>
        </w:div>
      </w:divsChild>
    </w:div>
    <w:div w:id="600341288">
      <w:marLeft w:val="3"/>
      <w:marRight w:val="0"/>
      <w:marTop w:val="100"/>
      <w:marBottom w:val="0"/>
      <w:divBdr>
        <w:top w:val="none" w:sz="0" w:space="0" w:color="auto"/>
        <w:left w:val="none" w:sz="0" w:space="0" w:color="auto"/>
        <w:bottom w:val="none" w:sz="0" w:space="0" w:color="auto"/>
        <w:right w:val="none" w:sz="0" w:space="0" w:color="auto"/>
      </w:divBdr>
      <w:divsChild>
        <w:div w:id="921719014">
          <w:marLeft w:val="0"/>
          <w:marRight w:val="0"/>
          <w:marTop w:val="0"/>
          <w:marBottom w:val="0"/>
          <w:divBdr>
            <w:top w:val="none" w:sz="0" w:space="0" w:color="auto"/>
            <w:left w:val="none" w:sz="0" w:space="0" w:color="auto"/>
            <w:bottom w:val="none" w:sz="0" w:space="0" w:color="auto"/>
            <w:right w:val="none" w:sz="0" w:space="0" w:color="auto"/>
          </w:divBdr>
        </w:div>
      </w:divsChild>
    </w:div>
    <w:div w:id="602230087">
      <w:marLeft w:val="4"/>
      <w:marRight w:val="0"/>
      <w:marTop w:val="0"/>
      <w:marBottom w:val="0"/>
      <w:divBdr>
        <w:top w:val="none" w:sz="0" w:space="0" w:color="auto"/>
        <w:left w:val="none" w:sz="0" w:space="0" w:color="auto"/>
        <w:bottom w:val="none" w:sz="0" w:space="0" w:color="auto"/>
        <w:right w:val="none" w:sz="0" w:space="0" w:color="auto"/>
      </w:divBdr>
      <w:divsChild>
        <w:div w:id="1893347162">
          <w:marLeft w:val="0"/>
          <w:marRight w:val="0"/>
          <w:marTop w:val="0"/>
          <w:marBottom w:val="0"/>
          <w:divBdr>
            <w:top w:val="none" w:sz="0" w:space="0" w:color="auto"/>
            <w:left w:val="none" w:sz="0" w:space="0" w:color="auto"/>
            <w:bottom w:val="none" w:sz="0" w:space="0" w:color="auto"/>
            <w:right w:val="none" w:sz="0" w:space="0" w:color="auto"/>
          </w:divBdr>
        </w:div>
      </w:divsChild>
    </w:div>
    <w:div w:id="604119831">
      <w:marLeft w:val="4"/>
      <w:marRight w:val="0"/>
      <w:marTop w:val="0"/>
      <w:marBottom w:val="0"/>
      <w:divBdr>
        <w:top w:val="none" w:sz="0" w:space="0" w:color="auto"/>
        <w:left w:val="none" w:sz="0" w:space="0" w:color="auto"/>
        <w:bottom w:val="none" w:sz="0" w:space="0" w:color="auto"/>
        <w:right w:val="none" w:sz="0" w:space="0" w:color="auto"/>
      </w:divBdr>
      <w:divsChild>
        <w:div w:id="1001740602">
          <w:marLeft w:val="0"/>
          <w:marRight w:val="0"/>
          <w:marTop w:val="0"/>
          <w:marBottom w:val="0"/>
          <w:divBdr>
            <w:top w:val="none" w:sz="0" w:space="0" w:color="auto"/>
            <w:left w:val="none" w:sz="0" w:space="0" w:color="auto"/>
            <w:bottom w:val="none" w:sz="0" w:space="0" w:color="auto"/>
            <w:right w:val="none" w:sz="0" w:space="0" w:color="auto"/>
          </w:divBdr>
        </w:div>
      </w:divsChild>
    </w:div>
    <w:div w:id="605041857">
      <w:marLeft w:val="4"/>
      <w:marRight w:val="0"/>
      <w:marTop w:val="120"/>
      <w:marBottom w:val="0"/>
      <w:divBdr>
        <w:top w:val="none" w:sz="0" w:space="0" w:color="auto"/>
        <w:left w:val="none" w:sz="0" w:space="0" w:color="auto"/>
        <w:bottom w:val="none" w:sz="0" w:space="0" w:color="auto"/>
        <w:right w:val="none" w:sz="0" w:space="0" w:color="auto"/>
      </w:divBdr>
      <w:divsChild>
        <w:div w:id="1971743902">
          <w:marLeft w:val="0"/>
          <w:marRight w:val="0"/>
          <w:marTop w:val="0"/>
          <w:marBottom w:val="0"/>
          <w:divBdr>
            <w:top w:val="none" w:sz="0" w:space="0" w:color="auto"/>
            <w:left w:val="none" w:sz="0" w:space="0" w:color="auto"/>
            <w:bottom w:val="none" w:sz="0" w:space="0" w:color="auto"/>
            <w:right w:val="none" w:sz="0" w:space="0" w:color="auto"/>
          </w:divBdr>
        </w:div>
      </w:divsChild>
    </w:div>
    <w:div w:id="617952538">
      <w:marLeft w:val="3"/>
      <w:marRight w:val="0"/>
      <w:marTop w:val="100"/>
      <w:marBottom w:val="0"/>
      <w:divBdr>
        <w:top w:val="none" w:sz="0" w:space="0" w:color="auto"/>
        <w:left w:val="none" w:sz="0" w:space="0" w:color="auto"/>
        <w:bottom w:val="none" w:sz="0" w:space="0" w:color="auto"/>
        <w:right w:val="none" w:sz="0" w:space="0" w:color="auto"/>
      </w:divBdr>
      <w:divsChild>
        <w:div w:id="1397051141">
          <w:marLeft w:val="0"/>
          <w:marRight w:val="0"/>
          <w:marTop w:val="0"/>
          <w:marBottom w:val="0"/>
          <w:divBdr>
            <w:top w:val="none" w:sz="0" w:space="0" w:color="auto"/>
            <w:left w:val="none" w:sz="0" w:space="0" w:color="auto"/>
            <w:bottom w:val="none" w:sz="0" w:space="0" w:color="auto"/>
            <w:right w:val="none" w:sz="0" w:space="0" w:color="auto"/>
          </w:divBdr>
        </w:div>
      </w:divsChild>
    </w:div>
    <w:div w:id="655305822">
      <w:marLeft w:val="4"/>
      <w:marRight w:val="0"/>
      <w:marTop w:val="0"/>
      <w:marBottom w:val="0"/>
      <w:divBdr>
        <w:top w:val="none" w:sz="0" w:space="0" w:color="auto"/>
        <w:left w:val="none" w:sz="0" w:space="0" w:color="auto"/>
        <w:bottom w:val="none" w:sz="0" w:space="0" w:color="auto"/>
        <w:right w:val="none" w:sz="0" w:space="0" w:color="auto"/>
      </w:divBdr>
      <w:divsChild>
        <w:div w:id="1071579804">
          <w:marLeft w:val="0"/>
          <w:marRight w:val="0"/>
          <w:marTop w:val="0"/>
          <w:marBottom w:val="0"/>
          <w:divBdr>
            <w:top w:val="none" w:sz="0" w:space="0" w:color="auto"/>
            <w:left w:val="none" w:sz="0" w:space="0" w:color="auto"/>
            <w:bottom w:val="none" w:sz="0" w:space="0" w:color="auto"/>
            <w:right w:val="none" w:sz="0" w:space="0" w:color="auto"/>
          </w:divBdr>
        </w:div>
      </w:divsChild>
    </w:div>
    <w:div w:id="656228966">
      <w:marLeft w:val="0"/>
      <w:marRight w:val="0"/>
      <w:marTop w:val="120"/>
      <w:marBottom w:val="0"/>
      <w:divBdr>
        <w:top w:val="none" w:sz="0" w:space="0" w:color="auto"/>
        <w:left w:val="none" w:sz="0" w:space="0" w:color="auto"/>
        <w:bottom w:val="none" w:sz="0" w:space="0" w:color="auto"/>
        <w:right w:val="none" w:sz="0" w:space="0" w:color="auto"/>
      </w:divBdr>
      <w:divsChild>
        <w:div w:id="1941142057">
          <w:marLeft w:val="0"/>
          <w:marRight w:val="0"/>
          <w:marTop w:val="0"/>
          <w:marBottom w:val="0"/>
          <w:divBdr>
            <w:top w:val="none" w:sz="0" w:space="0" w:color="auto"/>
            <w:left w:val="none" w:sz="0" w:space="0" w:color="auto"/>
            <w:bottom w:val="none" w:sz="0" w:space="0" w:color="auto"/>
            <w:right w:val="none" w:sz="0" w:space="0" w:color="auto"/>
          </w:divBdr>
        </w:div>
      </w:divsChild>
    </w:div>
    <w:div w:id="667371775">
      <w:marLeft w:val="0"/>
      <w:marRight w:val="0"/>
      <w:marTop w:val="120"/>
      <w:marBottom w:val="0"/>
      <w:divBdr>
        <w:top w:val="none" w:sz="0" w:space="0" w:color="auto"/>
        <w:left w:val="none" w:sz="0" w:space="0" w:color="auto"/>
        <w:bottom w:val="none" w:sz="0" w:space="0" w:color="auto"/>
        <w:right w:val="none" w:sz="0" w:space="0" w:color="auto"/>
      </w:divBdr>
      <w:divsChild>
        <w:div w:id="1092779425">
          <w:marLeft w:val="0"/>
          <w:marRight w:val="0"/>
          <w:marTop w:val="0"/>
          <w:marBottom w:val="0"/>
          <w:divBdr>
            <w:top w:val="none" w:sz="0" w:space="0" w:color="auto"/>
            <w:left w:val="none" w:sz="0" w:space="0" w:color="auto"/>
            <w:bottom w:val="none" w:sz="0" w:space="0" w:color="auto"/>
            <w:right w:val="none" w:sz="0" w:space="0" w:color="auto"/>
          </w:divBdr>
        </w:div>
      </w:divsChild>
    </w:div>
    <w:div w:id="670375271">
      <w:marLeft w:val="0"/>
      <w:marRight w:val="0"/>
      <w:marTop w:val="120"/>
      <w:marBottom w:val="0"/>
      <w:divBdr>
        <w:top w:val="none" w:sz="0" w:space="0" w:color="auto"/>
        <w:left w:val="none" w:sz="0" w:space="0" w:color="auto"/>
        <w:bottom w:val="none" w:sz="0" w:space="0" w:color="auto"/>
        <w:right w:val="none" w:sz="0" w:space="0" w:color="auto"/>
      </w:divBdr>
      <w:divsChild>
        <w:div w:id="774714786">
          <w:marLeft w:val="0"/>
          <w:marRight w:val="0"/>
          <w:marTop w:val="0"/>
          <w:marBottom w:val="0"/>
          <w:divBdr>
            <w:top w:val="none" w:sz="0" w:space="0" w:color="auto"/>
            <w:left w:val="none" w:sz="0" w:space="0" w:color="auto"/>
            <w:bottom w:val="none" w:sz="0" w:space="0" w:color="auto"/>
            <w:right w:val="none" w:sz="0" w:space="0" w:color="auto"/>
          </w:divBdr>
        </w:div>
      </w:divsChild>
    </w:div>
    <w:div w:id="679311195">
      <w:marLeft w:val="4"/>
      <w:marRight w:val="0"/>
      <w:marTop w:val="0"/>
      <w:marBottom w:val="0"/>
      <w:divBdr>
        <w:top w:val="none" w:sz="0" w:space="0" w:color="auto"/>
        <w:left w:val="none" w:sz="0" w:space="0" w:color="auto"/>
        <w:bottom w:val="none" w:sz="0" w:space="0" w:color="auto"/>
        <w:right w:val="none" w:sz="0" w:space="0" w:color="auto"/>
      </w:divBdr>
      <w:divsChild>
        <w:div w:id="258418058">
          <w:marLeft w:val="0"/>
          <w:marRight w:val="0"/>
          <w:marTop w:val="0"/>
          <w:marBottom w:val="0"/>
          <w:divBdr>
            <w:top w:val="none" w:sz="0" w:space="0" w:color="auto"/>
            <w:left w:val="none" w:sz="0" w:space="0" w:color="auto"/>
            <w:bottom w:val="none" w:sz="0" w:space="0" w:color="auto"/>
            <w:right w:val="none" w:sz="0" w:space="0" w:color="auto"/>
          </w:divBdr>
        </w:div>
      </w:divsChild>
    </w:div>
    <w:div w:id="679696427">
      <w:marLeft w:val="0"/>
      <w:marRight w:val="0"/>
      <w:marTop w:val="120"/>
      <w:marBottom w:val="0"/>
      <w:divBdr>
        <w:top w:val="none" w:sz="0" w:space="0" w:color="auto"/>
        <w:left w:val="none" w:sz="0" w:space="0" w:color="auto"/>
        <w:bottom w:val="none" w:sz="0" w:space="0" w:color="auto"/>
        <w:right w:val="none" w:sz="0" w:space="0" w:color="auto"/>
      </w:divBdr>
      <w:divsChild>
        <w:div w:id="112754451">
          <w:marLeft w:val="0"/>
          <w:marRight w:val="0"/>
          <w:marTop w:val="0"/>
          <w:marBottom w:val="0"/>
          <w:divBdr>
            <w:top w:val="none" w:sz="0" w:space="0" w:color="auto"/>
            <w:left w:val="none" w:sz="0" w:space="0" w:color="auto"/>
            <w:bottom w:val="none" w:sz="0" w:space="0" w:color="auto"/>
            <w:right w:val="none" w:sz="0" w:space="0" w:color="auto"/>
          </w:divBdr>
        </w:div>
      </w:divsChild>
    </w:div>
    <w:div w:id="713122612">
      <w:marLeft w:val="0"/>
      <w:marRight w:val="0"/>
      <w:marTop w:val="40"/>
      <w:marBottom w:val="0"/>
      <w:divBdr>
        <w:top w:val="none" w:sz="0" w:space="0" w:color="auto"/>
        <w:left w:val="none" w:sz="0" w:space="0" w:color="auto"/>
        <w:bottom w:val="none" w:sz="0" w:space="0" w:color="auto"/>
        <w:right w:val="none" w:sz="0" w:space="0" w:color="auto"/>
      </w:divBdr>
      <w:divsChild>
        <w:div w:id="270891992">
          <w:marLeft w:val="0"/>
          <w:marRight w:val="0"/>
          <w:marTop w:val="0"/>
          <w:marBottom w:val="0"/>
          <w:divBdr>
            <w:top w:val="none" w:sz="0" w:space="0" w:color="auto"/>
            <w:left w:val="none" w:sz="0" w:space="0" w:color="auto"/>
            <w:bottom w:val="none" w:sz="0" w:space="0" w:color="auto"/>
            <w:right w:val="none" w:sz="0" w:space="0" w:color="auto"/>
          </w:divBdr>
        </w:div>
      </w:divsChild>
    </w:div>
    <w:div w:id="727069478">
      <w:marLeft w:val="0"/>
      <w:marRight w:val="0"/>
      <w:marTop w:val="40"/>
      <w:marBottom w:val="0"/>
      <w:divBdr>
        <w:top w:val="none" w:sz="0" w:space="0" w:color="auto"/>
        <w:left w:val="none" w:sz="0" w:space="0" w:color="auto"/>
        <w:bottom w:val="none" w:sz="0" w:space="0" w:color="auto"/>
        <w:right w:val="none" w:sz="0" w:space="0" w:color="auto"/>
      </w:divBdr>
      <w:divsChild>
        <w:div w:id="1261840451">
          <w:marLeft w:val="0"/>
          <w:marRight w:val="0"/>
          <w:marTop w:val="0"/>
          <w:marBottom w:val="0"/>
          <w:divBdr>
            <w:top w:val="none" w:sz="0" w:space="0" w:color="auto"/>
            <w:left w:val="none" w:sz="0" w:space="0" w:color="auto"/>
            <w:bottom w:val="none" w:sz="0" w:space="0" w:color="auto"/>
            <w:right w:val="none" w:sz="0" w:space="0" w:color="auto"/>
          </w:divBdr>
        </w:div>
      </w:divsChild>
    </w:div>
    <w:div w:id="768506504">
      <w:marLeft w:val="0"/>
      <w:marRight w:val="0"/>
      <w:marTop w:val="0"/>
      <w:marBottom w:val="0"/>
      <w:divBdr>
        <w:top w:val="none" w:sz="0" w:space="0" w:color="auto"/>
        <w:left w:val="none" w:sz="0" w:space="0" w:color="auto"/>
        <w:bottom w:val="none" w:sz="0" w:space="0" w:color="auto"/>
        <w:right w:val="none" w:sz="0" w:space="0" w:color="auto"/>
      </w:divBdr>
      <w:divsChild>
        <w:div w:id="1201285281">
          <w:marLeft w:val="0"/>
          <w:marRight w:val="0"/>
          <w:marTop w:val="0"/>
          <w:marBottom w:val="0"/>
          <w:divBdr>
            <w:top w:val="none" w:sz="0" w:space="0" w:color="auto"/>
            <w:left w:val="none" w:sz="0" w:space="0" w:color="auto"/>
            <w:bottom w:val="none" w:sz="0" w:space="0" w:color="auto"/>
            <w:right w:val="none" w:sz="0" w:space="0" w:color="auto"/>
          </w:divBdr>
        </w:div>
      </w:divsChild>
    </w:div>
    <w:div w:id="780494791">
      <w:marLeft w:val="10"/>
      <w:marRight w:val="0"/>
      <w:marTop w:val="0"/>
      <w:marBottom w:val="0"/>
      <w:divBdr>
        <w:top w:val="none" w:sz="0" w:space="0" w:color="auto"/>
        <w:left w:val="none" w:sz="0" w:space="0" w:color="auto"/>
        <w:bottom w:val="none" w:sz="0" w:space="0" w:color="auto"/>
        <w:right w:val="none" w:sz="0" w:space="0" w:color="auto"/>
      </w:divBdr>
      <w:divsChild>
        <w:div w:id="1885949688">
          <w:marLeft w:val="0"/>
          <w:marRight w:val="0"/>
          <w:marTop w:val="0"/>
          <w:marBottom w:val="0"/>
          <w:divBdr>
            <w:top w:val="none" w:sz="0" w:space="0" w:color="auto"/>
            <w:left w:val="none" w:sz="0" w:space="0" w:color="auto"/>
            <w:bottom w:val="none" w:sz="0" w:space="0" w:color="auto"/>
            <w:right w:val="none" w:sz="0" w:space="0" w:color="auto"/>
          </w:divBdr>
        </w:div>
      </w:divsChild>
    </w:div>
    <w:div w:id="791902456">
      <w:marLeft w:val="3"/>
      <w:marRight w:val="0"/>
      <w:marTop w:val="100"/>
      <w:marBottom w:val="0"/>
      <w:divBdr>
        <w:top w:val="none" w:sz="0" w:space="0" w:color="auto"/>
        <w:left w:val="none" w:sz="0" w:space="0" w:color="auto"/>
        <w:bottom w:val="none" w:sz="0" w:space="0" w:color="auto"/>
        <w:right w:val="none" w:sz="0" w:space="0" w:color="auto"/>
      </w:divBdr>
      <w:divsChild>
        <w:div w:id="1664813965">
          <w:marLeft w:val="0"/>
          <w:marRight w:val="0"/>
          <w:marTop w:val="0"/>
          <w:marBottom w:val="0"/>
          <w:divBdr>
            <w:top w:val="none" w:sz="0" w:space="0" w:color="auto"/>
            <w:left w:val="none" w:sz="0" w:space="0" w:color="auto"/>
            <w:bottom w:val="none" w:sz="0" w:space="0" w:color="auto"/>
            <w:right w:val="none" w:sz="0" w:space="0" w:color="auto"/>
          </w:divBdr>
        </w:div>
      </w:divsChild>
    </w:div>
    <w:div w:id="794907003">
      <w:marLeft w:val="4"/>
      <w:marRight w:val="0"/>
      <w:marTop w:val="0"/>
      <w:marBottom w:val="0"/>
      <w:divBdr>
        <w:top w:val="none" w:sz="0" w:space="0" w:color="auto"/>
        <w:left w:val="none" w:sz="0" w:space="0" w:color="auto"/>
        <w:bottom w:val="none" w:sz="0" w:space="0" w:color="auto"/>
        <w:right w:val="none" w:sz="0" w:space="0" w:color="auto"/>
      </w:divBdr>
      <w:divsChild>
        <w:div w:id="1556160836">
          <w:marLeft w:val="0"/>
          <w:marRight w:val="0"/>
          <w:marTop w:val="0"/>
          <w:marBottom w:val="0"/>
          <w:divBdr>
            <w:top w:val="none" w:sz="0" w:space="0" w:color="auto"/>
            <w:left w:val="none" w:sz="0" w:space="0" w:color="auto"/>
            <w:bottom w:val="none" w:sz="0" w:space="0" w:color="auto"/>
            <w:right w:val="none" w:sz="0" w:space="0" w:color="auto"/>
          </w:divBdr>
        </w:div>
      </w:divsChild>
    </w:div>
    <w:div w:id="803042271">
      <w:marLeft w:val="4"/>
      <w:marRight w:val="0"/>
      <w:marTop w:val="0"/>
      <w:marBottom w:val="0"/>
      <w:divBdr>
        <w:top w:val="none" w:sz="0" w:space="0" w:color="auto"/>
        <w:left w:val="none" w:sz="0" w:space="0" w:color="auto"/>
        <w:bottom w:val="none" w:sz="0" w:space="0" w:color="auto"/>
        <w:right w:val="none" w:sz="0" w:space="0" w:color="auto"/>
      </w:divBdr>
      <w:divsChild>
        <w:div w:id="1698970282">
          <w:marLeft w:val="0"/>
          <w:marRight w:val="0"/>
          <w:marTop w:val="0"/>
          <w:marBottom w:val="0"/>
          <w:divBdr>
            <w:top w:val="none" w:sz="0" w:space="0" w:color="auto"/>
            <w:left w:val="none" w:sz="0" w:space="0" w:color="auto"/>
            <w:bottom w:val="none" w:sz="0" w:space="0" w:color="auto"/>
            <w:right w:val="none" w:sz="0" w:space="0" w:color="auto"/>
          </w:divBdr>
        </w:div>
      </w:divsChild>
    </w:div>
    <w:div w:id="811556662">
      <w:marLeft w:val="4"/>
      <w:marRight w:val="0"/>
      <w:marTop w:val="120"/>
      <w:marBottom w:val="0"/>
      <w:divBdr>
        <w:top w:val="none" w:sz="0" w:space="0" w:color="auto"/>
        <w:left w:val="none" w:sz="0" w:space="0" w:color="auto"/>
        <w:bottom w:val="none" w:sz="0" w:space="0" w:color="auto"/>
        <w:right w:val="none" w:sz="0" w:space="0" w:color="auto"/>
      </w:divBdr>
      <w:divsChild>
        <w:div w:id="1192065264">
          <w:marLeft w:val="0"/>
          <w:marRight w:val="0"/>
          <w:marTop w:val="0"/>
          <w:marBottom w:val="0"/>
          <w:divBdr>
            <w:top w:val="none" w:sz="0" w:space="0" w:color="auto"/>
            <w:left w:val="none" w:sz="0" w:space="0" w:color="auto"/>
            <w:bottom w:val="none" w:sz="0" w:space="0" w:color="auto"/>
            <w:right w:val="none" w:sz="0" w:space="0" w:color="auto"/>
          </w:divBdr>
        </w:div>
      </w:divsChild>
    </w:div>
    <w:div w:id="857814181">
      <w:marLeft w:val="4"/>
      <w:marRight w:val="0"/>
      <w:marTop w:val="120"/>
      <w:marBottom w:val="0"/>
      <w:divBdr>
        <w:top w:val="none" w:sz="0" w:space="0" w:color="auto"/>
        <w:left w:val="none" w:sz="0" w:space="0" w:color="auto"/>
        <w:bottom w:val="none" w:sz="0" w:space="0" w:color="auto"/>
        <w:right w:val="none" w:sz="0" w:space="0" w:color="auto"/>
      </w:divBdr>
      <w:divsChild>
        <w:div w:id="2059351482">
          <w:marLeft w:val="0"/>
          <w:marRight w:val="0"/>
          <w:marTop w:val="0"/>
          <w:marBottom w:val="0"/>
          <w:divBdr>
            <w:top w:val="none" w:sz="0" w:space="0" w:color="auto"/>
            <w:left w:val="none" w:sz="0" w:space="0" w:color="auto"/>
            <w:bottom w:val="none" w:sz="0" w:space="0" w:color="auto"/>
            <w:right w:val="none" w:sz="0" w:space="0" w:color="auto"/>
          </w:divBdr>
        </w:div>
      </w:divsChild>
    </w:div>
    <w:div w:id="861555368">
      <w:marLeft w:val="0"/>
      <w:marRight w:val="0"/>
      <w:marTop w:val="0"/>
      <w:marBottom w:val="0"/>
      <w:divBdr>
        <w:top w:val="none" w:sz="0" w:space="0" w:color="auto"/>
        <w:left w:val="none" w:sz="0" w:space="0" w:color="auto"/>
        <w:bottom w:val="none" w:sz="0" w:space="0" w:color="auto"/>
        <w:right w:val="none" w:sz="0" w:space="0" w:color="auto"/>
      </w:divBdr>
    </w:div>
    <w:div w:id="873926488">
      <w:marLeft w:val="3"/>
      <w:marRight w:val="0"/>
      <w:marTop w:val="0"/>
      <w:marBottom w:val="0"/>
      <w:divBdr>
        <w:top w:val="none" w:sz="0" w:space="0" w:color="auto"/>
        <w:left w:val="none" w:sz="0" w:space="0" w:color="auto"/>
        <w:bottom w:val="none" w:sz="0" w:space="0" w:color="auto"/>
        <w:right w:val="none" w:sz="0" w:space="0" w:color="auto"/>
      </w:divBdr>
      <w:divsChild>
        <w:div w:id="1228612245">
          <w:marLeft w:val="0"/>
          <w:marRight w:val="0"/>
          <w:marTop w:val="0"/>
          <w:marBottom w:val="0"/>
          <w:divBdr>
            <w:top w:val="none" w:sz="0" w:space="0" w:color="auto"/>
            <w:left w:val="none" w:sz="0" w:space="0" w:color="auto"/>
            <w:bottom w:val="none" w:sz="0" w:space="0" w:color="auto"/>
            <w:right w:val="none" w:sz="0" w:space="0" w:color="auto"/>
          </w:divBdr>
        </w:div>
      </w:divsChild>
    </w:div>
    <w:div w:id="878785563">
      <w:marLeft w:val="0"/>
      <w:marRight w:val="0"/>
      <w:marTop w:val="40"/>
      <w:marBottom w:val="0"/>
      <w:divBdr>
        <w:top w:val="none" w:sz="0" w:space="0" w:color="auto"/>
        <w:left w:val="none" w:sz="0" w:space="0" w:color="auto"/>
        <w:bottom w:val="none" w:sz="0" w:space="0" w:color="auto"/>
        <w:right w:val="none" w:sz="0" w:space="0" w:color="auto"/>
      </w:divBdr>
      <w:divsChild>
        <w:div w:id="1103694226">
          <w:marLeft w:val="0"/>
          <w:marRight w:val="0"/>
          <w:marTop w:val="0"/>
          <w:marBottom w:val="0"/>
          <w:divBdr>
            <w:top w:val="none" w:sz="0" w:space="0" w:color="auto"/>
            <w:left w:val="none" w:sz="0" w:space="0" w:color="auto"/>
            <w:bottom w:val="none" w:sz="0" w:space="0" w:color="auto"/>
            <w:right w:val="none" w:sz="0" w:space="0" w:color="auto"/>
          </w:divBdr>
        </w:div>
      </w:divsChild>
    </w:div>
    <w:div w:id="882523236">
      <w:marLeft w:val="0"/>
      <w:marRight w:val="0"/>
      <w:marTop w:val="120"/>
      <w:marBottom w:val="0"/>
      <w:divBdr>
        <w:top w:val="none" w:sz="0" w:space="0" w:color="auto"/>
        <w:left w:val="none" w:sz="0" w:space="0" w:color="auto"/>
        <w:bottom w:val="none" w:sz="0" w:space="0" w:color="auto"/>
        <w:right w:val="none" w:sz="0" w:space="0" w:color="auto"/>
      </w:divBdr>
      <w:divsChild>
        <w:div w:id="646978893">
          <w:marLeft w:val="0"/>
          <w:marRight w:val="0"/>
          <w:marTop w:val="0"/>
          <w:marBottom w:val="0"/>
          <w:divBdr>
            <w:top w:val="none" w:sz="0" w:space="0" w:color="auto"/>
            <w:left w:val="none" w:sz="0" w:space="0" w:color="auto"/>
            <w:bottom w:val="none" w:sz="0" w:space="0" w:color="auto"/>
            <w:right w:val="none" w:sz="0" w:space="0" w:color="auto"/>
          </w:divBdr>
        </w:div>
      </w:divsChild>
    </w:div>
    <w:div w:id="884368497">
      <w:marLeft w:val="0"/>
      <w:marRight w:val="0"/>
      <w:marTop w:val="120"/>
      <w:marBottom w:val="0"/>
      <w:divBdr>
        <w:top w:val="none" w:sz="0" w:space="0" w:color="auto"/>
        <w:left w:val="none" w:sz="0" w:space="0" w:color="auto"/>
        <w:bottom w:val="none" w:sz="0" w:space="0" w:color="auto"/>
        <w:right w:val="none" w:sz="0" w:space="0" w:color="auto"/>
      </w:divBdr>
      <w:divsChild>
        <w:div w:id="1430002828">
          <w:marLeft w:val="0"/>
          <w:marRight w:val="0"/>
          <w:marTop w:val="0"/>
          <w:marBottom w:val="0"/>
          <w:divBdr>
            <w:top w:val="none" w:sz="0" w:space="0" w:color="auto"/>
            <w:left w:val="none" w:sz="0" w:space="0" w:color="auto"/>
            <w:bottom w:val="none" w:sz="0" w:space="0" w:color="auto"/>
            <w:right w:val="none" w:sz="0" w:space="0" w:color="auto"/>
          </w:divBdr>
        </w:div>
      </w:divsChild>
    </w:div>
    <w:div w:id="909771374">
      <w:marLeft w:val="0"/>
      <w:marRight w:val="0"/>
      <w:marTop w:val="0"/>
      <w:marBottom w:val="0"/>
      <w:divBdr>
        <w:top w:val="none" w:sz="0" w:space="0" w:color="auto"/>
        <w:left w:val="none" w:sz="0" w:space="0" w:color="auto"/>
        <w:bottom w:val="none" w:sz="0" w:space="0" w:color="auto"/>
        <w:right w:val="none" w:sz="0" w:space="0" w:color="auto"/>
      </w:divBdr>
      <w:divsChild>
        <w:div w:id="2051028377">
          <w:marLeft w:val="0"/>
          <w:marRight w:val="0"/>
          <w:marTop w:val="0"/>
          <w:marBottom w:val="0"/>
          <w:divBdr>
            <w:top w:val="none" w:sz="0" w:space="0" w:color="auto"/>
            <w:left w:val="none" w:sz="0" w:space="0" w:color="auto"/>
            <w:bottom w:val="none" w:sz="0" w:space="0" w:color="auto"/>
            <w:right w:val="none" w:sz="0" w:space="0" w:color="auto"/>
          </w:divBdr>
        </w:div>
        <w:div w:id="203950460">
          <w:marLeft w:val="0"/>
          <w:marRight w:val="0"/>
          <w:marTop w:val="0"/>
          <w:marBottom w:val="0"/>
          <w:divBdr>
            <w:top w:val="none" w:sz="0" w:space="0" w:color="auto"/>
            <w:left w:val="none" w:sz="0" w:space="0" w:color="auto"/>
            <w:bottom w:val="none" w:sz="0" w:space="0" w:color="auto"/>
            <w:right w:val="none" w:sz="0" w:space="0" w:color="auto"/>
          </w:divBdr>
        </w:div>
        <w:div w:id="782697080">
          <w:marLeft w:val="0"/>
          <w:marRight w:val="0"/>
          <w:marTop w:val="0"/>
          <w:marBottom w:val="0"/>
          <w:divBdr>
            <w:top w:val="none" w:sz="0" w:space="0" w:color="auto"/>
            <w:left w:val="none" w:sz="0" w:space="0" w:color="auto"/>
            <w:bottom w:val="none" w:sz="0" w:space="0" w:color="auto"/>
            <w:right w:val="none" w:sz="0" w:space="0" w:color="auto"/>
          </w:divBdr>
        </w:div>
      </w:divsChild>
    </w:div>
    <w:div w:id="928581566">
      <w:marLeft w:val="4"/>
      <w:marRight w:val="0"/>
      <w:marTop w:val="120"/>
      <w:marBottom w:val="0"/>
      <w:divBdr>
        <w:top w:val="none" w:sz="0" w:space="0" w:color="auto"/>
        <w:left w:val="none" w:sz="0" w:space="0" w:color="auto"/>
        <w:bottom w:val="none" w:sz="0" w:space="0" w:color="auto"/>
        <w:right w:val="none" w:sz="0" w:space="0" w:color="auto"/>
      </w:divBdr>
      <w:divsChild>
        <w:div w:id="608972785">
          <w:marLeft w:val="0"/>
          <w:marRight w:val="0"/>
          <w:marTop w:val="0"/>
          <w:marBottom w:val="0"/>
          <w:divBdr>
            <w:top w:val="none" w:sz="0" w:space="0" w:color="auto"/>
            <w:left w:val="none" w:sz="0" w:space="0" w:color="auto"/>
            <w:bottom w:val="none" w:sz="0" w:space="0" w:color="auto"/>
            <w:right w:val="none" w:sz="0" w:space="0" w:color="auto"/>
          </w:divBdr>
        </w:div>
      </w:divsChild>
    </w:div>
    <w:div w:id="946734206">
      <w:marLeft w:val="0"/>
      <w:marRight w:val="0"/>
      <w:marTop w:val="0"/>
      <w:marBottom w:val="0"/>
      <w:divBdr>
        <w:top w:val="none" w:sz="0" w:space="0" w:color="auto"/>
        <w:left w:val="none" w:sz="0" w:space="0" w:color="auto"/>
        <w:bottom w:val="none" w:sz="0" w:space="0" w:color="auto"/>
        <w:right w:val="none" w:sz="0" w:space="0" w:color="auto"/>
      </w:divBdr>
      <w:divsChild>
        <w:div w:id="848955448">
          <w:marLeft w:val="0"/>
          <w:marRight w:val="0"/>
          <w:marTop w:val="0"/>
          <w:marBottom w:val="0"/>
          <w:divBdr>
            <w:top w:val="none" w:sz="0" w:space="0" w:color="auto"/>
            <w:left w:val="none" w:sz="0" w:space="0" w:color="auto"/>
            <w:bottom w:val="none" w:sz="0" w:space="0" w:color="auto"/>
            <w:right w:val="none" w:sz="0" w:space="0" w:color="auto"/>
          </w:divBdr>
        </w:div>
        <w:div w:id="1282303562">
          <w:marLeft w:val="0"/>
          <w:marRight w:val="0"/>
          <w:marTop w:val="0"/>
          <w:marBottom w:val="0"/>
          <w:divBdr>
            <w:top w:val="none" w:sz="0" w:space="0" w:color="auto"/>
            <w:left w:val="none" w:sz="0" w:space="0" w:color="auto"/>
            <w:bottom w:val="none" w:sz="0" w:space="0" w:color="auto"/>
            <w:right w:val="none" w:sz="0" w:space="0" w:color="auto"/>
          </w:divBdr>
        </w:div>
      </w:divsChild>
    </w:div>
    <w:div w:id="947614875">
      <w:marLeft w:val="0"/>
      <w:marRight w:val="0"/>
      <w:marTop w:val="120"/>
      <w:marBottom w:val="0"/>
      <w:divBdr>
        <w:top w:val="none" w:sz="0" w:space="0" w:color="auto"/>
        <w:left w:val="none" w:sz="0" w:space="0" w:color="auto"/>
        <w:bottom w:val="none" w:sz="0" w:space="0" w:color="auto"/>
        <w:right w:val="none" w:sz="0" w:space="0" w:color="auto"/>
      </w:divBdr>
      <w:divsChild>
        <w:div w:id="496960524">
          <w:marLeft w:val="0"/>
          <w:marRight w:val="0"/>
          <w:marTop w:val="0"/>
          <w:marBottom w:val="0"/>
          <w:divBdr>
            <w:top w:val="none" w:sz="0" w:space="0" w:color="auto"/>
            <w:left w:val="none" w:sz="0" w:space="0" w:color="auto"/>
            <w:bottom w:val="none" w:sz="0" w:space="0" w:color="auto"/>
            <w:right w:val="none" w:sz="0" w:space="0" w:color="auto"/>
          </w:divBdr>
        </w:div>
      </w:divsChild>
    </w:div>
    <w:div w:id="969894278">
      <w:marLeft w:val="0"/>
      <w:marRight w:val="0"/>
      <w:marTop w:val="0"/>
      <w:marBottom w:val="0"/>
      <w:divBdr>
        <w:top w:val="none" w:sz="0" w:space="0" w:color="auto"/>
        <w:left w:val="none" w:sz="0" w:space="0" w:color="auto"/>
        <w:bottom w:val="none" w:sz="0" w:space="0" w:color="auto"/>
        <w:right w:val="none" w:sz="0" w:space="0" w:color="auto"/>
      </w:divBdr>
      <w:divsChild>
        <w:div w:id="700786052">
          <w:marLeft w:val="0"/>
          <w:marRight w:val="0"/>
          <w:marTop w:val="0"/>
          <w:marBottom w:val="0"/>
          <w:divBdr>
            <w:top w:val="none" w:sz="0" w:space="0" w:color="auto"/>
            <w:left w:val="none" w:sz="0" w:space="0" w:color="auto"/>
            <w:bottom w:val="none" w:sz="0" w:space="0" w:color="auto"/>
            <w:right w:val="none" w:sz="0" w:space="0" w:color="auto"/>
          </w:divBdr>
          <w:divsChild>
            <w:div w:id="1440416023">
              <w:marLeft w:val="3"/>
              <w:marRight w:val="0"/>
              <w:marTop w:val="0"/>
              <w:marBottom w:val="0"/>
              <w:divBdr>
                <w:top w:val="none" w:sz="0" w:space="0" w:color="auto"/>
                <w:left w:val="none" w:sz="0" w:space="0" w:color="auto"/>
                <w:bottom w:val="none" w:sz="0" w:space="0" w:color="auto"/>
                <w:right w:val="none" w:sz="0" w:space="0" w:color="auto"/>
              </w:divBdr>
              <w:divsChild>
                <w:div w:id="1861747070">
                  <w:marLeft w:val="0"/>
                  <w:marRight w:val="0"/>
                  <w:marTop w:val="0"/>
                  <w:marBottom w:val="0"/>
                  <w:divBdr>
                    <w:top w:val="none" w:sz="0" w:space="0" w:color="auto"/>
                    <w:left w:val="none" w:sz="0" w:space="0" w:color="auto"/>
                    <w:bottom w:val="none" w:sz="0" w:space="0" w:color="auto"/>
                    <w:right w:val="none" w:sz="0" w:space="0" w:color="auto"/>
                  </w:divBdr>
                </w:div>
              </w:divsChild>
            </w:div>
            <w:div w:id="1162547056">
              <w:marLeft w:val="3"/>
              <w:marRight w:val="0"/>
              <w:marTop w:val="0"/>
              <w:marBottom w:val="0"/>
              <w:divBdr>
                <w:top w:val="none" w:sz="0" w:space="0" w:color="auto"/>
                <w:left w:val="none" w:sz="0" w:space="0" w:color="auto"/>
                <w:bottom w:val="none" w:sz="0" w:space="0" w:color="auto"/>
                <w:right w:val="none" w:sz="0" w:space="0" w:color="auto"/>
              </w:divBdr>
              <w:divsChild>
                <w:div w:id="1404178868">
                  <w:marLeft w:val="0"/>
                  <w:marRight w:val="0"/>
                  <w:marTop w:val="0"/>
                  <w:marBottom w:val="0"/>
                  <w:divBdr>
                    <w:top w:val="none" w:sz="0" w:space="0" w:color="auto"/>
                    <w:left w:val="none" w:sz="0" w:space="0" w:color="auto"/>
                    <w:bottom w:val="none" w:sz="0" w:space="0" w:color="auto"/>
                    <w:right w:val="none" w:sz="0" w:space="0" w:color="auto"/>
                  </w:divBdr>
                </w:div>
              </w:divsChild>
            </w:div>
            <w:div w:id="742339825">
              <w:marLeft w:val="3"/>
              <w:marRight w:val="0"/>
              <w:marTop w:val="0"/>
              <w:marBottom w:val="0"/>
              <w:divBdr>
                <w:top w:val="none" w:sz="0" w:space="0" w:color="auto"/>
                <w:left w:val="none" w:sz="0" w:space="0" w:color="auto"/>
                <w:bottom w:val="none" w:sz="0" w:space="0" w:color="auto"/>
                <w:right w:val="none" w:sz="0" w:space="0" w:color="auto"/>
              </w:divBdr>
              <w:divsChild>
                <w:div w:id="1336490966">
                  <w:marLeft w:val="0"/>
                  <w:marRight w:val="0"/>
                  <w:marTop w:val="0"/>
                  <w:marBottom w:val="0"/>
                  <w:divBdr>
                    <w:top w:val="none" w:sz="0" w:space="0" w:color="auto"/>
                    <w:left w:val="none" w:sz="0" w:space="0" w:color="auto"/>
                    <w:bottom w:val="none" w:sz="0" w:space="0" w:color="auto"/>
                    <w:right w:val="none" w:sz="0" w:space="0" w:color="auto"/>
                  </w:divBdr>
                </w:div>
              </w:divsChild>
            </w:div>
            <w:div w:id="190382635">
              <w:marLeft w:val="3"/>
              <w:marRight w:val="0"/>
              <w:marTop w:val="0"/>
              <w:marBottom w:val="0"/>
              <w:divBdr>
                <w:top w:val="none" w:sz="0" w:space="0" w:color="auto"/>
                <w:left w:val="none" w:sz="0" w:space="0" w:color="auto"/>
                <w:bottom w:val="none" w:sz="0" w:space="0" w:color="auto"/>
                <w:right w:val="none" w:sz="0" w:space="0" w:color="auto"/>
              </w:divBdr>
              <w:divsChild>
                <w:div w:id="4450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06829">
      <w:marLeft w:val="4"/>
      <w:marRight w:val="0"/>
      <w:marTop w:val="120"/>
      <w:marBottom w:val="0"/>
      <w:divBdr>
        <w:top w:val="none" w:sz="0" w:space="0" w:color="auto"/>
        <w:left w:val="none" w:sz="0" w:space="0" w:color="auto"/>
        <w:bottom w:val="none" w:sz="0" w:space="0" w:color="auto"/>
        <w:right w:val="none" w:sz="0" w:space="0" w:color="auto"/>
      </w:divBdr>
      <w:divsChild>
        <w:div w:id="1902012204">
          <w:marLeft w:val="0"/>
          <w:marRight w:val="0"/>
          <w:marTop w:val="0"/>
          <w:marBottom w:val="0"/>
          <w:divBdr>
            <w:top w:val="none" w:sz="0" w:space="0" w:color="auto"/>
            <w:left w:val="none" w:sz="0" w:space="0" w:color="auto"/>
            <w:bottom w:val="none" w:sz="0" w:space="0" w:color="auto"/>
            <w:right w:val="none" w:sz="0" w:space="0" w:color="auto"/>
          </w:divBdr>
        </w:div>
      </w:divsChild>
    </w:div>
    <w:div w:id="993296212">
      <w:marLeft w:val="4"/>
      <w:marRight w:val="0"/>
      <w:marTop w:val="0"/>
      <w:marBottom w:val="0"/>
      <w:divBdr>
        <w:top w:val="none" w:sz="0" w:space="0" w:color="auto"/>
        <w:left w:val="none" w:sz="0" w:space="0" w:color="auto"/>
        <w:bottom w:val="none" w:sz="0" w:space="0" w:color="auto"/>
        <w:right w:val="none" w:sz="0" w:space="0" w:color="auto"/>
      </w:divBdr>
      <w:divsChild>
        <w:div w:id="1009261738">
          <w:marLeft w:val="0"/>
          <w:marRight w:val="0"/>
          <w:marTop w:val="0"/>
          <w:marBottom w:val="0"/>
          <w:divBdr>
            <w:top w:val="none" w:sz="0" w:space="0" w:color="auto"/>
            <w:left w:val="none" w:sz="0" w:space="0" w:color="auto"/>
            <w:bottom w:val="none" w:sz="0" w:space="0" w:color="auto"/>
            <w:right w:val="none" w:sz="0" w:space="0" w:color="auto"/>
          </w:divBdr>
        </w:div>
      </w:divsChild>
    </w:div>
    <w:div w:id="999233798">
      <w:marLeft w:val="0"/>
      <w:marRight w:val="0"/>
      <w:marTop w:val="120"/>
      <w:marBottom w:val="0"/>
      <w:divBdr>
        <w:top w:val="none" w:sz="0" w:space="0" w:color="auto"/>
        <w:left w:val="none" w:sz="0" w:space="0" w:color="auto"/>
        <w:bottom w:val="none" w:sz="0" w:space="0" w:color="auto"/>
        <w:right w:val="none" w:sz="0" w:space="0" w:color="auto"/>
      </w:divBdr>
      <w:divsChild>
        <w:div w:id="664864660">
          <w:marLeft w:val="0"/>
          <w:marRight w:val="0"/>
          <w:marTop w:val="0"/>
          <w:marBottom w:val="0"/>
          <w:divBdr>
            <w:top w:val="none" w:sz="0" w:space="0" w:color="auto"/>
            <w:left w:val="none" w:sz="0" w:space="0" w:color="auto"/>
            <w:bottom w:val="none" w:sz="0" w:space="0" w:color="auto"/>
            <w:right w:val="none" w:sz="0" w:space="0" w:color="auto"/>
          </w:divBdr>
        </w:div>
      </w:divsChild>
    </w:div>
    <w:div w:id="1003707322">
      <w:marLeft w:val="3"/>
      <w:marRight w:val="0"/>
      <w:marTop w:val="100"/>
      <w:marBottom w:val="0"/>
      <w:divBdr>
        <w:top w:val="none" w:sz="0" w:space="0" w:color="auto"/>
        <w:left w:val="none" w:sz="0" w:space="0" w:color="auto"/>
        <w:bottom w:val="none" w:sz="0" w:space="0" w:color="auto"/>
        <w:right w:val="none" w:sz="0" w:space="0" w:color="auto"/>
      </w:divBdr>
      <w:divsChild>
        <w:div w:id="1106578127">
          <w:marLeft w:val="0"/>
          <w:marRight w:val="0"/>
          <w:marTop w:val="0"/>
          <w:marBottom w:val="0"/>
          <w:divBdr>
            <w:top w:val="none" w:sz="0" w:space="0" w:color="auto"/>
            <w:left w:val="none" w:sz="0" w:space="0" w:color="auto"/>
            <w:bottom w:val="none" w:sz="0" w:space="0" w:color="auto"/>
            <w:right w:val="none" w:sz="0" w:space="0" w:color="auto"/>
          </w:divBdr>
        </w:div>
      </w:divsChild>
    </w:div>
    <w:div w:id="1007562524">
      <w:marLeft w:val="3"/>
      <w:marRight w:val="0"/>
      <w:marTop w:val="100"/>
      <w:marBottom w:val="0"/>
      <w:divBdr>
        <w:top w:val="none" w:sz="0" w:space="0" w:color="auto"/>
        <w:left w:val="none" w:sz="0" w:space="0" w:color="auto"/>
        <w:bottom w:val="none" w:sz="0" w:space="0" w:color="auto"/>
        <w:right w:val="none" w:sz="0" w:space="0" w:color="auto"/>
      </w:divBdr>
      <w:divsChild>
        <w:div w:id="745419868">
          <w:marLeft w:val="0"/>
          <w:marRight w:val="0"/>
          <w:marTop w:val="0"/>
          <w:marBottom w:val="0"/>
          <w:divBdr>
            <w:top w:val="none" w:sz="0" w:space="0" w:color="auto"/>
            <w:left w:val="none" w:sz="0" w:space="0" w:color="auto"/>
            <w:bottom w:val="none" w:sz="0" w:space="0" w:color="auto"/>
            <w:right w:val="none" w:sz="0" w:space="0" w:color="auto"/>
          </w:divBdr>
        </w:div>
      </w:divsChild>
    </w:div>
    <w:div w:id="1032799699">
      <w:marLeft w:val="4"/>
      <w:marRight w:val="0"/>
      <w:marTop w:val="0"/>
      <w:marBottom w:val="0"/>
      <w:divBdr>
        <w:top w:val="none" w:sz="0" w:space="0" w:color="auto"/>
        <w:left w:val="none" w:sz="0" w:space="0" w:color="auto"/>
        <w:bottom w:val="none" w:sz="0" w:space="0" w:color="auto"/>
        <w:right w:val="none" w:sz="0" w:space="0" w:color="auto"/>
      </w:divBdr>
      <w:divsChild>
        <w:div w:id="753206541">
          <w:marLeft w:val="0"/>
          <w:marRight w:val="0"/>
          <w:marTop w:val="0"/>
          <w:marBottom w:val="0"/>
          <w:divBdr>
            <w:top w:val="none" w:sz="0" w:space="0" w:color="auto"/>
            <w:left w:val="none" w:sz="0" w:space="0" w:color="auto"/>
            <w:bottom w:val="none" w:sz="0" w:space="0" w:color="auto"/>
            <w:right w:val="none" w:sz="0" w:space="0" w:color="auto"/>
          </w:divBdr>
        </w:div>
      </w:divsChild>
    </w:div>
    <w:div w:id="1034354723">
      <w:marLeft w:val="0"/>
      <w:marRight w:val="0"/>
      <w:marTop w:val="0"/>
      <w:marBottom w:val="0"/>
      <w:divBdr>
        <w:top w:val="none" w:sz="0" w:space="0" w:color="auto"/>
        <w:left w:val="none" w:sz="0" w:space="0" w:color="auto"/>
        <w:bottom w:val="none" w:sz="0" w:space="0" w:color="auto"/>
        <w:right w:val="none" w:sz="0" w:space="0" w:color="auto"/>
      </w:divBdr>
      <w:divsChild>
        <w:div w:id="245725729">
          <w:marLeft w:val="0"/>
          <w:marRight w:val="0"/>
          <w:marTop w:val="0"/>
          <w:marBottom w:val="0"/>
          <w:divBdr>
            <w:top w:val="none" w:sz="0" w:space="0" w:color="auto"/>
            <w:left w:val="none" w:sz="0" w:space="0" w:color="auto"/>
            <w:bottom w:val="none" w:sz="0" w:space="0" w:color="auto"/>
            <w:right w:val="none" w:sz="0" w:space="0" w:color="auto"/>
          </w:divBdr>
        </w:div>
        <w:div w:id="2111847467">
          <w:marLeft w:val="0"/>
          <w:marRight w:val="0"/>
          <w:marTop w:val="0"/>
          <w:marBottom w:val="0"/>
          <w:divBdr>
            <w:top w:val="none" w:sz="0" w:space="0" w:color="auto"/>
            <w:left w:val="none" w:sz="0" w:space="0" w:color="auto"/>
            <w:bottom w:val="none" w:sz="0" w:space="0" w:color="auto"/>
            <w:right w:val="none" w:sz="0" w:space="0" w:color="auto"/>
          </w:divBdr>
        </w:div>
        <w:div w:id="1302424994">
          <w:marLeft w:val="0"/>
          <w:marRight w:val="0"/>
          <w:marTop w:val="0"/>
          <w:marBottom w:val="0"/>
          <w:divBdr>
            <w:top w:val="none" w:sz="0" w:space="0" w:color="auto"/>
            <w:left w:val="none" w:sz="0" w:space="0" w:color="auto"/>
            <w:bottom w:val="none" w:sz="0" w:space="0" w:color="auto"/>
            <w:right w:val="none" w:sz="0" w:space="0" w:color="auto"/>
          </w:divBdr>
        </w:div>
        <w:div w:id="985354326">
          <w:marLeft w:val="0"/>
          <w:marRight w:val="0"/>
          <w:marTop w:val="0"/>
          <w:marBottom w:val="0"/>
          <w:divBdr>
            <w:top w:val="none" w:sz="0" w:space="0" w:color="auto"/>
            <w:left w:val="none" w:sz="0" w:space="0" w:color="auto"/>
            <w:bottom w:val="none" w:sz="0" w:space="0" w:color="auto"/>
            <w:right w:val="none" w:sz="0" w:space="0" w:color="auto"/>
          </w:divBdr>
        </w:div>
        <w:div w:id="934752186">
          <w:marLeft w:val="0"/>
          <w:marRight w:val="0"/>
          <w:marTop w:val="0"/>
          <w:marBottom w:val="0"/>
          <w:divBdr>
            <w:top w:val="none" w:sz="0" w:space="0" w:color="auto"/>
            <w:left w:val="none" w:sz="0" w:space="0" w:color="auto"/>
            <w:bottom w:val="none" w:sz="0" w:space="0" w:color="auto"/>
            <w:right w:val="none" w:sz="0" w:space="0" w:color="auto"/>
          </w:divBdr>
        </w:div>
        <w:div w:id="74864251">
          <w:marLeft w:val="0"/>
          <w:marRight w:val="0"/>
          <w:marTop w:val="0"/>
          <w:marBottom w:val="0"/>
          <w:divBdr>
            <w:top w:val="none" w:sz="0" w:space="0" w:color="auto"/>
            <w:left w:val="none" w:sz="0" w:space="0" w:color="auto"/>
            <w:bottom w:val="none" w:sz="0" w:space="0" w:color="auto"/>
            <w:right w:val="none" w:sz="0" w:space="0" w:color="auto"/>
          </w:divBdr>
        </w:div>
        <w:div w:id="1995722259">
          <w:marLeft w:val="0"/>
          <w:marRight w:val="0"/>
          <w:marTop w:val="0"/>
          <w:marBottom w:val="0"/>
          <w:divBdr>
            <w:top w:val="none" w:sz="0" w:space="0" w:color="auto"/>
            <w:left w:val="none" w:sz="0" w:space="0" w:color="auto"/>
            <w:bottom w:val="none" w:sz="0" w:space="0" w:color="auto"/>
            <w:right w:val="none" w:sz="0" w:space="0" w:color="auto"/>
          </w:divBdr>
        </w:div>
      </w:divsChild>
    </w:div>
    <w:div w:id="1041904016">
      <w:marLeft w:val="3"/>
      <w:marRight w:val="0"/>
      <w:marTop w:val="240"/>
      <w:marBottom w:val="0"/>
      <w:divBdr>
        <w:top w:val="none" w:sz="0" w:space="0" w:color="auto"/>
        <w:left w:val="none" w:sz="0" w:space="0" w:color="auto"/>
        <w:bottom w:val="none" w:sz="0" w:space="0" w:color="auto"/>
        <w:right w:val="none" w:sz="0" w:space="0" w:color="auto"/>
      </w:divBdr>
      <w:divsChild>
        <w:div w:id="1563252480">
          <w:marLeft w:val="0"/>
          <w:marRight w:val="0"/>
          <w:marTop w:val="0"/>
          <w:marBottom w:val="0"/>
          <w:divBdr>
            <w:top w:val="none" w:sz="0" w:space="0" w:color="auto"/>
            <w:left w:val="none" w:sz="0" w:space="0" w:color="auto"/>
            <w:bottom w:val="none" w:sz="0" w:space="0" w:color="auto"/>
            <w:right w:val="none" w:sz="0" w:space="0" w:color="auto"/>
          </w:divBdr>
        </w:div>
      </w:divsChild>
    </w:div>
    <w:div w:id="1065225910">
      <w:marLeft w:val="3"/>
      <w:marRight w:val="0"/>
      <w:marTop w:val="100"/>
      <w:marBottom w:val="0"/>
      <w:divBdr>
        <w:top w:val="none" w:sz="0" w:space="0" w:color="auto"/>
        <w:left w:val="none" w:sz="0" w:space="0" w:color="auto"/>
        <w:bottom w:val="none" w:sz="0" w:space="0" w:color="auto"/>
        <w:right w:val="none" w:sz="0" w:space="0" w:color="auto"/>
      </w:divBdr>
      <w:divsChild>
        <w:div w:id="1913813803">
          <w:marLeft w:val="0"/>
          <w:marRight w:val="0"/>
          <w:marTop w:val="0"/>
          <w:marBottom w:val="0"/>
          <w:divBdr>
            <w:top w:val="none" w:sz="0" w:space="0" w:color="auto"/>
            <w:left w:val="none" w:sz="0" w:space="0" w:color="auto"/>
            <w:bottom w:val="none" w:sz="0" w:space="0" w:color="auto"/>
            <w:right w:val="none" w:sz="0" w:space="0" w:color="auto"/>
          </w:divBdr>
        </w:div>
      </w:divsChild>
    </w:div>
    <w:div w:id="1082406685">
      <w:marLeft w:val="3"/>
      <w:marRight w:val="0"/>
      <w:marTop w:val="120"/>
      <w:marBottom w:val="0"/>
      <w:divBdr>
        <w:top w:val="none" w:sz="0" w:space="0" w:color="auto"/>
        <w:left w:val="none" w:sz="0" w:space="0" w:color="auto"/>
        <w:bottom w:val="none" w:sz="0" w:space="0" w:color="auto"/>
        <w:right w:val="none" w:sz="0" w:space="0" w:color="auto"/>
      </w:divBdr>
      <w:divsChild>
        <w:div w:id="498079847">
          <w:marLeft w:val="0"/>
          <w:marRight w:val="0"/>
          <w:marTop w:val="0"/>
          <w:marBottom w:val="0"/>
          <w:divBdr>
            <w:top w:val="none" w:sz="0" w:space="0" w:color="auto"/>
            <w:left w:val="none" w:sz="0" w:space="0" w:color="auto"/>
            <w:bottom w:val="none" w:sz="0" w:space="0" w:color="auto"/>
            <w:right w:val="none" w:sz="0" w:space="0" w:color="auto"/>
          </w:divBdr>
        </w:div>
      </w:divsChild>
    </w:div>
    <w:div w:id="1091970759">
      <w:marLeft w:val="4"/>
      <w:marRight w:val="0"/>
      <w:marTop w:val="0"/>
      <w:marBottom w:val="0"/>
      <w:divBdr>
        <w:top w:val="none" w:sz="0" w:space="0" w:color="auto"/>
        <w:left w:val="none" w:sz="0" w:space="0" w:color="auto"/>
        <w:bottom w:val="none" w:sz="0" w:space="0" w:color="auto"/>
        <w:right w:val="none" w:sz="0" w:space="0" w:color="auto"/>
      </w:divBdr>
      <w:divsChild>
        <w:div w:id="491944980">
          <w:marLeft w:val="0"/>
          <w:marRight w:val="0"/>
          <w:marTop w:val="0"/>
          <w:marBottom w:val="0"/>
          <w:divBdr>
            <w:top w:val="none" w:sz="0" w:space="0" w:color="auto"/>
            <w:left w:val="none" w:sz="0" w:space="0" w:color="auto"/>
            <w:bottom w:val="none" w:sz="0" w:space="0" w:color="auto"/>
            <w:right w:val="none" w:sz="0" w:space="0" w:color="auto"/>
          </w:divBdr>
        </w:div>
      </w:divsChild>
    </w:div>
    <w:div w:id="1102146954">
      <w:marLeft w:val="0"/>
      <w:marRight w:val="0"/>
      <w:marTop w:val="120"/>
      <w:marBottom w:val="0"/>
      <w:divBdr>
        <w:top w:val="none" w:sz="0" w:space="0" w:color="auto"/>
        <w:left w:val="none" w:sz="0" w:space="0" w:color="auto"/>
        <w:bottom w:val="none" w:sz="0" w:space="0" w:color="auto"/>
        <w:right w:val="none" w:sz="0" w:space="0" w:color="auto"/>
      </w:divBdr>
      <w:divsChild>
        <w:div w:id="1114640236">
          <w:marLeft w:val="0"/>
          <w:marRight w:val="0"/>
          <w:marTop w:val="0"/>
          <w:marBottom w:val="0"/>
          <w:divBdr>
            <w:top w:val="none" w:sz="0" w:space="0" w:color="auto"/>
            <w:left w:val="none" w:sz="0" w:space="0" w:color="auto"/>
            <w:bottom w:val="none" w:sz="0" w:space="0" w:color="auto"/>
            <w:right w:val="none" w:sz="0" w:space="0" w:color="auto"/>
          </w:divBdr>
        </w:div>
      </w:divsChild>
    </w:div>
    <w:div w:id="1102921634">
      <w:marLeft w:val="7"/>
      <w:marRight w:val="0"/>
      <w:marTop w:val="0"/>
      <w:marBottom w:val="0"/>
      <w:divBdr>
        <w:top w:val="none" w:sz="0" w:space="0" w:color="auto"/>
        <w:left w:val="none" w:sz="0" w:space="0" w:color="auto"/>
        <w:bottom w:val="none" w:sz="0" w:space="0" w:color="auto"/>
        <w:right w:val="none" w:sz="0" w:space="0" w:color="auto"/>
      </w:divBdr>
      <w:divsChild>
        <w:div w:id="1458177543">
          <w:marLeft w:val="0"/>
          <w:marRight w:val="0"/>
          <w:marTop w:val="0"/>
          <w:marBottom w:val="0"/>
          <w:divBdr>
            <w:top w:val="none" w:sz="0" w:space="0" w:color="auto"/>
            <w:left w:val="none" w:sz="0" w:space="0" w:color="auto"/>
            <w:bottom w:val="none" w:sz="0" w:space="0" w:color="auto"/>
            <w:right w:val="none" w:sz="0" w:space="0" w:color="auto"/>
          </w:divBdr>
        </w:div>
      </w:divsChild>
    </w:div>
    <w:div w:id="1112433486">
      <w:marLeft w:val="3"/>
      <w:marRight w:val="0"/>
      <w:marTop w:val="100"/>
      <w:marBottom w:val="0"/>
      <w:divBdr>
        <w:top w:val="none" w:sz="0" w:space="0" w:color="auto"/>
        <w:left w:val="none" w:sz="0" w:space="0" w:color="auto"/>
        <w:bottom w:val="none" w:sz="0" w:space="0" w:color="auto"/>
        <w:right w:val="none" w:sz="0" w:space="0" w:color="auto"/>
      </w:divBdr>
      <w:divsChild>
        <w:div w:id="498350025">
          <w:marLeft w:val="0"/>
          <w:marRight w:val="0"/>
          <w:marTop w:val="0"/>
          <w:marBottom w:val="0"/>
          <w:divBdr>
            <w:top w:val="none" w:sz="0" w:space="0" w:color="auto"/>
            <w:left w:val="none" w:sz="0" w:space="0" w:color="auto"/>
            <w:bottom w:val="none" w:sz="0" w:space="0" w:color="auto"/>
            <w:right w:val="none" w:sz="0" w:space="0" w:color="auto"/>
          </w:divBdr>
        </w:div>
      </w:divsChild>
    </w:div>
    <w:div w:id="1115714403">
      <w:marLeft w:val="4"/>
      <w:marRight w:val="0"/>
      <w:marTop w:val="0"/>
      <w:marBottom w:val="0"/>
      <w:divBdr>
        <w:top w:val="none" w:sz="0" w:space="0" w:color="auto"/>
        <w:left w:val="none" w:sz="0" w:space="0" w:color="auto"/>
        <w:bottom w:val="none" w:sz="0" w:space="0" w:color="auto"/>
        <w:right w:val="none" w:sz="0" w:space="0" w:color="auto"/>
      </w:divBdr>
      <w:divsChild>
        <w:div w:id="1179270090">
          <w:marLeft w:val="0"/>
          <w:marRight w:val="0"/>
          <w:marTop w:val="0"/>
          <w:marBottom w:val="0"/>
          <w:divBdr>
            <w:top w:val="none" w:sz="0" w:space="0" w:color="auto"/>
            <w:left w:val="none" w:sz="0" w:space="0" w:color="auto"/>
            <w:bottom w:val="none" w:sz="0" w:space="0" w:color="auto"/>
            <w:right w:val="none" w:sz="0" w:space="0" w:color="auto"/>
          </w:divBdr>
        </w:div>
      </w:divsChild>
    </w:div>
    <w:div w:id="1117219160">
      <w:marLeft w:val="4"/>
      <w:marRight w:val="0"/>
      <w:marTop w:val="0"/>
      <w:marBottom w:val="0"/>
      <w:divBdr>
        <w:top w:val="none" w:sz="0" w:space="0" w:color="auto"/>
        <w:left w:val="none" w:sz="0" w:space="0" w:color="auto"/>
        <w:bottom w:val="none" w:sz="0" w:space="0" w:color="auto"/>
        <w:right w:val="none" w:sz="0" w:space="0" w:color="auto"/>
      </w:divBdr>
      <w:divsChild>
        <w:div w:id="1231965808">
          <w:marLeft w:val="0"/>
          <w:marRight w:val="0"/>
          <w:marTop w:val="0"/>
          <w:marBottom w:val="0"/>
          <w:divBdr>
            <w:top w:val="none" w:sz="0" w:space="0" w:color="auto"/>
            <w:left w:val="none" w:sz="0" w:space="0" w:color="auto"/>
            <w:bottom w:val="none" w:sz="0" w:space="0" w:color="auto"/>
            <w:right w:val="none" w:sz="0" w:space="0" w:color="auto"/>
          </w:divBdr>
        </w:div>
      </w:divsChild>
    </w:div>
    <w:div w:id="1121611168">
      <w:marLeft w:val="0"/>
      <w:marRight w:val="0"/>
      <w:marTop w:val="120"/>
      <w:marBottom w:val="0"/>
      <w:divBdr>
        <w:top w:val="none" w:sz="0" w:space="0" w:color="auto"/>
        <w:left w:val="none" w:sz="0" w:space="0" w:color="auto"/>
        <w:bottom w:val="none" w:sz="0" w:space="0" w:color="auto"/>
        <w:right w:val="none" w:sz="0" w:space="0" w:color="auto"/>
      </w:divBdr>
      <w:divsChild>
        <w:div w:id="888221934">
          <w:marLeft w:val="0"/>
          <w:marRight w:val="0"/>
          <w:marTop w:val="0"/>
          <w:marBottom w:val="0"/>
          <w:divBdr>
            <w:top w:val="none" w:sz="0" w:space="0" w:color="auto"/>
            <w:left w:val="none" w:sz="0" w:space="0" w:color="auto"/>
            <w:bottom w:val="none" w:sz="0" w:space="0" w:color="auto"/>
            <w:right w:val="none" w:sz="0" w:space="0" w:color="auto"/>
          </w:divBdr>
        </w:div>
      </w:divsChild>
    </w:div>
    <w:div w:id="1129981449">
      <w:marLeft w:val="3"/>
      <w:marRight w:val="0"/>
      <w:marTop w:val="100"/>
      <w:marBottom w:val="0"/>
      <w:divBdr>
        <w:top w:val="none" w:sz="0" w:space="0" w:color="auto"/>
        <w:left w:val="none" w:sz="0" w:space="0" w:color="auto"/>
        <w:bottom w:val="none" w:sz="0" w:space="0" w:color="auto"/>
        <w:right w:val="none" w:sz="0" w:space="0" w:color="auto"/>
      </w:divBdr>
      <w:divsChild>
        <w:div w:id="800465380">
          <w:marLeft w:val="0"/>
          <w:marRight w:val="0"/>
          <w:marTop w:val="0"/>
          <w:marBottom w:val="0"/>
          <w:divBdr>
            <w:top w:val="none" w:sz="0" w:space="0" w:color="auto"/>
            <w:left w:val="none" w:sz="0" w:space="0" w:color="auto"/>
            <w:bottom w:val="none" w:sz="0" w:space="0" w:color="auto"/>
            <w:right w:val="none" w:sz="0" w:space="0" w:color="auto"/>
          </w:divBdr>
        </w:div>
      </w:divsChild>
    </w:div>
    <w:div w:id="1140421578">
      <w:marLeft w:val="5"/>
      <w:marRight w:val="0"/>
      <w:marTop w:val="0"/>
      <w:marBottom w:val="0"/>
      <w:divBdr>
        <w:top w:val="none" w:sz="0" w:space="0" w:color="auto"/>
        <w:left w:val="none" w:sz="0" w:space="0" w:color="auto"/>
        <w:bottom w:val="none" w:sz="0" w:space="0" w:color="auto"/>
        <w:right w:val="none" w:sz="0" w:space="0" w:color="auto"/>
      </w:divBdr>
      <w:divsChild>
        <w:div w:id="1683892822">
          <w:marLeft w:val="0"/>
          <w:marRight w:val="0"/>
          <w:marTop w:val="0"/>
          <w:marBottom w:val="0"/>
          <w:divBdr>
            <w:top w:val="none" w:sz="0" w:space="0" w:color="auto"/>
            <w:left w:val="none" w:sz="0" w:space="0" w:color="auto"/>
            <w:bottom w:val="none" w:sz="0" w:space="0" w:color="auto"/>
            <w:right w:val="none" w:sz="0" w:space="0" w:color="auto"/>
          </w:divBdr>
        </w:div>
      </w:divsChild>
    </w:div>
    <w:div w:id="1152063609">
      <w:marLeft w:val="3"/>
      <w:marRight w:val="0"/>
      <w:marTop w:val="0"/>
      <w:marBottom w:val="0"/>
      <w:divBdr>
        <w:top w:val="none" w:sz="0" w:space="0" w:color="auto"/>
        <w:left w:val="none" w:sz="0" w:space="0" w:color="auto"/>
        <w:bottom w:val="none" w:sz="0" w:space="0" w:color="auto"/>
        <w:right w:val="none" w:sz="0" w:space="0" w:color="auto"/>
      </w:divBdr>
      <w:divsChild>
        <w:div w:id="512840708">
          <w:marLeft w:val="0"/>
          <w:marRight w:val="0"/>
          <w:marTop w:val="0"/>
          <w:marBottom w:val="0"/>
          <w:divBdr>
            <w:top w:val="none" w:sz="0" w:space="0" w:color="auto"/>
            <w:left w:val="none" w:sz="0" w:space="0" w:color="auto"/>
            <w:bottom w:val="none" w:sz="0" w:space="0" w:color="auto"/>
            <w:right w:val="none" w:sz="0" w:space="0" w:color="auto"/>
          </w:divBdr>
        </w:div>
      </w:divsChild>
    </w:div>
    <w:div w:id="1164736589">
      <w:marLeft w:val="0"/>
      <w:marRight w:val="0"/>
      <w:marTop w:val="120"/>
      <w:marBottom w:val="0"/>
      <w:divBdr>
        <w:top w:val="none" w:sz="0" w:space="0" w:color="auto"/>
        <w:left w:val="none" w:sz="0" w:space="0" w:color="auto"/>
        <w:bottom w:val="none" w:sz="0" w:space="0" w:color="auto"/>
        <w:right w:val="none" w:sz="0" w:space="0" w:color="auto"/>
      </w:divBdr>
      <w:divsChild>
        <w:div w:id="1664816138">
          <w:marLeft w:val="0"/>
          <w:marRight w:val="0"/>
          <w:marTop w:val="0"/>
          <w:marBottom w:val="0"/>
          <w:divBdr>
            <w:top w:val="none" w:sz="0" w:space="0" w:color="auto"/>
            <w:left w:val="none" w:sz="0" w:space="0" w:color="auto"/>
            <w:bottom w:val="none" w:sz="0" w:space="0" w:color="auto"/>
            <w:right w:val="none" w:sz="0" w:space="0" w:color="auto"/>
          </w:divBdr>
        </w:div>
      </w:divsChild>
    </w:div>
    <w:div w:id="1166094387">
      <w:marLeft w:val="0"/>
      <w:marRight w:val="0"/>
      <w:marTop w:val="0"/>
      <w:marBottom w:val="0"/>
      <w:divBdr>
        <w:top w:val="none" w:sz="0" w:space="0" w:color="auto"/>
        <w:left w:val="none" w:sz="0" w:space="0" w:color="auto"/>
        <w:bottom w:val="none" w:sz="0" w:space="0" w:color="auto"/>
        <w:right w:val="none" w:sz="0" w:space="0" w:color="auto"/>
      </w:divBdr>
    </w:div>
    <w:div w:id="1173446538">
      <w:marLeft w:val="0"/>
      <w:marRight w:val="0"/>
      <w:marTop w:val="120"/>
      <w:marBottom w:val="0"/>
      <w:divBdr>
        <w:top w:val="none" w:sz="0" w:space="0" w:color="auto"/>
        <w:left w:val="none" w:sz="0" w:space="0" w:color="auto"/>
        <w:bottom w:val="none" w:sz="0" w:space="0" w:color="auto"/>
        <w:right w:val="none" w:sz="0" w:space="0" w:color="auto"/>
      </w:divBdr>
      <w:divsChild>
        <w:div w:id="987517162">
          <w:marLeft w:val="0"/>
          <w:marRight w:val="0"/>
          <w:marTop w:val="0"/>
          <w:marBottom w:val="0"/>
          <w:divBdr>
            <w:top w:val="none" w:sz="0" w:space="0" w:color="auto"/>
            <w:left w:val="none" w:sz="0" w:space="0" w:color="auto"/>
            <w:bottom w:val="none" w:sz="0" w:space="0" w:color="auto"/>
            <w:right w:val="none" w:sz="0" w:space="0" w:color="auto"/>
          </w:divBdr>
        </w:div>
      </w:divsChild>
    </w:div>
    <w:div w:id="1190681460">
      <w:marLeft w:val="4"/>
      <w:marRight w:val="0"/>
      <w:marTop w:val="120"/>
      <w:marBottom w:val="0"/>
      <w:divBdr>
        <w:top w:val="none" w:sz="0" w:space="0" w:color="auto"/>
        <w:left w:val="none" w:sz="0" w:space="0" w:color="auto"/>
        <w:bottom w:val="none" w:sz="0" w:space="0" w:color="auto"/>
        <w:right w:val="none" w:sz="0" w:space="0" w:color="auto"/>
      </w:divBdr>
      <w:divsChild>
        <w:div w:id="403915425">
          <w:marLeft w:val="0"/>
          <w:marRight w:val="0"/>
          <w:marTop w:val="0"/>
          <w:marBottom w:val="0"/>
          <w:divBdr>
            <w:top w:val="none" w:sz="0" w:space="0" w:color="auto"/>
            <w:left w:val="none" w:sz="0" w:space="0" w:color="auto"/>
            <w:bottom w:val="none" w:sz="0" w:space="0" w:color="auto"/>
            <w:right w:val="none" w:sz="0" w:space="0" w:color="auto"/>
          </w:divBdr>
        </w:div>
      </w:divsChild>
    </w:div>
    <w:div w:id="1230112435">
      <w:marLeft w:val="4"/>
      <w:marRight w:val="0"/>
      <w:marTop w:val="120"/>
      <w:marBottom w:val="0"/>
      <w:divBdr>
        <w:top w:val="none" w:sz="0" w:space="0" w:color="auto"/>
        <w:left w:val="none" w:sz="0" w:space="0" w:color="auto"/>
        <w:bottom w:val="none" w:sz="0" w:space="0" w:color="auto"/>
        <w:right w:val="none" w:sz="0" w:space="0" w:color="auto"/>
      </w:divBdr>
      <w:divsChild>
        <w:div w:id="1910454735">
          <w:marLeft w:val="0"/>
          <w:marRight w:val="0"/>
          <w:marTop w:val="0"/>
          <w:marBottom w:val="0"/>
          <w:divBdr>
            <w:top w:val="none" w:sz="0" w:space="0" w:color="auto"/>
            <w:left w:val="none" w:sz="0" w:space="0" w:color="auto"/>
            <w:bottom w:val="none" w:sz="0" w:space="0" w:color="auto"/>
            <w:right w:val="none" w:sz="0" w:space="0" w:color="auto"/>
          </w:divBdr>
        </w:div>
      </w:divsChild>
    </w:div>
    <w:div w:id="1230994335">
      <w:marLeft w:val="4"/>
      <w:marRight w:val="0"/>
      <w:marTop w:val="120"/>
      <w:marBottom w:val="0"/>
      <w:divBdr>
        <w:top w:val="none" w:sz="0" w:space="0" w:color="auto"/>
        <w:left w:val="none" w:sz="0" w:space="0" w:color="auto"/>
        <w:bottom w:val="none" w:sz="0" w:space="0" w:color="auto"/>
        <w:right w:val="none" w:sz="0" w:space="0" w:color="auto"/>
      </w:divBdr>
      <w:divsChild>
        <w:div w:id="1410541366">
          <w:marLeft w:val="0"/>
          <w:marRight w:val="0"/>
          <w:marTop w:val="0"/>
          <w:marBottom w:val="0"/>
          <w:divBdr>
            <w:top w:val="none" w:sz="0" w:space="0" w:color="auto"/>
            <w:left w:val="none" w:sz="0" w:space="0" w:color="auto"/>
            <w:bottom w:val="none" w:sz="0" w:space="0" w:color="auto"/>
            <w:right w:val="none" w:sz="0" w:space="0" w:color="auto"/>
          </w:divBdr>
        </w:div>
      </w:divsChild>
    </w:div>
    <w:div w:id="1238634346">
      <w:marLeft w:val="0"/>
      <w:marRight w:val="0"/>
      <w:marTop w:val="0"/>
      <w:marBottom w:val="0"/>
      <w:divBdr>
        <w:top w:val="none" w:sz="0" w:space="0" w:color="auto"/>
        <w:left w:val="none" w:sz="0" w:space="0" w:color="auto"/>
        <w:bottom w:val="none" w:sz="0" w:space="0" w:color="auto"/>
        <w:right w:val="none" w:sz="0" w:space="0" w:color="auto"/>
      </w:divBdr>
    </w:div>
    <w:div w:id="1247880159">
      <w:marLeft w:val="10"/>
      <w:marRight w:val="0"/>
      <w:marTop w:val="0"/>
      <w:marBottom w:val="0"/>
      <w:divBdr>
        <w:top w:val="none" w:sz="0" w:space="0" w:color="auto"/>
        <w:left w:val="none" w:sz="0" w:space="0" w:color="auto"/>
        <w:bottom w:val="none" w:sz="0" w:space="0" w:color="auto"/>
        <w:right w:val="none" w:sz="0" w:space="0" w:color="auto"/>
      </w:divBdr>
      <w:divsChild>
        <w:div w:id="2008822626">
          <w:marLeft w:val="0"/>
          <w:marRight w:val="0"/>
          <w:marTop w:val="0"/>
          <w:marBottom w:val="0"/>
          <w:divBdr>
            <w:top w:val="none" w:sz="0" w:space="0" w:color="auto"/>
            <w:left w:val="none" w:sz="0" w:space="0" w:color="auto"/>
            <w:bottom w:val="none" w:sz="0" w:space="0" w:color="auto"/>
            <w:right w:val="none" w:sz="0" w:space="0" w:color="auto"/>
          </w:divBdr>
        </w:div>
      </w:divsChild>
    </w:div>
    <w:div w:id="1281181440">
      <w:marLeft w:val="5"/>
      <w:marRight w:val="0"/>
      <w:marTop w:val="0"/>
      <w:marBottom w:val="0"/>
      <w:divBdr>
        <w:top w:val="none" w:sz="0" w:space="0" w:color="auto"/>
        <w:left w:val="none" w:sz="0" w:space="0" w:color="auto"/>
        <w:bottom w:val="none" w:sz="0" w:space="0" w:color="auto"/>
        <w:right w:val="none" w:sz="0" w:space="0" w:color="auto"/>
      </w:divBdr>
      <w:divsChild>
        <w:div w:id="1100225113">
          <w:marLeft w:val="0"/>
          <w:marRight w:val="0"/>
          <w:marTop w:val="0"/>
          <w:marBottom w:val="0"/>
          <w:divBdr>
            <w:top w:val="none" w:sz="0" w:space="0" w:color="auto"/>
            <w:left w:val="none" w:sz="0" w:space="0" w:color="auto"/>
            <w:bottom w:val="none" w:sz="0" w:space="0" w:color="auto"/>
            <w:right w:val="none" w:sz="0" w:space="0" w:color="auto"/>
          </w:divBdr>
        </w:div>
      </w:divsChild>
    </w:div>
    <w:div w:id="1281228958">
      <w:marLeft w:val="0"/>
      <w:marRight w:val="0"/>
      <w:marTop w:val="0"/>
      <w:marBottom w:val="0"/>
      <w:divBdr>
        <w:top w:val="none" w:sz="0" w:space="0" w:color="auto"/>
        <w:left w:val="none" w:sz="0" w:space="0" w:color="auto"/>
        <w:bottom w:val="none" w:sz="0" w:space="0" w:color="auto"/>
        <w:right w:val="none" w:sz="0" w:space="0" w:color="auto"/>
      </w:divBdr>
      <w:divsChild>
        <w:div w:id="610673455">
          <w:marLeft w:val="0"/>
          <w:marRight w:val="0"/>
          <w:marTop w:val="0"/>
          <w:marBottom w:val="0"/>
          <w:divBdr>
            <w:top w:val="none" w:sz="0" w:space="0" w:color="auto"/>
            <w:left w:val="none" w:sz="0" w:space="0" w:color="auto"/>
            <w:bottom w:val="none" w:sz="0" w:space="0" w:color="auto"/>
            <w:right w:val="none" w:sz="0" w:space="0" w:color="auto"/>
          </w:divBdr>
        </w:div>
      </w:divsChild>
    </w:div>
    <w:div w:id="1281691084">
      <w:marLeft w:val="4"/>
      <w:marRight w:val="0"/>
      <w:marTop w:val="0"/>
      <w:marBottom w:val="0"/>
      <w:divBdr>
        <w:top w:val="none" w:sz="0" w:space="0" w:color="auto"/>
        <w:left w:val="none" w:sz="0" w:space="0" w:color="auto"/>
        <w:bottom w:val="none" w:sz="0" w:space="0" w:color="auto"/>
        <w:right w:val="none" w:sz="0" w:space="0" w:color="auto"/>
      </w:divBdr>
      <w:divsChild>
        <w:div w:id="1648513242">
          <w:marLeft w:val="0"/>
          <w:marRight w:val="0"/>
          <w:marTop w:val="0"/>
          <w:marBottom w:val="0"/>
          <w:divBdr>
            <w:top w:val="none" w:sz="0" w:space="0" w:color="auto"/>
            <w:left w:val="none" w:sz="0" w:space="0" w:color="auto"/>
            <w:bottom w:val="none" w:sz="0" w:space="0" w:color="auto"/>
            <w:right w:val="none" w:sz="0" w:space="0" w:color="auto"/>
          </w:divBdr>
        </w:div>
      </w:divsChild>
    </w:div>
    <w:div w:id="1290933097">
      <w:marLeft w:val="4"/>
      <w:marRight w:val="0"/>
      <w:marTop w:val="120"/>
      <w:marBottom w:val="0"/>
      <w:divBdr>
        <w:top w:val="none" w:sz="0" w:space="0" w:color="auto"/>
        <w:left w:val="none" w:sz="0" w:space="0" w:color="auto"/>
        <w:bottom w:val="none" w:sz="0" w:space="0" w:color="auto"/>
        <w:right w:val="none" w:sz="0" w:space="0" w:color="auto"/>
      </w:divBdr>
      <w:divsChild>
        <w:div w:id="1248422584">
          <w:marLeft w:val="0"/>
          <w:marRight w:val="0"/>
          <w:marTop w:val="0"/>
          <w:marBottom w:val="0"/>
          <w:divBdr>
            <w:top w:val="none" w:sz="0" w:space="0" w:color="auto"/>
            <w:left w:val="none" w:sz="0" w:space="0" w:color="auto"/>
            <w:bottom w:val="none" w:sz="0" w:space="0" w:color="auto"/>
            <w:right w:val="none" w:sz="0" w:space="0" w:color="auto"/>
          </w:divBdr>
        </w:div>
      </w:divsChild>
    </w:div>
    <w:div w:id="1298992848">
      <w:marLeft w:val="4"/>
      <w:marRight w:val="0"/>
      <w:marTop w:val="120"/>
      <w:marBottom w:val="0"/>
      <w:divBdr>
        <w:top w:val="none" w:sz="0" w:space="0" w:color="auto"/>
        <w:left w:val="none" w:sz="0" w:space="0" w:color="auto"/>
        <w:bottom w:val="none" w:sz="0" w:space="0" w:color="auto"/>
        <w:right w:val="none" w:sz="0" w:space="0" w:color="auto"/>
      </w:divBdr>
      <w:divsChild>
        <w:div w:id="312872776">
          <w:marLeft w:val="0"/>
          <w:marRight w:val="0"/>
          <w:marTop w:val="0"/>
          <w:marBottom w:val="0"/>
          <w:divBdr>
            <w:top w:val="none" w:sz="0" w:space="0" w:color="auto"/>
            <w:left w:val="none" w:sz="0" w:space="0" w:color="auto"/>
            <w:bottom w:val="none" w:sz="0" w:space="0" w:color="auto"/>
            <w:right w:val="none" w:sz="0" w:space="0" w:color="auto"/>
          </w:divBdr>
        </w:div>
      </w:divsChild>
    </w:div>
    <w:div w:id="1337609538">
      <w:marLeft w:val="0"/>
      <w:marRight w:val="0"/>
      <w:marTop w:val="0"/>
      <w:marBottom w:val="0"/>
      <w:divBdr>
        <w:top w:val="none" w:sz="0" w:space="0" w:color="auto"/>
        <w:left w:val="none" w:sz="0" w:space="0" w:color="auto"/>
        <w:bottom w:val="none" w:sz="0" w:space="0" w:color="auto"/>
        <w:right w:val="none" w:sz="0" w:space="0" w:color="auto"/>
      </w:divBdr>
    </w:div>
    <w:div w:id="1351372528">
      <w:marLeft w:val="0"/>
      <w:marRight w:val="0"/>
      <w:marTop w:val="120"/>
      <w:marBottom w:val="0"/>
      <w:divBdr>
        <w:top w:val="none" w:sz="0" w:space="0" w:color="auto"/>
        <w:left w:val="none" w:sz="0" w:space="0" w:color="auto"/>
        <w:bottom w:val="none" w:sz="0" w:space="0" w:color="auto"/>
        <w:right w:val="none" w:sz="0" w:space="0" w:color="auto"/>
      </w:divBdr>
      <w:divsChild>
        <w:div w:id="239026272">
          <w:marLeft w:val="0"/>
          <w:marRight w:val="0"/>
          <w:marTop w:val="0"/>
          <w:marBottom w:val="0"/>
          <w:divBdr>
            <w:top w:val="none" w:sz="0" w:space="0" w:color="auto"/>
            <w:left w:val="none" w:sz="0" w:space="0" w:color="auto"/>
            <w:bottom w:val="none" w:sz="0" w:space="0" w:color="auto"/>
            <w:right w:val="none" w:sz="0" w:space="0" w:color="auto"/>
          </w:divBdr>
        </w:div>
      </w:divsChild>
    </w:div>
    <w:div w:id="1351568699">
      <w:marLeft w:val="3"/>
      <w:marRight w:val="0"/>
      <w:marTop w:val="0"/>
      <w:marBottom w:val="0"/>
      <w:divBdr>
        <w:top w:val="none" w:sz="0" w:space="0" w:color="auto"/>
        <w:left w:val="none" w:sz="0" w:space="0" w:color="auto"/>
        <w:bottom w:val="none" w:sz="0" w:space="0" w:color="auto"/>
        <w:right w:val="none" w:sz="0" w:space="0" w:color="auto"/>
      </w:divBdr>
      <w:divsChild>
        <w:div w:id="1446802899">
          <w:marLeft w:val="0"/>
          <w:marRight w:val="0"/>
          <w:marTop w:val="0"/>
          <w:marBottom w:val="0"/>
          <w:divBdr>
            <w:top w:val="none" w:sz="0" w:space="0" w:color="auto"/>
            <w:left w:val="none" w:sz="0" w:space="0" w:color="auto"/>
            <w:bottom w:val="none" w:sz="0" w:space="0" w:color="auto"/>
            <w:right w:val="none" w:sz="0" w:space="0" w:color="auto"/>
          </w:divBdr>
        </w:div>
      </w:divsChild>
    </w:div>
    <w:div w:id="1358197844">
      <w:marLeft w:val="0"/>
      <w:marRight w:val="0"/>
      <w:marTop w:val="120"/>
      <w:marBottom w:val="0"/>
      <w:divBdr>
        <w:top w:val="none" w:sz="0" w:space="0" w:color="auto"/>
        <w:left w:val="none" w:sz="0" w:space="0" w:color="auto"/>
        <w:bottom w:val="none" w:sz="0" w:space="0" w:color="auto"/>
        <w:right w:val="none" w:sz="0" w:space="0" w:color="auto"/>
      </w:divBdr>
      <w:divsChild>
        <w:div w:id="1170026548">
          <w:marLeft w:val="0"/>
          <w:marRight w:val="0"/>
          <w:marTop w:val="0"/>
          <w:marBottom w:val="0"/>
          <w:divBdr>
            <w:top w:val="none" w:sz="0" w:space="0" w:color="auto"/>
            <w:left w:val="none" w:sz="0" w:space="0" w:color="auto"/>
            <w:bottom w:val="none" w:sz="0" w:space="0" w:color="auto"/>
            <w:right w:val="none" w:sz="0" w:space="0" w:color="auto"/>
          </w:divBdr>
        </w:div>
      </w:divsChild>
    </w:div>
    <w:div w:id="1379091638">
      <w:marLeft w:val="4"/>
      <w:marRight w:val="0"/>
      <w:marTop w:val="240"/>
      <w:marBottom w:val="0"/>
      <w:divBdr>
        <w:top w:val="none" w:sz="0" w:space="0" w:color="auto"/>
        <w:left w:val="none" w:sz="0" w:space="0" w:color="auto"/>
        <w:bottom w:val="none" w:sz="0" w:space="0" w:color="auto"/>
        <w:right w:val="none" w:sz="0" w:space="0" w:color="auto"/>
      </w:divBdr>
      <w:divsChild>
        <w:div w:id="1738941014">
          <w:marLeft w:val="0"/>
          <w:marRight w:val="0"/>
          <w:marTop w:val="0"/>
          <w:marBottom w:val="0"/>
          <w:divBdr>
            <w:top w:val="none" w:sz="0" w:space="0" w:color="auto"/>
            <w:left w:val="none" w:sz="0" w:space="0" w:color="auto"/>
            <w:bottom w:val="none" w:sz="0" w:space="0" w:color="auto"/>
            <w:right w:val="none" w:sz="0" w:space="0" w:color="auto"/>
          </w:divBdr>
        </w:div>
      </w:divsChild>
    </w:div>
    <w:div w:id="1389722640">
      <w:marLeft w:val="7"/>
      <w:marRight w:val="0"/>
      <w:marTop w:val="0"/>
      <w:marBottom w:val="0"/>
      <w:divBdr>
        <w:top w:val="none" w:sz="0" w:space="0" w:color="auto"/>
        <w:left w:val="none" w:sz="0" w:space="0" w:color="auto"/>
        <w:bottom w:val="none" w:sz="0" w:space="0" w:color="auto"/>
        <w:right w:val="none" w:sz="0" w:space="0" w:color="auto"/>
      </w:divBdr>
      <w:divsChild>
        <w:div w:id="1264999216">
          <w:marLeft w:val="0"/>
          <w:marRight w:val="0"/>
          <w:marTop w:val="0"/>
          <w:marBottom w:val="0"/>
          <w:divBdr>
            <w:top w:val="none" w:sz="0" w:space="0" w:color="auto"/>
            <w:left w:val="none" w:sz="0" w:space="0" w:color="auto"/>
            <w:bottom w:val="none" w:sz="0" w:space="0" w:color="auto"/>
            <w:right w:val="none" w:sz="0" w:space="0" w:color="auto"/>
          </w:divBdr>
        </w:div>
      </w:divsChild>
    </w:div>
    <w:div w:id="1391226017">
      <w:marLeft w:val="4"/>
      <w:marRight w:val="0"/>
      <w:marTop w:val="0"/>
      <w:marBottom w:val="0"/>
      <w:divBdr>
        <w:top w:val="none" w:sz="0" w:space="0" w:color="auto"/>
        <w:left w:val="none" w:sz="0" w:space="0" w:color="auto"/>
        <w:bottom w:val="none" w:sz="0" w:space="0" w:color="auto"/>
        <w:right w:val="none" w:sz="0" w:space="0" w:color="auto"/>
      </w:divBdr>
      <w:divsChild>
        <w:div w:id="1110901532">
          <w:marLeft w:val="0"/>
          <w:marRight w:val="0"/>
          <w:marTop w:val="0"/>
          <w:marBottom w:val="0"/>
          <w:divBdr>
            <w:top w:val="none" w:sz="0" w:space="0" w:color="auto"/>
            <w:left w:val="none" w:sz="0" w:space="0" w:color="auto"/>
            <w:bottom w:val="none" w:sz="0" w:space="0" w:color="auto"/>
            <w:right w:val="none" w:sz="0" w:space="0" w:color="auto"/>
          </w:divBdr>
        </w:div>
      </w:divsChild>
    </w:div>
    <w:div w:id="1396200631">
      <w:marLeft w:val="5"/>
      <w:marRight w:val="0"/>
      <w:marTop w:val="0"/>
      <w:marBottom w:val="0"/>
      <w:divBdr>
        <w:top w:val="none" w:sz="0" w:space="0" w:color="auto"/>
        <w:left w:val="none" w:sz="0" w:space="0" w:color="auto"/>
        <w:bottom w:val="none" w:sz="0" w:space="0" w:color="auto"/>
        <w:right w:val="none" w:sz="0" w:space="0" w:color="auto"/>
      </w:divBdr>
      <w:divsChild>
        <w:div w:id="988484254">
          <w:marLeft w:val="0"/>
          <w:marRight w:val="0"/>
          <w:marTop w:val="0"/>
          <w:marBottom w:val="0"/>
          <w:divBdr>
            <w:top w:val="none" w:sz="0" w:space="0" w:color="auto"/>
            <w:left w:val="none" w:sz="0" w:space="0" w:color="auto"/>
            <w:bottom w:val="none" w:sz="0" w:space="0" w:color="auto"/>
            <w:right w:val="none" w:sz="0" w:space="0" w:color="auto"/>
          </w:divBdr>
        </w:div>
      </w:divsChild>
    </w:div>
    <w:div w:id="1427463454">
      <w:marLeft w:val="0"/>
      <w:marRight w:val="0"/>
      <w:marTop w:val="120"/>
      <w:marBottom w:val="0"/>
      <w:divBdr>
        <w:top w:val="none" w:sz="0" w:space="0" w:color="auto"/>
        <w:left w:val="none" w:sz="0" w:space="0" w:color="auto"/>
        <w:bottom w:val="none" w:sz="0" w:space="0" w:color="auto"/>
        <w:right w:val="none" w:sz="0" w:space="0" w:color="auto"/>
      </w:divBdr>
      <w:divsChild>
        <w:div w:id="1471483497">
          <w:marLeft w:val="0"/>
          <w:marRight w:val="0"/>
          <w:marTop w:val="0"/>
          <w:marBottom w:val="0"/>
          <w:divBdr>
            <w:top w:val="none" w:sz="0" w:space="0" w:color="auto"/>
            <w:left w:val="none" w:sz="0" w:space="0" w:color="auto"/>
            <w:bottom w:val="none" w:sz="0" w:space="0" w:color="auto"/>
            <w:right w:val="none" w:sz="0" w:space="0" w:color="auto"/>
          </w:divBdr>
        </w:div>
      </w:divsChild>
    </w:div>
    <w:div w:id="1430855585">
      <w:marLeft w:val="3"/>
      <w:marRight w:val="0"/>
      <w:marTop w:val="0"/>
      <w:marBottom w:val="0"/>
      <w:divBdr>
        <w:top w:val="none" w:sz="0" w:space="0" w:color="auto"/>
        <w:left w:val="none" w:sz="0" w:space="0" w:color="auto"/>
        <w:bottom w:val="none" w:sz="0" w:space="0" w:color="auto"/>
        <w:right w:val="none" w:sz="0" w:space="0" w:color="auto"/>
      </w:divBdr>
      <w:divsChild>
        <w:div w:id="1473868763">
          <w:marLeft w:val="0"/>
          <w:marRight w:val="0"/>
          <w:marTop w:val="0"/>
          <w:marBottom w:val="0"/>
          <w:divBdr>
            <w:top w:val="none" w:sz="0" w:space="0" w:color="auto"/>
            <w:left w:val="none" w:sz="0" w:space="0" w:color="auto"/>
            <w:bottom w:val="none" w:sz="0" w:space="0" w:color="auto"/>
            <w:right w:val="none" w:sz="0" w:space="0" w:color="auto"/>
          </w:divBdr>
        </w:div>
      </w:divsChild>
    </w:div>
    <w:div w:id="1435860872">
      <w:marLeft w:val="0"/>
      <w:marRight w:val="0"/>
      <w:marTop w:val="0"/>
      <w:marBottom w:val="0"/>
      <w:divBdr>
        <w:top w:val="none" w:sz="0" w:space="0" w:color="auto"/>
        <w:left w:val="none" w:sz="0" w:space="0" w:color="auto"/>
        <w:bottom w:val="none" w:sz="0" w:space="0" w:color="auto"/>
        <w:right w:val="none" w:sz="0" w:space="0" w:color="auto"/>
      </w:divBdr>
      <w:divsChild>
        <w:div w:id="1386947572">
          <w:marLeft w:val="0"/>
          <w:marRight w:val="0"/>
          <w:marTop w:val="0"/>
          <w:marBottom w:val="0"/>
          <w:divBdr>
            <w:top w:val="none" w:sz="0" w:space="0" w:color="auto"/>
            <w:left w:val="none" w:sz="0" w:space="0" w:color="auto"/>
            <w:bottom w:val="none" w:sz="0" w:space="0" w:color="auto"/>
            <w:right w:val="none" w:sz="0" w:space="0" w:color="auto"/>
          </w:divBdr>
          <w:divsChild>
            <w:div w:id="1145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0741">
      <w:marLeft w:val="0"/>
      <w:marRight w:val="0"/>
      <w:marTop w:val="40"/>
      <w:marBottom w:val="0"/>
      <w:divBdr>
        <w:top w:val="none" w:sz="0" w:space="0" w:color="auto"/>
        <w:left w:val="none" w:sz="0" w:space="0" w:color="auto"/>
        <w:bottom w:val="none" w:sz="0" w:space="0" w:color="auto"/>
        <w:right w:val="none" w:sz="0" w:space="0" w:color="auto"/>
      </w:divBdr>
      <w:divsChild>
        <w:div w:id="294336078">
          <w:marLeft w:val="0"/>
          <w:marRight w:val="0"/>
          <w:marTop w:val="0"/>
          <w:marBottom w:val="0"/>
          <w:divBdr>
            <w:top w:val="none" w:sz="0" w:space="0" w:color="auto"/>
            <w:left w:val="none" w:sz="0" w:space="0" w:color="auto"/>
            <w:bottom w:val="none" w:sz="0" w:space="0" w:color="auto"/>
            <w:right w:val="none" w:sz="0" w:space="0" w:color="auto"/>
          </w:divBdr>
        </w:div>
      </w:divsChild>
    </w:div>
    <w:div w:id="1446385890">
      <w:marLeft w:val="4"/>
      <w:marRight w:val="0"/>
      <w:marTop w:val="120"/>
      <w:marBottom w:val="0"/>
      <w:divBdr>
        <w:top w:val="none" w:sz="0" w:space="0" w:color="auto"/>
        <w:left w:val="none" w:sz="0" w:space="0" w:color="auto"/>
        <w:bottom w:val="none" w:sz="0" w:space="0" w:color="auto"/>
        <w:right w:val="none" w:sz="0" w:space="0" w:color="auto"/>
      </w:divBdr>
      <w:divsChild>
        <w:div w:id="223686655">
          <w:marLeft w:val="0"/>
          <w:marRight w:val="0"/>
          <w:marTop w:val="0"/>
          <w:marBottom w:val="0"/>
          <w:divBdr>
            <w:top w:val="none" w:sz="0" w:space="0" w:color="auto"/>
            <w:left w:val="none" w:sz="0" w:space="0" w:color="auto"/>
            <w:bottom w:val="none" w:sz="0" w:space="0" w:color="auto"/>
            <w:right w:val="none" w:sz="0" w:space="0" w:color="auto"/>
          </w:divBdr>
        </w:div>
      </w:divsChild>
    </w:div>
    <w:div w:id="1461729235">
      <w:marLeft w:val="0"/>
      <w:marRight w:val="0"/>
      <w:marTop w:val="0"/>
      <w:marBottom w:val="0"/>
      <w:divBdr>
        <w:top w:val="none" w:sz="0" w:space="0" w:color="auto"/>
        <w:left w:val="none" w:sz="0" w:space="0" w:color="auto"/>
        <w:bottom w:val="none" w:sz="0" w:space="0" w:color="auto"/>
        <w:right w:val="none" w:sz="0" w:space="0" w:color="auto"/>
      </w:divBdr>
      <w:divsChild>
        <w:div w:id="1116293885">
          <w:marLeft w:val="0"/>
          <w:marRight w:val="0"/>
          <w:marTop w:val="0"/>
          <w:marBottom w:val="0"/>
          <w:divBdr>
            <w:top w:val="none" w:sz="0" w:space="0" w:color="auto"/>
            <w:left w:val="none" w:sz="0" w:space="0" w:color="auto"/>
            <w:bottom w:val="none" w:sz="0" w:space="0" w:color="auto"/>
            <w:right w:val="none" w:sz="0" w:space="0" w:color="auto"/>
          </w:divBdr>
        </w:div>
      </w:divsChild>
    </w:div>
    <w:div w:id="1462528966">
      <w:marLeft w:val="0"/>
      <w:marRight w:val="0"/>
      <w:marTop w:val="0"/>
      <w:marBottom w:val="0"/>
      <w:divBdr>
        <w:top w:val="none" w:sz="0" w:space="0" w:color="auto"/>
        <w:left w:val="none" w:sz="0" w:space="0" w:color="auto"/>
        <w:bottom w:val="none" w:sz="0" w:space="0" w:color="auto"/>
        <w:right w:val="none" w:sz="0" w:space="0" w:color="auto"/>
      </w:divBdr>
      <w:divsChild>
        <w:div w:id="1749116048">
          <w:marLeft w:val="0"/>
          <w:marRight w:val="0"/>
          <w:marTop w:val="0"/>
          <w:marBottom w:val="0"/>
          <w:divBdr>
            <w:top w:val="none" w:sz="0" w:space="0" w:color="auto"/>
            <w:left w:val="none" w:sz="0" w:space="0" w:color="auto"/>
            <w:bottom w:val="none" w:sz="0" w:space="0" w:color="auto"/>
            <w:right w:val="none" w:sz="0" w:space="0" w:color="auto"/>
          </w:divBdr>
        </w:div>
        <w:div w:id="380324892">
          <w:marLeft w:val="0"/>
          <w:marRight w:val="0"/>
          <w:marTop w:val="0"/>
          <w:marBottom w:val="0"/>
          <w:divBdr>
            <w:top w:val="none" w:sz="0" w:space="0" w:color="auto"/>
            <w:left w:val="none" w:sz="0" w:space="0" w:color="auto"/>
            <w:bottom w:val="none" w:sz="0" w:space="0" w:color="auto"/>
            <w:right w:val="none" w:sz="0" w:space="0" w:color="auto"/>
          </w:divBdr>
        </w:div>
        <w:div w:id="2097944373">
          <w:marLeft w:val="0"/>
          <w:marRight w:val="0"/>
          <w:marTop w:val="0"/>
          <w:marBottom w:val="0"/>
          <w:divBdr>
            <w:top w:val="none" w:sz="0" w:space="0" w:color="auto"/>
            <w:left w:val="none" w:sz="0" w:space="0" w:color="auto"/>
            <w:bottom w:val="none" w:sz="0" w:space="0" w:color="auto"/>
            <w:right w:val="none" w:sz="0" w:space="0" w:color="auto"/>
          </w:divBdr>
        </w:div>
        <w:div w:id="2095473134">
          <w:marLeft w:val="0"/>
          <w:marRight w:val="0"/>
          <w:marTop w:val="0"/>
          <w:marBottom w:val="0"/>
          <w:divBdr>
            <w:top w:val="none" w:sz="0" w:space="0" w:color="auto"/>
            <w:left w:val="none" w:sz="0" w:space="0" w:color="auto"/>
            <w:bottom w:val="none" w:sz="0" w:space="0" w:color="auto"/>
            <w:right w:val="none" w:sz="0" w:space="0" w:color="auto"/>
          </w:divBdr>
          <w:divsChild>
            <w:div w:id="1711300446">
              <w:marLeft w:val="0"/>
              <w:marRight w:val="0"/>
              <w:marTop w:val="120"/>
              <w:marBottom w:val="0"/>
              <w:divBdr>
                <w:top w:val="none" w:sz="0" w:space="0" w:color="auto"/>
                <w:left w:val="none" w:sz="0" w:space="0" w:color="auto"/>
                <w:bottom w:val="none" w:sz="0" w:space="0" w:color="auto"/>
                <w:right w:val="none" w:sz="0" w:space="0" w:color="auto"/>
              </w:divBdr>
              <w:divsChild>
                <w:div w:id="1331834269">
                  <w:marLeft w:val="0"/>
                  <w:marRight w:val="0"/>
                  <w:marTop w:val="0"/>
                  <w:marBottom w:val="0"/>
                  <w:divBdr>
                    <w:top w:val="none" w:sz="0" w:space="0" w:color="auto"/>
                    <w:left w:val="none" w:sz="0" w:space="0" w:color="auto"/>
                    <w:bottom w:val="none" w:sz="0" w:space="0" w:color="auto"/>
                    <w:right w:val="none" w:sz="0" w:space="0" w:color="auto"/>
                  </w:divBdr>
                </w:div>
              </w:divsChild>
            </w:div>
            <w:div w:id="771050603">
              <w:marLeft w:val="0"/>
              <w:marRight w:val="0"/>
              <w:marTop w:val="120"/>
              <w:marBottom w:val="0"/>
              <w:divBdr>
                <w:top w:val="none" w:sz="0" w:space="0" w:color="auto"/>
                <w:left w:val="none" w:sz="0" w:space="0" w:color="auto"/>
                <w:bottom w:val="none" w:sz="0" w:space="0" w:color="auto"/>
                <w:right w:val="none" w:sz="0" w:space="0" w:color="auto"/>
              </w:divBdr>
              <w:divsChild>
                <w:div w:id="773944513">
                  <w:marLeft w:val="0"/>
                  <w:marRight w:val="0"/>
                  <w:marTop w:val="0"/>
                  <w:marBottom w:val="0"/>
                  <w:divBdr>
                    <w:top w:val="none" w:sz="0" w:space="0" w:color="auto"/>
                    <w:left w:val="none" w:sz="0" w:space="0" w:color="auto"/>
                    <w:bottom w:val="none" w:sz="0" w:space="0" w:color="auto"/>
                    <w:right w:val="none" w:sz="0" w:space="0" w:color="auto"/>
                  </w:divBdr>
                </w:div>
              </w:divsChild>
            </w:div>
            <w:div w:id="1240361965">
              <w:marLeft w:val="0"/>
              <w:marRight w:val="0"/>
              <w:marTop w:val="120"/>
              <w:marBottom w:val="0"/>
              <w:divBdr>
                <w:top w:val="none" w:sz="0" w:space="0" w:color="auto"/>
                <w:left w:val="none" w:sz="0" w:space="0" w:color="auto"/>
                <w:bottom w:val="none" w:sz="0" w:space="0" w:color="auto"/>
                <w:right w:val="none" w:sz="0" w:space="0" w:color="auto"/>
              </w:divBdr>
              <w:divsChild>
                <w:div w:id="12496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5366">
          <w:marLeft w:val="0"/>
          <w:marRight w:val="0"/>
          <w:marTop w:val="0"/>
          <w:marBottom w:val="0"/>
          <w:divBdr>
            <w:top w:val="none" w:sz="0" w:space="0" w:color="auto"/>
            <w:left w:val="none" w:sz="0" w:space="0" w:color="auto"/>
            <w:bottom w:val="none" w:sz="0" w:space="0" w:color="auto"/>
            <w:right w:val="none" w:sz="0" w:space="0" w:color="auto"/>
          </w:divBdr>
        </w:div>
        <w:div w:id="1083920034">
          <w:marLeft w:val="0"/>
          <w:marRight w:val="0"/>
          <w:marTop w:val="0"/>
          <w:marBottom w:val="0"/>
          <w:divBdr>
            <w:top w:val="none" w:sz="0" w:space="0" w:color="auto"/>
            <w:left w:val="none" w:sz="0" w:space="0" w:color="auto"/>
            <w:bottom w:val="none" w:sz="0" w:space="0" w:color="auto"/>
            <w:right w:val="none" w:sz="0" w:space="0" w:color="auto"/>
          </w:divBdr>
        </w:div>
        <w:div w:id="940181580">
          <w:marLeft w:val="0"/>
          <w:marRight w:val="0"/>
          <w:marTop w:val="0"/>
          <w:marBottom w:val="0"/>
          <w:divBdr>
            <w:top w:val="none" w:sz="0" w:space="0" w:color="auto"/>
            <w:left w:val="none" w:sz="0" w:space="0" w:color="auto"/>
            <w:bottom w:val="none" w:sz="0" w:space="0" w:color="auto"/>
            <w:right w:val="none" w:sz="0" w:space="0" w:color="auto"/>
          </w:divBdr>
        </w:div>
        <w:div w:id="1307662747">
          <w:marLeft w:val="0"/>
          <w:marRight w:val="0"/>
          <w:marTop w:val="0"/>
          <w:marBottom w:val="0"/>
          <w:divBdr>
            <w:top w:val="none" w:sz="0" w:space="0" w:color="auto"/>
            <w:left w:val="none" w:sz="0" w:space="0" w:color="auto"/>
            <w:bottom w:val="none" w:sz="0" w:space="0" w:color="auto"/>
            <w:right w:val="none" w:sz="0" w:space="0" w:color="auto"/>
          </w:divBdr>
        </w:div>
        <w:div w:id="573204762">
          <w:marLeft w:val="0"/>
          <w:marRight w:val="0"/>
          <w:marTop w:val="0"/>
          <w:marBottom w:val="0"/>
          <w:divBdr>
            <w:top w:val="none" w:sz="0" w:space="0" w:color="auto"/>
            <w:left w:val="none" w:sz="0" w:space="0" w:color="auto"/>
            <w:bottom w:val="none" w:sz="0" w:space="0" w:color="auto"/>
            <w:right w:val="none" w:sz="0" w:space="0" w:color="auto"/>
          </w:divBdr>
        </w:div>
        <w:div w:id="53354175">
          <w:marLeft w:val="0"/>
          <w:marRight w:val="0"/>
          <w:marTop w:val="0"/>
          <w:marBottom w:val="0"/>
          <w:divBdr>
            <w:top w:val="none" w:sz="0" w:space="0" w:color="auto"/>
            <w:left w:val="none" w:sz="0" w:space="0" w:color="auto"/>
            <w:bottom w:val="none" w:sz="0" w:space="0" w:color="auto"/>
            <w:right w:val="none" w:sz="0" w:space="0" w:color="auto"/>
          </w:divBdr>
          <w:divsChild>
            <w:div w:id="1924293542">
              <w:marLeft w:val="0"/>
              <w:marRight w:val="0"/>
              <w:marTop w:val="0"/>
              <w:marBottom w:val="0"/>
              <w:divBdr>
                <w:top w:val="none" w:sz="0" w:space="0" w:color="auto"/>
                <w:left w:val="none" w:sz="0" w:space="0" w:color="auto"/>
                <w:bottom w:val="none" w:sz="0" w:space="0" w:color="auto"/>
                <w:right w:val="none" w:sz="0" w:space="0" w:color="auto"/>
              </w:divBdr>
            </w:div>
          </w:divsChild>
        </w:div>
        <w:div w:id="313753256">
          <w:marLeft w:val="0"/>
          <w:marRight w:val="0"/>
          <w:marTop w:val="0"/>
          <w:marBottom w:val="0"/>
          <w:divBdr>
            <w:top w:val="none" w:sz="0" w:space="0" w:color="auto"/>
            <w:left w:val="none" w:sz="0" w:space="0" w:color="auto"/>
            <w:bottom w:val="none" w:sz="0" w:space="0" w:color="auto"/>
            <w:right w:val="none" w:sz="0" w:space="0" w:color="auto"/>
          </w:divBdr>
        </w:div>
        <w:div w:id="707491306">
          <w:marLeft w:val="0"/>
          <w:marRight w:val="0"/>
          <w:marTop w:val="0"/>
          <w:marBottom w:val="0"/>
          <w:divBdr>
            <w:top w:val="none" w:sz="0" w:space="0" w:color="auto"/>
            <w:left w:val="none" w:sz="0" w:space="0" w:color="auto"/>
            <w:bottom w:val="none" w:sz="0" w:space="0" w:color="auto"/>
            <w:right w:val="none" w:sz="0" w:space="0" w:color="auto"/>
          </w:divBdr>
        </w:div>
        <w:div w:id="1281063664">
          <w:marLeft w:val="0"/>
          <w:marRight w:val="0"/>
          <w:marTop w:val="0"/>
          <w:marBottom w:val="0"/>
          <w:divBdr>
            <w:top w:val="none" w:sz="0" w:space="0" w:color="auto"/>
            <w:left w:val="none" w:sz="0" w:space="0" w:color="auto"/>
            <w:bottom w:val="none" w:sz="0" w:space="0" w:color="auto"/>
            <w:right w:val="none" w:sz="0" w:space="0" w:color="auto"/>
          </w:divBdr>
        </w:div>
        <w:div w:id="1737631804">
          <w:marLeft w:val="0"/>
          <w:marRight w:val="0"/>
          <w:marTop w:val="0"/>
          <w:marBottom w:val="0"/>
          <w:divBdr>
            <w:top w:val="none" w:sz="0" w:space="0" w:color="auto"/>
            <w:left w:val="none" w:sz="0" w:space="0" w:color="auto"/>
            <w:bottom w:val="none" w:sz="0" w:space="0" w:color="auto"/>
            <w:right w:val="none" w:sz="0" w:space="0" w:color="auto"/>
          </w:divBdr>
        </w:div>
        <w:div w:id="250898386">
          <w:marLeft w:val="0"/>
          <w:marRight w:val="0"/>
          <w:marTop w:val="0"/>
          <w:marBottom w:val="0"/>
          <w:divBdr>
            <w:top w:val="none" w:sz="0" w:space="0" w:color="auto"/>
            <w:left w:val="none" w:sz="0" w:space="0" w:color="auto"/>
            <w:bottom w:val="none" w:sz="0" w:space="0" w:color="auto"/>
            <w:right w:val="none" w:sz="0" w:space="0" w:color="auto"/>
          </w:divBdr>
        </w:div>
        <w:div w:id="169682088">
          <w:marLeft w:val="0"/>
          <w:marRight w:val="0"/>
          <w:marTop w:val="0"/>
          <w:marBottom w:val="0"/>
          <w:divBdr>
            <w:top w:val="none" w:sz="0" w:space="0" w:color="auto"/>
            <w:left w:val="none" w:sz="0" w:space="0" w:color="auto"/>
            <w:bottom w:val="none" w:sz="0" w:space="0" w:color="auto"/>
            <w:right w:val="none" w:sz="0" w:space="0" w:color="auto"/>
          </w:divBdr>
        </w:div>
        <w:div w:id="1647777628">
          <w:marLeft w:val="0"/>
          <w:marRight w:val="0"/>
          <w:marTop w:val="0"/>
          <w:marBottom w:val="0"/>
          <w:divBdr>
            <w:top w:val="none" w:sz="0" w:space="0" w:color="auto"/>
            <w:left w:val="none" w:sz="0" w:space="0" w:color="auto"/>
            <w:bottom w:val="none" w:sz="0" w:space="0" w:color="auto"/>
            <w:right w:val="none" w:sz="0" w:space="0" w:color="auto"/>
          </w:divBdr>
        </w:div>
        <w:div w:id="608506570">
          <w:marLeft w:val="0"/>
          <w:marRight w:val="0"/>
          <w:marTop w:val="0"/>
          <w:marBottom w:val="0"/>
          <w:divBdr>
            <w:top w:val="none" w:sz="0" w:space="0" w:color="auto"/>
            <w:left w:val="none" w:sz="0" w:space="0" w:color="auto"/>
            <w:bottom w:val="none" w:sz="0" w:space="0" w:color="auto"/>
            <w:right w:val="none" w:sz="0" w:space="0" w:color="auto"/>
          </w:divBdr>
        </w:div>
        <w:div w:id="1624187758">
          <w:marLeft w:val="0"/>
          <w:marRight w:val="0"/>
          <w:marTop w:val="0"/>
          <w:marBottom w:val="0"/>
          <w:divBdr>
            <w:top w:val="none" w:sz="0" w:space="0" w:color="auto"/>
            <w:left w:val="none" w:sz="0" w:space="0" w:color="auto"/>
            <w:bottom w:val="none" w:sz="0" w:space="0" w:color="auto"/>
            <w:right w:val="none" w:sz="0" w:space="0" w:color="auto"/>
          </w:divBdr>
        </w:div>
        <w:div w:id="991908299">
          <w:marLeft w:val="0"/>
          <w:marRight w:val="0"/>
          <w:marTop w:val="0"/>
          <w:marBottom w:val="0"/>
          <w:divBdr>
            <w:top w:val="none" w:sz="0" w:space="0" w:color="auto"/>
            <w:left w:val="none" w:sz="0" w:space="0" w:color="auto"/>
            <w:bottom w:val="none" w:sz="0" w:space="0" w:color="auto"/>
            <w:right w:val="none" w:sz="0" w:space="0" w:color="auto"/>
          </w:divBdr>
        </w:div>
        <w:div w:id="20472342">
          <w:marLeft w:val="0"/>
          <w:marRight w:val="0"/>
          <w:marTop w:val="0"/>
          <w:marBottom w:val="0"/>
          <w:divBdr>
            <w:top w:val="none" w:sz="0" w:space="0" w:color="auto"/>
            <w:left w:val="none" w:sz="0" w:space="0" w:color="auto"/>
            <w:bottom w:val="none" w:sz="0" w:space="0" w:color="auto"/>
            <w:right w:val="none" w:sz="0" w:space="0" w:color="auto"/>
          </w:divBdr>
        </w:div>
        <w:div w:id="2140411921">
          <w:marLeft w:val="0"/>
          <w:marRight w:val="0"/>
          <w:marTop w:val="0"/>
          <w:marBottom w:val="0"/>
          <w:divBdr>
            <w:top w:val="none" w:sz="0" w:space="0" w:color="auto"/>
            <w:left w:val="none" w:sz="0" w:space="0" w:color="auto"/>
            <w:bottom w:val="none" w:sz="0" w:space="0" w:color="auto"/>
            <w:right w:val="none" w:sz="0" w:space="0" w:color="auto"/>
          </w:divBdr>
        </w:div>
      </w:divsChild>
    </w:div>
    <w:div w:id="1462578677">
      <w:marLeft w:val="4"/>
      <w:marRight w:val="0"/>
      <w:marTop w:val="0"/>
      <w:marBottom w:val="0"/>
      <w:divBdr>
        <w:top w:val="none" w:sz="0" w:space="0" w:color="auto"/>
        <w:left w:val="none" w:sz="0" w:space="0" w:color="auto"/>
        <w:bottom w:val="none" w:sz="0" w:space="0" w:color="auto"/>
        <w:right w:val="none" w:sz="0" w:space="0" w:color="auto"/>
      </w:divBdr>
      <w:divsChild>
        <w:div w:id="1767068557">
          <w:marLeft w:val="0"/>
          <w:marRight w:val="0"/>
          <w:marTop w:val="0"/>
          <w:marBottom w:val="0"/>
          <w:divBdr>
            <w:top w:val="none" w:sz="0" w:space="0" w:color="auto"/>
            <w:left w:val="none" w:sz="0" w:space="0" w:color="auto"/>
            <w:bottom w:val="none" w:sz="0" w:space="0" w:color="auto"/>
            <w:right w:val="none" w:sz="0" w:space="0" w:color="auto"/>
          </w:divBdr>
        </w:div>
      </w:divsChild>
    </w:div>
    <w:div w:id="1463841832">
      <w:marLeft w:val="4"/>
      <w:marRight w:val="0"/>
      <w:marTop w:val="0"/>
      <w:marBottom w:val="0"/>
      <w:divBdr>
        <w:top w:val="none" w:sz="0" w:space="0" w:color="auto"/>
        <w:left w:val="none" w:sz="0" w:space="0" w:color="auto"/>
        <w:bottom w:val="none" w:sz="0" w:space="0" w:color="auto"/>
        <w:right w:val="none" w:sz="0" w:space="0" w:color="auto"/>
      </w:divBdr>
      <w:divsChild>
        <w:div w:id="1299534015">
          <w:marLeft w:val="0"/>
          <w:marRight w:val="0"/>
          <w:marTop w:val="0"/>
          <w:marBottom w:val="0"/>
          <w:divBdr>
            <w:top w:val="none" w:sz="0" w:space="0" w:color="auto"/>
            <w:left w:val="none" w:sz="0" w:space="0" w:color="auto"/>
            <w:bottom w:val="none" w:sz="0" w:space="0" w:color="auto"/>
            <w:right w:val="none" w:sz="0" w:space="0" w:color="auto"/>
          </w:divBdr>
        </w:div>
      </w:divsChild>
    </w:div>
    <w:div w:id="1465736165">
      <w:marLeft w:val="0"/>
      <w:marRight w:val="0"/>
      <w:marTop w:val="0"/>
      <w:marBottom w:val="0"/>
      <w:divBdr>
        <w:top w:val="none" w:sz="0" w:space="0" w:color="auto"/>
        <w:left w:val="none" w:sz="0" w:space="0" w:color="auto"/>
        <w:bottom w:val="none" w:sz="0" w:space="0" w:color="auto"/>
        <w:right w:val="none" w:sz="0" w:space="0" w:color="auto"/>
      </w:divBdr>
    </w:div>
    <w:div w:id="1469711301">
      <w:marLeft w:val="4"/>
      <w:marRight w:val="0"/>
      <w:marTop w:val="0"/>
      <w:marBottom w:val="0"/>
      <w:divBdr>
        <w:top w:val="none" w:sz="0" w:space="0" w:color="auto"/>
        <w:left w:val="none" w:sz="0" w:space="0" w:color="auto"/>
        <w:bottom w:val="none" w:sz="0" w:space="0" w:color="auto"/>
        <w:right w:val="none" w:sz="0" w:space="0" w:color="auto"/>
      </w:divBdr>
      <w:divsChild>
        <w:div w:id="683164635">
          <w:marLeft w:val="0"/>
          <w:marRight w:val="0"/>
          <w:marTop w:val="0"/>
          <w:marBottom w:val="0"/>
          <w:divBdr>
            <w:top w:val="none" w:sz="0" w:space="0" w:color="auto"/>
            <w:left w:val="none" w:sz="0" w:space="0" w:color="auto"/>
            <w:bottom w:val="none" w:sz="0" w:space="0" w:color="auto"/>
            <w:right w:val="none" w:sz="0" w:space="0" w:color="auto"/>
          </w:divBdr>
        </w:div>
      </w:divsChild>
    </w:div>
    <w:div w:id="1471166614">
      <w:marLeft w:val="0"/>
      <w:marRight w:val="0"/>
      <w:marTop w:val="0"/>
      <w:marBottom w:val="0"/>
      <w:divBdr>
        <w:top w:val="none" w:sz="0" w:space="0" w:color="auto"/>
        <w:left w:val="none" w:sz="0" w:space="0" w:color="auto"/>
        <w:bottom w:val="none" w:sz="0" w:space="0" w:color="auto"/>
        <w:right w:val="none" w:sz="0" w:space="0" w:color="auto"/>
      </w:divBdr>
    </w:div>
    <w:div w:id="1475415353">
      <w:marLeft w:val="3"/>
      <w:marRight w:val="0"/>
      <w:marTop w:val="0"/>
      <w:marBottom w:val="0"/>
      <w:divBdr>
        <w:top w:val="none" w:sz="0" w:space="0" w:color="auto"/>
        <w:left w:val="none" w:sz="0" w:space="0" w:color="auto"/>
        <w:bottom w:val="none" w:sz="0" w:space="0" w:color="auto"/>
        <w:right w:val="none" w:sz="0" w:space="0" w:color="auto"/>
      </w:divBdr>
      <w:divsChild>
        <w:div w:id="1239363119">
          <w:marLeft w:val="0"/>
          <w:marRight w:val="0"/>
          <w:marTop w:val="0"/>
          <w:marBottom w:val="0"/>
          <w:divBdr>
            <w:top w:val="none" w:sz="0" w:space="0" w:color="auto"/>
            <w:left w:val="none" w:sz="0" w:space="0" w:color="auto"/>
            <w:bottom w:val="none" w:sz="0" w:space="0" w:color="auto"/>
            <w:right w:val="none" w:sz="0" w:space="0" w:color="auto"/>
          </w:divBdr>
        </w:div>
      </w:divsChild>
    </w:div>
    <w:div w:id="1478917847">
      <w:marLeft w:val="0"/>
      <w:marRight w:val="0"/>
      <w:marTop w:val="120"/>
      <w:marBottom w:val="0"/>
      <w:divBdr>
        <w:top w:val="none" w:sz="0" w:space="0" w:color="auto"/>
        <w:left w:val="none" w:sz="0" w:space="0" w:color="auto"/>
        <w:bottom w:val="none" w:sz="0" w:space="0" w:color="auto"/>
        <w:right w:val="none" w:sz="0" w:space="0" w:color="auto"/>
      </w:divBdr>
      <w:divsChild>
        <w:div w:id="1361734953">
          <w:marLeft w:val="0"/>
          <w:marRight w:val="0"/>
          <w:marTop w:val="0"/>
          <w:marBottom w:val="0"/>
          <w:divBdr>
            <w:top w:val="none" w:sz="0" w:space="0" w:color="auto"/>
            <w:left w:val="none" w:sz="0" w:space="0" w:color="auto"/>
            <w:bottom w:val="none" w:sz="0" w:space="0" w:color="auto"/>
            <w:right w:val="none" w:sz="0" w:space="0" w:color="auto"/>
          </w:divBdr>
        </w:div>
      </w:divsChild>
    </w:div>
    <w:div w:id="1483960534">
      <w:marLeft w:val="4"/>
      <w:marRight w:val="0"/>
      <w:marTop w:val="120"/>
      <w:marBottom w:val="0"/>
      <w:divBdr>
        <w:top w:val="none" w:sz="0" w:space="0" w:color="auto"/>
        <w:left w:val="none" w:sz="0" w:space="0" w:color="auto"/>
        <w:bottom w:val="none" w:sz="0" w:space="0" w:color="auto"/>
        <w:right w:val="none" w:sz="0" w:space="0" w:color="auto"/>
      </w:divBdr>
      <w:divsChild>
        <w:div w:id="1012487266">
          <w:marLeft w:val="0"/>
          <w:marRight w:val="0"/>
          <w:marTop w:val="0"/>
          <w:marBottom w:val="0"/>
          <w:divBdr>
            <w:top w:val="none" w:sz="0" w:space="0" w:color="auto"/>
            <w:left w:val="none" w:sz="0" w:space="0" w:color="auto"/>
            <w:bottom w:val="none" w:sz="0" w:space="0" w:color="auto"/>
            <w:right w:val="none" w:sz="0" w:space="0" w:color="auto"/>
          </w:divBdr>
        </w:div>
      </w:divsChild>
    </w:div>
    <w:div w:id="1489858539">
      <w:marLeft w:val="3"/>
      <w:marRight w:val="0"/>
      <w:marTop w:val="100"/>
      <w:marBottom w:val="0"/>
      <w:divBdr>
        <w:top w:val="none" w:sz="0" w:space="0" w:color="auto"/>
        <w:left w:val="none" w:sz="0" w:space="0" w:color="auto"/>
        <w:bottom w:val="none" w:sz="0" w:space="0" w:color="auto"/>
        <w:right w:val="none" w:sz="0" w:space="0" w:color="auto"/>
      </w:divBdr>
      <w:divsChild>
        <w:div w:id="1051609979">
          <w:marLeft w:val="0"/>
          <w:marRight w:val="0"/>
          <w:marTop w:val="0"/>
          <w:marBottom w:val="0"/>
          <w:divBdr>
            <w:top w:val="none" w:sz="0" w:space="0" w:color="auto"/>
            <w:left w:val="none" w:sz="0" w:space="0" w:color="auto"/>
            <w:bottom w:val="none" w:sz="0" w:space="0" w:color="auto"/>
            <w:right w:val="none" w:sz="0" w:space="0" w:color="auto"/>
          </w:divBdr>
        </w:div>
      </w:divsChild>
    </w:div>
    <w:div w:id="1491673953">
      <w:marLeft w:val="3"/>
      <w:marRight w:val="0"/>
      <w:marTop w:val="0"/>
      <w:marBottom w:val="0"/>
      <w:divBdr>
        <w:top w:val="none" w:sz="0" w:space="0" w:color="auto"/>
        <w:left w:val="none" w:sz="0" w:space="0" w:color="auto"/>
        <w:bottom w:val="none" w:sz="0" w:space="0" w:color="auto"/>
        <w:right w:val="none" w:sz="0" w:space="0" w:color="auto"/>
      </w:divBdr>
      <w:divsChild>
        <w:div w:id="1801411306">
          <w:marLeft w:val="0"/>
          <w:marRight w:val="0"/>
          <w:marTop w:val="0"/>
          <w:marBottom w:val="0"/>
          <w:divBdr>
            <w:top w:val="none" w:sz="0" w:space="0" w:color="auto"/>
            <w:left w:val="none" w:sz="0" w:space="0" w:color="auto"/>
            <w:bottom w:val="none" w:sz="0" w:space="0" w:color="auto"/>
            <w:right w:val="none" w:sz="0" w:space="0" w:color="auto"/>
          </w:divBdr>
        </w:div>
      </w:divsChild>
    </w:div>
    <w:div w:id="1500656266">
      <w:marLeft w:val="4"/>
      <w:marRight w:val="0"/>
      <w:marTop w:val="0"/>
      <w:marBottom w:val="0"/>
      <w:divBdr>
        <w:top w:val="none" w:sz="0" w:space="0" w:color="auto"/>
        <w:left w:val="none" w:sz="0" w:space="0" w:color="auto"/>
        <w:bottom w:val="none" w:sz="0" w:space="0" w:color="auto"/>
        <w:right w:val="none" w:sz="0" w:space="0" w:color="auto"/>
      </w:divBdr>
      <w:divsChild>
        <w:div w:id="517357735">
          <w:marLeft w:val="0"/>
          <w:marRight w:val="0"/>
          <w:marTop w:val="0"/>
          <w:marBottom w:val="0"/>
          <w:divBdr>
            <w:top w:val="none" w:sz="0" w:space="0" w:color="auto"/>
            <w:left w:val="none" w:sz="0" w:space="0" w:color="auto"/>
            <w:bottom w:val="none" w:sz="0" w:space="0" w:color="auto"/>
            <w:right w:val="none" w:sz="0" w:space="0" w:color="auto"/>
          </w:divBdr>
        </w:div>
      </w:divsChild>
    </w:div>
    <w:div w:id="1510409269">
      <w:marLeft w:val="3"/>
      <w:marRight w:val="0"/>
      <w:marTop w:val="100"/>
      <w:marBottom w:val="0"/>
      <w:divBdr>
        <w:top w:val="none" w:sz="0" w:space="0" w:color="auto"/>
        <w:left w:val="none" w:sz="0" w:space="0" w:color="auto"/>
        <w:bottom w:val="none" w:sz="0" w:space="0" w:color="auto"/>
        <w:right w:val="none" w:sz="0" w:space="0" w:color="auto"/>
      </w:divBdr>
      <w:divsChild>
        <w:div w:id="1253050287">
          <w:marLeft w:val="0"/>
          <w:marRight w:val="0"/>
          <w:marTop w:val="0"/>
          <w:marBottom w:val="0"/>
          <w:divBdr>
            <w:top w:val="none" w:sz="0" w:space="0" w:color="auto"/>
            <w:left w:val="none" w:sz="0" w:space="0" w:color="auto"/>
            <w:bottom w:val="none" w:sz="0" w:space="0" w:color="auto"/>
            <w:right w:val="none" w:sz="0" w:space="0" w:color="auto"/>
          </w:divBdr>
        </w:div>
      </w:divsChild>
    </w:div>
    <w:div w:id="1521045433">
      <w:marLeft w:val="4"/>
      <w:marRight w:val="0"/>
      <w:marTop w:val="0"/>
      <w:marBottom w:val="0"/>
      <w:divBdr>
        <w:top w:val="none" w:sz="0" w:space="0" w:color="auto"/>
        <w:left w:val="none" w:sz="0" w:space="0" w:color="auto"/>
        <w:bottom w:val="none" w:sz="0" w:space="0" w:color="auto"/>
        <w:right w:val="none" w:sz="0" w:space="0" w:color="auto"/>
      </w:divBdr>
      <w:divsChild>
        <w:div w:id="1121535043">
          <w:marLeft w:val="0"/>
          <w:marRight w:val="0"/>
          <w:marTop w:val="0"/>
          <w:marBottom w:val="0"/>
          <w:divBdr>
            <w:top w:val="none" w:sz="0" w:space="0" w:color="auto"/>
            <w:left w:val="none" w:sz="0" w:space="0" w:color="auto"/>
            <w:bottom w:val="none" w:sz="0" w:space="0" w:color="auto"/>
            <w:right w:val="none" w:sz="0" w:space="0" w:color="auto"/>
          </w:divBdr>
        </w:div>
      </w:divsChild>
    </w:div>
    <w:div w:id="1526400672">
      <w:marLeft w:val="3"/>
      <w:marRight w:val="0"/>
      <w:marTop w:val="0"/>
      <w:marBottom w:val="0"/>
      <w:divBdr>
        <w:top w:val="none" w:sz="0" w:space="0" w:color="auto"/>
        <w:left w:val="none" w:sz="0" w:space="0" w:color="auto"/>
        <w:bottom w:val="none" w:sz="0" w:space="0" w:color="auto"/>
        <w:right w:val="none" w:sz="0" w:space="0" w:color="auto"/>
      </w:divBdr>
      <w:divsChild>
        <w:div w:id="1807818413">
          <w:marLeft w:val="0"/>
          <w:marRight w:val="0"/>
          <w:marTop w:val="0"/>
          <w:marBottom w:val="0"/>
          <w:divBdr>
            <w:top w:val="none" w:sz="0" w:space="0" w:color="auto"/>
            <w:left w:val="none" w:sz="0" w:space="0" w:color="auto"/>
            <w:bottom w:val="none" w:sz="0" w:space="0" w:color="auto"/>
            <w:right w:val="none" w:sz="0" w:space="0" w:color="auto"/>
          </w:divBdr>
        </w:div>
      </w:divsChild>
    </w:div>
    <w:div w:id="1531917306">
      <w:marLeft w:val="4"/>
      <w:marRight w:val="0"/>
      <w:marTop w:val="0"/>
      <w:marBottom w:val="0"/>
      <w:divBdr>
        <w:top w:val="none" w:sz="0" w:space="0" w:color="auto"/>
        <w:left w:val="none" w:sz="0" w:space="0" w:color="auto"/>
        <w:bottom w:val="none" w:sz="0" w:space="0" w:color="auto"/>
        <w:right w:val="none" w:sz="0" w:space="0" w:color="auto"/>
      </w:divBdr>
      <w:divsChild>
        <w:div w:id="226260726">
          <w:marLeft w:val="0"/>
          <w:marRight w:val="0"/>
          <w:marTop w:val="0"/>
          <w:marBottom w:val="0"/>
          <w:divBdr>
            <w:top w:val="none" w:sz="0" w:space="0" w:color="auto"/>
            <w:left w:val="none" w:sz="0" w:space="0" w:color="auto"/>
            <w:bottom w:val="none" w:sz="0" w:space="0" w:color="auto"/>
            <w:right w:val="none" w:sz="0" w:space="0" w:color="auto"/>
          </w:divBdr>
        </w:div>
      </w:divsChild>
    </w:div>
    <w:div w:id="1532298457">
      <w:marLeft w:val="4"/>
      <w:marRight w:val="0"/>
      <w:marTop w:val="0"/>
      <w:marBottom w:val="0"/>
      <w:divBdr>
        <w:top w:val="none" w:sz="0" w:space="0" w:color="auto"/>
        <w:left w:val="none" w:sz="0" w:space="0" w:color="auto"/>
        <w:bottom w:val="none" w:sz="0" w:space="0" w:color="auto"/>
        <w:right w:val="none" w:sz="0" w:space="0" w:color="auto"/>
      </w:divBdr>
      <w:divsChild>
        <w:div w:id="117142775">
          <w:marLeft w:val="0"/>
          <w:marRight w:val="0"/>
          <w:marTop w:val="0"/>
          <w:marBottom w:val="0"/>
          <w:divBdr>
            <w:top w:val="none" w:sz="0" w:space="0" w:color="auto"/>
            <w:left w:val="none" w:sz="0" w:space="0" w:color="auto"/>
            <w:bottom w:val="none" w:sz="0" w:space="0" w:color="auto"/>
            <w:right w:val="none" w:sz="0" w:space="0" w:color="auto"/>
          </w:divBdr>
        </w:div>
      </w:divsChild>
    </w:div>
    <w:div w:id="1546789829">
      <w:marLeft w:val="0"/>
      <w:marRight w:val="0"/>
      <w:marTop w:val="0"/>
      <w:marBottom w:val="0"/>
      <w:divBdr>
        <w:top w:val="none" w:sz="0" w:space="0" w:color="auto"/>
        <w:left w:val="none" w:sz="0" w:space="0" w:color="auto"/>
        <w:bottom w:val="none" w:sz="0" w:space="0" w:color="auto"/>
        <w:right w:val="none" w:sz="0" w:space="0" w:color="auto"/>
      </w:divBdr>
      <w:divsChild>
        <w:div w:id="1455323714">
          <w:marLeft w:val="0"/>
          <w:marRight w:val="0"/>
          <w:marTop w:val="40"/>
          <w:marBottom w:val="0"/>
          <w:divBdr>
            <w:top w:val="none" w:sz="0" w:space="0" w:color="auto"/>
            <w:left w:val="none" w:sz="0" w:space="0" w:color="auto"/>
            <w:bottom w:val="none" w:sz="0" w:space="0" w:color="auto"/>
            <w:right w:val="none" w:sz="0" w:space="0" w:color="auto"/>
          </w:divBdr>
          <w:divsChild>
            <w:div w:id="16186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2540">
      <w:marLeft w:val="3"/>
      <w:marRight w:val="0"/>
      <w:marTop w:val="0"/>
      <w:marBottom w:val="0"/>
      <w:divBdr>
        <w:top w:val="none" w:sz="0" w:space="0" w:color="auto"/>
        <w:left w:val="none" w:sz="0" w:space="0" w:color="auto"/>
        <w:bottom w:val="none" w:sz="0" w:space="0" w:color="auto"/>
        <w:right w:val="none" w:sz="0" w:space="0" w:color="auto"/>
      </w:divBdr>
      <w:divsChild>
        <w:div w:id="803694108">
          <w:marLeft w:val="0"/>
          <w:marRight w:val="0"/>
          <w:marTop w:val="0"/>
          <w:marBottom w:val="0"/>
          <w:divBdr>
            <w:top w:val="none" w:sz="0" w:space="0" w:color="auto"/>
            <w:left w:val="none" w:sz="0" w:space="0" w:color="auto"/>
            <w:bottom w:val="none" w:sz="0" w:space="0" w:color="auto"/>
            <w:right w:val="none" w:sz="0" w:space="0" w:color="auto"/>
          </w:divBdr>
        </w:div>
      </w:divsChild>
    </w:div>
    <w:div w:id="1553233608">
      <w:marLeft w:val="4"/>
      <w:marRight w:val="0"/>
      <w:marTop w:val="120"/>
      <w:marBottom w:val="0"/>
      <w:divBdr>
        <w:top w:val="none" w:sz="0" w:space="0" w:color="auto"/>
        <w:left w:val="none" w:sz="0" w:space="0" w:color="auto"/>
        <w:bottom w:val="none" w:sz="0" w:space="0" w:color="auto"/>
        <w:right w:val="none" w:sz="0" w:space="0" w:color="auto"/>
      </w:divBdr>
      <w:divsChild>
        <w:div w:id="1603687993">
          <w:marLeft w:val="0"/>
          <w:marRight w:val="0"/>
          <w:marTop w:val="0"/>
          <w:marBottom w:val="0"/>
          <w:divBdr>
            <w:top w:val="none" w:sz="0" w:space="0" w:color="auto"/>
            <w:left w:val="none" w:sz="0" w:space="0" w:color="auto"/>
            <w:bottom w:val="none" w:sz="0" w:space="0" w:color="auto"/>
            <w:right w:val="none" w:sz="0" w:space="0" w:color="auto"/>
          </w:divBdr>
        </w:div>
      </w:divsChild>
    </w:div>
    <w:div w:id="1564172564">
      <w:marLeft w:val="10"/>
      <w:marRight w:val="0"/>
      <w:marTop w:val="0"/>
      <w:marBottom w:val="0"/>
      <w:divBdr>
        <w:top w:val="none" w:sz="0" w:space="0" w:color="auto"/>
        <w:left w:val="none" w:sz="0" w:space="0" w:color="auto"/>
        <w:bottom w:val="none" w:sz="0" w:space="0" w:color="auto"/>
        <w:right w:val="none" w:sz="0" w:space="0" w:color="auto"/>
      </w:divBdr>
      <w:divsChild>
        <w:div w:id="1317341904">
          <w:marLeft w:val="0"/>
          <w:marRight w:val="0"/>
          <w:marTop w:val="0"/>
          <w:marBottom w:val="0"/>
          <w:divBdr>
            <w:top w:val="none" w:sz="0" w:space="0" w:color="auto"/>
            <w:left w:val="none" w:sz="0" w:space="0" w:color="auto"/>
            <w:bottom w:val="none" w:sz="0" w:space="0" w:color="auto"/>
            <w:right w:val="none" w:sz="0" w:space="0" w:color="auto"/>
          </w:divBdr>
        </w:div>
      </w:divsChild>
    </w:div>
    <w:div w:id="1568806292">
      <w:marLeft w:val="3"/>
      <w:marRight w:val="0"/>
      <w:marTop w:val="0"/>
      <w:marBottom w:val="0"/>
      <w:divBdr>
        <w:top w:val="none" w:sz="0" w:space="0" w:color="auto"/>
        <w:left w:val="none" w:sz="0" w:space="0" w:color="auto"/>
        <w:bottom w:val="none" w:sz="0" w:space="0" w:color="auto"/>
        <w:right w:val="none" w:sz="0" w:space="0" w:color="auto"/>
      </w:divBdr>
      <w:divsChild>
        <w:div w:id="1860503662">
          <w:marLeft w:val="0"/>
          <w:marRight w:val="0"/>
          <w:marTop w:val="0"/>
          <w:marBottom w:val="0"/>
          <w:divBdr>
            <w:top w:val="none" w:sz="0" w:space="0" w:color="auto"/>
            <w:left w:val="none" w:sz="0" w:space="0" w:color="auto"/>
            <w:bottom w:val="none" w:sz="0" w:space="0" w:color="auto"/>
            <w:right w:val="none" w:sz="0" w:space="0" w:color="auto"/>
          </w:divBdr>
        </w:div>
      </w:divsChild>
    </w:div>
    <w:div w:id="1572933702">
      <w:marLeft w:val="3"/>
      <w:marRight w:val="0"/>
      <w:marTop w:val="0"/>
      <w:marBottom w:val="0"/>
      <w:divBdr>
        <w:top w:val="none" w:sz="0" w:space="0" w:color="auto"/>
        <w:left w:val="none" w:sz="0" w:space="0" w:color="auto"/>
        <w:bottom w:val="none" w:sz="0" w:space="0" w:color="auto"/>
        <w:right w:val="none" w:sz="0" w:space="0" w:color="auto"/>
      </w:divBdr>
      <w:divsChild>
        <w:div w:id="1397126732">
          <w:marLeft w:val="0"/>
          <w:marRight w:val="0"/>
          <w:marTop w:val="0"/>
          <w:marBottom w:val="0"/>
          <w:divBdr>
            <w:top w:val="none" w:sz="0" w:space="0" w:color="auto"/>
            <w:left w:val="none" w:sz="0" w:space="0" w:color="auto"/>
            <w:bottom w:val="none" w:sz="0" w:space="0" w:color="auto"/>
            <w:right w:val="none" w:sz="0" w:space="0" w:color="auto"/>
          </w:divBdr>
        </w:div>
      </w:divsChild>
    </w:div>
    <w:div w:id="1574511940">
      <w:marLeft w:val="10"/>
      <w:marRight w:val="0"/>
      <w:marTop w:val="0"/>
      <w:marBottom w:val="0"/>
      <w:divBdr>
        <w:top w:val="none" w:sz="0" w:space="0" w:color="auto"/>
        <w:left w:val="none" w:sz="0" w:space="0" w:color="auto"/>
        <w:bottom w:val="none" w:sz="0" w:space="0" w:color="auto"/>
        <w:right w:val="none" w:sz="0" w:space="0" w:color="auto"/>
      </w:divBdr>
      <w:divsChild>
        <w:div w:id="918371828">
          <w:marLeft w:val="0"/>
          <w:marRight w:val="0"/>
          <w:marTop w:val="0"/>
          <w:marBottom w:val="0"/>
          <w:divBdr>
            <w:top w:val="none" w:sz="0" w:space="0" w:color="auto"/>
            <w:left w:val="none" w:sz="0" w:space="0" w:color="auto"/>
            <w:bottom w:val="none" w:sz="0" w:space="0" w:color="auto"/>
            <w:right w:val="none" w:sz="0" w:space="0" w:color="auto"/>
          </w:divBdr>
        </w:div>
      </w:divsChild>
    </w:div>
    <w:div w:id="1577128016">
      <w:marLeft w:val="4"/>
      <w:marRight w:val="0"/>
      <w:marTop w:val="120"/>
      <w:marBottom w:val="0"/>
      <w:divBdr>
        <w:top w:val="none" w:sz="0" w:space="0" w:color="auto"/>
        <w:left w:val="none" w:sz="0" w:space="0" w:color="auto"/>
        <w:bottom w:val="none" w:sz="0" w:space="0" w:color="auto"/>
        <w:right w:val="none" w:sz="0" w:space="0" w:color="auto"/>
      </w:divBdr>
      <w:divsChild>
        <w:div w:id="316343972">
          <w:marLeft w:val="0"/>
          <w:marRight w:val="0"/>
          <w:marTop w:val="0"/>
          <w:marBottom w:val="0"/>
          <w:divBdr>
            <w:top w:val="none" w:sz="0" w:space="0" w:color="auto"/>
            <w:left w:val="none" w:sz="0" w:space="0" w:color="auto"/>
            <w:bottom w:val="none" w:sz="0" w:space="0" w:color="auto"/>
            <w:right w:val="none" w:sz="0" w:space="0" w:color="auto"/>
          </w:divBdr>
        </w:div>
      </w:divsChild>
    </w:div>
    <w:div w:id="1597907448">
      <w:marLeft w:val="4"/>
      <w:marRight w:val="0"/>
      <w:marTop w:val="240"/>
      <w:marBottom w:val="0"/>
      <w:divBdr>
        <w:top w:val="none" w:sz="0" w:space="0" w:color="auto"/>
        <w:left w:val="none" w:sz="0" w:space="0" w:color="auto"/>
        <w:bottom w:val="none" w:sz="0" w:space="0" w:color="auto"/>
        <w:right w:val="none" w:sz="0" w:space="0" w:color="auto"/>
      </w:divBdr>
      <w:divsChild>
        <w:div w:id="135294906">
          <w:marLeft w:val="0"/>
          <w:marRight w:val="0"/>
          <w:marTop w:val="0"/>
          <w:marBottom w:val="0"/>
          <w:divBdr>
            <w:top w:val="none" w:sz="0" w:space="0" w:color="auto"/>
            <w:left w:val="none" w:sz="0" w:space="0" w:color="auto"/>
            <w:bottom w:val="none" w:sz="0" w:space="0" w:color="auto"/>
            <w:right w:val="none" w:sz="0" w:space="0" w:color="auto"/>
          </w:divBdr>
        </w:div>
      </w:divsChild>
    </w:div>
    <w:div w:id="1603492732">
      <w:marLeft w:val="0"/>
      <w:marRight w:val="0"/>
      <w:marTop w:val="120"/>
      <w:marBottom w:val="0"/>
      <w:divBdr>
        <w:top w:val="none" w:sz="0" w:space="0" w:color="auto"/>
        <w:left w:val="none" w:sz="0" w:space="0" w:color="auto"/>
        <w:bottom w:val="none" w:sz="0" w:space="0" w:color="auto"/>
        <w:right w:val="none" w:sz="0" w:space="0" w:color="auto"/>
      </w:divBdr>
      <w:divsChild>
        <w:div w:id="1408839876">
          <w:marLeft w:val="0"/>
          <w:marRight w:val="0"/>
          <w:marTop w:val="0"/>
          <w:marBottom w:val="0"/>
          <w:divBdr>
            <w:top w:val="none" w:sz="0" w:space="0" w:color="auto"/>
            <w:left w:val="none" w:sz="0" w:space="0" w:color="auto"/>
            <w:bottom w:val="none" w:sz="0" w:space="0" w:color="auto"/>
            <w:right w:val="none" w:sz="0" w:space="0" w:color="auto"/>
          </w:divBdr>
        </w:div>
      </w:divsChild>
    </w:div>
    <w:div w:id="1618485731">
      <w:marLeft w:val="4"/>
      <w:marRight w:val="0"/>
      <w:marTop w:val="0"/>
      <w:marBottom w:val="0"/>
      <w:divBdr>
        <w:top w:val="none" w:sz="0" w:space="0" w:color="auto"/>
        <w:left w:val="none" w:sz="0" w:space="0" w:color="auto"/>
        <w:bottom w:val="none" w:sz="0" w:space="0" w:color="auto"/>
        <w:right w:val="none" w:sz="0" w:space="0" w:color="auto"/>
      </w:divBdr>
      <w:divsChild>
        <w:div w:id="767038968">
          <w:marLeft w:val="0"/>
          <w:marRight w:val="0"/>
          <w:marTop w:val="0"/>
          <w:marBottom w:val="0"/>
          <w:divBdr>
            <w:top w:val="none" w:sz="0" w:space="0" w:color="auto"/>
            <w:left w:val="none" w:sz="0" w:space="0" w:color="auto"/>
            <w:bottom w:val="none" w:sz="0" w:space="0" w:color="auto"/>
            <w:right w:val="none" w:sz="0" w:space="0" w:color="auto"/>
          </w:divBdr>
        </w:div>
      </w:divsChild>
    </w:div>
    <w:div w:id="1633436466">
      <w:marLeft w:val="3"/>
      <w:marRight w:val="0"/>
      <w:marTop w:val="100"/>
      <w:marBottom w:val="0"/>
      <w:divBdr>
        <w:top w:val="none" w:sz="0" w:space="0" w:color="auto"/>
        <w:left w:val="none" w:sz="0" w:space="0" w:color="auto"/>
        <w:bottom w:val="none" w:sz="0" w:space="0" w:color="auto"/>
        <w:right w:val="none" w:sz="0" w:space="0" w:color="auto"/>
      </w:divBdr>
      <w:divsChild>
        <w:div w:id="1400131208">
          <w:marLeft w:val="0"/>
          <w:marRight w:val="0"/>
          <w:marTop w:val="0"/>
          <w:marBottom w:val="0"/>
          <w:divBdr>
            <w:top w:val="none" w:sz="0" w:space="0" w:color="auto"/>
            <w:left w:val="none" w:sz="0" w:space="0" w:color="auto"/>
            <w:bottom w:val="none" w:sz="0" w:space="0" w:color="auto"/>
            <w:right w:val="none" w:sz="0" w:space="0" w:color="auto"/>
          </w:divBdr>
        </w:div>
      </w:divsChild>
    </w:div>
    <w:div w:id="1638410816">
      <w:marLeft w:val="4"/>
      <w:marRight w:val="0"/>
      <w:marTop w:val="0"/>
      <w:marBottom w:val="0"/>
      <w:divBdr>
        <w:top w:val="none" w:sz="0" w:space="0" w:color="auto"/>
        <w:left w:val="none" w:sz="0" w:space="0" w:color="auto"/>
        <w:bottom w:val="none" w:sz="0" w:space="0" w:color="auto"/>
        <w:right w:val="none" w:sz="0" w:space="0" w:color="auto"/>
      </w:divBdr>
      <w:divsChild>
        <w:div w:id="847209872">
          <w:marLeft w:val="0"/>
          <w:marRight w:val="0"/>
          <w:marTop w:val="0"/>
          <w:marBottom w:val="0"/>
          <w:divBdr>
            <w:top w:val="none" w:sz="0" w:space="0" w:color="auto"/>
            <w:left w:val="none" w:sz="0" w:space="0" w:color="auto"/>
            <w:bottom w:val="none" w:sz="0" w:space="0" w:color="auto"/>
            <w:right w:val="none" w:sz="0" w:space="0" w:color="auto"/>
          </w:divBdr>
        </w:div>
      </w:divsChild>
    </w:div>
    <w:div w:id="1642541081">
      <w:marLeft w:val="0"/>
      <w:marRight w:val="0"/>
      <w:marTop w:val="40"/>
      <w:marBottom w:val="0"/>
      <w:divBdr>
        <w:top w:val="none" w:sz="0" w:space="0" w:color="auto"/>
        <w:left w:val="none" w:sz="0" w:space="0" w:color="auto"/>
        <w:bottom w:val="none" w:sz="0" w:space="0" w:color="auto"/>
        <w:right w:val="none" w:sz="0" w:space="0" w:color="auto"/>
      </w:divBdr>
      <w:divsChild>
        <w:div w:id="1589268872">
          <w:marLeft w:val="0"/>
          <w:marRight w:val="0"/>
          <w:marTop w:val="0"/>
          <w:marBottom w:val="0"/>
          <w:divBdr>
            <w:top w:val="none" w:sz="0" w:space="0" w:color="auto"/>
            <w:left w:val="none" w:sz="0" w:space="0" w:color="auto"/>
            <w:bottom w:val="none" w:sz="0" w:space="0" w:color="auto"/>
            <w:right w:val="none" w:sz="0" w:space="0" w:color="auto"/>
          </w:divBdr>
        </w:div>
      </w:divsChild>
    </w:div>
    <w:div w:id="1687555402">
      <w:marLeft w:val="4"/>
      <w:marRight w:val="0"/>
      <w:marTop w:val="120"/>
      <w:marBottom w:val="0"/>
      <w:divBdr>
        <w:top w:val="none" w:sz="0" w:space="0" w:color="auto"/>
        <w:left w:val="none" w:sz="0" w:space="0" w:color="auto"/>
        <w:bottom w:val="none" w:sz="0" w:space="0" w:color="auto"/>
        <w:right w:val="none" w:sz="0" w:space="0" w:color="auto"/>
      </w:divBdr>
      <w:divsChild>
        <w:div w:id="324627503">
          <w:marLeft w:val="0"/>
          <w:marRight w:val="0"/>
          <w:marTop w:val="0"/>
          <w:marBottom w:val="0"/>
          <w:divBdr>
            <w:top w:val="none" w:sz="0" w:space="0" w:color="auto"/>
            <w:left w:val="none" w:sz="0" w:space="0" w:color="auto"/>
            <w:bottom w:val="none" w:sz="0" w:space="0" w:color="auto"/>
            <w:right w:val="none" w:sz="0" w:space="0" w:color="auto"/>
          </w:divBdr>
        </w:div>
      </w:divsChild>
    </w:div>
    <w:div w:id="1702976443">
      <w:marLeft w:val="0"/>
      <w:marRight w:val="0"/>
      <w:marTop w:val="120"/>
      <w:marBottom w:val="0"/>
      <w:divBdr>
        <w:top w:val="none" w:sz="0" w:space="0" w:color="auto"/>
        <w:left w:val="none" w:sz="0" w:space="0" w:color="auto"/>
        <w:bottom w:val="none" w:sz="0" w:space="0" w:color="auto"/>
        <w:right w:val="none" w:sz="0" w:space="0" w:color="auto"/>
      </w:divBdr>
      <w:divsChild>
        <w:div w:id="2089226404">
          <w:marLeft w:val="0"/>
          <w:marRight w:val="0"/>
          <w:marTop w:val="0"/>
          <w:marBottom w:val="0"/>
          <w:divBdr>
            <w:top w:val="none" w:sz="0" w:space="0" w:color="auto"/>
            <w:left w:val="none" w:sz="0" w:space="0" w:color="auto"/>
            <w:bottom w:val="none" w:sz="0" w:space="0" w:color="auto"/>
            <w:right w:val="none" w:sz="0" w:space="0" w:color="auto"/>
          </w:divBdr>
        </w:div>
      </w:divsChild>
    </w:div>
    <w:div w:id="1704283330">
      <w:marLeft w:val="4"/>
      <w:marRight w:val="0"/>
      <w:marTop w:val="0"/>
      <w:marBottom w:val="0"/>
      <w:divBdr>
        <w:top w:val="none" w:sz="0" w:space="0" w:color="auto"/>
        <w:left w:val="none" w:sz="0" w:space="0" w:color="auto"/>
        <w:bottom w:val="none" w:sz="0" w:space="0" w:color="auto"/>
        <w:right w:val="none" w:sz="0" w:space="0" w:color="auto"/>
      </w:divBdr>
      <w:divsChild>
        <w:div w:id="16278571">
          <w:marLeft w:val="0"/>
          <w:marRight w:val="0"/>
          <w:marTop w:val="0"/>
          <w:marBottom w:val="0"/>
          <w:divBdr>
            <w:top w:val="none" w:sz="0" w:space="0" w:color="auto"/>
            <w:left w:val="none" w:sz="0" w:space="0" w:color="auto"/>
            <w:bottom w:val="none" w:sz="0" w:space="0" w:color="auto"/>
            <w:right w:val="none" w:sz="0" w:space="0" w:color="auto"/>
          </w:divBdr>
        </w:div>
      </w:divsChild>
    </w:div>
    <w:div w:id="1711370422">
      <w:marLeft w:val="4"/>
      <w:marRight w:val="0"/>
      <w:marTop w:val="120"/>
      <w:marBottom w:val="0"/>
      <w:divBdr>
        <w:top w:val="none" w:sz="0" w:space="0" w:color="auto"/>
        <w:left w:val="none" w:sz="0" w:space="0" w:color="auto"/>
        <w:bottom w:val="none" w:sz="0" w:space="0" w:color="auto"/>
        <w:right w:val="none" w:sz="0" w:space="0" w:color="auto"/>
      </w:divBdr>
      <w:divsChild>
        <w:div w:id="1732314612">
          <w:marLeft w:val="0"/>
          <w:marRight w:val="0"/>
          <w:marTop w:val="0"/>
          <w:marBottom w:val="0"/>
          <w:divBdr>
            <w:top w:val="none" w:sz="0" w:space="0" w:color="auto"/>
            <w:left w:val="none" w:sz="0" w:space="0" w:color="auto"/>
            <w:bottom w:val="none" w:sz="0" w:space="0" w:color="auto"/>
            <w:right w:val="none" w:sz="0" w:space="0" w:color="auto"/>
          </w:divBdr>
        </w:div>
      </w:divsChild>
    </w:div>
    <w:div w:id="1717654739">
      <w:marLeft w:val="0"/>
      <w:marRight w:val="0"/>
      <w:marTop w:val="120"/>
      <w:marBottom w:val="0"/>
      <w:divBdr>
        <w:top w:val="none" w:sz="0" w:space="0" w:color="auto"/>
        <w:left w:val="none" w:sz="0" w:space="0" w:color="auto"/>
        <w:bottom w:val="none" w:sz="0" w:space="0" w:color="auto"/>
        <w:right w:val="none" w:sz="0" w:space="0" w:color="auto"/>
      </w:divBdr>
      <w:divsChild>
        <w:div w:id="1781099173">
          <w:marLeft w:val="0"/>
          <w:marRight w:val="0"/>
          <w:marTop w:val="0"/>
          <w:marBottom w:val="0"/>
          <w:divBdr>
            <w:top w:val="none" w:sz="0" w:space="0" w:color="auto"/>
            <w:left w:val="none" w:sz="0" w:space="0" w:color="auto"/>
            <w:bottom w:val="none" w:sz="0" w:space="0" w:color="auto"/>
            <w:right w:val="none" w:sz="0" w:space="0" w:color="auto"/>
          </w:divBdr>
        </w:div>
      </w:divsChild>
    </w:div>
    <w:div w:id="1739475500">
      <w:marLeft w:val="4"/>
      <w:marRight w:val="0"/>
      <w:marTop w:val="0"/>
      <w:marBottom w:val="0"/>
      <w:divBdr>
        <w:top w:val="none" w:sz="0" w:space="0" w:color="auto"/>
        <w:left w:val="none" w:sz="0" w:space="0" w:color="auto"/>
        <w:bottom w:val="none" w:sz="0" w:space="0" w:color="auto"/>
        <w:right w:val="none" w:sz="0" w:space="0" w:color="auto"/>
      </w:divBdr>
      <w:divsChild>
        <w:div w:id="1826816416">
          <w:marLeft w:val="0"/>
          <w:marRight w:val="0"/>
          <w:marTop w:val="0"/>
          <w:marBottom w:val="0"/>
          <w:divBdr>
            <w:top w:val="none" w:sz="0" w:space="0" w:color="auto"/>
            <w:left w:val="none" w:sz="0" w:space="0" w:color="auto"/>
            <w:bottom w:val="none" w:sz="0" w:space="0" w:color="auto"/>
            <w:right w:val="none" w:sz="0" w:space="0" w:color="auto"/>
          </w:divBdr>
        </w:div>
      </w:divsChild>
    </w:div>
    <w:div w:id="1742290614">
      <w:marLeft w:val="4"/>
      <w:marRight w:val="0"/>
      <w:marTop w:val="120"/>
      <w:marBottom w:val="0"/>
      <w:divBdr>
        <w:top w:val="none" w:sz="0" w:space="0" w:color="auto"/>
        <w:left w:val="none" w:sz="0" w:space="0" w:color="auto"/>
        <w:bottom w:val="none" w:sz="0" w:space="0" w:color="auto"/>
        <w:right w:val="none" w:sz="0" w:space="0" w:color="auto"/>
      </w:divBdr>
      <w:divsChild>
        <w:div w:id="1503861261">
          <w:marLeft w:val="0"/>
          <w:marRight w:val="0"/>
          <w:marTop w:val="0"/>
          <w:marBottom w:val="0"/>
          <w:divBdr>
            <w:top w:val="none" w:sz="0" w:space="0" w:color="auto"/>
            <w:left w:val="none" w:sz="0" w:space="0" w:color="auto"/>
            <w:bottom w:val="none" w:sz="0" w:space="0" w:color="auto"/>
            <w:right w:val="none" w:sz="0" w:space="0" w:color="auto"/>
          </w:divBdr>
        </w:div>
      </w:divsChild>
    </w:div>
    <w:div w:id="1756246041">
      <w:marLeft w:val="4"/>
      <w:marRight w:val="0"/>
      <w:marTop w:val="0"/>
      <w:marBottom w:val="0"/>
      <w:divBdr>
        <w:top w:val="none" w:sz="0" w:space="0" w:color="auto"/>
        <w:left w:val="none" w:sz="0" w:space="0" w:color="auto"/>
        <w:bottom w:val="none" w:sz="0" w:space="0" w:color="auto"/>
        <w:right w:val="none" w:sz="0" w:space="0" w:color="auto"/>
      </w:divBdr>
      <w:divsChild>
        <w:div w:id="1354913674">
          <w:marLeft w:val="0"/>
          <w:marRight w:val="0"/>
          <w:marTop w:val="0"/>
          <w:marBottom w:val="0"/>
          <w:divBdr>
            <w:top w:val="none" w:sz="0" w:space="0" w:color="auto"/>
            <w:left w:val="none" w:sz="0" w:space="0" w:color="auto"/>
            <w:bottom w:val="none" w:sz="0" w:space="0" w:color="auto"/>
            <w:right w:val="none" w:sz="0" w:space="0" w:color="auto"/>
          </w:divBdr>
        </w:div>
      </w:divsChild>
    </w:div>
    <w:div w:id="1756323959">
      <w:marLeft w:val="3"/>
      <w:marRight w:val="0"/>
      <w:marTop w:val="0"/>
      <w:marBottom w:val="0"/>
      <w:divBdr>
        <w:top w:val="none" w:sz="0" w:space="0" w:color="auto"/>
        <w:left w:val="none" w:sz="0" w:space="0" w:color="auto"/>
        <w:bottom w:val="none" w:sz="0" w:space="0" w:color="auto"/>
        <w:right w:val="none" w:sz="0" w:space="0" w:color="auto"/>
      </w:divBdr>
      <w:divsChild>
        <w:div w:id="502938994">
          <w:marLeft w:val="0"/>
          <w:marRight w:val="0"/>
          <w:marTop w:val="0"/>
          <w:marBottom w:val="0"/>
          <w:divBdr>
            <w:top w:val="none" w:sz="0" w:space="0" w:color="auto"/>
            <w:left w:val="none" w:sz="0" w:space="0" w:color="auto"/>
            <w:bottom w:val="none" w:sz="0" w:space="0" w:color="auto"/>
            <w:right w:val="none" w:sz="0" w:space="0" w:color="auto"/>
          </w:divBdr>
        </w:div>
      </w:divsChild>
    </w:div>
    <w:div w:id="1762481692">
      <w:marLeft w:val="0"/>
      <w:marRight w:val="0"/>
      <w:marTop w:val="0"/>
      <w:marBottom w:val="0"/>
      <w:divBdr>
        <w:top w:val="none" w:sz="0" w:space="0" w:color="auto"/>
        <w:left w:val="none" w:sz="0" w:space="0" w:color="auto"/>
        <w:bottom w:val="none" w:sz="0" w:space="0" w:color="auto"/>
        <w:right w:val="none" w:sz="0" w:space="0" w:color="auto"/>
      </w:divBdr>
      <w:divsChild>
        <w:div w:id="1147477556">
          <w:marLeft w:val="0"/>
          <w:marRight w:val="0"/>
          <w:marTop w:val="0"/>
          <w:marBottom w:val="0"/>
          <w:divBdr>
            <w:top w:val="none" w:sz="0" w:space="0" w:color="auto"/>
            <w:left w:val="none" w:sz="0" w:space="0" w:color="auto"/>
            <w:bottom w:val="none" w:sz="0" w:space="0" w:color="auto"/>
            <w:right w:val="none" w:sz="0" w:space="0" w:color="auto"/>
          </w:divBdr>
        </w:div>
        <w:div w:id="155192581">
          <w:marLeft w:val="0"/>
          <w:marRight w:val="0"/>
          <w:marTop w:val="0"/>
          <w:marBottom w:val="0"/>
          <w:divBdr>
            <w:top w:val="none" w:sz="0" w:space="0" w:color="auto"/>
            <w:left w:val="none" w:sz="0" w:space="0" w:color="auto"/>
            <w:bottom w:val="none" w:sz="0" w:space="0" w:color="auto"/>
            <w:right w:val="none" w:sz="0" w:space="0" w:color="auto"/>
          </w:divBdr>
        </w:div>
        <w:div w:id="178618187">
          <w:marLeft w:val="0"/>
          <w:marRight w:val="0"/>
          <w:marTop w:val="0"/>
          <w:marBottom w:val="0"/>
          <w:divBdr>
            <w:top w:val="none" w:sz="0" w:space="0" w:color="auto"/>
            <w:left w:val="none" w:sz="0" w:space="0" w:color="auto"/>
            <w:bottom w:val="none" w:sz="0" w:space="0" w:color="auto"/>
            <w:right w:val="none" w:sz="0" w:space="0" w:color="auto"/>
          </w:divBdr>
        </w:div>
        <w:div w:id="1645432370">
          <w:marLeft w:val="0"/>
          <w:marRight w:val="0"/>
          <w:marTop w:val="0"/>
          <w:marBottom w:val="0"/>
          <w:divBdr>
            <w:top w:val="none" w:sz="0" w:space="0" w:color="auto"/>
            <w:left w:val="none" w:sz="0" w:space="0" w:color="auto"/>
            <w:bottom w:val="none" w:sz="0" w:space="0" w:color="auto"/>
            <w:right w:val="none" w:sz="0" w:space="0" w:color="auto"/>
          </w:divBdr>
        </w:div>
      </w:divsChild>
    </w:div>
    <w:div w:id="1770001077">
      <w:marLeft w:val="4"/>
      <w:marRight w:val="0"/>
      <w:marTop w:val="120"/>
      <w:marBottom w:val="0"/>
      <w:divBdr>
        <w:top w:val="none" w:sz="0" w:space="0" w:color="auto"/>
        <w:left w:val="none" w:sz="0" w:space="0" w:color="auto"/>
        <w:bottom w:val="none" w:sz="0" w:space="0" w:color="auto"/>
        <w:right w:val="none" w:sz="0" w:space="0" w:color="auto"/>
      </w:divBdr>
      <w:divsChild>
        <w:div w:id="1705131665">
          <w:marLeft w:val="0"/>
          <w:marRight w:val="0"/>
          <w:marTop w:val="0"/>
          <w:marBottom w:val="0"/>
          <w:divBdr>
            <w:top w:val="none" w:sz="0" w:space="0" w:color="auto"/>
            <w:left w:val="none" w:sz="0" w:space="0" w:color="auto"/>
            <w:bottom w:val="none" w:sz="0" w:space="0" w:color="auto"/>
            <w:right w:val="none" w:sz="0" w:space="0" w:color="auto"/>
          </w:divBdr>
        </w:div>
      </w:divsChild>
    </w:div>
    <w:div w:id="1771319534">
      <w:marLeft w:val="3"/>
      <w:marRight w:val="0"/>
      <w:marTop w:val="100"/>
      <w:marBottom w:val="0"/>
      <w:divBdr>
        <w:top w:val="none" w:sz="0" w:space="0" w:color="auto"/>
        <w:left w:val="none" w:sz="0" w:space="0" w:color="auto"/>
        <w:bottom w:val="none" w:sz="0" w:space="0" w:color="auto"/>
        <w:right w:val="none" w:sz="0" w:space="0" w:color="auto"/>
      </w:divBdr>
      <w:divsChild>
        <w:div w:id="2085293984">
          <w:marLeft w:val="0"/>
          <w:marRight w:val="0"/>
          <w:marTop w:val="0"/>
          <w:marBottom w:val="0"/>
          <w:divBdr>
            <w:top w:val="none" w:sz="0" w:space="0" w:color="auto"/>
            <w:left w:val="none" w:sz="0" w:space="0" w:color="auto"/>
            <w:bottom w:val="none" w:sz="0" w:space="0" w:color="auto"/>
            <w:right w:val="none" w:sz="0" w:space="0" w:color="auto"/>
          </w:divBdr>
        </w:div>
      </w:divsChild>
    </w:div>
    <w:div w:id="1775518769">
      <w:marLeft w:val="0"/>
      <w:marRight w:val="0"/>
      <w:marTop w:val="120"/>
      <w:marBottom w:val="0"/>
      <w:divBdr>
        <w:top w:val="none" w:sz="0" w:space="0" w:color="auto"/>
        <w:left w:val="none" w:sz="0" w:space="0" w:color="auto"/>
        <w:bottom w:val="none" w:sz="0" w:space="0" w:color="auto"/>
        <w:right w:val="none" w:sz="0" w:space="0" w:color="auto"/>
      </w:divBdr>
      <w:divsChild>
        <w:div w:id="1347441352">
          <w:marLeft w:val="0"/>
          <w:marRight w:val="0"/>
          <w:marTop w:val="0"/>
          <w:marBottom w:val="0"/>
          <w:divBdr>
            <w:top w:val="none" w:sz="0" w:space="0" w:color="auto"/>
            <w:left w:val="none" w:sz="0" w:space="0" w:color="auto"/>
            <w:bottom w:val="none" w:sz="0" w:space="0" w:color="auto"/>
            <w:right w:val="none" w:sz="0" w:space="0" w:color="auto"/>
          </w:divBdr>
        </w:div>
      </w:divsChild>
    </w:div>
    <w:div w:id="1791589473">
      <w:marLeft w:val="4"/>
      <w:marRight w:val="0"/>
      <w:marTop w:val="0"/>
      <w:marBottom w:val="0"/>
      <w:divBdr>
        <w:top w:val="none" w:sz="0" w:space="0" w:color="auto"/>
        <w:left w:val="none" w:sz="0" w:space="0" w:color="auto"/>
        <w:bottom w:val="none" w:sz="0" w:space="0" w:color="auto"/>
        <w:right w:val="none" w:sz="0" w:space="0" w:color="auto"/>
      </w:divBdr>
      <w:divsChild>
        <w:div w:id="607785121">
          <w:marLeft w:val="0"/>
          <w:marRight w:val="0"/>
          <w:marTop w:val="0"/>
          <w:marBottom w:val="0"/>
          <w:divBdr>
            <w:top w:val="none" w:sz="0" w:space="0" w:color="auto"/>
            <w:left w:val="none" w:sz="0" w:space="0" w:color="auto"/>
            <w:bottom w:val="none" w:sz="0" w:space="0" w:color="auto"/>
            <w:right w:val="none" w:sz="0" w:space="0" w:color="auto"/>
          </w:divBdr>
        </w:div>
      </w:divsChild>
    </w:div>
    <w:div w:id="1792479671">
      <w:marLeft w:val="4"/>
      <w:marRight w:val="0"/>
      <w:marTop w:val="0"/>
      <w:marBottom w:val="0"/>
      <w:divBdr>
        <w:top w:val="none" w:sz="0" w:space="0" w:color="auto"/>
        <w:left w:val="none" w:sz="0" w:space="0" w:color="auto"/>
        <w:bottom w:val="none" w:sz="0" w:space="0" w:color="auto"/>
        <w:right w:val="none" w:sz="0" w:space="0" w:color="auto"/>
      </w:divBdr>
      <w:divsChild>
        <w:div w:id="1282347235">
          <w:marLeft w:val="0"/>
          <w:marRight w:val="0"/>
          <w:marTop w:val="0"/>
          <w:marBottom w:val="0"/>
          <w:divBdr>
            <w:top w:val="none" w:sz="0" w:space="0" w:color="auto"/>
            <w:left w:val="none" w:sz="0" w:space="0" w:color="auto"/>
            <w:bottom w:val="none" w:sz="0" w:space="0" w:color="auto"/>
            <w:right w:val="none" w:sz="0" w:space="0" w:color="auto"/>
          </w:divBdr>
        </w:div>
      </w:divsChild>
    </w:div>
    <w:div w:id="1792750530">
      <w:marLeft w:val="4"/>
      <w:marRight w:val="0"/>
      <w:marTop w:val="120"/>
      <w:marBottom w:val="0"/>
      <w:divBdr>
        <w:top w:val="none" w:sz="0" w:space="0" w:color="auto"/>
        <w:left w:val="none" w:sz="0" w:space="0" w:color="auto"/>
        <w:bottom w:val="none" w:sz="0" w:space="0" w:color="auto"/>
        <w:right w:val="none" w:sz="0" w:space="0" w:color="auto"/>
      </w:divBdr>
      <w:divsChild>
        <w:div w:id="439766748">
          <w:marLeft w:val="0"/>
          <w:marRight w:val="0"/>
          <w:marTop w:val="0"/>
          <w:marBottom w:val="0"/>
          <w:divBdr>
            <w:top w:val="none" w:sz="0" w:space="0" w:color="auto"/>
            <w:left w:val="none" w:sz="0" w:space="0" w:color="auto"/>
            <w:bottom w:val="none" w:sz="0" w:space="0" w:color="auto"/>
            <w:right w:val="none" w:sz="0" w:space="0" w:color="auto"/>
          </w:divBdr>
        </w:div>
      </w:divsChild>
    </w:div>
    <w:div w:id="1833062768">
      <w:marLeft w:val="4"/>
      <w:marRight w:val="0"/>
      <w:marTop w:val="0"/>
      <w:marBottom w:val="0"/>
      <w:divBdr>
        <w:top w:val="none" w:sz="0" w:space="0" w:color="auto"/>
        <w:left w:val="none" w:sz="0" w:space="0" w:color="auto"/>
        <w:bottom w:val="none" w:sz="0" w:space="0" w:color="auto"/>
        <w:right w:val="none" w:sz="0" w:space="0" w:color="auto"/>
      </w:divBdr>
      <w:divsChild>
        <w:div w:id="814109374">
          <w:marLeft w:val="0"/>
          <w:marRight w:val="0"/>
          <w:marTop w:val="0"/>
          <w:marBottom w:val="0"/>
          <w:divBdr>
            <w:top w:val="none" w:sz="0" w:space="0" w:color="auto"/>
            <w:left w:val="none" w:sz="0" w:space="0" w:color="auto"/>
            <w:bottom w:val="none" w:sz="0" w:space="0" w:color="auto"/>
            <w:right w:val="none" w:sz="0" w:space="0" w:color="auto"/>
          </w:divBdr>
        </w:div>
      </w:divsChild>
    </w:div>
    <w:div w:id="1834102329">
      <w:marLeft w:val="10"/>
      <w:marRight w:val="0"/>
      <w:marTop w:val="0"/>
      <w:marBottom w:val="0"/>
      <w:divBdr>
        <w:top w:val="none" w:sz="0" w:space="0" w:color="auto"/>
        <w:left w:val="none" w:sz="0" w:space="0" w:color="auto"/>
        <w:bottom w:val="none" w:sz="0" w:space="0" w:color="auto"/>
        <w:right w:val="none" w:sz="0" w:space="0" w:color="auto"/>
      </w:divBdr>
      <w:divsChild>
        <w:div w:id="251009612">
          <w:marLeft w:val="0"/>
          <w:marRight w:val="0"/>
          <w:marTop w:val="0"/>
          <w:marBottom w:val="0"/>
          <w:divBdr>
            <w:top w:val="none" w:sz="0" w:space="0" w:color="auto"/>
            <w:left w:val="none" w:sz="0" w:space="0" w:color="auto"/>
            <w:bottom w:val="none" w:sz="0" w:space="0" w:color="auto"/>
            <w:right w:val="none" w:sz="0" w:space="0" w:color="auto"/>
          </w:divBdr>
        </w:div>
      </w:divsChild>
    </w:div>
    <w:div w:id="1838763530">
      <w:marLeft w:val="4"/>
      <w:marRight w:val="0"/>
      <w:marTop w:val="0"/>
      <w:marBottom w:val="0"/>
      <w:divBdr>
        <w:top w:val="none" w:sz="0" w:space="0" w:color="auto"/>
        <w:left w:val="none" w:sz="0" w:space="0" w:color="auto"/>
        <w:bottom w:val="none" w:sz="0" w:space="0" w:color="auto"/>
        <w:right w:val="none" w:sz="0" w:space="0" w:color="auto"/>
      </w:divBdr>
      <w:divsChild>
        <w:div w:id="1769496329">
          <w:marLeft w:val="0"/>
          <w:marRight w:val="0"/>
          <w:marTop w:val="0"/>
          <w:marBottom w:val="0"/>
          <w:divBdr>
            <w:top w:val="none" w:sz="0" w:space="0" w:color="auto"/>
            <w:left w:val="none" w:sz="0" w:space="0" w:color="auto"/>
            <w:bottom w:val="none" w:sz="0" w:space="0" w:color="auto"/>
            <w:right w:val="none" w:sz="0" w:space="0" w:color="auto"/>
          </w:divBdr>
        </w:div>
      </w:divsChild>
    </w:div>
    <w:div w:id="1842887060">
      <w:marLeft w:val="0"/>
      <w:marRight w:val="0"/>
      <w:marTop w:val="120"/>
      <w:marBottom w:val="0"/>
      <w:divBdr>
        <w:top w:val="none" w:sz="0" w:space="0" w:color="auto"/>
        <w:left w:val="none" w:sz="0" w:space="0" w:color="auto"/>
        <w:bottom w:val="none" w:sz="0" w:space="0" w:color="auto"/>
        <w:right w:val="none" w:sz="0" w:space="0" w:color="auto"/>
      </w:divBdr>
      <w:divsChild>
        <w:div w:id="846676172">
          <w:marLeft w:val="0"/>
          <w:marRight w:val="0"/>
          <w:marTop w:val="0"/>
          <w:marBottom w:val="0"/>
          <w:divBdr>
            <w:top w:val="none" w:sz="0" w:space="0" w:color="auto"/>
            <w:left w:val="none" w:sz="0" w:space="0" w:color="auto"/>
            <w:bottom w:val="none" w:sz="0" w:space="0" w:color="auto"/>
            <w:right w:val="none" w:sz="0" w:space="0" w:color="auto"/>
          </w:divBdr>
        </w:div>
      </w:divsChild>
    </w:div>
    <w:div w:id="1843664666">
      <w:marLeft w:val="4"/>
      <w:marRight w:val="0"/>
      <w:marTop w:val="120"/>
      <w:marBottom w:val="0"/>
      <w:divBdr>
        <w:top w:val="none" w:sz="0" w:space="0" w:color="auto"/>
        <w:left w:val="none" w:sz="0" w:space="0" w:color="auto"/>
        <w:bottom w:val="none" w:sz="0" w:space="0" w:color="auto"/>
        <w:right w:val="none" w:sz="0" w:space="0" w:color="auto"/>
      </w:divBdr>
      <w:divsChild>
        <w:div w:id="1466892734">
          <w:marLeft w:val="0"/>
          <w:marRight w:val="0"/>
          <w:marTop w:val="0"/>
          <w:marBottom w:val="0"/>
          <w:divBdr>
            <w:top w:val="none" w:sz="0" w:space="0" w:color="auto"/>
            <w:left w:val="none" w:sz="0" w:space="0" w:color="auto"/>
            <w:bottom w:val="none" w:sz="0" w:space="0" w:color="auto"/>
            <w:right w:val="none" w:sz="0" w:space="0" w:color="auto"/>
          </w:divBdr>
        </w:div>
      </w:divsChild>
    </w:div>
    <w:div w:id="1848322893">
      <w:marLeft w:val="4"/>
      <w:marRight w:val="0"/>
      <w:marTop w:val="0"/>
      <w:marBottom w:val="0"/>
      <w:divBdr>
        <w:top w:val="none" w:sz="0" w:space="0" w:color="auto"/>
        <w:left w:val="none" w:sz="0" w:space="0" w:color="auto"/>
        <w:bottom w:val="none" w:sz="0" w:space="0" w:color="auto"/>
        <w:right w:val="none" w:sz="0" w:space="0" w:color="auto"/>
      </w:divBdr>
      <w:divsChild>
        <w:div w:id="1591618846">
          <w:marLeft w:val="0"/>
          <w:marRight w:val="0"/>
          <w:marTop w:val="0"/>
          <w:marBottom w:val="0"/>
          <w:divBdr>
            <w:top w:val="none" w:sz="0" w:space="0" w:color="auto"/>
            <w:left w:val="none" w:sz="0" w:space="0" w:color="auto"/>
            <w:bottom w:val="none" w:sz="0" w:space="0" w:color="auto"/>
            <w:right w:val="none" w:sz="0" w:space="0" w:color="auto"/>
          </w:divBdr>
        </w:div>
      </w:divsChild>
    </w:div>
    <w:div w:id="1861581312">
      <w:marLeft w:val="0"/>
      <w:marRight w:val="0"/>
      <w:marTop w:val="120"/>
      <w:marBottom w:val="0"/>
      <w:divBdr>
        <w:top w:val="none" w:sz="0" w:space="0" w:color="auto"/>
        <w:left w:val="none" w:sz="0" w:space="0" w:color="auto"/>
        <w:bottom w:val="none" w:sz="0" w:space="0" w:color="auto"/>
        <w:right w:val="none" w:sz="0" w:space="0" w:color="auto"/>
      </w:divBdr>
      <w:divsChild>
        <w:div w:id="885524513">
          <w:marLeft w:val="0"/>
          <w:marRight w:val="0"/>
          <w:marTop w:val="0"/>
          <w:marBottom w:val="0"/>
          <w:divBdr>
            <w:top w:val="none" w:sz="0" w:space="0" w:color="auto"/>
            <w:left w:val="none" w:sz="0" w:space="0" w:color="auto"/>
            <w:bottom w:val="none" w:sz="0" w:space="0" w:color="auto"/>
            <w:right w:val="none" w:sz="0" w:space="0" w:color="auto"/>
          </w:divBdr>
        </w:div>
      </w:divsChild>
    </w:div>
    <w:div w:id="1863781016">
      <w:marLeft w:val="0"/>
      <w:marRight w:val="0"/>
      <w:marTop w:val="0"/>
      <w:marBottom w:val="0"/>
      <w:divBdr>
        <w:top w:val="none" w:sz="0" w:space="0" w:color="auto"/>
        <w:left w:val="none" w:sz="0" w:space="0" w:color="auto"/>
        <w:bottom w:val="none" w:sz="0" w:space="0" w:color="auto"/>
        <w:right w:val="none" w:sz="0" w:space="0" w:color="auto"/>
      </w:divBdr>
    </w:div>
    <w:div w:id="1871259945">
      <w:marLeft w:val="0"/>
      <w:marRight w:val="0"/>
      <w:marTop w:val="120"/>
      <w:marBottom w:val="0"/>
      <w:divBdr>
        <w:top w:val="none" w:sz="0" w:space="0" w:color="auto"/>
        <w:left w:val="none" w:sz="0" w:space="0" w:color="auto"/>
        <w:bottom w:val="none" w:sz="0" w:space="0" w:color="auto"/>
        <w:right w:val="none" w:sz="0" w:space="0" w:color="auto"/>
      </w:divBdr>
      <w:divsChild>
        <w:div w:id="1871718022">
          <w:marLeft w:val="0"/>
          <w:marRight w:val="0"/>
          <w:marTop w:val="0"/>
          <w:marBottom w:val="0"/>
          <w:divBdr>
            <w:top w:val="none" w:sz="0" w:space="0" w:color="auto"/>
            <w:left w:val="none" w:sz="0" w:space="0" w:color="auto"/>
            <w:bottom w:val="none" w:sz="0" w:space="0" w:color="auto"/>
            <w:right w:val="none" w:sz="0" w:space="0" w:color="auto"/>
          </w:divBdr>
        </w:div>
      </w:divsChild>
    </w:div>
    <w:div w:id="1872916375">
      <w:marLeft w:val="0"/>
      <w:marRight w:val="0"/>
      <w:marTop w:val="120"/>
      <w:marBottom w:val="0"/>
      <w:divBdr>
        <w:top w:val="none" w:sz="0" w:space="0" w:color="auto"/>
        <w:left w:val="none" w:sz="0" w:space="0" w:color="auto"/>
        <w:bottom w:val="none" w:sz="0" w:space="0" w:color="auto"/>
        <w:right w:val="none" w:sz="0" w:space="0" w:color="auto"/>
      </w:divBdr>
      <w:divsChild>
        <w:div w:id="688290050">
          <w:marLeft w:val="0"/>
          <w:marRight w:val="0"/>
          <w:marTop w:val="0"/>
          <w:marBottom w:val="0"/>
          <w:divBdr>
            <w:top w:val="none" w:sz="0" w:space="0" w:color="auto"/>
            <w:left w:val="none" w:sz="0" w:space="0" w:color="auto"/>
            <w:bottom w:val="none" w:sz="0" w:space="0" w:color="auto"/>
            <w:right w:val="none" w:sz="0" w:space="0" w:color="auto"/>
          </w:divBdr>
        </w:div>
      </w:divsChild>
    </w:div>
    <w:div w:id="1906333003">
      <w:marLeft w:val="3"/>
      <w:marRight w:val="0"/>
      <w:marTop w:val="100"/>
      <w:marBottom w:val="0"/>
      <w:divBdr>
        <w:top w:val="none" w:sz="0" w:space="0" w:color="auto"/>
        <w:left w:val="none" w:sz="0" w:space="0" w:color="auto"/>
        <w:bottom w:val="none" w:sz="0" w:space="0" w:color="auto"/>
        <w:right w:val="none" w:sz="0" w:space="0" w:color="auto"/>
      </w:divBdr>
      <w:divsChild>
        <w:div w:id="1364788467">
          <w:marLeft w:val="0"/>
          <w:marRight w:val="0"/>
          <w:marTop w:val="0"/>
          <w:marBottom w:val="0"/>
          <w:divBdr>
            <w:top w:val="none" w:sz="0" w:space="0" w:color="auto"/>
            <w:left w:val="none" w:sz="0" w:space="0" w:color="auto"/>
            <w:bottom w:val="none" w:sz="0" w:space="0" w:color="auto"/>
            <w:right w:val="none" w:sz="0" w:space="0" w:color="auto"/>
          </w:divBdr>
        </w:div>
      </w:divsChild>
    </w:div>
    <w:div w:id="1910262686">
      <w:marLeft w:val="4"/>
      <w:marRight w:val="0"/>
      <w:marTop w:val="0"/>
      <w:marBottom w:val="0"/>
      <w:divBdr>
        <w:top w:val="none" w:sz="0" w:space="0" w:color="auto"/>
        <w:left w:val="none" w:sz="0" w:space="0" w:color="auto"/>
        <w:bottom w:val="none" w:sz="0" w:space="0" w:color="auto"/>
        <w:right w:val="none" w:sz="0" w:space="0" w:color="auto"/>
      </w:divBdr>
      <w:divsChild>
        <w:div w:id="879706026">
          <w:marLeft w:val="0"/>
          <w:marRight w:val="0"/>
          <w:marTop w:val="0"/>
          <w:marBottom w:val="0"/>
          <w:divBdr>
            <w:top w:val="none" w:sz="0" w:space="0" w:color="auto"/>
            <w:left w:val="none" w:sz="0" w:space="0" w:color="auto"/>
            <w:bottom w:val="none" w:sz="0" w:space="0" w:color="auto"/>
            <w:right w:val="none" w:sz="0" w:space="0" w:color="auto"/>
          </w:divBdr>
        </w:div>
      </w:divsChild>
    </w:div>
    <w:div w:id="1913737380">
      <w:marLeft w:val="10"/>
      <w:marRight w:val="0"/>
      <w:marTop w:val="0"/>
      <w:marBottom w:val="0"/>
      <w:divBdr>
        <w:top w:val="none" w:sz="0" w:space="0" w:color="auto"/>
        <w:left w:val="none" w:sz="0" w:space="0" w:color="auto"/>
        <w:bottom w:val="none" w:sz="0" w:space="0" w:color="auto"/>
        <w:right w:val="none" w:sz="0" w:space="0" w:color="auto"/>
      </w:divBdr>
      <w:divsChild>
        <w:div w:id="70473874">
          <w:marLeft w:val="0"/>
          <w:marRight w:val="0"/>
          <w:marTop w:val="0"/>
          <w:marBottom w:val="0"/>
          <w:divBdr>
            <w:top w:val="none" w:sz="0" w:space="0" w:color="auto"/>
            <w:left w:val="none" w:sz="0" w:space="0" w:color="auto"/>
            <w:bottom w:val="none" w:sz="0" w:space="0" w:color="auto"/>
            <w:right w:val="none" w:sz="0" w:space="0" w:color="auto"/>
          </w:divBdr>
        </w:div>
      </w:divsChild>
    </w:div>
    <w:div w:id="1919365451">
      <w:marLeft w:val="7"/>
      <w:marRight w:val="0"/>
      <w:marTop w:val="0"/>
      <w:marBottom w:val="0"/>
      <w:divBdr>
        <w:top w:val="none" w:sz="0" w:space="0" w:color="auto"/>
        <w:left w:val="none" w:sz="0" w:space="0" w:color="auto"/>
        <w:bottom w:val="none" w:sz="0" w:space="0" w:color="auto"/>
        <w:right w:val="none" w:sz="0" w:space="0" w:color="auto"/>
      </w:divBdr>
      <w:divsChild>
        <w:div w:id="428429751">
          <w:marLeft w:val="0"/>
          <w:marRight w:val="0"/>
          <w:marTop w:val="0"/>
          <w:marBottom w:val="0"/>
          <w:divBdr>
            <w:top w:val="none" w:sz="0" w:space="0" w:color="auto"/>
            <w:left w:val="none" w:sz="0" w:space="0" w:color="auto"/>
            <w:bottom w:val="none" w:sz="0" w:space="0" w:color="auto"/>
            <w:right w:val="none" w:sz="0" w:space="0" w:color="auto"/>
          </w:divBdr>
        </w:div>
      </w:divsChild>
    </w:div>
    <w:div w:id="1932616291">
      <w:marLeft w:val="7"/>
      <w:marRight w:val="0"/>
      <w:marTop w:val="0"/>
      <w:marBottom w:val="0"/>
      <w:divBdr>
        <w:top w:val="none" w:sz="0" w:space="0" w:color="auto"/>
        <w:left w:val="none" w:sz="0" w:space="0" w:color="auto"/>
        <w:bottom w:val="none" w:sz="0" w:space="0" w:color="auto"/>
        <w:right w:val="none" w:sz="0" w:space="0" w:color="auto"/>
      </w:divBdr>
      <w:divsChild>
        <w:div w:id="412555469">
          <w:marLeft w:val="0"/>
          <w:marRight w:val="0"/>
          <w:marTop w:val="0"/>
          <w:marBottom w:val="0"/>
          <w:divBdr>
            <w:top w:val="none" w:sz="0" w:space="0" w:color="auto"/>
            <w:left w:val="none" w:sz="0" w:space="0" w:color="auto"/>
            <w:bottom w:val="none" w:sz="0" w:space="0" w:color="auto"/>
            <w:right w:val="none" w:sz="0" w:space="0" w:color="auto"/>
          </w:divBdr>
        </w:div>
      </w:divsChild>
    </w:div>
    <w:div w:id="1938978772">
      <w:marLeft w:val="3"/>
      <w:marRight w:val="0"/>
      <w:marTop w:val="0"/>
      <w:marBottom w:val="0"/>
      <w:divBdr>
        <w:top w:val="none" w:sz="0" w:space="0" w:color="auto"/>
        <w:left w:val="none" w:sz="0" w:space="0" w:color="auto"/>
        <w:bottom w:val="none" w:sz="0" w:space="0" w:color="auto"/>
        <w:right w:val="none" w:sz="0" w:space="0" w:color="auto"/>
      </w:divBdr>
      <w:divsChild>
        <w:div w:id="220869171">
          <w:marLeft w:val="0"/>
          <w:marRight w:val="0"/>
          <w:marTop w:val="0"/>
          <w:marBottom w:val="0"/>
          <w:divBdr>
            <w:top w:val="none" w:sz="0" w:space="0" w:color="auto"/>
            <w:left w:val="none" w:sz="0" w:space="0" w:color="auto"/>
            <w:bottom w:val="none" w:sz="0" w:space="0" w:color="auto"/>
            <w:right w:val="none" w:sz="0" w:space="0" w:color="auto"/>
          </w:divBdr>
        </w:div>
      </w:divsChild>
    </w:div>
    <w:div w:id="1941906592">
      <w:marLeft w:val="4"/>
      <w:marRight w:val="0"/>
      <w:marTop w:val="0"/>
      <w:marBottom w:val="0"/>
      <w:divBdr>
        <w:top w:val="none" w:sz="0" w:space="0" w:color="auto"/>
        <w:left w:val="none" w:sz="0" w:space="0" w:color="auto"/>
        <w:bottom w:val="none" w:sz="0" w:space="0" w:color="auto"/>
        <w:right w:val="none" w:sz="0" w:space="0" w:color="auto"/>
      </w:divBdr>
      <w:divsChild>
        <w:div w:id="612245469">
          <w:marLeft w:val="0"/>
          <w:marRight w:val="0"/>
          <w:marTop w:val="0"/>
          <w:marBottom w:val="0"/>
          <w:divBdr>
            <w:top w:val="none" w:sz="0" w:space="0" w:color="auto"/>
            <w:left w:val="none" w:sz="0" w:space="0" w:color="auto"/>
            <w:bottom w:val="none" w:sz="0" w:space="0" w:color="auto"/>
            <w:right w:val="none" w:sz="0" w:space="0" w:color="auto"/>
          </w:divBdr>
        </w:div>
      </w:divsChild>
    </w:div>
    <w:div w:id="1952319338">
      <w:marLeft w:val="0"/>
      <w:marRight w:val="0"/>
      <w:marTop w:val="40"/>
      <w:marBottom w:val="0"/>
      <w:divBdr>
        <w:top w:val="none" w:sz="0" w:space="0" w:color="auto"/>
        <w:left w:val="none" w:sz="0" w:space="0" w:color="auto"/>
        <w:bottom w:val="none" w:sz="0" w:space="0" w:color="auto"/>
        <w:right w:val="none" w:sz="0" w:space="0" w:color="auto"/>
      </w:divBdr>
      <w:divsChild>
        <w:div w:id="1895117147">
          <w:marLeft w:val="0"/>
          <w:marRight w:val="0"/>
          <w:marTop w:val="0"/>
          <w:marBottom w:val="0"/>
          <w:divBdr>
            <w:top w:val="none" w:sz="0" w:space="0" w:color="auto"/>
            <w:left w:val="none" w:sz="0" w:space="0" w:color="auto"/>
            <w:bottom w:val="none" w:sz="0" w:space="0" w:color="auto"/>
            <w:right w:val="none" w:sz="0" w:space="0" w:color="auto"/>
          </w:divBdr>
        </w:div>
      </w:divsChild>
    </w:div>
    <w:div w:id="1954552574">
      <w:marLeft w:val="0"/>
      <w:marRight w:val="0"/>
      <w:marTop w:val="0"/>
      <w:marBottom w:val="0"/>
      <w:divBdr>
        <w:top w:val="none" w:sz="0" w:space="0" w:color="auto"/>
        <w:left w:val="none" w:sz="0" w:space="0" w:color="auto"/>
        <w:bottom w:val="none" w:sz="0" w:space="0" w:color="auto"/>
        <w:right w:val="none" w:sz="0" w:space="0" w:color="auto"/>
      </w:divBdr>
      <w:divsChild>
        <w:div w:id="1494174886">
          <w:marLeft w:val="0"/>
          <w:marRight w:val="0"/>
          <w:marTop w:val="0"/>
          <w:marBottom w:val="0"/>
          <w:divBdr>
            <w:top w:val="none" w:sz="0" w:space="0" w:color="auto"/>
            <w:left w:val="none" w:sz="0" w:space="0" w:color="auto"/>
            <w:bottom w:val="none" w:sz="0" w:space="0" w:color="auto"/>
            <w:right w:val="none" w:sz="0" w:space="0" w:color="auto"/>
          </w:divBdr>
        </w:div>
        <w:div w:id="1633049168">
          <w:marLeft w:val="0"/>
          <w:marRight w:val="0"/>
          <w:marTop w:val="0"/>
          <w:marBottom w:val="0"/>
          <w:divBdr>
            <w:top w:val="none" w:sz="0" w:space="0" w:color="auto"/>
            <w:left w:val="none" w:sz="0" w:space="0" w:color="auto"/>
            <w:bottom w:val="none" w:sz="0" w:space="0" w:color="auto"/>
            <w:right w:val="none" w:sz="0" w:space="0" w:color="auto"/>
          </w:divBdr>
        </w:div>
        <w:div w:id="1676028207">
          <w:marLeft w:val="0"/>
          <w:marRight w:val="0"/>
          <w:marTop w:val="0"/>
          <w:marBottom w:val="0"/>
          <w:divBdr>
            <w:top w:val="none" w:sz="0" w:space="0" w:color="auto"/>
            <w:left w:val="none" w:sz="0" w:space="0" w:color="auto"/>
            <w:bottom w:val="none" w:sz="0" w:space="0" w:color="auto"/>
            <w:right w:val="none" w:sz="0" w:space="0" w:color="auto"/>
          </w:divBdr>
        </w:div>
      </w:divsChild>
    </w:div>
    <w:div w:id="1954940283">
      <w:marLeft w:val="0"/>
      <w:marRight w:val="0"/>
      <w:marTop w:val="40"/>
      <w:marBottom w:val="0"/>
      <w:divBdr>
        <w:top w:val="none" w:sz="0" w:space="0" w:color="auto"/>
        <w:left w:val="none" w:sz="0" w:space="0" w:color="auto"/>
        <w:bottom w:val="none" w:sz="0" w:space="0" w:color="auto"/>
        <w:right w:val="none" w:sz="0" w:space="0" w:color="auto"/>
      </w:divBdr>
      <w:divsChild>
        <w:div w:id="2041777399">
          <w:marLeft w:val="0"/>
          <w:marRight w:val="0"/>
          <w:marTop w:val="0"/>
          <w:marBottom w:val="0"/>
          <w:divBdr>
            <w:top w:val="none" w:sz="0" w:space="0" w:color="auto"/>
            <w:left w:val="none" w:sz="0" w:space="0" w:color="auto"/>
            <w:bottom w:val="none" w:sz="0" w:space="0" w:color="auto"/>
            <w:right w:val="none" w:sz="0" w:space="0" w:color="auto"/>
          </w:divBdr>
        </w:div>
      </w:divsChild>
    </w:div>
    <w:div w:id="1968122934">
      <w:marLeft w:val="0"/>
      <w:marRight w:val="0"/>
      <w:marTop w:val="120"/>
      <w:marBottom w:val="0"/>
      <w:divBdr>
        <w:top w:val="none" w:sz="0" w:space="0" w:color="auto"/>
        <w:left w:val="none" w:sz="0" w:space="0" w:color="auto"/>
        <w:bottom w:val="none" w:sz="0" w:space="0" w:color="auto"/>
        <w:right w:val="none" w:sz="0" w:space="0" w:color="auto"/>
      </w:divBdr>
      <w:divsChild>
        <w:div w:id="471024417">
          <w:marLeft w:val="0"/>
          <w:marRight w:val="0"/>
          <w:marTop w:val="0"/>
          <w:marBottom w:val="0"/>
          <w:divBdr>
            <w:top w:val="none" w:sz="0" w:space="0" w:color="auto"/>
            <w:left w:val="none" w:sz="0" w:space="0" w:color="auto"/>
            <w:bottom w:val="none" w:sz="0" w:space="0" w:color="auto"/>
            <w:right w:val="none" w:sz="0" w:space="0" w:color="auto"/>
          </w:divBdr>
        </w:div>
      </w:divsChild>
    </w:div>
    <w:div w:id="1973828238">
      <w:marLeft w:val="0"/>
      <w:marRight w:val="0"/>
      <w:marTop w:val="40"/>
      <w:marBottom w:val="0"/>
      <w:divBdr>
        <w:top w:val="none" w:sz="0" w:space="0" w:color="auto"/>
        <w:left w:val="none" w:sz="0" w:space="0" w:color="auto"/>
        <w:bottom w:val="none" w:sz="0" w:space="0" w:color="auto"/>
        <w:right w:val="none" w:sz="0" w:space="0" w:color="auto"/>
      </w:divBdr>
      <w:divsChild>
        <w:div w:id="1413359295">
          <w:marLeft w:val="0"/>
          <w:marRight w:val="0"/>
          <w:marTop w:val="0"/>
          <w:marBottom w:val="0"/>
          <w:divBdr>
            <w:top w:val="none" w:sz="0" w:space="0" w:color="auto"/>
            <w:left w:val="none" w:sz="0" w:space="0" w:color="auto"/>
            <w:bottom w:val="none" w:sz="0" w:space="0" w:color="auto"/>
            <w:right w:val="none" w:sz="0" w:space="0" w:color="auto"/>
          </w:divBdr>
        </w:div>
      </w:divsChild>
    </w:div>
    <w:div w:id="1992099492">
      <w:marLeft w:val="3"/>
      <w:marRight w:val="0"/>
      <w:marTop w:val="0"/>
      <w:marBottom w:val="0"/>
      <w:divBdr>
        <w:top w:val="none" w:sz="0" w:space="0" w:color="auto"/>
        <w:left w:val="none" w:sz="0" w:space="0" w:color="auto"/>
        <w:bottom w:val="none" w:sz="0" w:space="0" w:color="auto"/>
        <w:right w:val="none" w:sz="0" w:space="0" w:color="auto"/>
      </w:divBdr>
      <w:divsChild>
        <w:div w:id="1068531557">
          <w:marLeft w:val="0"/>
          <w:marRight w:val="0"/>
          <w:marTop w:val="0"/>
          <w:marBottom w:val="0"/>
          <w:divBdr>
            <w:top w:val="none" w:sz="0" w:space="0" w:color="auto"/>
            <w:left w:val="none" w:sz="0" w:space="0" w:color="auto"/>
            <w:bottom w:val="none" w:sz="0" w:space="0" w:color="auto"/>
            <w:right w:val="none" w:sz="0" w:space="0" w:color="auto"/>
          </w:divBdr>
        </w:div>
      </w:divsChild>
    </w:div>
    <w:div w:id="1995720419">
      <w:marLeft w:val="3"/>
      <w:marRight w:val="0"/>
      <w:marTop w:val="0"/>
      <w:marBottom w:val="0"/>
      <w:divBdr>
        <w:top w:val="none" w:sz="0" w:space="0" w:color="auto"/>
        <w:left w:val="none" w:sz="0" w:space="0" w:color="auto"/>
        <w:bottom w:val="none" w:sz="0" w:space="0" w:color="auto"/>
        <w:right w:val="none" w:sz="0" w:space="0" w:color="auto"/>
      </w:divBdr>
      <w:divsChild>
        <w:div w:id="641621101">
          <w:marLeft w:val="0"/>
          <w:marRight w:val="0"/>
          <w:marTop w:val="0"/>
          <w:marBottom w:val="0"/>
          <w:divBdr>
            <w:top w:val="none" w:sz="0" w:space="0" w:color="auto"/>
            <w:left w:val="none" w:sz="0" w:space="0" w:color="auto"/>
            <w:bottom w:val="none" w:sz="0" w:space="0" w:color="auto"/>
            <w:right w:val="none" w:sz="0" w:space="0" w:color="auto"/>
          </w:divBdr>
        </w:div>
      </w:divsChild>
    </w:div>
    <w:div w:id="2010399473">
      <w:marLeft w:val="4"/>
      <w:marRight w:val="0"/>
      <w:marTop w:val="0"/>
      <w:marBottom w:val="0"/>
      <w:divBdr>
        <w:top w:val="none" w:sz="0" w:space="0" w:color="auto"/>
        <w:left w:val="none" w:sz="0" w:space="0" w:color="auto"/>
        <w:bottom w:val="none" w:sz="0" w:space="0" w:color="auto"/>
        <w:right w:val="none" w:sz="0" w:space="0" w:color="auto"/>
      </w:divBdr>
      <w:divsChild>
        <w:div w:id="993219319">
          <w:marLeft w:val="0"/>
          <w:marRight w:val="0"/>
          <w:marTop w:val="0"/>
          <w:marBottom w:val="0"/>
          <w:divBdr>
            <w:top w:val="none" w:sz="0" w:space="0" w:color="auto"/>
            <w:left w:val="none" w:sz="0" w:space="0" w:color="auto"/>
            <w:bottom w:val="none" w:sz="0" w:space="0" w:color="auto"/>
            <w:right w:val="none" w:sz="0" w:space="0" w:color="auto"/>
          </w:divBdr>
        </w:div>
      </w:divsChild>
    </w:div>
    <w:div w:id="2028558142">
      <w:marLeft w:val="0"/>
      <w:marRight w:val="0"/>
      <w:marTop w:val="120"/>
      <w:marBottom w:val="0"/>
      <w:divBdr>
        <w:top w:val="none" w:sz="0" w:space="0" w:color="auto"/>
        <w:left w:val="none" w:sz="0" w:space="0" w:color="auto"/>
        <w:bottom w:val="none" w:sz="0" w:space="0" w:color="auto"/>
        <w:right w:val="none" w:sz="0" w:space="0" w:color="auto"/>
      </w:divBdr>
      <w:divsChild>
        <w:div w:id="282544593">
          <w:marLeft w:val="0"/>
          <w:marRight w:val="0"/>
          <w:marTop w:val="0"/>
          <w:marBottom w:val="0"/>
          <w:divBdr>
            <w:top w:val="none" w:sz="0" w:space="0" w:color="auto"/>
            <w:left w:val="none" w:sz="0" w:space="0" w:color="auto"/>
            <w:bottom w:val="none" w:sz="0" w:space="0" w:color="auto"/>
            <w:right w:val="none" w:sz="0" w:space="0" w:color="auto"/>
          </w:divBdr>
        </w:div>
      </w:divsChild>
    </w:div>
    <w:div w:id="2035568186">
      <w:marLeft w:val="4"/>
      <w:marRight w:val="0"/>
      <w:marTop w:val="0"/>
      <w:marBottom w:val="0"/>
      <w:divBdr>
        <w:top w:val="none" w:sz="0" w:space="0" w:color="auto"/>
        <w:left w:val="none" w:sz="0" w:space="0" w:color="auto"/>
        <w:bottom w:val="none" w:sz="0" w:space="0" w:color="auto"/>
        <w:right w:val="none" w:sz="0" w:space="0" w:color="auto"/>
      </w:divBdr>
      <w:divsChild>
        <w:div w:id="528252079">
          <w:marLeft w:val="0"/>
          <w:marRight w:val="0"/>
          <w:marTop w:val="0"/>
          <w:marBottom w:val="0"/>
          <w:divBdr>
            <w:top w:val="none" w:sz="0" w:space="0" w:color="auto"/>
            <w:left w:val="none" w:sz="0" w:space="0" w:color="auto"/>
            <w:bottom w:val="none" w:sz="0" w:space="0" w:color="auto"/>
            <w:right w:val="none" w:sz="0" w:space="0" w:color="auto"/>
          </w:divBdr>
        </w:div>
      </w:divsChild>
    </w:div>
    <w:div w:id="2049141831">
      <w:marLeft w:val="0"/>
      <w:marRight w:val="0"/>
      <w:marTop w:val="0"/>
      <w:marBottom w:val="0"/>
      <w:divBdr>
        <w:top w:val="none" w:sz="0" w:space="0" w:color="auto"/>
        <w:left w:val="none" w:sz="0" w:space="0" w:color="auto"/>
        <w:bottom w:val="none" w:sz="0" w:space="0" w:color="auto"/>
        <w:right w:val="none" w:sz="0" w:space="0" w:color="auto"/>
      </w:divBdr>
    </w:div>
    <w:div w:id="2075421554">
      <w:marLeft w:val="4"/>
      <w:marRight w:val="0"/>
      <w:marTop w:val="120"/>
      <w:marBottom w:val="0"/>
      <w:divBdr>
        <w:top w:val="none" w:sz="0" w:space="0" w:color="auto"/>
        <w:left w:val="none" w:sz="0" w:space="0" w:color="auto"/>
        <w:bottom w:val="none" w:sz="0" w:space="0" w:color="auto"/>
        <w:right w:val="none" w:sz="0" w:space="0" w:color="auto"/>
      </w:divBdr>
      <w:divsChild>
        <w:div w:id="1392147061">
          <w:marLeft w:val="0"/>
          <w:marRight w:val="0"/>
          <w:marTop w:val="0"/>
          <w:marBottom w:val="0"/>
          <w:divBdr>
            <w:top w:val="none" w:sz="0" w:space="0" w:color="auto"/>
            <w:left w:val="none" w:sz="0" w:space="0" w:color="auto"/>
            <w:bottom w:val="none" w:sz="0" w:space="0" w:color="auto"/>
            <w:right w:val="none" w:sz="0" w:space="0" w:color="auto"/>
          </w:divBdr>
        </w:div>
      </w:divsChild>
    </w:div>
    <w:div w:id="2081173499">
      <w:marLeft w:val="0"/>
      <w:marRight w:val="0"/>
      <w:marTop w:val="0"/>
      <w:marBottom w:val="0"/>
      <w:divBdr>
        <w:top w:val="none" w:sz="0" w:space="0" w:color="auto"/>
        <w:left w:val="none" w:sz="0" w:space="0" w:color="auto"/>
        <w:bottom w:val="none" w:sz="0" w:space="0" w:color="auto"/>
        <w:right w:val="none" w:sz="0" w:space="0" w:color="auto"/>
      </w:divBdr>
    </w:div>
    <w:div w:id="2100254450">
      <w:marLeft w:val="4"/>
      <w:marRight w:val="0"/>
      <w:marTop w:val="120"/>
      <w:marBottom w:val="0"/>
      <w:divBdr>
        <w:top w:val="none" w:sz="0" w:space="0" w:color="auto"/>
        <w:left w:val="none" w:sz="0" w:space="0" w:color="auto"/>
        <w:bottom w:val="none" w:sz="0" w:space="0" w:color="auto"/>
        <w:right w:val="none" w:sz="0" w:space="0" w:color="auto"/>
      </w:divBdr>
      <w:divsChild>
        <w:div w:id="1734160400">
          <w:marLeft w:val="0"/>
          <w:marRight w:val="0"/>
          <w:marTop w:val="0"/>
          <w:marBottom w:val="0"/>
          <w:divBdr>
            <w:top w:val="none" w:sz="0" w:space="0" w:color="auto"/>
            <w:left w:val="none" w:sz="0" w:space="0" w:color="auto"/>
            <w:bottom w:val="none" w:sz="0" w:space="0" w:color="auto"/>
            <w:right w:val="none" w:sz="0" w:space="0" w:color="auto"/>
          </w:divBdr>
        </w:div>
      </w:divsChild>
    </w:div>
    <w:div w:id="2101444354">
      <w:marLeft w:val="0"/>
      <w:marRight w:val="0"/>
      <w:marTop w:val="120"/>
      <w:marBottom w:val="0"/>
      <w:divBdr>
        <w:top w:val="none" w:sz="0" w:space="0" w:color="auto"/>
        <w:left w:val="none" w:sz="0" w:space="0" w:color="auto"/>
        <w:bottom w:val="none" w:sz="0" w:space="0" w:color="auto"/>
        <w:right w:val="none" w:sz="0" w:space="0" w:color="auto"/>
      </w:divBdr>
      <w:divsChild>
        <w:div w:id="40792749">
          <w:marLeft w:val="0"/>
          <w:marRight w:val="0"/>
          <w:marTop w:val="0"/>
          <w:marBottom w:val="0"/>
          <w:divBdr>
            <w:top w:val="none" w:sz="0" w:space="0" w:color="auto"/>
            <w:left w:val="none" w:sz="0" w:space="0" w:color="auto"/>
            <w:bottom w:val="none" w:sz="0" w:space="0" w:color="auto"/>
            <w:right w:val="none" w:sz="0" w:space="0" w:color="auto"/>
          </w:divBdr>
        </w:div>
      </w:divsChild>
    </w:div>
    <w:div w:id="2106996088">
      <w:marLeft w:val="3"/>
      <w:marRight w:val="0"/>
      <w:marTop w:val="0"/>
      <w:marBottom w:val="0"/>
      <w:divBdr>
        <w:top w:val="none" w:sz="0" w:space="0" w:color="auto"/>
        <w:left w:val="none" w:sz="0" w:space="0" w:color="auto"/>
        <w:bottom w:val="none" w:sz="0" w:space="0" w:color="auto"/>
        <w:right w:val="none" w:sz="0" w:space="0" w:color="auto"/>
      </w:divBdr>
      <w:divsChild>
        <w:div w:id="1468359657">
          <w:marLeft w:val="0"/>
          <w:marRight w:val="0"/>
          <w:marTop w:val="0"/>
          <w:marBottom w:val="0"/>
          <w:divBdr>
            <w:top w:val="none" w:sz="0" w:space="0" w:color="auto"/>
            <w:left w:val="none" w:sz="0" w:space="0" w:color="auto"/>
            <w:bottom w:val="none" w:sz="0" w:space="0" w:color="auto"/>
            <w:right w:val="none" w:sz="0" w:space="0" w:color="auto"/>
          </w:divBdr>
        </w:div>
      </w:divsChild>
    </w:div>
    <w:div w:id="2120292748">
      <w:marLeft w:val="3"/>
      <w:marRight w:val="0"/>
      <w:marTop w:val="100"/>
      <w:marBottom w:val="0"/>
      <w:divBdr>
        <w:top w:val="none" w:sz="0" w:space="0" w:color="auto"/>
        <w:left w:val="none" w:sz="0" w:space="0" w:color="auto"/>
        <w:bottom w:val="none" w:sz="0" w:space="0" w:color="auto"/>
        <w:right w:val="none" w:sz="0" w:space="0" w:color="auto"/>
      </w:divBdr>
      <w:divsChild>
        <w:div w:id="1496452460">
          <w:marLeft w:val="0"/>
          <w:marRight w:val="0"/>
          <w:marTop w:val="0"/>
          <w:marBottom w:val="0"/>
          <w:divBdr>
            <w:top w:val="none" w:sz="0" w:space="0" w:color="auto"/>
            <w:left w:val="none" w:sz="0" w:space="0" w:color="auto"/>
            <w:bottom w:val="none" w:sz="0" w:space="0" w:color="auto"/>
            <w:right w:val="none" w:sz="0" w:space="0" w:color="auto"/>
          </w:divBdr>
        </w:div>
      </w:divsChild>
    </w:div>
    <w:div w:id="2121996580">
      <w:marLeft w:val="3"/>
      <w:marRight w:val="0"/>
      <w:marTop w:val="100"/>
      <w:marBottom w:val="0"/>
      <w:divBdr>
        <w:top w:val="none" w:sz="0" w:space="0" w:color="auto"/>
        <w:left w:val="none" w:sz="0" w:space="0" w:color="auto"/>
        <w:bottom w:val="none" w:sz="0" w:space="0" w:color="auto"/>
        <w:right w:val="none" w:sz="0" w:space="0" w:color="auto"/>
      </w:divBdr>
      <w:divsChild>
        <w:div w:id="373503323">
          <w:marLeft w:val="0"/>
          <w:marRight w:val="0"/>
          <w:marTop w:val="0"/>
          <w:marBottom w:val="0"/>
          <w:divBdr>
            <w:top w:val="none" w:sz="0" w:space="0" w:color="auto"/>
            <w:left w:val="none" w:sz="0" w:space="0" w:color="auto"/>
            <w:bottom w:val="none" w:sz="0" w:space="0" w:color="auto"/>
            <w:right w:val="none" w:sz="0" w:space="0" w:color="auto"/>
          </w:divBdr>
        </w:div>
      </w:divsChild>
    </w:div>
    <w:div w:id="2128235251">
      <w:marLeft w:val="4"/>
      <w:marRight w:val="0"/>
      <w:marTop w:val="0"/>
      <w:marBottom w:val="0"/>
      <w:divBdr>
        <w:top w:val="none" w:sz="0" w:space="0" w:color="auto"/>
        <w:left w:val="none" w:sz="0" w:space="0" w:color="auto"/>
        <w:bottom w:val="none" w:sz="0" w:space="0" w:color="auto"/>
        <w:right w:val="none" w:sz="0" w:space="0" w:color="auto"/>
      </w:divBdr>
      <w:divsChild>
        <w:div w:id="1706441719">
          <w:marLeft w:val="0"/>
          <w:marRight w:val="0"/>
          <w:marTop w:val="0"/>
          <w:marBottom w:val="0"/>
          <w:divBdr>
            <w:top w:val="none" w:sz="0" w:space="0" w:color="auto"/>
            <w:left w:val="none" w:sz="0" w:space="0" w:color="auto"/>
            <w:bottom w:val="none" w:sz="0" w:space="0" w:color="auto"/>
            <w:right w:val="none" w:sz="0" w:space="0" w:color="auto"/>
          </w:divBdr>
        </w:div>
      </w:divsChild>
    </w:div>
    <w:div w:id="2130737710">
      <w:marLeft w:val="4"/>
      <w:marRight w:val="0"/>
      <w:marTop w:val="0"/>
      <w:marBottom w:val="0"/>
      <w:divBdr>
        <w:top w:val="none" w:sz="0" w:space="0" w:color="auto"/>
        <w:left w:val="none" w:sz="0" w:space="0" w:color="auto"/>
        <w:bottom w:val="none" w:sz="0" w:space="0" w:color="auto"/>
        <w:right w:val="none" w:sz="0" w:space="0" w:color="auto"/>
      </w:divBdr>
      <w:divsChild>
        <w:div w:id="117796714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Archives/edgar/data/1005210/000095012309066033/c93076exv10w8.htm" TargetMode="External"/><Relationship Id="rId18" Type="http://schemas.openxmlformats.org/officeDocument/2006/relationships/hyperlink" Target="https://www.sec.gov/Archives/edgar/data/1005210/000156459016029600/sph-ex104_67.htm" TargetMode="External"/><Relationship Id="rId26" Type="http://schemas.openxmlformats.org/officeDocument/2006/relationships/hyperlink" Target="https://www.sec.gov/Archives/edgar/data/1005210/000156459017024209/sph-ex1010_884.htm" TargetMode="External"/><Relationship Id="rId39" Type="http://schemas.openxmlformats.org/officeDocument/2006/relationships/hyperlink" Target="sph-ex99_2.htm" TargetMode="External"/><Relationship Id="rId21" Type="http://schemas.openxmlformats.org/officeDocument/2006/relationships/hyperlink" Target="https://www.sec.gov/Archives/edgar/data/1005210/000156459017024209/sph-ex107_885.htm" TargetMode="External"/><Relationship Id="rId34" Type="http://schemas.openxmlformats.org/officeDocument/2006/relationships/hyperlink" Target="sph-ex31_1.htm" TargetMode="External"/><Relationship Id="rId7" Type="http://schemas.openxmlformats.org/officeDocument/2006/relationships/hyperlink" Target="https://www.sec.gov/Archives/edgar/data/1005210/000095012309031133/c88805exv3w3.htm" TargetMode="External"/><Relationship Id="rId2" Type="http://schemas.openxmlformats.org/officeDocument/2006/relationships/settings" Target="settings.xml"/><Relationship Id="rId16" Type="http://schemas.openxmlformats.org/officeDocument/2006/relationships/hyperlink" Target="https://www.sec.gov/Archives/edgar/data/1005210/000156459020054071/sph-ex101_7.htm" TargetMode="External"/><Relationship Id="rId20" Type="http://schemas.openxmlformats.org/officeDocument/2006/relationships/hyperlink" Target="https://www.sec.gov/Archives/edgar/data/1005210/000156459016029600/sph-ex106_66.htm" TargetMode="External"/><Relationship Id="rId29" Type="http://schemas.openxmlformats.org/officeDocument/2006/relationships/hyperlink" Target="https://www.sec.gov/Archives/edgar/data/1005210/000156459020003609/sph-ex101_156.htm"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ec.gov/Archives/edgar/data/1005210/000095012309031133/c88805exv3w2.htm" TargetMode="External"/><Relationship Id="rId11" Type="http://schemas.openxmlformats.org/officeDocument/2006/relationships/hyperlink" Target="https://www.sec.gov/Archives/edgar/data/1005210/000119312515188140/d926888dex101.htm" TargetMode="External"/><Relationship Id="rId24" Type="http://schemas.openxmlformats.org/officeDocument/2006/relationships/hyperlink" Target="https://www.sec.gov/Archives/edgar/data/1005210/000156459019030540/sph-ex104_277.htm" TargetMode="External"/><Relationship Id="rId32" Type="http://schemas.openxmlformats.org/officeDocument/2006/relationships/hyperlink" Target="sph-ex21_1.htm" TargetMode="External"/><Relationship Id="rId37" Type="http://schemas.openxmlformats.org/officeDocument/2006/relationships/hyperlink" Target="sph-ex32_2.htm" TargetMode="External"/><Relationship Id="rId40" Type="http://schemas.openxmlformats.org/officeDocument/2006/relationships/fontTable" Target="fontTable.xml"/><Relationship Id="rId5" Type="http://schemas.openxmlformats.org/officeDocument/2006/relationships/hyperlink" Target="https://www.sec.gov/Archives/edgar/data/1005210/000156459018000862/sph-ex32_7.htm" TargetMode="External"/><Relationship Id="rId15" Type="http://schemas.openxmlformats.org/officeDocument/2006/relationships/hyperlink" Target="https://www.sec.gov/Archives/edgar/data/1005210/000156459019044639/sph-ex105_874.htm" TargetMode="External"/><Relationship Id="rId23" Type="http://schemas.openxmlformats.org/officeDocument/2006/relationships/hyperlink" Target="https://www.sec.gov/Archives/edgar/data/1005210/000156459018020806/sph-ex102_134.htm" TargetMode="External"/><Relationship Id="rId28" Type="http://schemas.openxmlformats.org/officeDocument/2006/relationships/hyperlink" Target="https://www.sec.gov/Archives/edgar/data/1005210/000156459019044639/sph-ex1016_875.htm" TargetMode="External"/><Relationship Id="rId36" Type="http://schemas.openxmlformats.org/officeDocument/2006/relationships/hyperlink" Target="sph-ex32_1.htm" TargetMode="External"/><Relationship Id="rId10" Type="http://schemas.openxmlformats.org/officeDocument/2006/relationships/hyperlink" Target="https://www.sec.gov/Archives/edgar/data/1005210/000119312521170900/d77395dex41.htm" TargetMode="External"/><Relationship Id="rId19" Type="http://schemas.openxmlformats.org/officeDocument/2006/relationships/hyperlink" Target="https://www.sec.gov/Archives/edgar/data/1005210/000156459016029600/sph-ex105_65.htm" TargetMode="External"/><Relationship Id="rId31" Type="http://schemas.openxmlformats.org/officeDocument/2006/relationships/hyperlink" Target="https://www.sec.gov/Archives/edgar/data/1005210/000119312520063103/d119736dex101.htm" TargetMode="External"/><Relationship Id="rId4" Type="http://schemas.openxmlformats.org/officeDocument/2006/relationships/hyperlink" Target="https://www.sec.gov/Archives/edgar/data/1005210/000156459020054071/sph-ex31_8.htm" TargetMode="External"/><Relationship Id="rId9" Type="http://schemas.openxmlformats.org/officeDocument/2006/relationships/hyperlink" Target="https://www.sec.gov/Archives/edgar/data/1005210/000119312517043814/d276738dex41.htm" TargetMode="External"/><Relationship Id="rId14" Type="http://schemas.openxmlformats.org/officeDocument/2006/relationships/hyperlink" Target="https://www.sec.gov/Archives/edgar/data/1005210/000156459019043848/sph-ex101_15.htm" TargetMode="External"/><Relationship Id="rId22" Type="http://schemas.openxmlformats.org/officeDocument/2006/relationships/hyperlink" Target="https://www.sec.gov/Archives/edgar/data/1005210/000156459017024209/sph-ex108_886.htm" TargetMode="External"/><Relationship Id="rId27" Type="http://schemas.openxmlformats.org/officeDocument/2006/relationships/hyperlink" Target="https://www.sec.gov/Archives/edgar/data/1005210/000156459019002248/sph-ex103_148.htm" TargetMode="External"/><Relationship Id="rId30" Type="http://schemas.openxmlformats.org/officeDocument/2006/relationships/hyperlink" Target="https://www.sec.gov/Archives/edgar/data/1005210/000156459021058219/sph-ex1019_771.htm" TargetMode="External"/><Relationship Id="rId35" Type="http://schemas.openxmlformats.org/officeDocument/2006/relationships/hyperlink" Target="sph-ex31_2.htm" TargetMode="External"/><Relationship Id="rId8" Type="http://schemas.openxmlformats.org/officeDocument/2006/relationships/hyperlink" Target="https://www.sec.gov/Archives/edgar/data/1005210/000095013606008698/file4.htm" TargetMode="External"/><Relationship Id="rId3" Type="http://schemas.openxmlformats.org/officeDocument/2006/relationships/webSettings" Target="webSettings.xml"/><Relationship Id="rId12" Type="http://schemas.openxmlformats.org/officeDocument/2006/relationships/hyperlink" Target="https://www.sec.gov/Archives/edgar/data/1005210/000119312521166595/d155031dex101.htm" TargetMode="External"/><Relationship Id="rId17" Type="http://schemas.openxmlformats.org/officeDocument/2006/relationships/hyperlink" Target="https://www.sec.gov/Archives/edgar/data/1005210/000095017022025168/sph-ex10_1.htm" TargetMode="External"/><Relationship Id="rId25" Type="http://schemas.openxmlformats.org/officeDocument/2006/relationships/hyperlink" Target="https://www.sec.gov/Archives/edgar/data/1005210/000095017022025168/sph-ex10_3.htm" TargetMode="External"/><Relationship Id="rId33" Type="http://schemas.openxmlformats.org/officeDocument/2006/relationships/hyperlink" Target="sph-ex23_1.htm" TargetMode="External"/><Relationship Id="rId38" Type="http://schemas.openxmlformats.org/officeDocument/2006/relationships/hyperlink" Target="https://www.sec.gov/Archives/edgar/data/1005210/000156459018029999/sph-ex991_58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87926</Words>
  <Characters>501182</Characters>
  <Application>Microsoft Office Word</Application>
  <DocSecurity>0</DocSecurity>
  <Lines>4176</Lines>
  <Paragraphs>1175</Paragraphs>
  <ScaleCrop>false</ScaleCrop>
  <Company/>
  <LinksUpToDate>false</LinksUpToDate>
  <CharactersWithSpaces>587933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10-K</dc:title>
  <dc:subject/>
  <dc:creator>Chongjian.Yue</dc:creator>
  <cp:keywords/>
  <dc:description/>
  <cp:lastModifiedBy>Yue Chongjian</cp:lastModifiedBy>
  <cp:revision>1</cp:revision>
  <dcterms:created xsi:type="dcterms:W3CDTF">2024-01-04T16:00:00Z</dcterms:created>
  <dcterms:modified xsi:type="dcterms:W3CDTF">2024-01-04T16:00:00Z</dcterms:modified>
</cp:coreProperties>
</file>