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C3404">
      <w:pPr>
        <w:divId w:val="1859463263"/>
        <w:rPr>
          <w:rFonts w:eastAsia="Times New Roman"/>
          <w:vanish/>
        </w:rPr>
      </w:pPr>
      <w:r>
        <w:rPr>
          <w:rFonts w:eastAsia="Times New Roman"/>
          <w:vanish/>
        </w:rPr>
        <w:t>false5--09-30SUBURBAN PROPANE PARTNERS LP1 Year0.5015 yearshttp://fasb.org/us-gaap/2022#CostsAndExpenseshttp://fasb.org/us-gaap/2022#CostsAndExpensesQ100010052100.00500001005210us-gaap:CustomerRelationshipsMember2022-12-240001005210</w:t>
      </w:r>
      <w:r>
        <w:rPr>
          <w:rFonts w:eastAsia="Times New Roman"/>
          <w:vanish/>
        </w:rPr>
        <w:t>us-gaap:RestrictedStockUnitsRSUMember2022-09-252022-12-240001005210us-gaap:OperatingSegmentsMemberus-gaap:AllOtherSegmentsMember2022-09-240001005210us-gaap:OperatingSegmentsMemberus-gaap:CorporateMember2021-09-262021-12-250001005210us-gaap:FairValueInputsL</w:t>
      </w:r>
      <w:r>
        <w:rPr>
          <w:rFonts w:eastAsia="Times New Roman"/>
          <w:vanish/>
        </w:rPr>
        <w:t>evel3Member2021-12-250001005210us-gaap:AgriculturalSectorMemberus-gaap:RetailMember2022-09-252022-12-240001005210us-gaap:OtherNoncurrentLiabilitiesMemberus-gaap:NondesignatedMemberus-gaap:CommodityOptionMember2022-12-240001005210us-gaap:LondonInterbankOffe</w:t>
      </w:r>
      <w:r>
        <w:rPr>
          <w:rFonts w:eastAsia="Times New Roman"/>
          <w:vanish/>
        </w:rPr>
        <w:t>redRateLIBORMembersph:AmendedRevolvingCreditFacilityDue2025Member2022-09-252022-12-240001005210sph:SuburbanPropanePartnersLPMember2022-09-252022-12-240001005210us-gaap:NondesignatedMemberus-gaap:OtherCurrentLiabilitiesMemberus-gaap:CommodityOptionMember202</w:t>
      </w:r>
      <w:r>
        <w:rPr>
          <w:rFonts w:eastAsia="Times New Roman"/>
          <w:vanish/>
        </w:rPr>
        <w:t>2-12-240001005210sph:LongTermIncentivePlanMember2022-09-252022-12-240001005210sph:PropaneMember2021-09-262021-12-250001005210sph:TwoThousandAndEighteenRestrictedUnitPlanMember2022-09-240001005210us-gaap:CustomerRelationshipsMember2022-09-240001005210sph:Fu</w:t>
      </w:r>
      <w:r>
        <w:rPr>
          <w:rFonts w:eastAsia="Times New Roman"/>
          <w:vanish/>
        </w:rPr>
        <w:t>elOilAndRefinedFuelsMember2022-09-240001005210sph:IndependenceHydrogenIncMember2022-12-240001005210us-gaap:OperatingSegmentsMembersph:PropaneMember2022-09-252022-12-240001005210sph:DistributionEquivalentRightsPlanMember2021-09-262021-12-250001005210us-gaap</w:t>
      </w:r>
      <w:r>
        <w:rPr>
          <w:rFonts w:eastAsia="Times New Roman"/>
          <w:vanish/>
        </w:rPr>
        <w:t>:CommodityOptionMember2022-09-240001005210us-gaap:FederalFundsEffectiveSwapRateMembersph:AmendedRevolvingCreditFacilityDue2025Member2022-09-252022-12-240001005210us-gaap:RevolvingCreditFacilityMember2020-03-052020-03-050001005210us-gaap:AccumulatedDefinedB</w:t>
      </w:r>
      <w:r>
        <w:rPr>
          <w:rFonts w:eastAsia="Times New Roman"/>
          <w:vanish/>
        </w:rPr>
        <w:t>enefitPlansAdjustmentMember2021-12-250001005210us-gaap:NondesignatedMemberus-gaap:OtherCurrentAssetsMemberus-gaap:CommodityOptionMember2022-09-240001005210us-gaap:OperatingSegmentsMembersph:NaturalGasAndElectricityMember2022-09-240001005210us-gaap:RetailMe</w:t>
      </w:r>
      <w:r>
        <w:rPr>
          <w:rFonts w:eastAsia="Times New Roman"/>
          <w:vanish/>
        </w:rPr>
        <w:t>mbersph:IndustrialSectorMember2022-09-252022-12-240001005210us-gaap:AccumulatedOtherComprehensiveIncomeMember2022-09-240001005210sph:SeniorNotesDue2031Member2021-09-252022-09-240001005210srt:MaximumMemberus-gaap:RestrictedStockUnitsRSUMemberus-gaap:ShareBa</w:t>
      </w:r>
      <w:r>
        <w:rPr>
          <w:rFonts w:eastAsia="Times New Roman"/>
          <w:vanish/>
        </w:rPr>
        <w:t>sedCompensationAwardTrancheOneMember2022-09-252022-12-240001005210us-gaap:NondesignatedMemberus-gaap:OtherNoncurrentAssetsMemberus-gaap:CommodityOptionMember2022-09-240001005210us-gaap:CommonStockMember2022-09-252022-12-240001005210sph:PostRetirementBenefi</w:t>
      </w:r>
      <w:r>
        <w:rPr>
          <w:rFonts w:eastAsia="Times New Roman"/>
          <w:vanish/>
        </w:rPr>
        <w:t>tsMember2022-09-252022-12-240001005210us-gaap:SeniorNotesMembersph:SeniorNotesDue2027Member2022-09-240001005210us-gaap:RevolvingCreditFacilityMember2022-09-240001005210sph:SeniorNotesDue2025Member2022-12-240001005210us-gaap:CostOfSalesMemberus-gaap:Nondesi</w:t>
      </w:r>
      <w:r>
        <w:rPr>
          <w:rFonts w:eastAsia="Times New Roman"/>
          <w:vanish/>
        </w:rPr>
        <w:t>gnatedMemberus-gaap:CommodityOptionMember2021-09-262021-12-250001005210us-gaap:CommonStockMember2022-12-240001005210us-gaap:CommonStockMember2022-09-240001005210us-gaap:RevolvingCreditFacilityMember2022-09-252022-12-240001005210sph:SeniorNotesDue2031Member</w:t>
      </w:r>
      <w:r>
        <w:rPr>
          <w:rFonts w:eastAsia="Times New Roman"/>
          <w:vanish/>
        </w:rPr>
        <w:t>2022-09-240001005210us-gaap:FairValueInputsLevel3Member2022-09-240001005210us-gaap:OtherNonoperatingIncomeExpenseMembersph:PostRetirementBenefitsMember2022-09-252022-12-240001005210sph:PostRetirementBenefitsMember2021-12-250001005210us-gaap:PensionPlansDef</w:t>
      </w:r>
      <w:r>
        <w:rPr>
          <w:rFonts w:eastAsia="Times New Roman"/>
          <w:vanish/>
        </w:rPr>
        <w:t>inedBenefitMember2021-09-262021-12-250001005210us-gaap:FairValueInputsLevel3Member2022-12-240001005210us-gaap:OperatingSegmentsMemberus-gaap:CorporateMember2022-12-240001005210us-gaap:OperatingSegmentsMembersph:PropaneMember2022-12-240001005210srt:MinimumM</w:t>
      </w:r>
      <w:r>
        <w:rPr>
          <w:rFonts w:eastAsia="Times New Roman"/>
          <w:vanish/>
        </w:rPr>
        <w:t>ember2022-12-240001005210sph:PostRetirementBenefitsMember2021-09-262021-12-250001005210us-gaap:FederalFundsEffectiveSwapRateMembersph:AmendedRevolvingCreditFacilityDue2025Member2021-09-262022-03-260001005210sph:SeniorNotesDue2027Member2022-12-240001005210s</w:t>
      </w:r>
      <w:r>
        <w:rPr>
          <w:rFonts w:eastAsia="Times New Roman"/>
          <w:vanish/>
        </w:rPr>
        <w:t>ph:TwoThousandAndEighteenRestrictedUnitPlanMember2022-12-240001005210us-gaap:NoncompeteAgreementsMember2022-12-240001005210us-gaap:OperatingSegmentsMembersph:NaturalGasAndElectricityMember2022-09-252022-12-240001005210us-gaap:OperatingSegmentsMemberus-gaap</w:t>
      </w:r>
      <w:r>
        <w:rPr>
          <w:rFonts w:eastAsia="Times New Roman"/>
          <w:vanish/>
        </w:rPr>
        <w:t>:AllOtherSegmentsMember2022-09-252022-12-240001005210us-gaap:AccumulatedOtherComprehensiveIncomeMember2021-09-262021-12-250001005210us-gaap:AccumulatedOtherComprehensiveIncomeMember2021-09-250001005210us-gaap:RevolvingCreditFacilityMemberus-gaap:Subsequent</w:t>
      </w:r>
      <w:r>
        <w:rPr>
          <w:rFonts w:eastAsia="Times New Roman"/>
          <w:vanish/>
        </w:rPr>
        <w:t>EventMembersph:RenewableNaturalGasMember2022-12-280001005210us-gaap:NondesignatedMemberus-gaap:CommodityOptionMember2022-09-252022-12-240001005210us-gaap:CommodityOptionMember2022-12-240001005210us-gaap:OperatingSegmentsMembersph:NaturalGasAndElectricityMe</w:t>
      </w:r>
      <w:r>
        <w:rPr>
          <w:rFonts w:eastAsia="Times New Roman"/>
          <w:vanish/>
        </w:rPr>
        <w:t>mber2021-09-262021-12-250001005210us-gaap:RestrictedStockUnitsRSUMember2022-12-2400010052102023-01-300001005210sph:FuelOilAndRefinedFuelsMember2022-09-252022-12-240001005210us-gaap:LondonInterbankOfferedRateLIBORMember2022-09-252022-12-240001005210sph:TwoT</w:t>
      </w:r>
      <w:r>
        <w:rPr>
          <w:rFonts w:eastAsia="Times New Roman"/>
          <w:vanish/>
        </w:rPr>
        <w:t>housandAndEighteenRestrictedUnitPlanMembersrt:MaximumMember2022-12-240001005210sph:PropaneMember2022-12-240001005210us-gaap:NondesignatedMemberus-gaap:OtherCurrentAssetsMemberus-gaap:CommodityOptionMember2022-12-240001005210us-gaap:NoncompeteAgreementsMemb</w:t>
      </w:r>
      <w:r>
        <w:rPr>
          <w:rFonts w:eastAsia="Times New Roman"/>
          <w:vanish/>
        </w:rPr>
        <w:t>er2022-09-240001005210us-gaap:CostOfSalesMemberus-gaap:NondesignatedMemberus-gaap:CommodityOptionMember2022-09-252022-12-240001005210us-gaap:SeniorNotesMembersph:SeniorNotesDue2027Member2022-09-252022-12-240001005210sph:OtherSalesRevenueNetMember2022-09-25</w:t>
      </w:r>
      <w:r>
        <w:rPr>
          <w:rFonts w:eastAsia="Times New Roman"/>
          <w:vanish/>
        </w:rPr>
        <w:t>2022-12-240001005210sph:OtherSalesRevenueNetMember2021-09-262021-12-250001005210sph:FuelOilAndRefinedFuelsMember2021-09-262021-12-250001005210us-gaap:PensionPlansDefinedBenefitMember2022-09-252022-12-240001005210us-gaap:AccumulatedDefinedBenefitPlansAdjust</w:t>
      </w:r>
      <w:r>
        <w:rPr>
          <w:rFonts w:eastAsia="Times New Roman"/>
          <w:vanish/>
        </w:rPr>
        <w:t>mentMember2022-12-240001005210us-gaap:AccumulatedDefinedBenefitPlansAdjustmentMember2021-09-262021-12-250001005210sph:AmendedRevolvingCreditFacilityDue2025Member2022-12-240001005210us-gaap:AccumulatedDefinedBenefitPlansAdjustmentMember2021-09-250001005210u</w:t>
      </w:r>
      <w:r>
        <w:rPr>
          <w:rFonts w:eastAsia="Times New Roman"/>
          <w:vanish/>
        </w:rPr>
        <w:t>s-gaap:OperatingSegmentsMembersph:FuelOilAndRefinedFuelsMember2022-12-240001005210us-gaap:SeniorNotesMembersph:SeniorNotesDue2027Member2022-12-240001005210us-gaap:AccumulatedDefinedBenefitPlansAdjustmentNetPriorServiceCostCreditMember2022-09-252022-12-2400</w:t>
      </w:r>
      <w:r>
        <w:rPr>
          <w:rFonts w:eastAsia="Times New Roman"/>
          <w:vanish/>
        </w:rPr>
        <w:t>01005210us-gaap:AccumulatedOtherComprehensiveIncomeMember2021-12-250001005210sph:PostRetirementBenefitsMember2022-12-240001005210sph:PhantomEquityPlanMember2022-09-252022-12-240001005210us-gaap:RevolvingCreditFacilityMembersph:ThirdAmendedAndRestatedCredit</w:t>
      </w:r>
      <w:r>
        <w:rPr>
          <w:rFonts w:eastAsia="Times New Roman"/>
          <w:vanish/>
        </w:rPr>
        <w:t>Member2022-12-240001005210us-gaap:CommonStockMember2021-12-250001005210sph:PropaneMember2022-09-252022-12-240001005210us-gaap:OtherNonoperatingIncomeExpenseMemberus-gaap:PensionPlansDefinedBenefitMember2022-09-252022-12-240001005210sph:EquilibriumCapitalGr</w:t>
      </w:r>
      <w:r>
        <w:rPr>
          <w:rFonts w:eastAsia="Times New Roman"/>
          <w:vanish/>
        </w:rPr>
        <w:t>oupMemberus-gaap:SubsequentEventMembersph:RenewableNaturalGasMember2022-12-280001005210us-gaap:OperatingSegmentsMembersph:PropaneMember2022-09-240001005210us-gaap:OperatingSegmentsMemberus-gaap:CorporateMember2022-09-240001005210sph:PropaneMember2022-09-24</w:t>
      </w:r>
      <w:r>
        <w:rPr>
          <w:rFonts w:eastAsia="Times New Roman"/>
          <w:vanish/>
        </w:rPr>
        <w:t>0001005210us-gaap:OperatingSegmentsMembersph:NaturalGasAndElectricityMember2022-12-240001005210us-gaap:OperatingSegmentsMemberus-gaap:AllOtherSegmentsMember2021-09-262021-12-250001005210us-gaap:RevolvingCreditFacilityMember2022-12-240001005210us-gaap:Opera</w:t>
      </w:r>
      <w:r>
        <w:rPr>
          <w:rFonts w:eastAsia="Times New Roman"/>
          <w:vanish/>
        </w:rPr>
        <w:t>tingSegmentsMembersph:FuelOilAndRefinedFuelsMember2022-09-252022-12-240001005210sph:NaturalGasAndElectricityMember2022-09-252022-12-240001005210us-gaap:NondesignatedMemberus-gaap:CommodityOptionMember2021-09-262021-12-250001005210us-gaap:NondesignatedMembe</w:t>
      </w:r>
      <w:r>
        <w:rPr>
          <w:rFonts w:eastAsia="Times New Roman"/>
          <w:vanish/>
        </w:rPr>
        <w:t>rus-gaap:OtherCurrentLiabilitiesMemberus-gaap:CommodityOptionMember2022-09-240001005210sph:DistributionEquivalentRightsPlanMember2022-09-252022-12-240001005210sph:SeniorNotesDue2031Memberus-gaap:SeniorNotesMember2022-09-240001005210sph:SeniorNoteDue2021Mem</w:t>
      </w:r>
      <w:r>
        <w:rPr>
          <w:rFonts w:eastAsia="Times New Roman"/>
          <w:vanish/>
        </w:rPr>
        <w:t>berus-gaap:SeniorNotesMember2022-12-240001005210us-gaap:RetailMembersph:IndustrialSectorMember2021-09-262021-12-250001005210us-gaap:AccumulatedOtherComprehensiveIncomeMember2022-12-240001005210sph:NaturalGasAndElectricityMember2021-09-262021-12-25000100521</w:t>
      </w:r>
      <w:r>
        <w:rPr>
          <w:rFonts w:eastAsia="Times New Roman"/>
          <w:vanish/>
        </w:rPr>
        <w:t>0sph:WholesaleMember2021-09-262021-12-250001005210us-gaap:RestrictedStockUnitsRSUMember2021-09-262021-12-250001005210sph:SeniorNotesDue2031Memberus-gaap:SeniorNotesMember2022-12-240001005210us-gaap:OperatingSegmentsMembersph:FuelOilAndRefinedFuelsMember202</w:t>
      </w:r>
      <w:r>
        <w:rPr>
          <w:rFonts w:eastAsia="Times New Roman"/>
          <w:vanish/>
        </w:rPr>
        <w:t>2-09-240001005210sph:TankRentAndMaintenanceServiceMember2022-09-252022-12-240001005210sph:PostRetirementBenefitsMember2022-12-240001005210sph:SeniorNotesDue2031Member2022-09-252022-12-240001005210us-gaap:FairValueInputsLevel3Member2021-09-262021-12-2500010</w:t>
      </w:r>
      <w:r>
        <w:rPr>
          <w:rFonts w:eastAsia="Times New Roman"/>
          <w:vanish/>
        </w:rPr>
        <w:t>05210sph:NaturalGasAndElectricityMember2022-09-240001005210srt:MaximumMemberus-gaap:RestrictedStockUnitsRSUMember2022-12-240001005210us-gaap:OperatingSegmentsMembersph:PropaneMember2021-09-262021-12-250001005210srt:MaximumMember2022-09-252022-12-2400010052</w:t>
      </w:r>
      <w:r>
        <w:rPr>
          <w:rFonts w:eastAsia="Times New Roman"/>
          <w:vanish/>
        </w:rPr>
        <w:t>102022-09-240001005210us-gaap:CommonStockMember2021-09-262021-12-250001005210sph:ThirdAmendedAndRestatedCreditMemberus-gaap:RevolvingCreditFacilityMember2022-09-240001005210us-gaap:PensionPlansDefinedBenefitMember2022-12-2400010052102021-12-250001005210us-</w:t>
      </w:r>
      <w:r>
        <w:rPr>
          <w:rFonts w:eastAsia="Times New Roman"/>
          <w:vanish/>
        </w:rPr>
        <w:t>gaap:RevolvingCreditFacilityMember2022-12-242022-12-240001005210us-gaap:NondesignatedMember2022-12-240001005210us-gaap:CommonStockMember2021-09-250001005210sph:SeniorNotesDue2027Member2022-09-252022-12-240001005210sph:CommercialSectorMemberus-gaap:RetailMe</w:t>
      </w:r>
      <w:r>
        <w:rPr>
          <w:rFonts w:eastAsia="Times New Roman"/>
          <w:vanish/>
        </w:rPr>
        <w:t>mber2022-09-252022-12-240001005210sph:FuelOilAndRefinedFuelsMember2022-12-240001005210us-gaap:AccumulatedDefinedBenefitPlansAdjustmentNetPriorServiceCostCreditMember2021-09-262021-12-2500010052102022-12-240001005210us-gaap:OtherPostretirementBenefitPlansDe</w:t>
      </w:r>
      <w:r>
        <w:rPr>
          <w:rFonts w:eastAsia="Times New Roman"/>
          <w:vanish/>
        </w:rPr>
        <w:t>finedBenefitMember2022-09-252022-12-240001005210us-gaap:FederalFundsEffectiveSwapRateMember2022-09-252022-12-240001005210sph:SeniorNotesDue2027Member2022-09-240001005210sph:FuelOilAndRefinedFuelsMember2022-09-252022-12-240001005210us-gaap:AgriculturalSecto</w:t>
      </w:r>
      <w:r>
        <w:rPr>
          <w:rFonts w:eastAsia="Times New Roman"/>
          <w:vanish/>
        </w:rPr>
        <w:t>rMemberus-gaap:RetailMember2021-09-262021-12-250001005210us-gaap:OperatingSegmentsMembersph:FuelOilAndRefinedFuelsMember2021-09-262021-12-250001005210us-gaap:NondesignatedMember2022-09-240001005210sph:NaturalGasAndElectricityMember2022-09-252022-12-2400010</w:t>
      </w:r>
      <w:r>
        <w:rPr>
          <w:rFonts w:eastAsia="Times New Roman"/>
          <w:vanish/>
        </w:rPr>
        <w:t>05210us-gaap:RetailMembersph:ResidentialSectorMember2021-09-262021-12-250001005210sph:WholesaleMember2022-09-252022-12-240001005210sph:SuburbanRenewableEnergyMemberus-gaap:SubsequentEventMembersph:RenewableNaturalGasMember2022-12-2800010052102021-09-250001</w:t>
      </w:r>
      <w:r>
        <w:rPr>
          <w:rFonts w:eastAsia="Times New Roman"/>
          <w:vanish/>
        </w:rPr>
        <w:t>0052102022-09-252022-12-240001005210sph:TwoThousandAndEighteenRestrictedUnitPlanMember2022-09-252022-12-240001005210us-gaap:RetailMembersph:ResidentialSectorMember2022-09-252022-12-240001005210us-gaap:AccumulatedDefinedBenefitPlansAdjustmentMember2022-09-2</w:t>
      </w:r>
      <w:r>
        <w:rPr>
          <w:rFonts w:eastAsia="Times New Roman"/>
          <w:vanish/>
        </w:rPr>
        <w:t>52022-12-240001005210sph:LongTermIncentivePlanMember2022-12-240001005210sph:LongTermIncentivePlanMember2022-09-240001005210us-gaap:AccumulatedOtherComprehensiveIncomeMember2022-09-252022-12-240001005210us-gaap:OperatingSegmentsMemberus-gaap:CorporateMember</w:t>
      </w:r>
      <w:r>
        <w:rPr>
          <w:rFonts w:eastAsia="Times New Roman"/>
          <w:vanish/>
        </w:rPr>
        <w:t>2022-09-252022-12-240001005210sph:NaturalGasAndElectricityMember2022-12-240001005210sph:CommercialSectorMemberus-gaap:RetailMember2021-09-262021-12-250001005210sph:LongTermIncentivePlanMember2021-09-262021-12-250001005210us-gaap:GovernmentSectorMemberus-ga</w:t>
      </w:r>
      <w:r>
        <w:rPr>
          <w:rFonts w:eastAsia="Times New Roman"/>
          <w:vanish/>
        </w:rPr>
        <w:t>ap:RetailMember2022-09-252022-12-240001005210us-gaap:CommodityContractMember2021-09-252022-09-240001005210us-gaap:GovernmentSectorMemberus-gaap:RetailMember2021-09-262021-12-250001005210sph:PostRetirementBenefitsMember2022-09-240001005210us-gaap:Accumulate</w:t>
      </w:r>
      <w:r>
        <w:rPr>
          <w:rFonts w:eastAsia="Times New Roman"/>
          <w:vanish/>
        </w:rPr>
        <w:t>dDefinedBenefitPlansAdjustmentMember2022-09-240001005210us-gaap:NondesignatedMemberus-gaap:OtherNoncurrentAssetsMemberus-gaap:CommodityOptionMember2022-12-240001005210us-gaap:OtherIntangibleAssetsMember2022-09-240001005210us-gaap:OtherPostretirementBenefit</w:t>
      </w:r>
      <w:r>
        <w:rPr>
          <w:rFonts w:eastAsia="Times New Roman"/>
          <w:vanish/>
        </w:rPr>
        <w:t>PlansDefinedBenefitMember2021-09-262021-12-250001005210sph:SeniorNotesDue2031Memberus-gaap:SeniorNotesMember2022-09-252022-12-240001005210sph:OberonFuelsIncMember2022-12-240001005210us-gaap:SubsequentEventMembersph:RngprojectsMembersph:RenewableNaturalGasM</w:t>
      </w:r>
      <w:r>
        <w:rPr>
          <w:rFonts w:eastAsia="Times New Roman"/>
          <w:vanish/>
        </w:rPr>
        <w:t>ember2022-12-280001005210sph:SeniorNotesDue2027Member2021-09-252022-09-240001005210us-gaap:OtherIntangibleAssetsMember2022-12-240001005210us-gaap:OtherNoncurrentLiabilitiesMemberus-gaap:NondesignatedMemberus-gaap:CommodityOptionMember2022-09-240001005210sp</w:t>
      </w:r>
      <w:r>
        <w:rPr>
          <w:rFonts w:eastAsia="Times New Roman"/>
          <w:vanish/>
        </w:rPr>
        <w:t>h:SeniorNotesDue2024Member2022-12-240001005210us-gaap:GeneralPartnerMemberus-gaap:CommonStockMember2022-12-240001005210us-gaap:FairValueInputsLevel3Member2021-09-250001005210sph:PhantomEquityPlanMember2022-12-240001005210us-gaap:FairValueInputsLevel3Member</w:t>
      </w:r>
      <w:r>
        <w:rPr>
          <w:rFonts w:eastAsia="Times New Roman"/>
          <w:vanish/>
        </w:rPr>
        <w:t>2022-09-252022-12-240001005210sph:PostRetirementBenefitsMember2021-09-250001005210sph:ThirdAmendedAndRestatedCreditMemberus-gaap:RevolvingCreditFacilityMember2020-03-050001005210sph:SeniorNotesDue2031Member2022-12-2400010052102021-09-262021-12-250001005210</w:t>
      </w:r>
      <w:r>
        <w:rPr>
          <w:rFonts w:eastAsia="Times New Roman"/>
          <w:vanish/>
        </w:rPr>
        <w:t>srt:MaximumMember2022-12-240001005210sph:PropaneMember2022-09-252022-12-240001005210sph:TwoThousandAndEighteenRestrictedUnitPlanMembersrt:ExecutiveOfficerMember2022-09-252022-12-240001005210us-gaap:OperatingSegmentsMemberus-gaap:AllOtherSegmentsMember2022-</w:t>
      </w:r>
      <w:r>
        <w:rPr>
          <w:rFonts w:eastAsia="Times New Roman"/>
          <w:vanish/>
        </w:rPr>
        <w:t>12-24sph:Digesterssph:Segmentxbrli:puresph:Facilitiesxbrli:sharessph:Cattleiso4217:USDxbrli:sharesiso4217:USDutr:WK</w: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pBdr>
          <w:bottom w:val="double" w:sz="6" w:space="1" w:color="auto"/>
        </w:pBdr>
        <w:spacing w:before="0" w:beforeAutospacing="0" w:after="0" w:afterAutospacing="0"/>
        <w:rPr>
          <w:sz w:val="20"/>
          <w:szCs w:val="20"/>
        </w:rPr>
      </w:pPr>
      <w:r>
        <w:rPr>
          <w:sz w:val="12"/>
          <w:szCs w:val="12"/>
        </w:rPr>
        <w:t> </w:t>
      </w:r>
    </w:p>
    <w:p w:rsidR="00000000" w:rsidRDefault="00BC3404">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BC3404">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BC3404">
      <w:pPr>
        <w:pStyle w:val="a3"/>
        <w:spacing w:before="0" w:beforeAutospacing="0" w:after="0" w:afterAutospacing="0"/>
        <w:jc w:val="center"/>
        <w:rPr>
          <w:sz w:val="20"/>
          <w:szCs w:val="20"/>
        </w:rPr>
      </w:pPr>
      <w:r>
        <w:rPr>
          <w:b/>
          <w:bCs/>
        </w:rPr>
        <w:t>Washingto</w:t>
      </w:r>
      <w:r>
        <w:rPr>
          <w:b/>
          <w:bCs/>
        </w:rPr>
        <w:t>n, D.C. 2054</w:t>
      </w:r>
      <w:r>
        <w:rPr>
          <w:b/>
          <w:bCs/>
        </w:rPr>
        <w:t>9</w:t>
      </w:r>
    </w:p>
    <w:p w:rsidR="00000000" w:rsidRDefault="00BC3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BC3404">
      <w:pPr>
        <w:pStyle w:val="a3"/>
        <w:spacing w:before="16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r>
        <w:rPr>
          <w:b/>
          <w:bCs/>
          <w:sz w:val="36"/>
          <w:szCs w:val="36"/>
        </w:rPr>
        <w:t xml:space="preserve"> </w:t>
      </w:r>
    </w:p>
    <w:p w:rsidR="00000000" w:rsidRDefault="00BC3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BC3404">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112"/>
        <w:gridCol w:w="7822"/>
      </w:tblGrid>
      <w:tr w:rsidR="00000000">
        <w:trPr>
          <w:tblCellSpacing w:w="15" w:type="dxa"/>
        </w:trPr>
        <w:tc>
          <w:tcPr>
            <w:tcW w:w="200" w:type="pct"/>
            <w:vAlign w:val="center"/>
            <w:hideMark/>
          </w:tcPr>
          <w:p w:rsidR="00000000" w:rsidRDefault="00BC3404">
            <w:pPr>
              <w:rPr>
                <w:sz w:val="20"/>
                <w:szCs w:val="20"/>
              </w:rPr>
            </w:pPr>
          </w:p>
        </w:tc>
        <w:tc>
          <w:tcPr>
            <w:tcW w:w="50" w:type="pct"/>
            <w:vAlign w:val="center"/>
            <w:hideMark/>
          </w:tcPr>
          <w:p w:rsidR="00000000" w:rsidRDefault="00BC3404">
            <w:pPr>
              <w:rPr>
                <w:rFonts w:eastAsia="Times New Roman"/>
                <w:sz w:val="20"/>
                <w:szCs w:val="20"/>
              </w:rPr>
            </w:pPr>
          </w:p>
        </w:tc>
        <w:tc>
          <w:tcPr>
            <w:tcW w:w="4750" w:type="pct"/>
            <w:vAlign w:val="center"/>
            <w:hideMark/>
          </w:tcPr>
          <w:p w:rsidR="00000000" w:rsidRDefault="00BC3404">
            <w:pPr>
              <w:rPr>
                <w:rFonts w:eastAsia="Times New Roman"/>
                <w:sz w:val="20"/>
                <w:szCs w:val="20"/>
              </w:rPr>
            </w:pPr>
          </w:p>
        </w:tc>
      </w:tr>
      <w:tr w:rsidR="00000000">
        <w:trPr>
          <w:trHeight w:val="240"/>
          <w:tblCellSpacing w:w="15" w:type="dxa"/>
        </w:trPr>
        <w:tc>
          <w:tcPr>
            <w:tcW w:w="0" w:type="auto"/>
            <w:vAlign w:val="bottom"/>
            <w:hideMark/>
          </w:tcPr>
          <w:p w:rsidR="00000000" w:rsidRDefault="00BC3404">
            <w:pPr>
              <w:pStyle w:val="a3"/>
              <w:spacing w:before="0" w:beforeAutospacing="0" w:after="0" w:afterAutospacing="0"/>
              <w:rPr>
                <w:sz w:val="20"/>
                <w:szCs w:val="20"/>
              </w:rPr>
            </w:pPr>
            <w:r>
              <w:rPr>
                <w:rFonts w:ascii="Segoe UI Symbol" w:hAnsi="Segoe UI Symbol"/>
                <w:b/>
                <w:bCs/>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pPr>
            <w:r>
              <w:rPr>
                <w:b/>
                <w:bCs/>
              </w:rPr>
              <w:t>Quarterly Report Pursuant to Section 13 or 15(d) of the Securities Exchange Act of 193</w:t>
            </w:r>
            <w:r>
              <w:rPr>
                <w:b/>
                <w:bCs/>
              </w:rPr>
              <w:t>4</w:t>
            </w:r>
          </w:p>
        </w:tc>
      </w:tr>
    </w:tbl>
    <w:p w:rsidR="00000000" w:rsidRDefault="00BC3404">
      <w:pPr>
        <w:pStyle w:val="a3"/>
        <w:spacing w:before="0" w:beforeAutospacing="0" w:after="0" w:afterAutospacing="0"/>
        <w:rPr>
          <w:sz w:val="20"/>
          <w:szCs w:val="20"/>
        </w:rPr>
      </w:pPr>
      <w:r>
        <w:rPr>
          <w:sz w:val="16"/>
          <w:szCs w:val="16"/>
        </w:rPr>
        <w:t> </w:t>
      </w:r>
    </w:p>
    <w:p w:rsidR="00000000" w:rsidRDefault="00BC3404">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December 24,</w:t>
      </w:r>
      <w:r>
        <w:rPr>
          <w:b/>
          <w:bCs/>
          <w:sz w:val="20"/>
          <w:szCs w:val="20"/>
        </w:rPr>
        <w:t xml:space="preserve"> </w:t>
      </w:r>
      <w:r>
        <w:rPr>
          <w:b/>
          <w:bCs/>
          <w:sz w:val="20"/>
          <w:szCs w:val="20"/>
        </w:rPr>
        <w:t>202</w:t>
      </w:r>
      <w:r>
        <w:rPr>
          <w:b/>
          <w:bCs/>
          <w:sz w:val="20"/>
          <w:szCs w:val="20"/>
        </w:rPr>
        <w:t>2</w:t>
      </w:r>
    </w:p>
    <w:p w:rsidR="00000000" w:rsidRDefault="00BC3404">
      <w:pPr>
        <w:pStyle w:val="a3"/>
        <w:spacing w:before="0" w:beforeAutospacing="0" w:after="0" w:afterAutospacing="0"/>
        <w:ind w:hanging="581"/>
        <w:rPr>
          <w:sz w:val="20"/>
          <w:szCs w:val="20"/>
        </w:rPr>
      </w:pPr>
      <w:r>
        <w:rPr>
          <w:rFonts w:ascii="Wingdings" w:hAnsi="Wingdings"/>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120"/>
        <w:gridCol w:w="7818"/>
      </w:tblGrid>
      <w:tr w:rsidR="00000000">
        <w:trPr>
          <w:tblCellSpacing w:w="15" w:type="dxa"/>
        </w:trPr>
        <w:tc>
          <w:tcPr>
            <w:tcW w:w="200" w:type="pct"/>
            <w:vAlign w:val="center"/>
            <w:hideMark/>
          </w:tcPr>
          <w:p w:rsidR="00000000" w:rsidRDefault="00BC3404">
            <w:pPr>
              <w:rPr>
                <w:sz w:val="20"/>
                <w:szCs w:val="20"/>
              </w:rPr>
            </w:pPr>
          </w:p>
        </w:tc>
        <w:tc>
          <w:tcPr>
            <w:tcW w:w="50" w:type="pct"/>
            <w:vAlign w:val="center"/>
            <w:hideMark/>
          </w:tcPr>
          <w:p w:rsidR="00000000" w:rsidRDefault="00BC3404">
            <w:pPr>
              <w:rPr>
                <w:rFonts w:eastAsia="Times New Roman"/>
                <w:sz w:val="20"/>
                <w:szCs w:val="20"/>
              </w:rPr>
            </w:pPr>
          </w:p>
        </w:tc>
        <w:tc>
          <w:tcPr>
            <w:tcW w:w="4750" w:type="pct"/>
            <w:vAlign w:val="center"/>
            <w:hideMark/>
          </w:tcPr>
          <w:p w:rsidR="00000000" w:rsidRDefault="00BC3404">
            <w:pPr>
              <w:rPr>
                <w:rFonts w:eastAsia="Times New Roman"/>
                <w:sz w:val="20"/>
                <w:szCs w:val="20"/>
              </w:rPr>
            </w:pPr>
          </w:p>
        </w:tc>
      </w:tr>
      <w:tr w:rsidR="00000000">
        <w:trPr>
          <w:trHeight w:val="240"/>
          <w:tblCellSpacing w:w="15" w:type="dxa"/>
        </w:trPr>
        <w:tc>
          <w:tcPr>
            <w:tcW w:w="0" w:type="auto"/>
            <w:vAlign w:val="bottom"/>
            <w:hideMark/>
          </w:tcPr>
          <w:p w:rsidR="00000000" w:rsidRDefault="00BC3404">
            <w:pPr>
              <w:pStyle w:val="a3"/>
              <w:spacing w:before="0" w:beforeAutospacing="0" w:after="0" w:afterAutospacing="0"/>
              <w:rPr>
                <w:sz w:val="20"/>
                <w:szCs w:val="20"/>
              </w:rPr>
            </w:pPr>
            <w:r>
              <w:rPr>
                <w:rFonts w:ascii="Segoe UI Symbol" w:hAnsi="Segoe UI Symbol"/>
                <w:b/>
                <w:bCs/>
              </w:rPr>
              <w:t>☐</w:t>
            </w:r>
          </w:p>
        </w:tc>
        <w:tc>
          <w:tcPr>
            <w:tcW w:w="0" w:type="auto"/>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rPr>
                <w:b/>
                <w:bCs/>
              </w:rPr>
              <w:t>Transition Report Pursuant to Section 13 or 15(d) of the Securities Exchange Act of 193</w:t>
            </w:r>
            <w:r>
              <w:rPr>
                <w:b/>
                <w:bCs/>
              </w:rPr>
              <w:t>4</w:t>
            </w:r>
          </w:p>
        </w:tc>
      </w:tr>
    </w:tbl>
    <w:p w:rsidR="00000000" w:rsidRDefault="00BC3404">
      <w:pPr>
        <w:pStyle w:val="a3"/>
        <w:spacing w:before="0" w:beforeAutospacing="0" w:after="0" w:afterAutospacing="0"/>
        <w:ind w:hanging="581"/>
        <w:rPr>
          <w:sz w:val="20"/>
          <w:szCs w:val="20"/>
        </w:rPr>
      </w:pPr>
      <w:r>
        <w:rPr>
          <w:rFonts w:ascii="Wingdings" w:hAnsi="Wingdings"/>
          <w:sz w:val="14"/>
          <w:szCs w:val="14"/>
        </w:rPr>
        <w:t> </w:t>
      </w:r>
    </w:p>
    <w:p w:rsidR="00000000" w:rsidRDefault="00BC3404">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1-1422</w:t>
      </w:r>
      <w:r>
        <w:rPr>
          <w:b/>
          <w:bCs/>
          <w:sz w:val="20"/>
          <w:szCs w:val="20"/>
        </w:rPr>
        <w:t>2</w:t>
      </w:r>
    </w:p>
    <w:p w:rsidR="00000000" w:rsidRDefault="00BC3404">
      <w:pPr>
        <w:pStyle w:val="a3"/>
        <w:pBdr>
          <w:bottom w:val="single" w:sz="4" w:space="1" w:color="auto"/>
        </w:pBdr>
        <w:spacing w:before="0" w:beforeAutospacing="0" w:after="0" w:afterAutospacing="0"/>
        <w:ind w:left="4762" w:right="4762"/>
        <w:jc w:val="center"/>
        <w:rPr>
          <w:sz w:val="20"/>
          <w:szCs w:val="20"/>
        </w:rPr>
      </w:pPr>
      <w:r>
        <w:rPr>
          <w:sz w:val="14"/>
          <w:szCs w:val="14"/>
        </w:rPr>
        <w:t> </w:t>
      </w:r>
    </w:p>
    <w:p w:rsidR="00000000" w:rsidRDefault="00BC3404">
      <w:pPr>
        <w:pStyle w:val="a3"/>
        <w:spacing w:before="160" w:beforeAutospacing="0" w:after="0" w:afterAutospacing="0"/>
        <w:jc w:val="center"/>
        <w:rPr>
          <w:sz w:val="20"/>
          <w:szCs w:val="20"/>
        </w:rPr>
      </w:pPr>
      <w:r>
        <w:rPr>
          <w:b/>
          <w:bCs/>
          <w:sz w:val="40"/>
          <w:szCs w:val="40"/>
        </w:rPr>
        <w:t>SUBURBAN PROPANE PARTNERS, L.P</w:t>
      </w:r>
      <w:r>
        <w:rPr>
          <w:b/>
          <w:bCs/>
          <w:sz w:val="40"/>
          <w:szCs w:val="40"/>
        </w:rPr>
        <w:t>.</w:t>
      </w:r>
    </w:p>
    <w:p w:rsidR="00000000" w:rsidRDefault="00BC3404">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BC3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BC3404">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BC3404">
            <w:pPr>
              <w:rPr>
                <w:sz w:val="20"/>
                <w:szCs w:val="20"/>
              </w:rPr>
            </w:pPr>
          </w:p>
        </w:tc>
        <w:tc>
          <w:tcPr>
            <w:tcW w:w="2500" w:type="pct"/>
            <w:vAlign w:val="center"/>
            <w:hideMark/>
          </w:tcPr>
          <w:p w:rsidR="00000000" w:rsidRDefault="00BC3404">
            <w:pPr>
              <w:rPr>
                <w:rFonts w:eastAsia="Times New Roman"/>
                <w:sz w:val="20"/>
                <w:szCs w:val="20"/>
              </w:rPr>
            </w:pP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BC3404">
            <w:pPr>
              <w:pStyle w:val="a3"/>
              <w:spacing w:before="0" w:beforeAutospacing="0" w:after="0" w:afterAutospacing="0"/>
              <w:jc w:val="center"/>
              <w:rPr>
                <w:sz w:val="20"/>
                <w:szCs w:val="20"/>
              </w:rPr>
            </w:pPr>
            <w:r>
              <w:rPr>
                <w:b/>
                <w:bCs/>
                <w:sz w:val="20"/>
                <w:szCs w:val="20"/>
              </w:rPr>
              <w:t>22-341035</w:t>
            </w:r>
            <w:r>
              <w:rPr>
                <w:b/>
                <w:bCs/>
                <w:sz w:val="20"/>
                <w:szCs w:val="20"/>
              </w:rPr>
              <w:t>3</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(I.R.S. Employe</w:t>
            </w:r>
            <w:r>
              <w:rPr>
                <w:b/>
                <w:bCs/>
                <w:sz w:val="16"/>
                <w:szCs w:val="16"/>
              </w:rPr>
              <w:t>r</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Identification No.</w:t>
            </w:r>
            <w:r>
              <w:rPr>
                <w:b/>
                <w:bCs/>
                <w:sz w:val="16"/>
                <w:szCs w:val="16"/>
              </w:rPr>
              <w:t>)</w:t>
            </w:r>
          </w:p>
        </w:tc>
      </w:tr>
    </w:tbl>
    <w:p w:rsidR="00000000" w:rsidRDefault="00BC3404">
      <w:pPr>
        <w:pStyle w:val="a3"/>
        <w:spacing w:before="0" w:beforeAutospacing="0" w:after="0" w:afterAutospacing="0"/>
        <w:rPr>
          <w:sz w:val="20"/>
          <w:szCs w:val="20"/>
        </w:rPr>
      </w:pPr>
      <w:r>
        <w:rPr>
          <w:sz w:val="16"/>
          <w:szCs w:val="16"/>
        </w:rPr>
        <w:t> </w:t>
      </w:r>
    </w:p>
    <w:p w:rsidR="00000000" w:rsidRDefault="00BC3404">
      <w:pPr>
        <w:pStyle w:val="a3"/>
        <w:spacing w:before="0" w:beforeAutospacing="0" w:after="0" w:afterAutospacing="0"/>
        <w:jc w:val="center"/>
        <w:rPr>
          <w:sz w:val="20"/>
          <w:szCs w:val="20"/>
        </w:rPr>
      </w:pPr>
      <w:r>
        <w:rPr>
          <w:b/>
          <w:bCs/>
          <w:sz w:val="20"/>
          <w:szCs w:val="20"/>
        </w:rPr>
        <w:t>240 Route 10 Wes</w:t>
      </w:r>
      <w:r>
        <w:rPr>
          <w:b/>
          <w:bCs/>
          <w:sz w:val="20"/>
          <w:szCs w:val="20"/>
        </w:rPr>
        <w:t>t</w:t>
      </w:r>
    </w:p>
    <w:p w:rsidR="00000000" w:rsidRDefault="00BC3404">
      <w:pPr>
        <w:pStyle w:val="a3"/>
        <w:spacing w:before="0" w:beforeAutospacing="0" w:after="0" w:afterAutospacing="0"/>
        <w:jc w:val="center"/>
        <w:rPr>
          <w:sz w:val="20"/>
          <w:szCs w:val="20"/>
        </w:rPr>
      </w:pPr>
      <w:r>
        <w:rPr>
          <w:b/>
          <w:bCs/>
          <w:sz w:val="20"/>
          <w:szCs w:val="20"/>
        </w:rPr>
        <w:t>Whippan</w:t>
      </w:r>
      <w:r>
        <w:rPr>
          <w:b/>
          <w:bCs/>
          <w:sz w:val="20"/>
          <w:szCs w:val="20"/>
        </w:rPr>
        <w:t>y</w:t>
      </w:r>
      <w:r>
        <w:rPr>
          <w:b/>
          <w:bCs/>
          <w:sz w:val="20"/>
          <w:szCs w:val="20"/>
        </w:rPr>
        <w:t>,</w:t>
      </w:r>
      <w:r>
        <w:rPr>
          <w:b/>
          <w:bCs/>
          <w:sz w:val="20"/>
          <w:szCs w:val="20"/>
        </w:rPr>
        <w:t xml:space="preserve"> </w:t>
      </w:r>
      <w:r>
        <w:rPr>
          <w:b/>
          <w:bCs/>
          <w:sz w:val="20"/>
          <w:szCs w:val="20"/>
        </w:rPr>
        <w:t>N</w:t>
      </w:r>
      <w:r>
        <w:rPr>
          <w:b/>
          <w:bCs/>
          <w:sz w:val="20"/>
          <w:szCs w:val="20"/>
        </w:rPr>
        <w:t>J</w:t>
      </w:r>
      <w:r>
        <w:rPr>
          <w:b/>
          <w:bCs/>
          <w:sz w:val="20"/>
          <w:szCs w:val="20"/>
        </w:rPr>
        <w:t xml:space="preserve"> </w:t>
      </w:r>
      <w:r>
        <w:rPr>
          <w:b/>
          <w:bCs/>
          <w:sz w:val="20"/>
          <w:szCs w:val="20"/>
        </w:rPr>
        <w:t>0798</w:t>
      </w:r>
      <w:r>
        <w:rPr>
          <w:b/>
          <w:bCs/>
          <w:sz w:val="20"/>
          <w:szCs w:val="20"/>
        </w:rPr>
        <w:t>1</w:t>
      </w:r>
    </w:p>
    <w:p w:rsidR="00000000" w:rsidRDefault="00BC3404">
      <w:pPr>
        <w:pStyle w:val="a3"/>
        <w:spacing w:before="0" w:beforeAutospacing="0" w:after="0" w:afterAutospacing="0"/>
        <w:jc w:val="center"/>
        <w:rPr>
          <w:sz w:val="20"/>
          <w:szCs w:val="20"/>
        </w:rPr>
      </w:pPr>
      <w:r>
        <w:rPr>
          <w:b/>
          <w:bCs/>
          <w:sz w:val="20"/>
          <w:szCs w:val="20"/>
        </w:rPr>
        <w:t>(</w:t>
      </w:r>
      <w:r>
        <w:rPr>
          <w:b/>
          <w:bCs/>
          <w:sz w:val="20"/>
          <w:szCs w:val="20"/>
        </w:rPr>
        <w:t>97</w:t>
      </w:r>
      <w:r>
        <w:rPr>
          <w:b/>
          <w:bCs/>
          <w:sz w:val="20"/>
          <w:szCs w:val="20"/>
        </w:rPr>
        <w:t>3</w:t>
      </w:r>
      <w:r>
        <w:rPr>
          <w:b/>
          <w:bCs/>
          <w:sz w:val="20"/>
          <w:szCs w:val="20"/>
        </w:rPr>
        <w:t>)</w:t>
      </w:r>
      <w:r>
        <w:rPr>
          <w:b/>
          <w:bCs/>
          <w:sz w:val="20"/>
          <w:szCs w:val="20"/>
        </w:rPr>
        <w:t xml:space="preserve"> </w:t>
      </w:r>
      <w:r>
        <w:rPr>
          <w:b/>
          <w:bCs/>
          <w:sz w:val="20"/>
          <w:szCs w:val="20"/>
        </w:rPr>
        <w:t>887-530</w:t>
      </w:r>
      <w:r>
        <w:rPr>
          <w:b/>
          <w:bCs/>
          <w:sz w:val="20"/>
          <w:szCs w:val="20"/>
        </w:rPr>
        <w:t>0</w:t>
      </w:r>
    </w:p>
    <w:p w:rsidR="00000000" w:rsidRDefault="00BC3404">
      <w:pPr>
        <w:pStyle w:val="a3"/>
        <w:spacing w:before="0" w:beforeAutospacing="0" w:after="0" w:afterAutospacing="0"/>
        <w:jc w:val="center"/>
        <w:rPr>
          <w:sz w:val="20"/>
          <w:szCs w:val="20"/>
        </w:rPr>
      </w:pPr>
      <w:r>
        <w:rPr>
          <w:b/>
          <w:bCs/>
          <w:sz w:val="20"/>
          <w:szCs w:val="20"/>
        </w:rPr>
        <w:t>(Address, including zip code, and telephone number</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including area code, of registrant’s principal executive offices</w:t>
      </w:r>
      <w:r>
        <w:rPr>
          <w:b/>
          <w:bCs/>
          <w:sz w:val="20"/>
          <w:szCs w:val="20"/>
        </w:rPr>
        <w:t>)</w:t>
      </w:r>
    </w:p>
    <w:p w:rsidR="00000000" w:rsidRDefault="00BC3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BC3404">
      <w:pPr>
        <w:pStyle w:val="a3"/>
        <w:spacing w:before="160" w:beforeAutospacing="0" w:after="0" w:afterAutospacing="0"/>
        <w:rPr>
          <w:sz w:val="20"/>
          <w:szCs w:val="20"/>
        </w:rPr>
      </w:pPr>
      <w:r>
        <w:rPr>
          <w:sz w:val="20"/>
          <w:szCs w:val="20"/>
        </w:rPr>
        <w:t>Securities registered pursuant to Section 12(b) of the Act</w:t>
      </w:r>
      <w:r>
        <w:rPr>
          <w:sz w:val="20"/>
          <w:szCs w:val="20"/>
        </w:rPr>
        <w:t>:</w:t>
      </w:r>
    </w:p>
    <w:p w:rsidR="00000000" w:rsidRDefault="00BC3404">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2"/>
        <w:gridCol w:w="111"/>
        <w:gridCol w:w="3280"/>
        <w:gridCol w:w="111"/>
        <w:gridCol w:w="2402"/>
      </w:tblGrid>
      <w:tr w:rsidR="00000000">
        <w:trPr>
          <w:tblCellSpacing w:w="15" w:type="dxa"/>
        </w:trPr>
        <w:tc>
          <w:tcPr>
            <w:tcW w:w="1450" w:type="pct"/>
            <w:vAlign w:val="center"/>
            <w:hideMark/>
          </w:tcPr>
          <w:p w:rsidR="00000000" w:rsidRDefault="00BC3404">
            <w:pPr>
              <w:rPr>
                <w:sz w:val="20"/>
                <w:szCs w:val="20"/>
              </w:rPr>
            </w:pPr>
          </w:p>
        </w:tc>
        <w:tc>
          <w:tcPr>
            <w:tcW w:w="50" w:type="pct"/>
            <w:vAlign w:val="center"/>
            <w:hideMark/>
          </w:tcPr>
          <w:p w:rsidR="00000000" w:rsidRDefault="00BC3404">
            <w:pPr>
              <w:rPr>
                <w:rFonts w:eastAsia="Times New Roman"/>
                <w:sz w:val="20"/>
                <w:szCs w:val="20"/>
              </w:rPr>
            </w:pPr>
          </w:p>
        </w:tc>
        <w:tc>
          <w:tcPr>
            <w:tcW w:w="200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4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BC3404">
            <w:pPr>
              <w:pStyle w:val="a3"/>
              <w:spacing w:before="0" w:beforeAutospacing="0" w:after="0" w:afterAutospacing="0"/>
              <w:jc w:val="center"/>
              <w:rPr>
                <w:sz w:val="16"/>
                <w:szCs w:val="16"/>
              </w:rPr>
            </w:pPr>
            <w:r>
              <w:rPr>
                <w:sz w:val="16"/>
                <w:szCs w:val="16"/>
              </w:rPr>
              <w:t>Title of each clas</w:t>
            </w:r>
            <w:r>
              <w:rPr>
                <w:sz w:val="16"/>
                <w:szCs w:val="16"/>
              </w:rPr>
              <w:t>s</w:t>
            </w:r>
          </w:p>
        </w:tc>
        <w:tc>
          <w:tcPr>
            <w:tcW w:w="0" w:type="auto"/>
            <w:hideMark/>
          </w:tcPr>
          <w:p w:rsidR="00000000" w:rsidRDefault="00BC3404">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BC3404">
            <w:pPr>
              <w:pStyle w:val="a3"/>
              <w:spacing w:before="0" w:beforeAutospacing="0" w:after="0" w:afterAutospacing="0"/>
              <w:jc w:val="center"/>
              <w:rPr>
                <w:sz w:val="16"/>
                <w:szCs w:val="16"/>
              </w:rPr>
            </w:pPr>
            <w:r>
              <w:rPr>
                <w:sz w:val="16"/>
                <w:szCs w:val="16"/>
              </w:rPr>
              <w:t>Trading Symbo</w:t>
            </w:r>
            <w:r>
              <w:rPr>
                <w:sz w:val="16"/>
                <w:szCs w:val="16"/>
              </w:rPr>
              <w:t>l</w:t>
            </w:r>
          </w:p>
        </w:tc>
        <w:tc>
          <w:tcPr>
            <w:tcW w:w="0" w:type="auto"/>
            <w:hideMark/>
          </w:tcPr>
          <w:p w:rsidR="00000000" w:rsidRDefault="00BC3404">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BC3404">
            <w:pPr>
              <w:pStyle w:val="a3"/>
              <w:spacing w:before="0" w:beforeAutospacing="0" w:after="0" w:afterAutospacing="0"/>
              <w:jc w:val="center"/>
              <w:rPr>
                <w:sz w:val="16"/>
                <w:szCs w:val="16"/>
              </w:rPr>
            </w:pPr>
            <w:r>
              <w:rPr>
                <w:sz w:val="16"/>
                <w:szCs w:val="16"/>
              </w:rPr>
              <w:t>Name of exchange on which registere</w:t>
            </w:r>
            <w:r>
              <w:rPr>
                <w:sz w:val="16"/>
                <w:szCs w:val="16"/>
              </w:rPr>
              <w:t>d</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20"/>
                <w:szCs w:val="20"/>
              </w:rPr>
            </w:pPr>
            <w:r>
              <w:rPr>
                <w:sz w:val="16"/>
                <w:szCs w:val="16"/>
              </w:rPr>
              <w:t>Common Unit</w:t>
            </w:r>
            <w:r>
              <w:rPr>
                <w:sz w:val="16"/>
                <w:szCs w:val="16"/>
              </w:rPr>
              <w:t>s</w:t>
            </w:r>
          </w:p>
        </w:tc>
        <w:tc>
          <w:tcPr>
            <w:tcW w:w="0" w:type="auto"/>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16"/>
                <w:szCs w:val="16"/>
              </w:rPr>
              <w:t>SP</w:t>
            </w:r>
            <w:r>
              <w:rPr>
                <w:sz w:val="16"/>
                <w:szCs w:val="16"/>
              </w:rPr>
              <w:t>H</w:t>
            </w:r>
          </w:p>
        </w:tc>
        <w:tc>
          <w:tcPr>
            <w:tcW w:w="0" w:type="auto"/>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16"/>
                <w:szCs w:val="16"/>
              </w:rPr>
              <w:t>New York Stock Exchang</w:t>
            </w:r>
            <w:r>
              <w:rPr>
                <w:sz w:val="16"/>
                <w:szCs w:val="16"/>
              </w:rPr>
              <w:t>e</w:t>
            </w:r>
          </w:p>
        </w:tc>
      </w:tr>
    </w:tbl>
    <w:p w:rsidR="00000000" w:rsidRDefault="00BC3404">
      <w:pPr>
        <w:pStyle w:val="a3"/>
        <w:spacing w:before="0" w:beforeAutospacing="0" w:after="0" w:afterAutospacing="0"/>
        <w:jc w:val="both"/>
        <w:rPr>
          <w:sz w:val="20"/>
          <w:szCs w:val="20"/>
        </w:rPr>
      </w:pPr>
      <w:r>
        <w:rPr>
          <w:sz w:val="16"/>
          <w:szCs w:val="16"/>
        </w:rPr>
        <w:t> </w:t>
      </w:r>
    </w:p>
    <w:p w:rsidR="00000000" w:rsidRDefault="00BC3404">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w:t>
      </w:r>
      <w:r>
        <w:rPr>
          <w:sz w:val="20"/>
          <w:szCs w:val="20"/>
        </w:rPr>
        <w:t>eding 12 months (or for such shorter period that the registrant was required to file such reports), and (2) has been subject to such filing requirements for the past 90 days.</w:t>
      </w:r>
      <w:r>
        <w:rPr>
          <w:sz w:val="20"/>
          <w:szCs w:val="20"/>
        </w:rPr>
        <w:t xml:space="preserve"> </w:t>
      </w:r>
      <w:r>
        <w:rPr>
          <w:rFonts w:ascii="Segoe UI Symbol" w:hAnsi="Segoe UI Symbol"/>
          <w:sz w:val="20"/>
          <w:szCs w:val="20"/>
        </w:rPr>
        <w: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sz w:val="20"/>
          <w:szCs w:val="20"/>
        </w:rPr>
        <w:t>☐</w:t>
      </w:r>
      <w:r>
        <w:rPr>
          <w:sz w:val="20"/>
          <w:szCs w:val="20"/>
        </w:rPr>
        <w:t xml:space="preserve"> N</w:t>
      </w:r>
      <w:r>
        <w:rPr>
          <w:sz w:val="20"/>
          <w:szCs w:val="20"/>
        </w:rPr>
        <w:t>o</w:t>
      </w:r>
    </w:p>
    <w:p w:rsidR="00000000" w:rsidRDefault="00BC3404">
      <w:pPr>
        <w:pStyle w:val="a3"/>
        <w:spacing w:before="160" w:beforeAutospacing="0" w:after="0" w:afterAutospacing="0"/>
        <w:jc w:val="both"/>
        <w:rPr>
          <w:sz w:val="20"/>
          <w:szCs w:val="20"/>
        </w:rPr>
      </w:pPr>
      <w:r>
        <w:rPr>
          <w:sz w:val="20"/>
          <w:szCs w:val="20"/>
        </w:rPr>
        <w:t>Indicate by check mark whether the registrant has submitted electronic</w:t>
      </w:r>
      <w:r>
        <w:rPr>
          <w:sz w:val="20"/>
          <w:szCs w:val="20"/>
        </w:rPr>
        <w:t>ally every Interactive Data File required to be submitted pursuant to Rule 405 of Regulation S-T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rsidR="00000000" w:rsidRDefault="00BC3404">
      <w:pPr>
        <w:pStyle w:val="a3"/>
        <w:spacing w:before="160" w:beforeAutospacing="0" w:after="0" w:afterAutospacing="0"/>
        <w:jc w:val="both"/>
        <w:rPr>
          <w:sz w:val="20"/>
          <w:szCs w:val="20"/>
        </w:rPr>
      </w:pPr>
      <w:r>
        <w:rPr>
          <w:sz w:val="20"/>
          <w:szCs w:val="20"/>
        </w:rPr>
        <w:t>Indica</w:t>
      </w:r>
      <w:r>
        <w:rPr>
          <w:sz w:val="20"/>
          <w:szCs w:val="20"/>
        </w:rPr>
        <w:t>te by check mark whether the registrant is a large accelerated filer, an accelerated filer, a non-accelerated filer, a smaller reporting company, or an emerging growth company. See the definitions of “large accelerated filer,” “accelerated filer,” “smaller</w:t>
      </w:r>
      <w:r>
        <w:rPr>
          <w:sz w:val="20"/>
          <w:szCs w:val="20"/>
        </w:rPr>
        <w:t xml:space="preserve"> reporting company,” and “emerging growth company” in Rule 12b-2 of the Exchange Act</w:t>
      </w:r>
      <w:r>
        <w:rPr>
          <w:sz w:val="20"/>
          <w:szCs w:val="20"/>
        </w:rPr>
        <w:t>.</w:t>
      </w:r>
    </w:p>
    <w:p w:rsidR="00000000" w:rsidRDefault="00BC3404">
      <w:pPr>
        <w:pStyle w:val="a3"/>
        <w:spacing w:before="0" w:beforeAutospacing="0" w:after="0" w:afterAutospacing="0"/>
        <w:jc w:val="both"/>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4"/>
        <w:gridCol w:w="355"/>
        <w:gridCol w:w="3768"/>
        <w:gridCol w:w="1899"/>
        <w:gridCol w:w="370"/>
      </w:tblGrid>
      <w:tr w:rsidR="00000000">
        <w:trPr>
          <w:tblCellSpacing w:w="15" w:type="dxa"/>
        </w:trPr>
        <w:tc>
          <w:tcPr>
            <w:tcW w:w="1150" w:type="pct"/>
            <w:vAlign w:val="center"/>
            <w:hideMark/>
          </w:tcPr>
          <w:p w:rsidR="00000000" w:rsidRDefault="00BC3404">
            <w:pPr>
              <w:rPr>
                <w:sz w:val="20"/>
                <w:szCs w:val="20"/>
              </w:rPr>
            </w:pPr>
          </w:p>
        </w:tc>
        <w:tc>
          <w:tcPr>
            <w:tcW w:w="200" w:type="pct"/>
            <w:vAlign w:val="center"/>
            <w:hideMark/>
          </w:tcPr>
          <w:p w:rsidR="00000000" w:rsidRDefault="00BC3404">
            <w:pPr>
              <w:rPr>
                <w:rFonts w:eastAsia="Times New Roman"/>
                <w:sz w:val="20"/>
                <w:szCs w:val="20"/>
              </w:rPr>
            </w:pPr>
          </w:p>
        </w:tc>
        <w:tc>
          <w:tcPr>
            <w:tcW w:w="2300" w:type="pct"/>
            <w:vAlign w:val="center"/>
            <w:hideMark/>
          </w:tcPr>
          <w:p w:rsidR="00000000" w:rsidRDefault="00BC3404">
            <w:pPr>
              <w:rPr>
                <w:rFonts w:eastAsia="Times New Roman"/>
                <w:sz w:val="20"/>
                <w:szCs w:val="20"/>
              </w:rPr>
            </w:pPr>
          </w:p>
        </w:tc>
        <w:tc>
          <w:tcPr>
            <w:tcW w:w="1150" w:type="pct"/>
            <w:vAlign w:val="center"/>
            <w:hideMark/>
          </w:tcPr>
          <w:p w:rsidR="00000000" w:rsidRDefault="00BC3404">
            <w:pPr>
              <w:rPr>
                <w:rFonts w:eastAsia="Times New Roman"/>
                <w:sz w:val="20"/>
                <w:szCs w:val="20"/>
              </w:rPr>
            </w:pPr>
          </w:p>
        </w:tc>
        <w:tc>
          <w:tcPr>
            <w:tcW w:w="200" w:type="pct"/>
            <w:vAlign w:val="center"/>
            <w:hideMark/>
          </w:tcPr>
          <w:p w:rsidR="00000000" w:rsidRDefault="00BC3404">
            <w:pPr>
              <w:rPr>
                <w:rFonts w:eastAsia="Times New Roman"/>
                <w:sz w:val="20"/>
                <w:szCs w:val="20"/>
              </w:rPr>
            </w:pP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lastRenderedPageBreak/>
              <w:t>Large accelerated file</w:t>
            </w:r>
            <w:r>
              <w:rPr>
                <w:sz w:val="20"/>
                <w:szCs w:val="20"/>
              </w:rPr>
              <w:t>r</w:t>
            </w:r>
          </w:p>
        </w:tc>
        <w:tc>
          <w:tcPr>
            <w:tcW w:w="0" w:type="auto"/>
            <w:hideMark/>
          </w:tcPr>
          <w:p w:rsidR="00000000" w:rsidRDefault="00BC3404">
            <w:pPr>
              <w:pStyle w:val="a3"/>
              <w:spacing w:before="0" w:beforeAutospacing="0" w:after="0" w:afterAutospacing="0"/>
              <w:rPr>
                <w:sz w:val="20"/>
                <w:szCs w:val="20"/>
              </w:rPr>
            </w:pPr>
            <w:r>
              <w:rPr>
                <w:rFonts w:ascii="Segoe UI Symbol" w:hAnsi="Segoe UI Symbol"/>
                <w:sz w:val="20"/>
                <w:szCs w:val="20"/>
              </w:rPr>
              <w:t>☒</w:t>
            </w:r>
          </w:p>
        </w:tc>
        <w:tc>
          <w:tcPr>
            <w:tcW w:w="0" w:type="auto"/>
            <w:hideMark/>
          </w:tcPr>
          <w:p w:rsidR="00000000" w:rsidRDefault="00BC3404">
            <w:pPr>
              <w:pStyle w:val="a3"/>
              <w:spacing w:before="0" w:beforeAutospacing="0" w:after="0" w:afterAutospacing="0"/>
              <w:rPr>
                <w:sz w:val="20"/>
                <w:szCs w:val="20"/>
              </w:rPr>
            </w:pPr>
            <w:r>
              <w:rPr>
                <w:rFonts w:ascii="Wingdings" w:hAnsi="Wingdings"/>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Accelerated file</w:t>
            </w:r>
            <w:r>
              <w:rPr>
                <w:sz w:val="20"/>
                <w:szCs w:val="20"/>
              </w:rPr>
              <w:t>r</w:t>
            </w:r>
          </w:p>
        </w:tc>
        <w:tc>
          <w:tcPr>
            <w:tcW w:w="0" w:type="auto"/>
            <w:hideMark/>
          </w:tcPr>
          <w:p w:rsidR="00000000" w:rsidRDefault="00BC3404">
            <w:pPr>
              <w:pStyle w:val="a3"/>
              <w:spacing w:before="0" w:beforeAutospacing="0" w:after="0" w:afterAutospacing="0"/>
              <w:rPr>
                <w:sz w:val="20"/>
                <w:szCs w:val="20"/>
              </w:rPr>
            </w:pPr>
            <w:r>
              <w:rPr>
                <w:rFonts w:ascii="Segoe UI Symbol" w:hAnsi="Segoe UI Symbol"/>
                <w:sz w:val="20"/>
                <w:szCs w:val="20"/>
              </w:rPr>
              <w:t>☐</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Non-accelerated file</w:t>
            </w:r>
            <w:r>
              <w:rPr>
                <w:sz w:val="20"/>
                <w:szCs w:val="20"/>
              </w:rPr>
              <w:t>r</w:t>
            </w:r>
          </w:p>
        </w:tc>
        <w:tc>
          <w:tcPr>
            <w:tcW w:w="0" w:type="auto"/>
            <w:hideMark/>
          </w:tcPr>
          <w:p w:rsidR="00000000" w:rsidRDefault="00BC3404">
            <w:pPr>
              <w:pStyle w:val="a3"/>
              <w:spacing w:before="0" w:beforeAutospacing="0" w:after="0" w:afterAutospacing="0"/>
              <w:rPr>
                <w:sz w:val="20"/>
                <w:szCs w:val="20"/>
              </w:rPr>
            </w:pPr>
            <w:r>
              <w:rPr>
                <w:rFonts w:ascii="Segoe UI Symbol" w:hAnsi="Segoe UI Symbol"/>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Smaller reporting compan</w:t>
            </w:r>
            <w:r>
              <w:rPr>
                <w:sz w:val="20"/>
                <w:szCs w:val="20"/>
              </w:rPr>
              <w:t>y</w:t>
            </w:r>
          </w:p>
        </w:tc>
        <w:tc>
          <w:tcPr>
            <w:tcW w:w="0" w:type="auto"/>
            <w:hideMark/>
          </w:tcPr>
          <w:p w:rsidR="00000000" w:rsidRDefault="00BC3404">
            <w:pPr>
              <w:pStyle w:val="a3"/>
              <w:spacing w:before="0" w:beforeAutospacing="0" w:after="0" w:afterAutospacing="0"/>
              <w:rPr>
                <w:sz w:val="20"/>
                <w:szCs w:val="20"/>
              </w:rPr>
            </w:pPr>
            <w:r>
              <w:rPr>
                <w:rFonts w:ascii="Segoe UI Symbol" w:hAnsi="Segoe UI Symbol"/>
                <w:sz w:val="20"/>
                <w:szCs w:val="20"/>
              </w:rPr>
              <w:t>☐</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rFonts w:ascii="Wingdings" w:hAnsi="Wingdings"/>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Emerging growth compan</w:t>
            </w:r>
            <w:r>
              <w:rPr>
                <w:sz w:val="20"/>
                <w:szCs w:val="20"/>
              </w:rPr>
              <w:t>y</w:t>
            </w:r>
          </w:p>
        </w:tc>
        <w:tc>
          <w:tcPr>
            <w:tcW w:w="0" w:type="auto"/>
            <w:hideMark/>
          </w:tcPr>
          <w:p w:rsidR="00000000" w:rsidRDefault="00BC3404">
            <w:pPr>
              <w:pStyle w:val="a3"/>
              <w:spacing w:before="0" w:beforeAutospacing="0" w:after="0" w:afterAutospacing="0"/>
              <w:rPr>
                <w:sz w:val="20"/>
                <w:szCs w:val="20"/>
              </w:rPr>
            </w:pPr>
            <w:r>
              <w:rPr>
                <w:rFonts w:ascii="Segoe UI Symbol" w:hAnsi="Segoe UI Symbol"/>
                <w:sz w:val="20"/>
                <w:szCs w:val="20"/>
              </w:rPr>
              <w:t>☐</w:t>
            </w:r>
          </w:p>
        </w:tc>
      </w:tr>
    </w:tbl>
    <w:p w:rsidR="00000000" w:rsidRDefault="00BC3404">
      <w:pPr>
        <w:pStyle w:val="a3"/>
        <w:spacing w:before="0" w:beforeAutospacing="0" w:after="0" w:afterAutospacing="0"/>
        <w:jc w:val="both"/>
        <w:rPr>
          <w:sz w:val="20"/>
          <w:szCs w:val="20"/>
        </w:rPr>
      </w:pPr>
      <w:r>
        <w:rPr>
          <w:sz w:val="16"/>
          <w:szCs w:val="16"/>
        </w:rPr>
        <w:t> </w:t>
      </w:r>
    </w:p>
    <w:p w:rsidR="00000000" w:rsidRDefault="00BC3404">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sz w:val="20"/>
          <w:szCs w:val="20"/>
        </w:rPr>
        <w:t>☐</w:t>
      </w:r>
    </w:p>
    <w:p w:rsidR="00000000" w:rsidRDefault="00BC3404">
      <w:pPr>
        <w:pStyle w:val="a3"/>
        <w:spacing w:before="160" w:beforeAutospacing="0" w:after="0" w:afterAutospacing="0"/>
        <w:jc w:val="both"/>
        <w:rPr>
          <w:sz w:val="20"/>
          <w:szCs w:val="20"/>
        </w:rPr>
      </w:pPr>
      <w:r>
        <w:rPr>
          <w:sz w:val="20"/>
          <w:szCs w:val="20"/>
        </w:rPr>
        <w:t>Ind</w:t>
      </w:r>
      <w:r>
        <w:rPr>
          <w:sz w:val="20"/>
          <w:szCs w:val="20"/>
        </w:rPr>
        <w:t>icate by check mark whether the registrant is a shell company (as defined in Rule 12b-2 of the Exchange Act). Yes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rsidR="00000000" w:rsidRDefault="00BC3404">
      <w:pPr>
        <w:pStyle w:val="a3"/>
        <w:spacing w:before="160" w:beforeAutospacing="0" w:after="0" w:afterAutospacing="0"/>
        <w:jc w:val="both"/>
        <w:rPr>
          <w:sz w:val="20"/>
          <w:szCs w:val="20"/>
        </w:rPr>
      </w:pPr>
      <w:r>
        <w:rPr>
          <w:sz w:val="20"/>
          <w:szCs w:val="20"/>
        </w:rPr>
        <w:t>At January 30, 2023, there we</w:t>
      </w:r>
      <w:r>
        <w:rPr>
          <w:sz w:val="20"/>
          <w:szCs w:val="20"/>
        </w:rPr>
        <w:t>r</w:t>
      </w:r>
      <w:r>
        <w:rPr>
          <w:sz w:val="20"/>
          <w:szCs w:val="20"/>
        </w:rPr>
        <w:t>e</w:t>
      </w:r>
      <w:r>
        <w:rPr>
          <w:sz w:val="20"/>
          <w:szCs w:val="20"/>
        </w:rPr>
        <w:t xml:space="preserve"> </w:t>
      </w:r>
      <w:r>
        <w:rPr>
          <w:sz w:val="20"/>
          <w:szCs w:val="20"/>
        </w:rPr>
        <w:t>63,489,39</w:t>
      </w:r>
      <w:r>
        <w:rPr>
          <w:sz w:val="20"/>
          <w:szCs w:val="20"/>
        </w:rPr>
        <w:t>2</w:t>
      </w:r>
      <w:r>
        <w:rPr>
          <w:sz w:val="20"/>
          <w:szCs w:val="20"/>
        </w:rPr>
        <w:t xml:space="preserve"> Com</w:t>
      </w:r>
      <w:r>
        <w:rPr>
          <w:sz w:val="20"/>
          <w:szCs w:val="20"/>
        </w:rPr>
        <w:t>m</w:t>
      </w:r>
      <w:r>
        <w:rPr>
          <w:sz w:val="20"/>
          <w:szCs w:val="20"/>
        </w:rPr>
        <w:t>on Units of Suburban Propane Partners, L.P. outstanding</w:t>
      </w:r>
      <w:r>
        <w:rPr>
          <w:sz w:val="20"/>
          <w:szCs w:val="20"/>
        </w:rPr>
        <w:t>.</w:t>
      </w:r>
    </w:p>
    <w:p w:rsidR="00000000" w:rsidRDefault="00BC3404">
      <w:pPr>
        <w:pStyle w:val="a3"/>
        <w:pBdr>
          <w:bottom w:val="double" w:sz="6" w:space="1" w:color="auto"/>
        </w:pBdr>
        <w:spacing w:before="0" w:beforeAutospacing="0" w:after="0" w:afterAutospacing="0"/>
        <w:jc w:val="both"/>
        <w:rPr>
          <w:sz w:val="20"/>
          <w:szCs w:val="20"/>
        </w:rPr>
      </w:pPr>
      <w:r>
        <w:rPr>
          <w:sz w:val="20"/>
          <w:szCs w:val="20"/>
        </w:rPr>
        <w:t> </w:t>
      </w:r>
    </w:p>
    <w:p w:rsidR="00000000" w:rsidRDefault="00BC3404">
      <w:pPr>
        <w:pStyle w:val="a3"/>
        <w:spacing w:before="240" w:beforeAutospacing="0" w:after="0" w:afterAutospacing="0"/>
        <w:jc w:val="center"/>
        <w:rPr>
          <w:sz w:val="20"/>
          <w:szCs w:val="20"/>
        </w:rPr>
      </w:pPr>
      <w:r>
        <w:rPr>
          <w:sz w:val="20"/>
          <w:szCs w:val="20"/>
        </w:rPr>
        <w:t> </w:t>
      </w:r>
    </w:p>
    <w:p w:rsidR="00000000" w:rsidRDefault="00BC3404">
      <w:pPr>
        <w:rPr>
          <w:rFonts w:eastAsia="Times New Roman"/>
        </w:rPr>
      </w:pPr>
      <w:r>
        <w:rPr>
          <w:rFonts w:eastAsia="Times New Roman"/>
        </w:rPr>
        <w:pict>
          <v:rect id="_x0000_i1025"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SUBURBAN PROPANE PARTNE</w:t>
      </w:r>
      <w:r>
        <w:rPr>
          <w:b/>
          <w:bCs/>
          <w:sz w:val="20"/>
          <w:szCs w:val="20"/>
        </w:rPr>
        <w:t>R</w:t>
      </w:r>
      <w:r>
        <w:rPr>
          <w:b/>
          <w:bCs/>
          <w:sz w:val="20"/>
          <w:szCs w:val="20"/>
        </w:rPr>
        <w:t>S, L.P. AND SUBSIDIARIE</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INDEX TO FORM 10-</w:t>
      </w:r>
      <w:r>
        <w:rPr>
          <w:b/>
          <w:bCs/>
          <w:sz w:val="20"/>
          <w:szCs w:val="20"/>
        </w:rPr>
        <w:t>Q</w:t>
      </w:r>
    </w:p>
    <w:p w:rsidR="00000000" w:rsidRDefault="00BC3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9"/>
        <w:gridCol w:w="159"/>
        <w:gridCol w:w="6854"/>
        <w:gridCol w:w="110"/>
        <w:gridCol w:w="464"/>
      </w:tblGrid>
      <w:tr w:rsidR="00000000">
        <w:trPr>
          <w:tblCellSpacing w:w="15" w:type="dxa"/>
        </w:trPr>
        <w:tc>
          <w:tcPr>
            <w:tcW w:w="417" w:type="pct"/>
            <w:vAlign w:val="center"/>
            <w:hideMark/>
          </w:tcPr>
          <w:p w:rsidR="00000000" w:rsidRDefault="00BC3404">
            <w:pPr>
              <w:rPr>
                <w:sz w:val="20"/>
                <w:szCs w:val="20"/>
              </w:rPr>
            </w:pPr>
          </w:p>
        </w:tc>
        <w:tc>
          <w:tcPr>
            <w:tcW w:w="82" w:type="pct"/>
            <w:vAlign w:val="center"/>
            <w:hideMark/>
          </w:tcPr>
          <w:p w:rsidR="00000000" w:rsidRDefault="00BC3404">
            <w:pPr>
              <w:rPr>
                <w:rFonts w:eastAsia="Times New Roman"/>
                <w:sz w:val="20"/>
                <w:szCs w:val="20"/>
              </w:rPr>
            </w:pPr>
          </w:p>
        </w:tc>
        <w:tc>
          <w:tcPr>
            <w:tcW w:w="420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50" w:type="pct"/>
            <w:vAlign w:val="center"/>
            <w:hideMark/>
          </w:tcPr>
          <w:p w:rsidR="00000000" w:rsidRDefault="00BC3404">
            <w:pPr>
              <w:rPr>
                <w:rFonts w:eastAsia="Times New Roman"/>
                <w:sz w:val="20"/>
                <w:szCs w:val="20"/>
              </w:rPr>
            </w:pP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tcBorders>
              <w:bottom w:val="single" w:sz="4" w:space="0" w:color="auto"/>
            </w:tcBorders>
            <w:vAlign w:val="bottom"/>
            <w:hideMark/>
          </w:tcPr>
          <w:p w:rsidR="00000000" w:rsidRDefault="00BC3404">
            <w:pPr>
              <w:pStyle w:val="a3"/>
              <w:spacing w:before="0" w:beforeAutospacing="0" w:after="0" w:afterAutospacing="0"/>
              <w:jc w:val="center"/>
              <w:rPr>
                <w:sz w:val="20"/>
                <w:szCs w:val="20"/>
              </w:rPr>
            </w:pPr>
            <w:r>
              <w:rPr>
                <w:sz w:val="20"/>
                <w:szCs w:val="20"/>
              </w:rPr>
              <w:t>Pag</w:t>
            </w:r>
            <w:r>
              <w:rPr>
                <w:sz w:val="20"/>
                <w:szCs w:val="20"/>
              </w:rPr>
              <w:t>e</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hyperlink w:anchor="part_i_financial_information" w:history="1">
              <w:r>
                <w:rPr>
                  <w:rStyle w:val="a4"/>
                  <w:sz w:val="20"/>
                  <w:szCs w:val="20"/>
                </w:rPr>
                <w:t>PART I. FINANCIAL INFORMATIO</w:t>
              </w:r>
              <w:r>
                <w:rPr>
                  <w:rStyle w:val="a4"/>
                  <w:sz w:val="20"/>
                  <w:szCs w:val="20"/>
                </w:rPr>
                <w:t>N</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1_financial_statements" w:history="1">
              <w:r>
                <w:rPr>
                  <w:rStyle w:val="a4"/>
                  <w:sz w:val="20"/>
                  <w:szCs w:val="20"/>
                </w:rPr>
                <w:t>FINANCIAL STATEMENTS (UNAUDITED</w:t>
              </w:r>
              <w:r>
                <w:rPr>
                  <w:rStyle w:val="a4"/>
                  <w:sz w:val="20"/>
                  <w:szCs w:val="20"/>
                </w:rPr>
                <w:t>)</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 as of December 24, 2022 and September 24, 202</w:t>
              </w:r>
              <w:r>
                <w:rPr>
                  <w:rStyle w:val="a4"/>
                  <w:sz w:val="20"/>
                  <w:szCs w:val="20"/>
                </w:rPr>
                <w:t>2</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condensed_consolidated_statements_opera" w:history="1">
              <w:r>
                <w:rPr>
                  <w:rStyle w:val="a4"/>
                  <w:sz w:val="20"/>
                  <w:szCs w:val="20"/>
                </w:rPr>
                <w:t>Condensed Consolidated Statem</w:t>
              </w:r>
              <w:r>
                <w:rPr>
                  <w:rStyle w:val="a4"/>
                  <w:sz w:val="20"/>
                  <w:szCs w:val="20"/>
                </w:rPr>
                <w:t>ents of Operations for the three months ended December 24, 2022 and December 25, 202</w:t>
              </w:r>
              <w:r>
                <w:rPr>
                  <w:rStyle w:val="a4"/>
                  <w:sz w:val="20"/>
                  <w:szCs w:val="20"/>
                </w:rPr>
                <w:t>1</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condensed_consolidated_statements_compr" w:history="1">
              <w:r>
                <w:rPr>
                  <w:rStyle w:val="a4"/>
                  <w:sz w:val="20"/>
                  <w:szCs w:val="20"/>
                </w:rPr>
                <w:t>Condensed Consolidated Statements of Comprehensive Income for the three months ended December 24, 2022 and December 25, 202</w:t>
              </w:r>
              <w:r>
                <w:rPr>
                  <w:rStyle w:val="a4"/>
                  <w:sz w:val="20"/>
                  <w:szCs w:val="20"/>
                </w:rPr>
                <w:t>1</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condensed_consolidated_statements_cash_" w:history="1">
              <w:r>
                <w:rPr>
                  <w:rStyle w:val="a4"/>
                  <w:sz w:val="20"/>
                  <w:szCs w:val="20"/>
                </w:rPr>
                <w:t>Condensed Consolidated Statements of Cash Flows f</w:t>
              </w:r>
              <w:r>
                <w:rPr>
                  <w:rStyle w:val="a4"/>
                  <w:sz w:val="20"/>
                  <w:szCs w:val="20"/>
                </w:rPr>
                <w:t>or the three months ended December 24, 2022 and December 25, 202</w:t>
              </w:r>
              <w:r>
                <w:rPr>
                  <w:rStyle w:val="a4"/>
                  <w:sz w:val="20"/>
                  <w:szCs w:val="20"/>
                </w:rPr>
                <w:t>1</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condensed_consolidated_statements_partn" w:history="1">
              <w:r>
                <w:rPr>
                  <w:rStyle w:val="a4"/>
                  <w:sz w:val="20"/>
                  <w:szCs w:val="20"/>
                </w:rPr>
                <w:t xml:space="preserve">Condensed Consolidated Statements of Partners’ </w:t>
              </w:r>
              <w:r>
                <w:rPr>
                  <w:rStyle w:val="a4"/>
                  <w:sz w:val="20"/>
                  <w:szCs w:val="20"/>
                </w:rPr>
                <w:t>Capital for the three months ended December 24, 2022</w:t>
              </w:r>
              <w:r>
                <w:rPr>
                  <w:color w:val="0000FF"/>
                  <w:sz w:val="20"/>
                  <w:szCs w:val="20"/>
                  <w:u w:val="single"/>
                </w:rPr>
                <w:br/>
              </w:r>
              <w:r>
                <w:rPr>
                  <w:rStyle w:val="a4"/>
                  <w:sz w:val="20"/>
                  <w:szCs w:val="20"/>
                </w:rPr>
                <w:t>and December 25, 202</w:t>
              </w:r>
              <w:r>
                <w:rPr>
                  <w:rStyle w:val="a4"/>
                  <w:sz w:val="20"/>
                  <w:szCs w:val="20"/>
                </w:rPr>
                <w:t>1</w:t>
              </w:r>
            </w:hyperlink>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notes_to_condensed_consolidated_financi" w:history="1">
              <w:r>
                <w:rPr>
                  <w:rStyle w:val="a4"/>
                  <w:sz w:val="20"/>
                  <w:szCs w:val="20"/>
                </w:rPr>
                <w:t>Notes to Condensed Consolidated Financial Statement</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2_managements_discussion_analysis_" w:history="1">
              <w:r>
                <w:rPr>
                  <w:rStyle w:val="a4"/>
                  <w:sz w:val="20"/>
                  <w:szCs w:val="20"/>
                </w:rPr>
                <w:t>MANAGEMENT’</w:t>
              </w:r>
              <w:r>
                <w:rPr>
                  <w:rStyle w:val="a4"/>
                  <w:sz w:val="20"/>
                  <w:szCs w:val="20"/>
                </w:rPr>
                <w:t>S DISCUSSION AND ANALYSIS OF FINANCIAL CONDITION AND RESULTS OF OPERATION</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0</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lastRenderedPageBreak/>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hideMark/>
          </w:tcPr>
          <w:p w:rsidR="00000000" w:rsidRDefault="00BC3404">
            <w:pPr>
              <w:pStyle w:val="a3"/>
              <w:spacing w:before="0" w:beforeAutospacing="0" w:after="0" w:afterAutospacing="0"/>
              <w:jc w:val="center"/>
              <w:rPr>
                <w:sz w:val="20"/>
                <w:szCs w:val="20"/>
              </w:rPr>
            </w:pPr>
            <w:hyperlink w:anchor="part_ii_or_information" w:history="1">
              <w:r>
                <w:rPr>
                  <w:rStyle w:val="a4"/>
                  <w:sz w:val="20"/>
                  <w:szCs w:val="20"/>
                </w:rPr>
                <w:t>PART II. OTHER INFORMATIO</w:t>
              </w:r>
              <w:r>
                <w:rPr>
                  <w:rStyle w:val="a4"/>
                  <w:sz w:val="20"/>
                  <w:szCs w:val="20"/>
                </w:rPr>
                <w:t>N</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1A</w:t>
            </w:r>
            <w:r>
              <w:rPr>
                <w:sz w:val="20"/>
                <w:szCs w:val="20"/>
              </w:rPr>
              <w:t>.</w:t>
            </w:r>
            <w:r>
              <w:rPr>
                <w:sz w:val="20"/>
                <w:szCs w:val="20"/>
              </w:rPr>
              <w:t xml:space="preserve">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5</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ITEM 6</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14"/>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BC3404">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gridSpan w:val="3"/>
            <w:hideMark/>
          </w:tcPr>
          <w:p w:rsidR="00000000" w:rsidRDefault="00BC3404">
            <w:pPr>
              <w:pStyle w:val="a3"/>
              <w:spacing w:before="0" w:beforeAutospacing="0" w:after="0" w:afterAutospacing="0"/>
              <w:rPr>
                <w:sz w:val="20"/>
                <w:szCs w:val="20"/>
              </w:rPr>
            </w:pPr>
            <w:hyperlink w:anchor="signatures" w:history="1">
              <w:r>
                <w:rPr>
                  <w:rStyle w:val="a4"/>
                  <w:caps/>
                  <w:sz w:val="20"/>
                  <w:szCs w:val="20"/>
                </w:rPr>
                <w:t>SignaturE</w:t>
              </w:r>
              <w:r>
                <w:rPr>
                  <w:rStyle w:val="a4"/>
                  <w:caps/>
                  <w:sz w:val="20"/>
                  <w:szCs w:val="20"/>
                </w:rPr>
                <w:t>s</w:t>
              </w:r>
            </w:hyperlink>
          </w:p>
        </w:tc>
        <w:tc>
          <w:tcPr>
            <w:tcW w:w="0" w:type="auto"/>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4</w:t>
            </w:r>
          </w:p>
        </w:tc>
      </w:tr>
    </w:tbl>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240" w:beforeAutospacing="0" w:after="0" w:afterAutospacing="0"/>
        <w:jc w:val="center"/>
        <w:rPr>
          <w:sz w:val="20"/>
          <w:szCs w:val="20"/>
        </w:rPr>
      </w:pPr>
      <w:r>
        <w:rPr>
          <w:sz w:val="20"/>
          <w:szCs w:val="20"/>
        </w:rPr>
        <w:t> </w:t>
      </w:r>
    </w:p>
    <w:p w:rsidR="00000000" w:rsidRDefault="00BC3404">
      <w:pPr>
        <w:rPr>
          <w:rFonts w:eastAsia="Times New Roman"/>
        </w:rPr>
      </w:pPr>
      <w:r>
        <w:rPr>
          <w:rFonts w:eastAsia="Times New Roman"/>
        </w:rPr>
        <w:pict>
          <v:rect id="_x0000_i1026"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rPr>
          <w:sz w:val="20"/>
          <w:szCs w:val="20"/>
        </w:rPr>
      </w:pPr>
      <w:r>
        <w:rPr>
          <w:b/>
          <w:bCs/>
          <w:sz w:val="20"/>
          <w:szCs w:val="20"/>
          <w:u w:val="single"/>
        </w:rPr>
        <w:t>DISCLOSURE REGARDING FORWARD-LOOKING STATEMENT</w:t>
      </w:r>
      <w:r>
        <w:rPr>
          <w:b/>
          <w:bCs/>
          <w:sz w:val="20"/>
          <w:szCs w:val="20"/>
          <w:u w:val="single"/>
        </w:rPr>
        <w:t>S</w:t>
      </w:r>
    </w:p>
    <w:p w:rsidR="00000000" w:rsidRDefault="00BC3404">
      <w:pPr>
        <w:pStyle w:val="a3"/>
        <w:spacing w:beforeAutospacing="0" w:after="0" w:afterAutospacing="0"/>
        <w:jc w:val="both"/>
        <w:rPr>
          <w:sz w:val="20"/>
          <w:szCs w:val="20"/>
        </w:rPr>
      </w:pPr>
      <w:r>
        <w:rPr>
          <w:sz w:val="20"/>
          <w:szCs w:val="20"/>
        </w:rPr>
        <w:t>This Quarterly Report on Form 10-Q contains forward-looking statements (“Forward-Looking Sta</w:t>
      </w:r>
      <w:r>
        <w:rPr>
          <w:sz w:val="20"/>
          <w:szCs w:val="20"/>
        </w:rPr>
        <w:t>tements”) as defined in the Private Securities Litigation Reform Act of 1995, Section 27A of the Securities Act of 1933, as amended, and Section 21E of the Securities Exchange Act of 1934, as amended, relating to future business expectations and prediction</w:t>
      </w:r>
      <w:r>
        <w:rPr>
          <w:sz w:val="20"/>
          <w:szCs w:val="20"/>
        </w:rPr>
        <w:t>s, project developments, and financial condition and results of operations of Suburban Propane Partners, L.P. (the “Partnership”). Some of these statements can be identified by the use of forward-looking terminology such as “prospects,” “outlook,” “believe</w:t>
      </w:r>
      <w:r>
        <w:rPr>
          <w:sz w:val="20"/>
          <w:szCs w:val="20"/>
        </w:rPr>
        <w:t>s,” “estimates,” “intends,” “may,” “will,” “should,” “could,” “anticipates,” “expects” or “plans” or the negative or other variation of these or similar words, or by discussion of trends and conditions, strategies or risks and uncertainties. These Forward-</w:t>
      </w:r>
      <w:r>
        <w:rPr>
          <w:sz w:val="20"/>
          <w:szCs w:val="20"/>
        </w:rPr>
        <w:t>Looking Statements involve certain risks and uncertainties that could cause actual results to differ materially from those discussed or implied in such Forward-Looking Statements (statements contained in this Quarterly Report identifying such risks and unc</w:t>
      </w:r>
      <w:r>
        <w:rPr>
          <w:sz w:val="20"/>
          <w:szCs w:val="20"/>
        </w:rPr>
        <w:t>ertainties are referred to as “Cautionary Statements”). The risks and uncertainties that could impact the Partnership’s results include, but are not limited to, the following risks</w:t>
      </w:r>
      <w:r>
        <w:rPr>
          <w:sz w:val="20"/>
          <w:szCs w:val="20"/>
        </w:rPr>
        <w:t>:</w:t>
      </w:r>
    </w:p>
    <w:p w:rsidR="00000000" w:rsidRDefault="00BC3404">
      <w:pPr>
        <w:jc w:val="both"/>
        <w:divId w:val="1235046756"/>
        <w:rPr>
          <w:rFonts w:eastAsia="Times New Roman"/>
        </w:rPr>
      </w:pPr>
      <w:r>
        <w:rPr>
          <w:rFonts w:eastAsia="Times New Roman"/>
          <w:sz w:val="20"/>
          <w:szCs w:val="20"/>
        </w:rPr>
        <w:t>•</w:t>
      </w:r>
    </w:p>
    <w:p w:rsidR="00000000" w:rsidRDefault="00BC3404">
      <w:pPr>
        <w:jc w:val="both"/>
        <w:divId w:val="1794859030"/>
        <w:rPr>
          <w:rFonts w:eastAsia="Times New Roman"/>
        </w:rPr>
      </w:pPr>
      <w:r>
        <w:rPr>
          <w:rFonts w:eastAsia="Times New Roman"/>
          <w:sz w:val="20"/>
          <w:szCs w:val="20"/>
        </w:rPr>
        <w:t>The impact of weather conditions on the demand for propane, fuel oil and</w:t>
      </w:r>
      <w:r>
        <w:rPr>
          <w:rFonts w:eastAsia="Times New Roman"/>
          <w:sz w:val="20"/>
          <w:szCs w:val="20"/>
        </w:rPr>
        <w:t xml:space="preserve"> other refined fuels, natural gas and electricity</w:t>
      </w:r>
      <w:r>
        <w:rPr>
          <w:rFonts w:eastAsia="Times New Roman"/>
          <w:sz w:val="20"/>
          <w:szCs w:val="20"/>
        </w:rPr>
        <w:t>;</w:t>
      </w:r>
    </w:p>
    <w:p w:rsidR="00000000" w:rsidRDefault="00BC3404">
      <w:pPr>
        <w:jc w:val="both"/>
        <w:divId w:val="1546870179"/>
        <w:rPr>
          <w:rFonts w:eastAsia="Times New Roman"/>
        </w:rPr>
      </w:pPr>
      <w:r>
        <w:rPr>
          <w:rFonts w:eastAsia="Times New Roman"/>
          <w:sz w:val="20"/>
          <w:szCs w:val="20"/>
        </w:rPr>
        <w:t>•</w:t>
      </w:r>
    </w:p>
    <w:p w:rsidR="00000000" w:rsidRDefault="00BC3404">
      <w:pPr>
        <w:jc w:val="both"/>
        <w:divId w:val="76444035"/>
        <w:rPr>
          <w:rFonts w:eastAsia="Times New Roman"/>
        </w:rPr>
      </w:pPr>
      <w:r>
        <w:rPr>
          <w:rFonts w:eastAsia="Times New Roman"/>
          <w:sz w:val="20"/>
          <w:szCs w:val="20"/>
        </w:rPr>
        <w:t>Volatility in the unit cost of propane, fuel oil and other refined fuels, natural gas and electricity, the impact of the Partnership’s hedging and risk management activities, and the adverse impact of pr</w:t>
      </w:r>
      <w:r>
        <w:rPr>
          <w:rFonts w:eastAsia="Times New Roman"/>
          <w:sz w:val="20"/>
          <w:szCs w:val="20"/>
        </w:rPr>
        <w:t>ice increases on volumes sold as a result of customer conservation</w:t>
      </w:r>
      <w:r>
        <w:rPr>
          <w:rFonts w:eastAsia="Times New Roman"/>
          <w:sz w:val="20"/>
          <w:szCs w:val="20"/>
        </w:rPr>
        <w:t>;</w:t>
      </w:r>
    </w:p>
    <w:p w:rsidR="00000000" w:rsidRDefault="00BC3404">
      <w:pPr>
        <w:jc w:val="both"/>
        <w:divId w:val="1440415817"/>
        <w:rPr>
          <w:rFonts w:eastAsia="Times New Roman"/>
        </w:rPr>
      </w:pPr>
      <w:r>
        <w:rPr>
          <w:rFonts w:eastAsia="Times New Roman"/>
          <w:sz w:val="20"/>
          <w:szCs w:val="20"/>
        </w:rPr>
        <w:t>•</w:t>
      </w:r>
    </w:p>
    <w:p w:rsidR="00000000" w:rsidRDefault="00BC3404">
      <w:pPr>
        <w:jc w:val="both"/>
        <w:divId w:val="1786339217"/>
        <w:rPr>
          <w:rFonts w:eastAsia="Times New Roman"/>
        </w:rPr>
      </w:pPr>
      <w:r>
        <w:rPr>
          <w:rFonts w:eastAsia="Times New Roman"/>
          <w:sz w:val="20"/>
          <w:szCs w:val="20"/>
        </w:rPr>
        <w:t>The impact of the COVID-19 pandemic and the corresponding government response, including the impact across the Partnership’s businesses on demand and operations, as well as on the operat</w:t>
      </w:r>
      <w:r>
        <w:rPr>
          <w:rFonts w:eastAsia="Times New Roman"/>
          <w:sz w:val="20"/>
          <w:szCs w:val="20"/>
        </w:rPr>
        <w:t>ions of the Partnership’s suppliers, customers and other business partners, and the effectiveness of the Partnership’s actions taken in response to these risks</w:t>
      </w:r>
      <w:r>
        <w:rPr>
          <w:rFonts w:eastAsia="Times New Roman"/>
          <w:sz w:val="20"/>
          <w:szCs w:val="20"/>
        </w:rPr>
        <w:t>;</w:t>
      </w:r>
    </w:p>
    <w:p w:rsidR="00000000" w:rsidRDefault="00BC3404">
      <w:pPr>
        <w:jc w:val="both"/>
        <w:divId w:val="1295529065"/>
        <w:rPr>
          <w:rFonts w:eastAsia="Times New Roman"/>
        </w:rPr>
      </w:pPr>
      <w:r>
        <w:rPr>
          <w:rFonts w:eastAsia="Times New Roman"/>
          <w:sz w:val="20"/>
          <w:szCs w:val="20"/>
        </w:rPr>
        <w:lastRenderedPageBreak/>
        <w:t>•</w:t>
      </w:r>
    </w:p>
    <w:p w:rsidR="00000000" w:rsidRDefault="00BC3404">
      <w:pPr>
        <w:jc w:val="both"/>
        <w:divId w:val="1900431937"/>
        <w:rPr>
          <w:rFonts w:eastAsia="Times New Roman"/>
        </w:rPr>
      </w:pPr>
      <w:r>
        <w:rPr>
          <w:rFonts w:eastAsia="Times New Roman"/>
          <w:sz w:val="20"/>
          <w:szCs w:val="20"/>
        </w:rPr>
        <w:t>The ability of the Partnership to compete with other suppliers of propane, fuel oil and other energy sources</w:t>
      </w:r>
      <w:r>
        <w:rPr>
          <w:rFonts w:eastAsia="Times New Roman"/>
          <w:sz w:val="20"/>
          <w:szCs w:val="20"/>
        </w:rPr>
        <w:t>;</w:t>
      </w:r>
    </w:p>
    <w:p w:rsidR="00000000" w:rsidRDefault="00BC3404">
      <w:pPr>
        <w:jc w:val="both"/>
        <w:divId w:val="15008149"/>
        <w:rPr>
          <w:rFonts w:eastAsia="Times New Roman"/>
        </w:rPr>
      </w:pPr>
      <w:r>
        <w:rPr>
          <w:rFonts w:eastAsia="Times New Roman"/>
          <w:sz w:val="20"/>
          <w:szCs w:val="20"/>
        </w:rPr>
        <w:t>•</w:t>
      </w:r>
    </w:p>
    <w:p w:rsidR="00000000" w:rsidRDefault="00BC3404">
      <w:pPr>
        <w:jc w:val="both"/>
        <w:divId w:val="1112096312"/>
        <w:rPr>
          <w:rFonts w:eastAsia="Times New Roman"/>
        </w:rPr>
      </w:pPr>
      <w:r>
        <w:rPr>
          <w:rFonts w:eastAsia="Times New Roman"/>
          <w:sz w:val="20"/>
          <w:szCs w:val="20"/>
        </w:rPr>
        <w:t xml:space="preserve">The impact on the price and supply of propane, fuel oil and other refined fuels from the political, military or economic instability of the oil </w:t>
      </w:r>
      <w:r>
        <w:rPr>
          <w:rFonts w:eastAsia="Times New Roman"/>
          <w:sz w:val="20"/>
          <w:szCs w:val="20"/>
        </w:rPr>
        <w:t>producing nations, including Russian military action in Ukraine, global terrorism and other general economic conditions, including the economic instability resulting from natural disasters such as pandemics, including the COVID-19 pandemic</w:t>
      </w:r>
      <w:r>
        <w:rPr>
          <w:rFonts w:eastAsia="Times New Roman"/>
          <w:sz w:val="20"/>
          <w:szCs w:val="20"/>
        </w:rPr>
        <w:t>;</w:t>
      </w:r>
    </w:p>
    <w:p w:rsidR="00000000" w:rsidRDefault="00BC3404">
      <w:pPr>
        <w:jc w:val="both"/>
        <w:divId w:val="1653674843"/>
        <w:rPr>
          <w:rFonts w:eastAsia="Times New Roman"/>
        </w:rPr>
      </w:pPr>
      <w:r>
        <w:rPr>
          <w:rFonts w:eastAsia="Times New Roman"/>
          <w:sz w:val="20"/>
          <w:szCs w:val="20"/>
        </w:rPr>
        <w:t>•</w:t>
      </w:r>
    </w:p>
    <w:p w:rsidR="00000000" w:rsidRDefault="00BC3404">
      <w:pPr>
        <w:jc w:val="both"/>
        <w:divId w:val="795024832"/>
        <w:rPr>
          <w:rFonts w:eastAsia="Times New Roman"/>
        </w:rPr>
      </w:pPr>
      <w:r>
        <w:rPr>
          <w:rFonts w:eastAsia="Times New Roman"/>
          <w:sz w:val="20"/>
          <w:szCs w:val="20"/>
        </w:rPr>
        <w:t>The ability o</w:t>
      </w:r>
      <w:r>
        <w:rPr>
          <w:rFonts w:eastAsia="Times New Roman"/>
          <w:sz w:val="20"/>
          <w:szCs w:val="20"/>
        </w:rPr>
        <w:t>f the Partnership to acquire sufficient volumes of, and the costs to the Partnership of acquiring, transporting and storing, propane, fuel oil and other refined fuels</w:t>
      </w:r>
      <w:r>
        <w:rPr>
          <w:rFonts w:eastAsia="Times New Roman"/>
          <w:sz w:val="20"/>
          <w:szCs w:val="20"/>
        </w:rPr>
        <w:t>;</w:t>
      </w:r>
    </w:p>
    <w:p w:rsidR="00000000" w:rsidRDefault="00BC3404">
      <w:pPr>
        <w:jc w:val="both"/>
        <w:divId w:val="627012888"/>
        <w:rPr>
          <w:rFonts w:eastAsia="Times New Roman"/>
        </w:rPr>
      </w:pPr>
      <w:r>
        <w:rPr>
          <w:rFonts w:eastAsia="Times New Roman"/>
          <w:sz w:val="20"/>
          <w:szCs w:val="20"/>
        </w:rPr>
        <w:t>•</w:t>
      </w:r>
    </w:p>
    <w:p w:rsidR="00000000" w:rsidRDefault="00BC3404">
      <w:pPr>
        <w:jc w:val="both"/>
        <w:divId w:val="455754130"/>
        <w:rPr>
          <w:rFonts w:eastAsia="Times New Roman"/>
        </w:rPr>
      </w:pPr>
      <w:r>
        <w:rPr>
          <w:rFonts w:eastAsia="Times New Roman"/>
          <w:sz w:val="20"/>
          <w:szCs w:val="20"/>
        </w:rPr>
        <w:t>The ability of the Partnership to acquire and maintain reliable transportation for its</w:t>
      </w:r>
      <w:r>
        <w:rPr>
          <w:rFonts w:eastAsia="Times New Roman"/>
          <w:sz w:val="20"/>
          <w:szCs w:val="20"/>
        </w:rPr>
        <w:t xml:space="preserve"> propane, fuel oil and other refined fuels</w:t>
      </w:r>
      <w:r>
        <w:rPr>
          <w:rFonts w:eastAsia="Times New Roman"/>
          <w:sz w:val="20"/>
          <w:szCs w:val="20"/>
        </w:rPr>
        <w:t>;</w:t>
      </w:r>
    </w:p>
    <w:p w:rsidR="00000000" w:rsidRDefault="00BC3404">
      <w:pPr>
        <w:jc w:val="both"/>
        <w:divId w:val="839085405"/>
        <w:rPr>
          <w:rFonts w:eastAsia="Times New Roman"/>
        </w:rPr>
      </w:pPr>
      <w:r>
        <w:rPr>
          <w:rFonts w:eastAsia="Times New Roman"/>
          <w:sz w:val="20"/>
          <w:szCs w:val="20"/>
        </w:rPr>
        <w:t>•</w:t>
      </w:r>
    </w:p>
    <w:p w:rsidR="00000000" w:rsidRDefault="00BC3404">
      <w:pPr>
        <w:jc w:val="both"/>
        <w:divId w:val="1339037769"/>
        <w:rPr>
          <w:rFonts w:eastAsia="Times New Roman"/>
        </w:rPr>
      </w:pPr>
      <w:r>
        <w:rPr>
          <w:rFonts w:eastAsia="Times New Roman"/>
          <w:sz w:val="20"/>
          <w:szCs w:val="20"/>
        </w:rPr>
        <w:t>The ability of the Partnership to attract and retain employees and key personnel to support the growth of our business</w:t>
      </w:r>
      <w:r>
        <w:rPr>
          <w:rFonts w:eastAsia="Times New Roman"/>
          <w:sz w:val="20"/>
          <w:szCs w:val="20"/>
        </w:rPr>
        <w:t>;</w:t>
      </w:r>
    </w:p>
    <w:p w:rsidR="00000000" w:rsidRDefault="00BC3404">
      <w:pPr>
        <w:jc w:val="both"/>
        <w:divId w:val="784616848"/>
        <w:rPr>
          <w:rFonts w:eastAsia="Times New Roman"/>
        </w:rPr>
      </w:pPr>
      <w:r>
        <w:rPr>
          <w:rFonts w:eastAsia="Times New Roman"/>
          <w:sz w:val="20"/>
          <w:szCs w:val="20"/>
        </w:rPr>
        <w:t>•</w:t>
      </w:r>
    </w:p>
    <w:p w:rsidR="00000000" w:rsidRDefault="00BC3404">
      <w:pPr>
        <w:jc w:val="both"/>
        <w:divId w:val="1046682800"/>
        <w:rPr>
          <w:rFonts w:eastAsia="Times New Roman"/>
        </w:rPr>
      </w:pPr>
      <w:r>
        <w:rPr>
          <w:rFonts w:eastAsia="Times New Roman"/>
          <w:sz w:val="20"/>
          <w:szCs w:val="20"/>
        </w:rPr>
        <w:t>The ability of the Partnership to retain customers or acquire new customers</w:t>
      </w:r>
      <w:r>
        <w:rPr>
          <w:rFonts w:eastAsia="Times New Roman"/>
          <w:sz w:val="20"/>
          <w:szCs w:val="20"/>
        </w:rPr>
        <w:t>;</w:t>
      </w:r>
    </w:p>
    <w:p w:rsidR="00000000" w:rsidRDefault="00BC3404">
      <w:pPr>
        <w:jc w:val="both"/>
        <w:divId w:val="395932449"/>
        <w:rPr>
          <w:rFonts w:eastAsia="Times New Roman"/>
        </w:rPr>
      </w:pPr>
      <w:r>
        <w:rPr>
          <w:rFonts w:eastAsia="Times New Roman"/>
          <w:sz w:val="20"/>
          <w:szCs w:val="20"/>
        </w:rPr>
        <w:t>•</w:t>
      </w:r>
    </w:p>
    <w:p w:rsidR="00000000" w:rsidRDefault="00BC3404">
      <w:pPr>
        <w:jc w:val="both"/>
        <w:divId w:val="974801162"/>
        <w:rPr>
          <w:rFonts w:eastAsia="Times New Roman"/>
        </w:rPr>
      </w:pPr>
      <w:r>
        <w:rPr>
          <w:rFonts w:eastAsia="Times New Roman"/>
          <w:sz w:val="20"/>
          <w:szCs w:val="20"/>
        </w:rPr>
        <w:t xml:space="preserve">The impact of customer conservation, energy efficiency </w:t>
      </w:r>
      <w:r>
        <w:rPr>
          <w:rFonts w:eastAsia="Times New Roman"/>
          <w:sz w:val="20"/>
          <w:szCs w:val="20"/>
        </w:rPr>
        <w:t>and technology advances on the demand for propane, fuel oil and other refined fuels, natural gas and electricity</w:t>
      </w:r>
      <w:r>
        <w:rPr>
          <w:rFonts w:eastAsia="Times New Roman"/>
          <w:sz w:val="20"/>
          <w:szCs w:val="20"/>
        </w:rPr>
        <w:t>;</w:t>
      </w:r>
    </w:p>
    <w:p w:rsidR="00000000" w:rsidRDefault="00BC3404">
      <w:pPr>
        <w:jc w:val="both"/>
        <w:divId w:val="1190990193"/>
        <w:rPr>
          <w:rFonts w:eastAsia="Times New Roman"/>
        </w:rPr>
      </w:pPr>
      <w:r>
        <w:rPr>
          <w:rFonts w:eastAsia="Times New Roman"/>
          <w:sz w:val="20"/>
          <w:szCs w:val="20"/>
        </w:rPr>
        <w:t>•</w:t>
      </w:r>
    </w:p>
    <w:p w:rsidR="00000000" w:rsidRDefault="00BC3404">
      <w:pPr>
        <w:jc w:val="both"/>
        <w:divId w:val="1957519485"/>
        <w:rPr>
          <w:rFonts w:eastAsia="Times New Roman"/>
        </w:rPr>
      </w:pPr>
      <w:r>
        <w:rPr>
          <w:rFonts w:eastAsia="Times New Roman"/>
          <w:sz w:val="20"/>
          <w:szCs w:val="20"/>
        </w:rPr>
        <w:t>The ability of management to continue to control expenses and manage inflationary increases in fuel, labor and other operating costs</w:t>
      </w:r>
      <w:r>
        <w:rPr>
          <w:rFonts w:eastAsia="Times New Roman"/>
          <w:sz w:val="20"/>
          <w:szCs w:val="20"/>
        </w:rPr>
        <w:t>;</w:t>
      </w:r>
    </w:p>
    <w:p w:rsidR="00000000" w:rsidRDefault="00BC3404">
      <w:pPr>
        <w:jc w:val="both"/>
        <w:divId w:val="1724333265"/>
        <w:rPr>
          <w:rFonts w:eastAsia="Times New Roman"/>
        </w:rPr>
      </w:pPr>
      <w:r>
        <w:rPr>
          <w:rFonts w:eastAsia="Times New Roman"/>
          <w:sz w:val="20"/>
          <w:szCs w:val="20"/>
        </w:rPr>
        <w:t>•</w:t>
      </w:r>
    </w:p>
    <w:p w:rsidR="00000000" w:rsidRDefault="00BC3404">
      <w:pPr>
        <w:jc w:val="both"/>
        <w:divId w:val="960066981"/>
        <w:rPr>
          <w:rFonts w:eastAsia="Times New Roman"/>
        </w:rPr>
      </w:pPr>
      <w:r>
        <w:rPr>
          <w:rFonts w:eastAsia="Times New Roman"/>
          <w:sz w:val="20"/>
          <w:szCs w:val="20"/>
        </w:rPr>
        <w:t xml:space="preserve">The </w:t>
      </w:r>
      <w:r>
        <w:rPr>
          <w:rFonts w:eastAsia="Times New Roman"/>
          <w:sz w:val="20"/>
          <w:szCs w:val="20"/>
        </w:rPr>
        <w:t>impact of changes in applicable statutes and government regulations, or their interpretations, including those relating to the environment and climate change, derivative instruments and other regulatory developments on the Partnership’s business</w:t>
      </w:r>
      <w:r>
        <w:rPr>
          <w:rFonts w:eastAsia="Times New Roman"/>
          <w:sz w:val="20"/>
          <w:szCs w:val="20"/>
        </w:rPr>
        <w:t>;</w:t>
      </w:r>
    </w:p>
    <w:p w:rsidR="00000000" w:rsidRDefault="00BC3404">
      <w:pPr>
        <w:jc w:val="both"/>
        <w:divId w:val="165948759"/>
        <w:rPr>
          <w:rFonts w:eastAsia="Times New Roman"/>
        </w:rPr>
      </w:pPr>
      <w:r>
        <w:rPr>
          <w:rFonts w:eastAsia="Times New Roman"/>
          <w:sz w:val="20"/>
          <w:szCs w:val="20"/>
        </w:rPr>
        <w:t>•</w:t>
      </w:r>
    </w:p>
    <w:p w:rsidR="00000000" w:rsidRDefault="00BC3404">
      <w:pPr>
        <w:jc w:val="both"/>
        <w:divId w:val="998113931"/>
        <w:rPr>
          <w:rFonts w:eastAsia="Times New Roman"/>
        </w:rPr>
      </w:pPr>
      <w:r>
        <w:rPr>
          <w:rFonts w:eastAsia="Times New Roman"/>
          <w:sz w:val="20"/>
          <w:szCs w:val="20"/>
        </w:rPr>
        <w:t>The imp</w:t>
      </w:r>
      <w:r>
        <w:rPr>
          <w:rFonts w:eastAsia="Times New Roman"/>
          <w:sz w:val="20"/>
          <w:szCs w:val="20"/>
        </w:rPr>
        <w:t>act of changes in tax laws that could adversely affect the tax treatment of the Partnership for income tax purposes</w:t>
      </w:r>
      <w:r>
        <w:rPr>
          <w:rFonts w:eastAsia="Times New Roman"/>
          <w:sz w:val="20"/>
          <w:szCs w:val="20"/>
        </w:rPr>
        <w:t>;</w:t>
      </w:r>
    </w:p>
    <w:p w:rsidR="00000000" w:rsidRDefault="00BC3404">
      <w:pPr>
        <w:jc w:val="both"/>
        <w:divId w:val="98917907"/>
        <w:rPr>
          <w:rFonts w:eastAsia="Times New Roman"/>
        </w:rPr>
      </w:pPr>
      <w:r>
        <w:rPr>
          <w:rFonts w:eastAsia="Times New Roman"/>
          <w:sz w:val="20"/>
          <w:szCs w:val="20"/>
        </w:rPr>
        <w:t>•</w:t>
      </w:r>
    </w:p>
    <w:p w:rsidR="00000000" w:rsidRDefault="00BC3404">
      <w:pPr>
        <w:jc w:val="both"/>
        <w:divId w:val="1724283749"/>
        <w:rPr>
          <w:rFonts w:eastAsia="Times New Roman"/>
        </w:rPr>
      </w:pPr>
      <w:r>
        <w:rPr>
          <w:rFonts w:eastAsia="Times New Roman"/>
          <w:sz w:val="20"/>
          <w:szCs w:val="20"/>
        </w:rPr>
        <w:t>The impact of legal proceedings on the Partnership’s business</w:t>
      </w:r>
      <w:r>
        <w:rPr>
          <w:rFonts w:eastAsia="Times New Roman"/>
          <w:sz w:val="20"/>
          <w:szCs w:val="20"/>
        </w:rPr>
        <w:t>;</w:t>
      </w:r>
    </w:p>
    <w:p w:rsidR="00000000" w:rsidRDefault="00BC3404">
      <w:pPr>
        <w:jc w:val="both"/>
        <w:divId w:val="660424230"/>
        <w:rPr>
          <w:rFonts w:eastAsia="Times New Roman"/>
        </w:rPr>
      </w:pPr>
      <w:r>
        <w:rPr>
          <w:rFonts w:eastAsia="Times New Roman"/>
          <w:sz w:val="20"/>
          <w:szCs w:val="20"/>
        </w:rPr>
        <w:t>•</w:t>
      </w:r>
    </w:p>
    <w:p w:rsidR="00000000" w:rsidRDefault="00BC3404">
      <w:pPr>
        <w:jc w:val="both"/>
        <w:divId w:val="485247669"/>
        <w:rPr>
          <w:rFonts w:eastAsia="Times New Roman"/>
        </w:rPr>
      </w:pPr>
      <w:r>
        <w:rPr>
          <w:rFonts w:eastAsia="Times New Roman"/>
          <w:sz w:val="20"/>
          <w:szCs w:val="20"/>
        </w:rPr>
        <w:t>The impact of operating hazards that could adversely affect the Partners</w:t>
      </w:r>
      <w:r>
        <w:rPr>
          <w:rFonts w:eastAsia="Times New Roman"/>
          <w:sz w:val="20"/>
          <w:szCs w:val="20"/>
        </w:rPr>
        <w:t>hip’s operating results to the extent not covered by insurance</w:t>
      </w:r>
      <w:r>
        <w:rPr>
          <w:rFonts w:eastAsia="Times New Roman"/>
          <w:sz w:val="20"/>
          <w:szCs w:val="20"/>
        </w:rPr>
        <w:t>;</w:t>
      </w:r>
    </w:p>
    <w:p w:rsidR="00000000" w:rsidRDefault="00BC3404">
      <w:pPr>
        <w:jc w:val="both"/>
        <w:divId w:val="678049170"/>
        <w:rPr>
          <w:rFonts w:eastAsia="Times New Roman"/>
        </w:rPr>
      </w:pPr>
      <w:r>
        <w:rPr>
          <w:rFonts w:eastAsia="Times New Roman"/>
          <w:sz w:val="20"/>
          <w:szCs w:val="20"/>
        </w:rPr>
        <w:t>•</w:t>
      </w:r>
    </w:p>
    <w:p w:rsidR="00000000" w:rsidRDefault="00BC3404">
      <w:pPr>
        <w:jc w:val="both"/>
        <w:divId w:val="1237475332"/>
        <w:rPr>
          <w:rFonts w:eastAsia="Times New Roman"/>
        </w:rPr>
      </w:pPr>
      <w:r>
        <w:rPr>
          <w:rFonts w:eastAsia="Times New Roman"/>
          <w:sz w:val="20"/>
          <w:szCs w:val="20"/>
        </w:rPr>
        <w:t>The Partnership’s ability to make strategic acquisitions and successfully integrate them</w:t>
      </w:r>
      <w:r>
        <w:rPr>
          <w:rFonts w:eastAsia="Times New Roman"/>
          <w:sz w:val="20"/>
          <w:szCs w:val="20"/>
        </w:rPr>
        <w:t>;</w:t>
      </w:r>
    </w:p>
    <w:p w:rsidR="00000000" w:rsidRDefault="00BC3404">
      <w:pPr>
        <w:jc w:val="both"/>
        <w:divId w:val="1675259012"/>
        <w:rPr>
          <w:rFonts w:eastAsia="Times New Roman"/>
        </w:rPr>
      </w:pPr>
      <w:r>
        <w:rPr>
          <w:rFonts w:eastAsia="Times New Roman"/>
          <w:sz w:val="20"/>
          <w:szCs w:val="20"/>
        </w:rPr>
        <w:t>•</w:t>
      </w:r>
    </w:p>
    <w:p w:rsidR="00000000" w:rsidRDefault="00BC3404">
      <w:pPr>
        <w:jc w:val="both"/>
        <w:divId w:val="657883074"/>
        <w:rPr>
          <w:rFonts w:eastAsia="Times New Roman"/>
        </w:rPr>
      </w:pPr>
      <w:r>
        <w:rPr>
          <w:rFonts w:eastAsia="Times New Roman"/>
          <w:sz w:val="20"/>
          <w:szCs w:val="20"/>
        </w:rPr>
        <w:t>Risks related to the Partnership’s renewable fuel investment projects</w:t>
      </w:r>
      <w:r>
        <w:rPr>
          <w:rFonts w:eastAsia="Times New Roman"/>
          <w:sz w:val="20"/>
          <w:szCs w:val="20"/>
        </w:rPr>
        <w:t>;</w:t>
      </w:r>
    </w:p>
    <w:p w:rsidR="00000000" w:rsidRDefault="00BC3404">
      <w:pPr>
        <w:jc w:val="both"/>
        <w:divId w:val="1457527249"/>
        <w:rPr>
          <w:rFonts w:eastAsia="Times New Roman"/>
        </w:rPr>
      </w:pPr>
      <w:r>
        <w:rPr>
          <w:rFonts w:eastAsia="Times New Roman"/>
          <w:sz w:val="20"/>
          <w:szCs w:val="20"/>
        </w:rPr>
        <w:t>•</w:t>
      </w:r>
    </w:p>
    <w:p w:rsidR="00000000" w:rsidRDefault="00BC3404">
      <w:pPr>
        <w:jc w:val="both"/>
        <w:divId w:val="431587212"/>
        <w:rPr>
          <w:rFonts w:eastAsia="Times New Roman"/>
        </w:rPr>
      </w:pPr>
      <w:r>
        <w:rPr>
          <w:rFonts w:eastAsia="Times New Roman"/>
          <w:sz w:val="20"/>
          <w:szCs w:val="20"/>
        </w:rPr>
        <w:t>The ability of the Partnership and any third-party service providers on which it may rely for support or services to continue to combat cybersecurity threats to its networks and information technology</w:t>
      </w:r>
      <w:r>
        <w:rPr>
          <w:rFonts w:eastAsia="Times New Roman"/>
          <w:sz w:val="20"/>
          <w:szCs w:val="20"/>
        </w:rPr>
        <w:t>;</w:t>
      </w:r>
    </w:p>
    <w:p w:rsidR="00000000" w:rsidRDefault="00BC3404">
      <w:pPr>
        <w:jc w:val="both"/>
        <w:divId w:val="284627145"/>
        <w:rPr>
          <w:rFonts w:eastAsia="Times New Roman"/>
        </w:rPr>
      </w:pPr>
      <w:r>
        <w:rPr>
          <w:rFonts w:eastAsia="Times New Roman"/>
          <w:sz w:val="20"/>
          <w:szCs w:val="20"/>
        </w:rPr>
        <w:t>•</w:t>
      </w:r>
    </w:p>
    <w:p w:rsidR="00000000" w:rsidRDefault="00BC3404">
      <w:pPr>
        <w:jc w:val="both"/>
        <w:divId w:val="1856385752"/>
        <w:rPr>
          <w:rFonts w:eastAsia="Times New Roman"/>
        </w:rPr>
      </w:pPr>
      <w:r>
        <w:rPr>
          <w:rFonts w:eastAsia="Times New Roman"/>
          <w:sz w:val="20"/>
          <w:szCs w:val="20"/>
        </w:rPr>
        <w:t>The impact of current conditions in the global capit</w:t>
      </w:r>
      <w:r>
        <w:rPr>
          <w:rFonts w:eastAsia="Times New Roman"/>
          <w:sz w:val="20"/>
          <w:szCs w:val="20"/>
        </w:rPr>
        <w:t>al and credit markets, and general economic pressures</w:t>
      </w:r>
      <w:r>
        <w:rPr>
          <w:rFonts w:eastAsia="Times New Roman"/>
          <w:sz w:val="20"/>
          <w:szCs w:val="20"/>
        </w:rPr>
        <w:t>;</w:t>
      </w:r>
    </w:p>
    <w:p w:rsidR="00000000" w:rsidRDefault="00BC3404">
      <w:pPr>
        <w:jc w:val="both"/>
        <w:divId w:val="936062031"/>
        <w:rPr>
          <w:rFonts w:eastAsia="Times New Roman"/>
        </w:rPr>
      </w:pPr>
      <w:r>
        <w:rPr>
          <w:rFonts w:eastAsia="Times New Roman"/>
          <w:sz w:val="20"/>
          <w:szCs w:val="20"/>
        </w:rPr>
        <w:t>•</w:t>
      </w:r>
    </w:p>
    <w:p w:rsidR="00000000" w:rsidRDefault="00BC3404">
      <w:pPr>
        <w:jc w:val="both"/>
        <w:divId w:val="47186325"/>
        <w:rPr>
          <w:rFonts w:eastAsia="Times New Roman"/>
        </w:rPr>
      </w:pPr>
      <w:r>
        <w:rPr>
          <w:rFonts w:eastAsia="Times New Roman"/>
          <w:sz w:val="20"/>
          <w:szCs w:val="20"/>
        </w:rPr>
        <w:t>The operating, legal and regulatory risks the Partnership may face; an</w:t>
      </w:r>
      <w:r>
        <w:rPr>
          <w:rFonts w:eastAsia="Times New Roman"/>
          <w:sz w:val="20"/>
          <w:szCs w:val="20"/>
        </w:rPr>
        <w:t>d</w:t>
      </w:r>
    </w:p>
    <w:p w:rsidR="00000000" w:rsidRDefault="00BC3404">
      <w:pPr>
        <w:jc w:val="both"/>
        <w:divId w:val="124810810"/>
        <w:rPr>
          <w:rFonts w:eastAsia="Times New Roman"/>
        </w:rPr>
      </w:pPr>
      <w:r>
        <w:rPr>
          <w:rFonts w:eastAsia="Times New Roman"/>
          <w:sz w:val="20"/>
          <w:szCs w:val="20"/>
        </w:rPr>
        <w:t>•</w:t>
      </w:r>
    </w:p>
    <w:p w:rsidR="00000000" w:rsidRDefault="00BC3404">
      <w:pPr>
        <w:jc w:val="both"/>
        <w:divId w:val="1525707604"/>
        <w:rPr>
          <w:rFonts w:eastAsia="Times New Roman"/>
        </w:rPr>
      </w:pPr>
      <w:r>
        <w:rPr>
          <w:rFonts w:eastAsia="Times New Roman"/>
          <w:sz w:val="20"/>
          <w:szCs w:val="20"/>
        </w:rPr>
        <w:t>Other risks referenced from time to time in filings with the Securities and Exchange Commission (“SEC”) and those factors lis</w:t>
      </w:r>
      <w:r>
        <w:rPr>
          <w:rFonts w:eastAsia="Times New Roman"/>
          <w:sz w:val="20"/>
          <w:szCs w:val="20"/>
        </w:rPr>
        <w:t>ted or incorporated by reference into the Partnership’s most recent Annual Report under “Risk Factors.</w:t>
      </w:r>
      <w:r>
        <w:rPr>
          <w:rFonts w:eastAsia="Times New Roman"/>
          <w:sz w:val="20"/>
          <w:szCs w:val="20"/>
        </w:rPr>
        <w:t>”</w:t>
      </w:r>
    </w:p>
    <w:p w:rsidR="00000000" w:rsidRDefault="00BC3404">
      <w:pPr>
        <w:pStyle w:val="a3"/>
        <w:spacing w:before="240" w:beforeAutospacing="0" w:after="0" w:afterAutospacing="0"/>
        <w:jc w:val="center"/>
        <w:rPr>
          <w:sz w:val="20"/>
          <w:szCs w:val="20"/>
        </w:rPr>
      </w:pPr>
      <w:r>
        <w:rPr>
          <w:sz w:val="20"/>
          <w:szCs w:val="20"/>
        </w:rPr>
        <w:lastRenderedPageBreak/>
        <w:t> </w:t>
      </w:r>
    </w:p>
    <w:p w:rsidR="00000000" w:rsidRDefault="00BC3404">
      <w:pPr>
        <w:rPr>
          <w:rFonts w:eastAsia="Times New Roman"/>
        </w:rPr>
      </w:pPr>
      <w:r>
        <w:rPr>
          <w:rFonts w:eastAsia="Times New Roman"/>
        </w:rPr>
        <w:pict>
          <v:rect id="_x0000_i1027"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Autospacing="0" w:after="0" w:afterAutospacing="0"/>
        <w:jc w:val="both"/>
        <w:rPr>
          <w:sz w:val="20"/>
          <w:szCs w:val="20"/>
        </w:rPr>
      </w:pPr>
      <w:r>
        <w:rPr>
          <w:sz w:val="20"/>
          <w:szCs w:val="20"/>
        </w:rPr>
        <w:t>Some of these Forward-Looking Stat</w:t>
      </w:r>
      <w:r>
        <w:rPr>
          <w:sz w:val="20"/>
          <w:szCs w:val="20"/>
        </w:rPr>
        <w:t>ements are discussed in more detail in “Management’s Discussion and Analysis of Financial Condition and Results of Operations” in this Quarterly Report. Reference is also made to the risk factors discussed in Item 1A of our Annual Report on Form 10-K for t</w:t>
      </w:r>
      <w:r>
        <w:rPr>
          <w:sz w:val="20"/>
          <w:szCs w:val="20"/>
        </w:rPr>
        <w:t>he fiscal year ended September 24, 2022. On different occasions, the Partnership or its representatives have made or may make Forward-Looking Statements in other filings with the SEC, press releases or oral statements made by or with the approval of one of</w:t>
      </w:r>
      <w:r>
        <w:rPr>
          <w:sz w:val="20"/>
          <w:szCs w:val="20"/>
        </w:rPr>
        <w:t xml:space="preserve"> the Partnership’s authorized executive officers. Readers are cautioned not to place undue reliance on Forward-Looking Statements, which reflect management’s view only as of the date made. The Partnership undertakes no obligation to update any Forward-Look</w:t>
      </w:r>
      <w:r>
        <w:rPr>
          <w:sz w:val="20"/>
          <w:szCs w:val="20"/>
        </w:rPr>
        <w:t>ing Statement or Cautionary Statement, except as required by law. All subsequent written and oral Forward-Looking Statements attributable to the Partnership or persons acting on its behalf are expressly qualified in their entirety by the Cautionary Stateme</w:t>
      </w:r>
      <w:r>
        <w:rPr>
          <w:sz w:val="20"/>
          <w:szCs w:val="20"/>
        </w:rPr>
        <w:t>nts in this Quarterly Report and in future SEC reports</w:t>
      </w:r>
      <w:r>
        <w:rPr>
          <w:sz w:val="20"/>
          <w:szCs w:val="20"/>
        </w:rPr>
        <w:t>.</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240" w:beforeAutospacing="0" w:after="0" w:afterAutospacing="0"/>
        <w:jc w:val="center"/>
        <w:rPr>
          <w:sz w:val="20"/>
          <w:szCs w:val="20"/>
        </w:rPr>
      </w:pPr>
      <w:r>
        <w:rPr>
          <w:sz w:val="20"/>
          <w:szCs w:val="20"/>
        </w:rPr>
        <w:t> </w:t>
      </w:r>
    </w:p>
    <w:p w:rsidR="00000000" w:rsidRDefault="00BC3404">
      <w:pPr>
        <w:rPr>
          <w:rFonts w:eastAsia="Times New Roman"/>
        </w:rPr>
      </w:pPr>
      <w:r>
        <w:rPr>
          <w:rFonts w:eastAsia="Times New Roman"/>
        </w:rPr>
        <w:pict>
          <v:rect id="_x0000_i1028"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PART I. FINANC</w:t>
      </w:r>
      <w:r>
        <w:rPr>
          <w:b/>
          <w:bCs/>
          <w:sz w:val="20"/>
          <w:szCs w:val="20"/>
        </w:rPr>
        <w:t>I</w:t>
      </w:r>
      <w:r>
        <w:rPr>
          <w:b/>
          <w:bCs/>
          <w:sz w:val="20"/>
          <w:szCs w:val="20"/>
        </w:rPr>
        <w:t>AL INFORMATIO</w:t>
      </w:r>
      <w:r>
        <w:rPr>
          <w:b/>
          <w:bCs/>
          <w:sz w:val="20"/>
          <w:szCs w:val="20"/>
        </w:rPr>
        <w:t>N</w:t>
      </w:r>
    </w:p>
    <w:p w:rsidR="00000000" w:rsidRDefault="00BC3404">
      <w:pPr>
        <w:pStyle w:val="a3"/>
        <w:spacing w:before="240" w:beforeAutospacing="0" w:after="0" w:afterAutospacing="0"/>
        <w:jc w:val="center"/>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SUBURBAN PROPANE PART</w:t>
      </w:r>
      <w:r>
        <w:rPr>
          <w:b/>
          <w:bCs/>
          <w:sz w:val="20"/>
          <w:szCs w:val="20"/>
        </w:rPr>
        <w:t>NERS, L.P. AND SUBSIDIARIE</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CONDENSED CONSOLID</w:t>
      </w:r>
      <w:r>
        <w:rPr>
          <w:b/>
          <w:bCs/>
          <w:sz w:val="20"/>
          <w:szCs w:val="20"/>
        </w:rPr>
        <w:t>A</w:t>
      </w:r>
      <w:r>
        <w:rPr>
          <w:b/>
          <w:bCs/>
          <w:sz w:val="20"/>
          <w:szCs w:val="20"/>
        </w:rPr>
        <w:t>TED BALANCE SHEET</w:t>
      </w:r>
      <w:r>
        <w:rPr>
          <w:b/>
          <w:bCs/>
          <w:sz w:val="20"/>
          <w:szCs w:val="20"/>
        </w:rPr>
        <w:t>S</w:t>
      </w:r>
    </w:p>
    <w:p w:rsidR="00000000" w:rsidRDefault="00BC3404">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BC3404">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31"/>
        <w:gridCol w:w="160"/>
        <w:gridCol w:w="1043"/>
        <w:gridCol w:w="127"/>
        <w:gridCol w:w="132"/>
        <w:gridCol w:w="160"/>
        <w:gridCol w:w="1043"/>
        <w:gridCol w:w="142"/>
      </w:tblGrid>
      <w:tr w:rsidR="00000000">
        <w:trPr>
          <w:tblCellSpacing w:w="15" w:type="dxa"/>
        </w:trPr>
        <w:tc>
          <w:tcPr>
            <w:tcW w:w="3339"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6,07</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 xml:space="preserve">Accounts receivable, less allowance for doubtful accounts of </w:t>
            </w:r>
            <w:r>
              <w:rPr>
                <w:sz w:val="20"/>
                <w:szCs w:val="20"/>
              </w:rPr>
              <w:t>$</w:t>
            </w:r>
            <w:r>
              <w:rPr>
                <w:sz w:val="20"/>
                <w:szCs w:val="20"/>
              </w:rPr>
              <w:t>5,33</w:t>
            </w:r>
            <w:r>
              <w:rPr>
                <w:sz w:val="20"/>
                <w:szCs w:val="20"/>
              </w:rPr>
              <w:t>5</w:t>
            </w:r>
            <w:r>
              <w:rPr>
                <w:sz w:val="20"/>
                <w:szCs w:val="20"/>
              </w:rPr>
              <w:t> and</w:t>
            </w:r>
            <w:r>
              <w:rPr>
                <w:sz w:val="20"/>
                <w:szCs w:val="20"/>
              </w:rPr>
              <w:br/>
              <w:t>   </w:t>
            </w:r>
            <w:r>
              <w:rPr>
                <w:sz w:val="20"/>
                <w:szCs w:val="20"/>
              </w:rPr>
              <w:t>$</w:t>
            </w:r>
            <w:r>
              <w:rPr>
                <w:sz w:val="20"/>
                <w:szCs w:val="20"/>
              </w:rPr>
              <w:t>4,82</w:t>
            </w:r>
            <w:r>
              <w:rPr>
                <w:sz w:val="20"/>
                <w:szCs w:val="20"/>
              </w:rPr>
              <w:t>2</w:t>
            </w:r>
            <w:r>
              <w:rPr>
                <w:sz w:val="20"/>
                <w:szCs w:val="20"/>
              </w:rPr>
              <w:t>, respectivel</w:t>
            </w:r>
            <w:r>
              <w:rPr>
                <w:sz w:val="20"/>
                <w:szCs w:val="20"/>
              </w:rPr>
              <w:t>y</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133,91</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78,52</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Inventorie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71,19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66,92</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44,35</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25,31</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current asset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255,54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174,86</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Property, plant and equipment, ne</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561,62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563,78</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Operating lease right-of-use asset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132,86</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136,57</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intangible assets, ne</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37,96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40,00</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64,60</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75,07</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asset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2,166,02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b/>
                <w:bCs/>
                <w:sz w:val="20"/>
                <w:szCs w:val="20"/>
              </w:rPr>
              <w:t>LIABILITIES AND PARTNERS’ CAPITA</w:t>
            </w:r>
            <w:r>
              <w:rPr>
                <w:b/>
                <w:bCs/>
                <w:sz w:val="20"/>
                <w:szCs w:val="20"/>
              </w:rPr>
              <w:t>L</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81,89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35,17</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Accrued employment and benefit cost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27,60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43,33</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Customer deposits and advance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113,65</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127,59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31,91</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32,12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lastRenderedPageBreak/>
              <w:t>Other current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62,81</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68,39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317,87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306,62</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Long-term borrowing</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1,111,65</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1,077,32</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Accrued insuranc</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54,30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53,94</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Operating lease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100,17</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103,67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59,65</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64,63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1,643,66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1,606,19</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Commitments and contingencie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Partners’ capital</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 xml:space="preserve">Common Unitholders </w:t>
            </w:r>
            <w:r>
              <w:rPr>
                <w:sz w:val="20"/>
                <w:szCs w:val="20"/>
              </w:rPr>
              <w:t>(</w:t>
            </w:r>
            <w:r>
              <w:rPr>
                <w:sz w:val="20"/>
                <w:szCs w:val="20"/>
              </w:rPr>
              <w:t>63,48</w:t>
            </w:r>
            <w:r>
              <w:rPr>
                <w:sz w:val="20"/>
                <w:szCs w:val="20"/>
              </w:rPr>
              <w:t>6</w:t>
            </w:r>
            <w:r>
              <w:rPr>
                <w:sz w:val="20"/>
                <w:szCs w:val="20"/>
              </w:rPr>
              <w:t> and</w:t>
            </w:r>
            <w:r>
              <w:rPr>
                <w:sz w:val="20"/>
                <w:szCs w:val="20"/>
              </w:rPr>
              <w:t xml:space="preserve"> </w:t>
            </w:r>
            <w:r>
              <w:rPr>
                <w:sz w:val="20"/>
                <w:szCs w:val="20"/>
              </w:rPr>
              <w:t>62,98</w:t>
            </w:r>
            <w:r>
              <w:rPr>
                <w:sz w:val="20"/>
                <w:szCs w:val="20"/>
              </w:rPr>
              <w:t>7</w:t>
            </w:r>
            <w:r>
              <w:rPr>
                <w:sz w:val="20"/>
                <w:szCs w:val="20"/>
              </w:rPr>
              <w:t> units issued and outstanding at</w:t>
            </w:r>
            <w:r>
              <w:rPr>
                <w:sz w:val="20"/>
                <w:szCs w:val="20"/>
              </w:rPr>
              <w:br/>
              <w:t>   December 24, 2022 and September 24, 2022, respectively</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534,78</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510,12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12,43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partners’ capita</w:t>
            </w:r>
            <w:r>
              <w:rPr>
                <w:sz w:val="20"/>
                <w:szCs w:val="20"/>
              </w:rPr>
              <w:t>l</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522,35</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497,53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liabilities and partners’ capita</w:t>
            </w:r>
            <w:r>
              <w:rPr>
                <w:sz w:val="20"/>
                <w:szCs w:val="20"/>
              </w:rPr>
              <w:t>l</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2,166,02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1</w:t>
      </w:r>
    </w:p>
    <w:p w:rsidR="00000000" w:rsidRDefault="00BC3404">
      <w:pPr>
        <w:rPr>
          <w:rFonts w:eastAsia="Times New Roman"/>
        </w:rPr>
      </w:pPr>
      <w:r>
        <w:rPr>
          <w:rFonts w:eastAsia="Times New Roman"/>
        </w:rPr>
        <w:pict>
          <v:rect id="_x0000_i1029"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OPERATION</w:t>
      </w:r>
      <w:r>
        <w:rPr>
          <w:b/>
          <w:bCs/>
          <w:sz w:val="20"/>
          <w:szCs w:val="20"/>
        </w:rPr>
        <w:t>S</w:t>
      </w:r>
    </w:p>
    <w:p w:rsidR="00000000" w:rsidRDefault="00BC3404">
      <w:pPr>
        <w:pStyle w:val="a3"/>
        <w:spacing w:before="0" w:beforeAutospacing="0" w:after="0" w:afterAutospacing="0"/>
        <w:jc w:val="center"/>
        <w:rPr>
          <w:sz w:val="20"/>
          <w:szCs w:val="20"/>
        </w:rPr>
      </w:pPr>
      <w:r>
        <w:rPr>
          <w:b/>
          <w:bCs/>
          <w:sz w:val="20"/>
          <w:szCs w:val="20"/>
        </w:rPr>
        <w:t>(in thousands, except per unit amounts</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BC3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9"/>
        <w:gridCol w:w="131"/>
        <w:gridCol w:w="160"/>
        <w:gridCol w:w="1030"/>
        <w:gridCol w:w="127"/>
        <w:gridCol w:w="132"/>
        <w:gridCol w:w="160"/>
        <w:gridCol w:w="1045"/>
        <w:gridCol w:w="142"/>
      </w:tblGrid>
      <w:tr w:rsidR="00000000">
        <w:trPr>
          <w:tblCellSpacing w:w="15" w:type="dxa"/>
        </w:trPr>
        <w:tc>
          <w:tcPr>
            <w:tcW w:w="3346"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5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342,35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331,11</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30,14</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20,96</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8,69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9,22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14,10</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397,47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375,40</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Costs and expense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Cost of products sol</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182,65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196,33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115,71</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105,73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23,01</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19,79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13,77</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335,15</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338,15</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Operating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62,31</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37,25</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15,99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15,29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ne</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Income before benefit from income taxe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45,34</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20,82</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Benefit from income taxe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income per Common Unit - basi</w:t>
            </w:r>
            <w:r>
              <w:rPr>
                <w:sz w:val="20"/>
                <w:szCs w:val="20"/>
              </w:rPr>
              <w:t>c</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0.7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Weighted average number of Common Units outstanding - basi</w:t>
            </w:r>
            <w:r>
              <w:rPr>
                <w:sz w:val="20"/>
                <w:szCs w:val="20"/>
              </w:rPr>
              <w:t>c</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63,63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63,03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income per Common Unit - dilute</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0.7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Weighted average number of Common Units outstanding - dilute</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63,93</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63,30</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The accompanying notes are an integral part of these condensed consolidated financial statements</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p>
    <w:p w:rsidR="00000000" w:rsidRDefault="00BC3404">
      <w:pPr>
        <w:rPr>
          <w:rFonts w:eastAsia="Times New Roman"/>
        </w:rPr>
      </w:pPr>
      <w:r>
        <w:rPr>
          <w:rFonts w:eastAsia="Times New Roman"/>
        </w:rPr>
        <w:pict>
          <v:rect id="_x0000_i1030"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CONDENSED CONSOLIDATED STATE</w:t>
      </w:r>
      <w:r>
        <w:rPr>
          <w:b/>
          <w:bCs/>
          <w:sz w:val="20"/>
          <w:szCs w:val="20"/>
        </w:rPr>
        <w:t>M</w:t>
      </w:r>
      <w:r>
        <w:rPr>
          <w:b/>
          <w:bCs/>
          <w:sz w:val="20"/>
          <w:szCs w:val="20"/>
        </w:rPr>
        <w:t>ENTS OF COMPREHENSIVE INCOM</w:t>
      </w:r>
      <w:r>
        <w:rPr>
          <w:b/>
          <w:bCs/>
          <w:sz w:val="20"/>
          <w:szCs w:val="20"/>
        </w:rPr>
        <w:t>E</w:t>
      </w:r>
    </w:p>
    <w:p w:rsidR="00000000" w:rsidRDefault="00BC3404">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BC3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3"/>
        <w:gridCol w:w="138"/>
        <w:gridCol w:w="160"/>
        <w:gridCol w:w="1032"/>
        <w:gridCol w:w="110"/>
        <w:gridCol w:w="138"/>
        <w:gridCol w:w="160"/>
        <w:gridCol w:w="1060"/>
        <w:gridCol w:w="125"/>
      </w:tblGrid>
      <w:tr w:rsidR="00000000">
        <w:trPr>
          <w:tblCellSpacing w:w="15" w:type="dxa"/>
        </w:trPr>
        <w:tc>
          <w:tcPr>
            <w:tcW w:w="3344"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3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5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income</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Amortization of net actuarial losses and prior service</w:t>
            </w:r>
            <w:r>
              <w:rPr>
                <w:sz w:val="20"/>
                <w:szCs w:val="20"/>
              </w:rPr>
              <w:br/>
              <w:t>   credits into earning</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Total comprehensive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45,55</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21,59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3</w:t>
      </w:r>
    </w:p>
    <w:p w:rsidR="00000000" w:rsidRDefault="00BC3404">
      <w:pPr>
        <w:rPr>
          <w:rFonts w:eastAsia="Times New Roman"/>
        </w:rPr>
      </w:pPr>
      <w:r>
        <w:rPr>
          <w:rFonts w:eastAsia="Times New Roman"/>
        </w:rPr>
        <w:pict>
          <v:rect id="_x0000_i1031"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SUBURBAN PROPANE PARTNERS, L.P. AND SUBSIDIARIES</w:t>
      </w:r>
      <w:r>
        <w:rPr>
          <w:b/>
          <w:bCs/>
          <w:sz w:val="20"/>
          <w:szCs w:val="20"/>
        </w:rPr>
        <w:br/>
      </w:r>
      <w:r>
        <w:rPr>
          <w:b/>
          <w:bCs/>
          <w:sz w:val="20"/>
          <w:szCs w:val="20"/>
        </w:rPr>
        <w:t> </w:t>
      </w:r>
    </w:p>
    <w:p w:rsidR="00000000" w:rsidRDefault="00BC3404">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CASH FLOW</w:t>
      </w:r>
      <w:r>
        <w:rPr>
          <w:b/>
          <w:bCs/>
          <w:sz w:val="20"/>
          <w:szCs w:val="20"/>
        </w:rPr>
        <w:t>S</w:t>
      </w:r>
    </w:p>
    <w:p w:rsidR="00000000" w:rsidRDefault="00BC3404">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BC3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9"/>
        <w:gridCol w:w="131"/>
        <w:gridCol w:w="160"/>
        <w:gridCol w:w="1030"/>
        <w:gridCol w:w="127"/>
        <w:gridCol w:w="132"/>
        <w:gridCol w:w="160"/>
        <w:gridCol w:w="1045"/>
        <w:gridCol w:w="142"/>
      </w:tblGrid>
      <w:tr w:rsidR="00000000">
        <w:trPr>
          <w:tblCellSpacing w:w="15" w:type="dxa"/>
        </w:trPr>
        <w:tc>
          <w:tcPr>
            <w:tcW w:w="3346"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5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Net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Adjustments to reconcile net income to net cash provided by (used in) operations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Depreciation and amortizatio</w:t>
            </w:r>
            <w:r>
              <w:rPr>
                <w:sz w:val="20"/>
                <w:szCs w:val="20"/>
              </w:rPr>
              <w:t>n</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13,77</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2,70</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Other, ne</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71</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Changes in assets and liabilities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Accounts receivabl</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55,38</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51,68</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Inventorie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4,27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6,81</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Other current and noncurrent asset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72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4,30</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Accounts payabl</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47,16</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27,29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Accrued employment and benefit cost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15,78</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17,46</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Customer deposits and advance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13,93</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11,31</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Contributions to defined benefit pension pla</w:t>
            </w:r>
            <w:r>
              <w:rPr>
                <w:sz w:val="20"/>
                <w:szCs w:val="20"/>
              </w:rPr>
              <w:t>n</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Other current and noncurrent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12,14</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600"/>
              <w:rPr>
                <w:sz w:val="20"/>
                <w:szCs w:val="20"/>
              </w:rPr>
            </w:pPr>
            <w:r>
              <w:rPr>
                <w:sz w:val="20"/>
                <w:szCs w:val="20"/>
              </w:rPr>
              <w:t>Net cash provided by (used in) operating activitie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6,27</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13,33</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Capital expenditure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10,78</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10,67</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Investment in and acquisition of businesse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4,35</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85</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Proceeds from sale of property, plant and equipmen</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74</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1,15</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600"/>
              <w:rPr>
                <w:sz w:val="20"/>
                <w:szCs w:val="20"/>
              </w:rPr>
            </w:pPr>
            <w:r>
              <w:rPr>
                <w:sz w:val="20"/>
                <w:szCs w:val="20"/>
              </w:rPr>
              <w:t>Net cash (used in) investing activitie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14,39</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10,37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Proceeds from borrowings under revolving credit facilit</w:t>
            </w:r>
            <w:r>
              <w:rPr>
                <w:sz w:val="20"/>
                <w:szCs w:val="20"/>
              </w:rPr>
              <w:t>y</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140,60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114,60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Repayments of borrowings under revolving credit facilit</w:t>
            </w:r>
            <w:r>
              <w:rPr>
                <w:sz w:val="20"/>
                <w:szCs w:val="20"/>
              </w:rPr>
              <w:t>y</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106,70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70,20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Partnership distribution</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20,32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Other, ne</w:t>
            </w:r>
            <w:r>
              <w:rPr>
                <w:sz w:val="20"/>
                <w:szCs w:val="20"/>
              </w:rPr>
              <w:t>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3,33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2,64</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600"/>
              <w:rPr>
                <w:sz w:val="20"/>
                <w:szCs w:val="20"/>
              </w:rPr>
            </w:pPr>
            <w:r>
              <w:rPr>
                <w:sz w:val="20"/>
                <w:szCs w:val="20"/>
              </w:rPr>
              <w:t>Net cash provided by financing activitie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10,09</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21,42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1,97</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2,28</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Cash and cash equivalents at beginning of perio</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Cash and cash equivalents at end of perio</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6,07</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3,52</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4</w:t>
      </w:r>
    </w:p>
    <w:p w:rsidR="00000000" w:rsidRDefault="00BC3404">
      <w:pPr>
        <w:rPr>
          <w:rFonts w:eastAsia="Times New Roman"/>
        </w:rPr>
      </w:pPr>
      <w:r>
        <w:rPr>
          <w:rFonts w:eastAsia="Times New Roman"/>
        </w:rPr>
        <w:pict>
          <v:rect id="_x0000_i1032"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CONDENSED CONSOLIDATED STA</w:t>
      </w:r>
      <w:r>
        <w:rPr>
          <w:b/>
          <w:bCs/>
          <w:sz w:val="20"/>
          <w:szCs w:val="20"/>
        </w:rPr>
        <w:t>T</w:t>
      </w:r>
      <w:r>
        <w:rPr>
          <w:b/>
          <w:bCs/>
          <w:sz w:val="20"/>
          <w:szCs w:val="20"/>
        </w:rPr>
        <w:t>EMENTS OF PARTNERS’ CAPITA</w:t>
      </w:r>
      <w:r>
        <w:rPr>
          <w:b/>
          <w:bCs/>
          <w:sz w:val="20"/>
          <w:szCs w:val="20"/>
        </w:rPr>
        <w:t>L</w:t>
      </w:r>
    </w:p>
    <w:p w:rsidR="00000000" w:rsidRDefault="00BC3404">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BC3404">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0"/>
        <w:gridCol w:w="110"/>
        <w:gridCol w:w="110"/>
        <w:gridCol w:w="724"/>
        <w:gridCol w:w="110"/>
        <w:gridCol w:w="110"/>
        <w:gridCol w:w="160"/>
        <w:gridCol w:w="757"/>
        <w:gridCol w:w="127"/>
        <w:gridCol w:w="110"/>
        <w:gridCol w:w="162"/>
        <w:gridCol w:w="1005"/>
        <w:gridCol w:w="127"/>
        <w:gridCol w:w="110"/>
        <w:gridCol w:w="160"/>
        <w:gridCol w:w="742"/>
        <w:gridCol w:w="142"/>
      </w:tblGrid>
      <w:tr w:rsidR="00000000">
        <w:trPr>
          <w:tblCellSpacing w:w="15" w:type="dxa"/>
        </w:trPr>
        <w:tc>
          <w:tcPr>
            <w:tcW w:w="2315" w:type="pct"/>
            <w:vAlign w:val="center"/>
            <w:hideMark/>
          </w:tcPr>
          <w:p w:rsidR="00000000" w:rsidRDefault="00BC3404">
            <w:pPr>
              <w:rPr>
                <w:sz w:val="20"/>
                <w:szCs w:val="20"/>
              </w:rPr>
            </w:pPr>
          </w:p>
        </w:tc>
        <w:tc>
          <w:tcPr>
            <w:tcW w:w="2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1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3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3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2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BC3404">
            <w:pPr>
              <w:pStyle w:val="a3"/>
              <w:spacing w:before="0" w:beforeAutospacing="0" w:after="0" w:afterAutospacing="0"/>
              <w:jc w:val="center"/>
              <w:rPr>
                <w:sz w:val="16"/>
                <w:szCs w:val="16"/>
              </w:rPr>
            </w:pPr>
            <w:r>
              <w:rPr>
                <w:b/>
                <w:bCs/>
                <w:sz w:val="16"/>
                <w:szCs w:val="16"/>
              </w:rPr>
              <w:t>Three Months Ended December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62,98</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510,12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497,53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Common Units issued under Restricted Unit Pla</w:t>
            </w:r>
            <w:r>
              <w:rPr>
                <w:sz w:val="20"/>
                <w:szCs w:val="20"/>
              </w:rPr>
              <w:t>n</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2,73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2,73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Compensation costs recognized under Restricted Unit Pla</w:t>
            </w:r>
            <w:r>
              <w:rPr>
                <w:sz w:val="20"/>
                <w:szCs w:val="20"/>
              </w:rPr>
              <w:t>n</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63,48</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534,78</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12,43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522,35</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0"/>
        <w:gridCol w:w="110"/>
        <w:gridCol w:w="110"/>
        <w:gridCol w:w="724"/>
        <w:gridCol w:w="110"/>
        <w:gridCol w:w="110"/>
        <w:gridCol w:w="160"/>
        <w:gridCol w:w="757"/>
        <w:gridCol w:w="127"/>
        <w:gridCol w:w="110"/>
        <w:gridCol w:w="162"/>
        <w:gridCol w:w="1005"/>
        <w:gridCol w:w="127"/>
        <w:gridCol w:w="110"/>
        <w:gridCol w:w="160"/>
        <w:gridCol w:w="742"/>
        <w:gridCol w:w="142"/>
      </w:tblGrid>
      <w:tr w:rsidR="00000000">
        <w:trPr>
          <w:tblCellSpacing w:w="15" w:type="dxa"/>
        </w:trPr>
        <w:tc>
          <w:tcPr>
            <w:tcW w:w="2315" w:type="pct"/>
            <w:vAlign w:val="center"/>
            <w:hideMark/>
          </w:tcPr>
          <w:p w:rsidR="00000000" w:rsidRDefault="00BC3404">
            <w:pPr>
              <w:rPr>
                <w:sz w:val="20"/>
                <w:szCs w:val="20"/>
              </w:rPr>
            </w:pPr>
          </w:p>
        </w:tc>
        <w:tc>
          <w:tcPr>
            <w:tcW w:w="2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1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3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3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2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BC3404">
            <w:pPr>
              <w:pStyle w:val="a3"/>
              <w:spacing w:before="0" w:beforeAutospacing="0" w:after="0" w:afterAutospacing="0"/>
              <w:jc w:val="center"/>
              <w:rPr>
                <w:sz w:val="16"/>
                <w:szCs w:val="16"/>
              </w:rPr>
            </w:pPr>
            <w:r>
              <w:rPr>
                <w:b/>
                <w:bCs/>
                <w:sz w:val="16"/>
                <w:szCs w:val="16"/>
              </w:rPr>
              <w:t>Three Months Ended December 25, 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62,53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443,00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425,42</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20,32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20,32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2,04</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2,04</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2,70</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2,70</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62,96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444,63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17,29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427,34</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5</w:t>
      </w:r>
    </w:p>
    <w:p w:rsidR="00000000" w:rsidRDefault="00BC3404">
      <w:pPr>
        <w:rPr>
          <w:rFonts w:eastAsia="Times New Roman"/>
        </w:rPr>
      </w:pPr>
      <w:r>
        <w:rPr>
          <w:rFonts w:eastAsia="Times New Roman"/>
        </w:rPr>
        <w:pict>
          <v:rect id="_x0000_i1033"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BC3404">
      <w:pPr>
        <w:pStyle w:val="a3"/>
        <w:spacing w:before="240" w:beforeAutospacing="0" w:after="0" w:afterAutospacing="0"/>
        <w:jc w:val="center"/>
        <w:rPr>
          <w:sz w:val="20"/>
          <w:szCs w:val="20"/>
        </w:rPr>
      </w:pPr>
      <w:r>
        <w:rPr>
          <w:b/>
          <w:bCs/>
          <w:sz w:val="20"/>
          <w:szCs w:val="20"/>
        </w:rPr>
        <w:t>NOTES TO CONDENSED CONSOL</w:t>
      </w:r>
      <w:r>
        <w:rPr>
          <w:b/>
          <w:bCs/>
          <w:sz w:val="20"/>
          <w:szCs w:val="20"/>
        </w:rPr>
        <w:t>I</w:t>
      </w:r>
      <w:r>
        <w:rPr>
          <w:b/>
          <w:bCs/>
          <w:sz w:val="20"/>
          <w:szCs w:val="20"/>
        </w:rPr>
        <w:t>DATED FINANCIAL STATEMENT</w:t>
      </w:r>
      <w:r>
        <w:rPr>
          <w:b/>
          <w:bCs/>
          <w:sz w:val="20"/>
          <w:szCs w:val="20"/>
        </w:rPr>
        <w:t>S</w:t>
      </w:r>
    </w:p>
    <w:p w:rsidR="00000000" w:rsidRDefault="00BC3404">
      <w:pPr>
        <w:pStyle w:val="a3"/>
        <w:spacing w:before="0" w:beforeAutospacing="0" w:after="0" w:afterAutospacing="0"/>
        <w:jc w:val="center"/>
        <w:rPr>
          <w:sz w:val="20"/>
          <w:szCs w:val="20"/>
        </w:rPr>
      </w:pPr>
      <w:r>
        <w:rPr>
          <w:b/>
          <w:bCs/>
          <w:sz w:val="20"/>
          <w:szCs w:val="20"/>
        </w:rPr>
        <w:t>(dollars in thousands, except unit and per unit amounts</w:t>
      </w:r>
      <w:r>
        <w:rPr>
          <w:b/>
          <w:bCs/>
          <w:sz w:val="20"/>
          <w:szCs w:val="20"/>
        </w:rPr>
        <w:t>)</w:t>
      </w:r>
    </w:p>
    <w:p w:rsidR="00000000" w:rsidRDefault="00BC3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BC3404">
      <w:pPr>
        <w:jc w:val="both"/>
        <w:divId w:val="682441486"/>
        <w:rPr>
          <w:rFonts w:eastAsia="Times New Roman"/>
          <w:sz w:val="20"/>
          <w:szCs w:val="20"/>
        </w:rPr>
      </w:pPr>
      <w:r>
        <w:rPr>
          <w:rFonts w:eastAsia="Times New Roman"/>
          <w:b/>
          <w:bCs/>
          <w:sz w:val="20"/>
          <w:szCs w:val="20"/>
        </w:rPr>
        <w:t>1</w:t>
      </w:r>
      <w:r>
        <w:rPr>
          <w:rFonts w:eastAsia="Times New Roman"/>
          <w:b/>
          <w:bCs/>
          <w:sz w:val="20"/>
          <w:szCs w:val="20"/>
        </w:rPr>
        <w:t>.</w:t>
      </w:r>
    </w:p>
    <w:p w:rsidR="00000000" w:rsidRDefault="00BC3404">
      <w:pPr>
        <w:jc w:val="both"/>
        <w:divId w:val="1072968425"/>
        <w:rPr>
          <w:rFonts w:eastAsia="Times New Roman"/>
          <w:sz w:val="20"/>
          <w:szCs w:val="20"/>
        </w:rPr>
      </w:pPr>
      <w:r>
        <w:rPr>
          <w:rFonts w:eastAsia="Times New Roman"/>
          <w:b/>
          <w:bCs/>
          <w:sz w:val="20"/>
          <w:szCs w:val="20"/>
        </w:rPr>
        <w:t>Partnership Organization and Formatio</w:t>
      </w:r>
      <w:r>
        <w:rPr>
          <w:rFonts w:eastAsia="Times New Roman"/>
          <w:b/>
          <w:bCs/>
          <w:sz w:val="20"/>
          <w:szCs w:val="20"/>
        </w:rPr>
        <w:t>n</w:t>
      </w:r>
    </w:p>
    <w:p w:rsidR="00000000" w:rsidRDefault="00BC3404">
      <w:pPr>
        <w:pStyle w:val="a3"/>
        <w:spacing w:before="120" w:beforeAutospacing="0" w:after="0" w:afterAutospacing="0"/>
        <w:jc w:val="both"/>
        <w:divId w:val="611866125"/>
        <w:rPr>
          <w:sz w:val="20"/>
          <w:szCs w:val="20"/>
        </w:rPr>
      </w:pPr>
      <w:r>
        <w:rPr>
          <w:sz w:val="20"/>
          <w:szCs w:val="20"/>
        </w:rPr>
        <w:t>Suburban Propane Partners, L.P. (the “Partnership”</w:t>
      </w:r>
      <w:r>
        <w:rPr>
          <w:sz w:val="20"/>
          <w:szCs w:val="20"/>
        </w:rPr>
        <w:t>) is a publicly traded Delaware limited partnership principally engaged, through its operating partnership and subsidiaries, in the retail marketing and distribution of propane, renewable propane, fuel oil and refined fuels, as well as the marketing of nat</w:t>
      </w:r>
      <w:r>
        <w:rPr>
          <w:sz w:val="20"/>
          <w:szCs w:val="20"/>
        </w:rPr>
        <w:t>ural gas and electricity in deregulated markets and investor in low-carbon fuel alternatives. In addition, to complement its core marketing and distribution businesses, the Partnership services a wide variety of home comfort equipment, particularly for hea</w:t>
      </w:r>
      <w:r>
        <w:rPr>
          <w:sz w:val="20"/>
          <w:szCs w:val="20"/>
        </w:rPr>
        <w:t>ting and ventilation. The publicly traded limited partner interests in the Partnership are evidenced by common units traded on the New York Stock Exchange (“Common Units”), with</w:t>
      </w:r>
      <w:r>
        <w:rPr>
          <w:sz w:val="20"/>
          <w:szCs w:val="20"/>
        </w:rPr>
        <w:t xml:space="preserve"> </w:t>
      </w:r>
      <w:r>
        <w:rPr>
          <w:sz w:val="20"/>
          <w:szCs w:val="20"/>
        </w:rPr>
        <w:t>63,485,76</w:t>
      </w:r>
      <w:r>
        <w:rPr>
          <w:sz w:val="20"/>
          <w:szCs w:val="20"/>
        </w:rPr>
        <w:t>0</w:t>
      </w:r>
      <w:r>
        <w:rPr>
          <w:sz w:val="20"/>
          <w:szCs w:val="20"/>
        </w:rPr>
        <w:t xml:space="preserve"> Common Units outstanding at December 24, 2022. The holders of Commo</w:t>
      </w:r>
      <w:r>
        <w:rPr>
          <w:sz w:val="20"/>
          <w:szCs w:val="20"/>
        </w:rPr>
        <w:t>n Units are entitled to participate in distributions and exercise the rights and privileges available to limited partners under the Third Amended and Restated Agreement of Limited Partnership (the “Partnership Agreement”), as amended. Rights and privileges</w:t>
      </w:r>
      <w:r>
        <w:rPr>
          <w:sz w:val="20"/>
          <w:szCs w:val="20"/>
        </w:rPr>
        <w:t xml:space="preserve"> under the Partnership Agreement include, among other things, the election of all members of the Board of Supervisors and voting on the removal of the general partner</w:t>
      </w:r>
      <w:r>
        <w:rPr>
          <w:sz w:val="20"/>
          <w:szCs w:val="20"/>
        </w:rPr>
        <w:t>.</w:t>
      </w:r>
    </w:p>
    <w:p w:rsidR="00000000" w:rsidRDefault="00BC3404">
      <w:pPr>
        <w:pStyle w:val="a3"/>
        <w:spacing w:before="240" w:beforeAutospacing="0" w:after="0" w:afterAutospacing="0"/>
        <w:jc w:val="both"/>
        <w:divId w:val="611866125"/>
        <w:rPr>
          <w:sz w:val="20"/>
          <w:szCs w:val="20"/>
        </w:rPr>
      </w:pPr>
      <w:r>
        <w:rPr>
          <w:sz w:val="20"/>
          <w:szCs w:val="20"/>
        </w:rPr>
        <w:t>Suburban Propane, L.P. (the “Operating Partnership”), a Delaware limited partnership, is</w:t>
      </w:r>
      <w:r>
        <w:rPr>
          <w:sz w:val="20"/>
          <w:szCs w:val="20"/>
        </w:rPr>
        <w:t xml:space="preserve"> the Partnership’s operating subsidiary formed to operate the propane business and assets. In addition, Suburban Sales &amp; Service, Inc. (the “Service Company”), a subsidiary of the Operating Partnership, was formed to operate the service work and appliance </w:t>
      </w:r>
      <w:r>
        <w:rPr>
          <w:sz w:val="20"/>
          <w:szCs w:val="20"/>
        </w:rPr>
        <w:t>and parts businesses of the Partnership. The Operating Partnership, together with its direct and indirect subsidiaries, accounts for substantially all of the Partnership’s assets, revenues and earnings. The Partnership, the Operating Partnership and the Se</w:t>
      </w:r>
      <w:r>
        <w:rPr>
          <w:sz w:val="20"/>
          <w:szCs w:val="20"/>
        </w:rPr>
        <w:t>rvice Company commenced operations in March 1996 in connection with the Partnership’s initial public offering</w:t>
      </w:r>
      <w:r>
        <w:rPr>
          <w:sz w:val="20"/>
          <w:szCs w:val="20"/>
        </w:rPr>
        <w:t>.</w:t>
      </w:r>
    </w:p>
    <w:p w:rsidR="00000000" w:rsidRDefault="00BC3404">
      <w:pPr>
        <w:pStyle w:val="a3"/>
        <w:spacing w:before="240" w:beforeAutospacing="0" w:after="0" w:afterAutospacing="0"/>
        <w:jc w:val="both"/>
        <w:divId w:val="611866125"/>
        <w:rPr>
          <w:sz w:val="20"/>
          <w:szCs w:val="20"/>
        </w:rPr>
      </w:pPr>
      <w:r>
        <w:rPr>
          <w:sz w:val="20"/>
          <w:szCs w:val="20"/>
        </w:rPr>
        <w:t>Suburban Renewable Energy, LLC (“Suburban Renewable Energy”) is a wholly owned subsidiary of the Operating Partnership that was formed in January</w:t>
      </w:r>
      <w:r>
        <w:rPr>
          <w:sz w:val="20"/>
          <w:szCs w:val="20"/>
        </w:rPr>
        <w:t xml:space="preserve"> 2022. Suburban Renewable Energy serves as the platform for the Partnership’s investments in innovative, renewable energy technologies and businesses</w:t>
      </w:r>
      <w:r>
        <w:rPr>
          <w:sz w:val="20"/>
          <w:szCs w:val="20"/>
        </w:rPr>
        <w:t>.</w:t>
      </w:r>
    </w:p>
    <w:p w:rsidR="00000000" w:rsidRDefault="00BC3404">
      <w:pPr>
        <w:pStyle w:val="a3"/>
        <w:spacing w:before="240" w:beforeAutospacing="0" w:after="0" w:afterAutospacing="0"/>
        <w:jc w:val="both"/>
        <w:divId w:val="611866125"/>
        <w:rPr>
          <w:sz w:val="20"/>
          <w:szCs w:val="20"/>
        </w:rPr>
      </w:pPr>
      <w:r>
        <w:rPr>
          <w:sz w:val="20"/>
          <w:szCs w:val="20"/>
        </w:rPr>
        <w:t>The general partner of both the Partnership and the Operating Partnership is Suburban Energy Services Gro</w:t>
      </w:r>
      <w:r>
        <w:rPr>
          <w:sz w:val="20"/>
          <w:szCs w:val="20"/>
        </w:rPr>
        <w:t>up LLC (the “General Partner”), a Delaware limited liability company, the sole member of which is the Partnership’s Chief Executive Officer. Other than as a holder of</w:t>
      </w:r>
      <w:r>
        <w:rPr>
          <w:sz w:val="20"/>
          <w:szCs w:val="20"/>
        </w:rPr>
        <w:t xml:space="preserve"> </w:t>
      </w:r>
      <w:r>
        <w:rPr>
          <w:sz w:val="20"/>
          <w:szCs w:val="20"/>
        </w:rPr>
        <w:t>78</w:t>
      </w:r>
      <w:r>
        <w:rPr>
          <w:sz w:val="20"/>
          <w:szCs w:val="20"/>
        </w:rPr>
        <w:t>4</w:t>
      </w:r>
      <w:r>
        <w:rPr>
          <w:sz w:val="20"/>
          <w:szCs w:val="20"/>
        </w:rPr>
        <w:t xml:space="preserve"> Common Units that will remain in the General Partner, the General Partner does not ha</w:t>
      </w:r>
      <w:r>
        <w:rPr>
          <w:sz w:val="20"/>
          <w:szCs w:val="20"/>
        </w:rPr>
        <w:t>ve any economic interest in the Partnership or the Operating Partnership</w:t>
      </w:r>
      <w:r>
        <w:rPr>
          <w:sz w:val="20"/>
          <w:szCs w:val="20"/>
        </w:rPr>
        <w:t>.</w:t>
      </w:r>
    </w:p>
    <w:p w:rsidR="00000000" w:rsidRDefault="00BC3404">
      <w:pPr>
        <w:pStyle w:val="a3"/>
        <w:spacing w:before="240" w:beforeAutospacing="0" w:after="0" w:afterAutospacing="0"/>
        <w:jc w:val="both"/>
        <w:divId w:val="611866125"/>
        <w:rPr>
          <w:sz w:val="20"/>
          <w:szCs w:val="20"/>
        </w:rPr>
      </w:pPr>
      <w:r>
        <w:rPr>
          <w:sz w:val="20"/>
          <w:szCs w:val="20"/>
        </w:rPr>
        <w:t>The Partnership’s fuel oil and refined fuels, natural gas and electricity, services, and renewable energy businesses are structured as either limited liability companies that are tre</w:t>
      </w:r>
      <w:r>
        <w:rPr>
          <w:sz w:val="20"/>
          <w:szCs w:val="20"/>
        </w:rPr>
        <w:t>ated as corporations or corporate entities (collectively referred to as the “Corporate Entities”) and, as such, are subject to corporate level U.S. income tax</w:t>
      </w:r>
      <w:r>
        <w:rPr>
          <w:sz w:val="20"/>
          <w:szCs w:val="20"/>
        </w:rPr>
        <w:t>.</w:t>
      </w:r>
    </w:p>
    <w:p w:rsidR="00000000" w:rsidRDefault="00BC3404">
      <w:pPr>
        <w:pStyle w:val="a3"/>
        <w:spacing w:before="240" w:beforeAutospacing="0" w:after="0" w:afterAutospacing="0"/>
        <w:jc w:val="both"/>
        <w:divId w:val="611866125"/>
        <w:rPr>
          <w:sz w:val="20"/>
          <w:szCs w:val="20"/>
        </w:rPr>
      </w:pPr>
      <w:r>
        <w:rPr>
          <w:sz w:val="20"/>
          <w:szCs w:val="20"/>
        </w:rPr>
        <w:t>Suburban Energy Finance Corp., a direct</w:t>
      </w:r>
      <w:r>
        <w:rPr>
          <w:sz w:val="20"/>
          <w:szCs w:val="20"/>
        </w:rPr>
        <w:t xml:space="preserve"> </w:t>
      </w:r>
      <w:r>
        <w:rPr>
          <w:sz w:val="20"/>
          <w:szCs w:val="20"/>
        </w:rPr>
        <w:t>10</w:t>
      </w:r>
      <w:r>
        <w:rPr>
          <w:sz w:val="20"/>
          <w:szCs w:val="20"/>
        </w:rPr>
        <w:t>0</w:t>
      </w:r>
      <w:r>
        <w:rPr>
          <w:sz w:val="20"/>
          <w:szCs w:val="20"/>
        </w:rPr>
        <w:t xml:space="preserve">%-owned subsidiary of the Partnership, was formed on </w:t>
      </w:r>
      <w:r>
        <w:rPr>
          <w:sz w:val="20"/>
          <w:szCs w:val="20"/>
        </w:rPr>
        <w:t>November 26, 2003 to serve as co-issuer, jointly and severally with the Partnership, of the Partnership’s senior notes</w:t>
      </w:r>
      <w:r>
        <w:rPr>
          <w:sz w:val="20"/>
          <w:szCs w:val="20"/>
        </w:rPr>
        <w:t>.</w:t>
      </w:r>
    </w:p>
    <w:p w:rsidR="00000000" w:rsidRDefault="00BC3404">
      <w:pPr>
        <w:pStyle w:val="a3"/>
        <w:spacing w:before="0" w:beforeAutospacing="0" w:after="0" w:afterAutospacing="0"/>
        <w:rPr>
          <w:sz w:val="20"/>
          <w:szCs w:val="20"/>
        </w:rPr>
      </w:pPr>
      <w:r>
        <w:rPr>
          <w:sz w:val="20"/>
          <w:szCs w:val="20"/>
        </w:rPr>
        <w:t> </w:t>
      </w:r>
    </w:p>
    <w:p w:rsidR="00000000" w:rsidRDefault="00BC3404">
      <w:pPr>
        <w:jc w:val="both"/>
        <w:divId w:val="1617053895"/>
        <w:rPr>
          <w:rFonts w:eastAsia="Times New Roman"/>
          <w:sz w:val="20"/>
          <w:szCs w:val="20"/>
        </w:rPr>
      </w:pPr>
      <w:r>
        <w:rPr>
          <w:rFonts w:eastAsia="Times New Roman"/>
          <w:b/>
          <w:bCs/>
          <w:sz w:val="20"/>
          <w:szCs w:val="20"/>
        </w:rPr>
        <w:t>2</w:t>
      </w:r>
      <w:r>
        <w:rPr>
          <w:rFonts w:eastAsia="Times New Roman"/>
          <w:b/>
          <w:bCs/>
          <w:sz w:val="20"/>
          <w:szCs w:val="20"/>
        </w:rPr>
        <w:t>.</w:t>
      </w:r>
    </w:p>
    <w:p w:rsidR="00000000" w:rsidRDefault="00BC3404">
      <w:pPr>
        <w:jc w:val="both"/>
        <w:divId w:val="1654485943"/>
        <w:rPr>
          <w:rFonts w:eastAsia="Times New Roman"/>
          <w:sz w:val="20"/>
          <w:szCs w:val="20"/>
        </w:rPr>
      </w:pPr>
      <w:r>
        <w:rPr>
          <w:rFonts w:eastAsia="Times New Roman"/>
          <w:b/>
          <w:bCs/>
          <w:sz w:val="20"/>
          <w:szCs w:val="20"/>
        </w:rPr>
        <w:t>Basis of Presentatio</w:t>
      </w:r>
      <w:r>
        <w:rPr>
          <w:rFonts w:eastAsia="Times New Roman"/>
          <w:b/>
          <w:bCs/>
          <w:sz w:val="20"/>
          <w:szCs w:val="20"/>
        </w:rPr>
        <w:t>n</w:t>
      </w:r>
    </w:p>
    <w:p w:rsidR="00000000" w:rsidRDefault="00BC3404">
      <w:pPr>
        <w:pStyle w:val="a3"/>
        <w:spacing w:before="120" w:beforeAutospacing="0" w:after="0" w:afterAutospacing="0"/>
        <w:jc w:val="both"/>
        <w:divId w:val="653603100"/>
        <w:rPr>
          <w:sz w:val="20"/>
          <w:szCs w:val="20"/>
        </w:rPr>
      </w:pPr>
      <w:r>
        <w:rPr>
          <w:b/>
          <w:bCs/>
          <w:sz w:val="20"/>
          <w:szCs w:val="20"/>
        </w:rPr>
        <w:t>Principles of Consolidation</w:t>
      </w:r>
      <w:r>
        <w:rPr>
          <w:b/>
          <w:bCs/>
          <w:sz w:val="20"/>
          <w:szCs w:val="20"/>
        </w:rPr>
        <w:t>.</w:t>
      </w:r>
      <w:r>
        <w:rPr>
          <w:sz w:val="20"/>
          <w:szCs w:val="20"/>
        </w:rPr>
        <w:t xml:space="preserve"> The condensed consolidated financial statements include the accounts of the Part</w:t>
      </w:r>
      <w:r>
        <w:rPr>
          <w:sz w:val="20"/>
          <w:szCs w:val="20"/>
        </w:rPr>
        <w:t>nership, the Operating Partnership and all of its direct and indirect subsidiaries. All significant intercompany transactions and account balances have been eliminated. The Partnership consolidates the results of operations, financial condition and cash fl</w:t>
      </w:r>
      <w:r>
        <w:rPr>
          <w:sz w:val="20"/>
          <w:szCs w:val="20"/>
        </w:rPr>
        <w:t>ows of the Operating Partnership as a result of the Partnership’s</w:t>
      </w:r>
      <w:r>
        <w:rPr>
          <w:sz w:val="20"/>
          <w:szCs w:val="20"/>
        </w:rPr>
        <w:t xml:space="preserve"> </w:t>
      </w:r>
      <w:r>
        <w:rPr>
          <w:sz w:val="20"/>
          <w:szCs w:val="20"/>
        </w:rPr>
        <w:t>10</w:t>
      </w:r>
      <w:r>
        <w:rPr>
          <w:sz w:val="20"/>
          <w:szCs w:val="20"/>
        </w:rPr>
        <w:t>0</w:t>
      </w:r>
      <w:r>
        <w:rPr>
          <w:sz w:val="20"/>
          <w:szCs w:val="20"/>
        </w:rPr>
        <w:t>% limited partner interest in the Operating Partnership</w:t>
      </w:r>
      <w:r>
        <w:rPr>
          <w:sz w:val="20"/>
          <w:szCs w:val="20"/>
        </w:rPr>
        <w:t>.</w:t>
      </w:r>
    </w:p>
    <w:p w:rsidR="00000000" w:rsidRDefault="00BC3404">
      <w:pPr>
        <w:pStyle w:val="a3"/>
        <w:spacing w:before="240" w:beforeAutospacing="0" w:after="0" w:afterAutospacing="0"/>
        <w:jc w:val="both"/>
        <w:divId w:val="653603100"/>
        <w:rPr>
          <w:sz w:val="20"/>
          <w:szCs w:val="20"/>
        </w:rPr>
      </w:pPr>
      <w:r>
        <w:rPr>
          <w:sz w:val="20"/>
          <w:szCs w:val="20"/>
        </w:rPr>
        <w:t>The accompanying condensed consolidated financial statements are unaudited and have been prepared in accordance with the rules and</w:t>
      </w:r>
      <w:r>
        <w:rPr>
          <w:sz w:val="20"/>
          <w:szCs w:val="20"/>
        </w:rPr>
        <w:t xml:space="preserve"> regulations of the Securities and Exchange Commission (“SEC”). They include all adjustments that the Partnership considers necessary for a fair statement of the results of operations, financial position and cash flows for the interim periods presented. Su</w:t>
      </w:r>
      <w:r>
        <w:rPr>
          <w:sz w:val="20"/>
          <w:szCs w:val="20"/>
        </w:rPr>
        <w:t>ch adjustments consist only of normal recurring items, unless otherwise disclosed. These financial statements should be read in conjunction with the financial statements included in the Partnership’s Annual Report on Form 10-K for the fiscal year ended Sep</w:t>
      </w:r>
      <w:r>
        <w:rPr>
          <w:sz w:val="20"/>
          <w:szCs w:val="20"/>
        </w:rPr>
        <w:t>tember 24, 2022. Due to the seasonal nature of the Partnership’s operations, the results of operations for interim periods are not necessarily indicative of the results to be expected for a full year</w:t>
      </w:r>
      <w:r>
        <w:rPr>
          <w:sz w:val="20"/>
          <w:szCs w:val="20"/>
        </w:rPr>
        <w:t>.</w:t>
      </w:r>
    </w:p>
    <w:p w:rsidR="00000000" w:rsidRDefault="00BC3404">
      <w:pPr>
        <w:pStyle w:val="a3"/>
        <w:spacing w:before="0" w:beforeAutospacing="0" w:after="0" w:afterAutospacing="0"/>
        <w:jc w:val="both"/>
        <w:divId w:val="241838280"/>
        <w:rPr>
          <w:sz w:val="20"/>
          <w:szCs w:val="20"/>
        </w:rPr>
      </w:pPr>
      <w:r>
        <w:rPr>
          <w:sz w:val="20"/>
          <w:szCs w:val="20"/>
        </w:rPr>
        <w:t> </w:t>
      </w:r>
    </w:p>
    <w:p w:rsidR="00000000" w:rsidRDefault="00BC3404">
      <w:pPr>
        <w:pStyle w:val="a3"/>
        <w:spacing w:before="0" w:beforeAutospacing="0" w:after="0" w:afterAutospacing="0"/>
        <w:jc w:val="center"/>
        <w:divId w:val="241838280"/>
        <w:rPr>
          <w:sz w:val="20"/>
          <w:szCs w:val="20"/>
        </w:rPr>
      </w:pPr>
      <w:r>
        <w:rPr>
          <w:sz w:val="20"/>
          <w:szCs w:val="20"/>
        </w:rPr>
        <w:t> </w:t>
      </w:r>
    </w:p>
    <w:p w:rsidR="00000000" w:rsidRDefault="00BC3404">
      <w:pPr>
        <w:pStyle w:val="a3"/>
        <w:spacing w:before="0" w:beforeAutospacing="0" w:after="0" w:afterAutospacing="0"/>
        <w:jc w:val="center"/>
        <w:divId w:val="241838280"/>
        <w:rPr>
          <w:sz w:val="20"/>
          <w:szCs w:val="20"/>
        </w:rPr>
      </w:pPr>
      <w:r>
        <w:rPr>
          <w:sz w:val="20"/>
          <w:szCs w:val="20"/>
        </w:rPr>
        <w:t>6</w:t>
      </w:r>
    </w:p>
    <w:p w:rsidR="00000000" w:rsidRDefault="00BC3404">
      <w:pPr>
        <w:divId w:val="241838280"/>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BC3404">
      <w:pPr>
        <w:pStyle w:val="a3"/>
        <w:spacing w:before="0" w:beforeAutospacing="0" w:after="0" w:afterAutospacing="0"/>
        <w:divId w:val="24183828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40" w:beforeAutospacing="0" w:after="0" w:afterAutospacing="0"/>
        <w:jc w:val="both"/>
        <w:divId w:val="90971966"/>
        <w:rPr>
          <w:sz w:val="20"/>
          <w:szCs w:val="20"/>
        </w:rPr>
      </w:pPr>
      <w:r>
        <w:rPr>
          <w:b/>
          <w:bCs/>
          <w:sz w:val="20"/>
          <w:szCs w:val="20"/>
        </w:rPr>
        <w:t>Fiscal Period</w:t>
      </w:r>
      <w:r>
        <w:rPr>
          <w:b/>
          <w:bCs/>
          <w:sz w:val="20"/>
          <w:szCs w:val="20"/>
        </w:rPr>
        <w:t>.</w:t>
      </w:r>
      <w:r>
        <w:rPr>
          <w:sz w:val="20"/>
          <w:szCs w:val="20"/>
        </w:rPr>
        <w:t xml:space="preserve"> The Partnership uses a</w:t>
      </w:r>
      <w:r>
        <w:rPr>
          <w:sz w:val="20"/>
          <w:szCs w:val="20"/>
        </w:rPr>
        <w:t xml:space="preserve"> </w:t>
      </w:r>
      <w:r>
        <w:rPr>
          <w:sz w:val="20"/>
          <w:szCs w:val="20"/>
        </w:rPr>
        <w:t>5</w:t>
      </w:r>
      <w:r>
        <w:rPr>
          <w:sz w:val="20"/>
          <w:szCs w:val="20"/>
        </w:rPr>
        <w:t>2</w:t>
      </w:r>
      <w:r>
        <w:rPr>
          <w:sz w:val="20"/>
          <w:szCs w:val="20"/>
        </w:rPr>
        <w:t>/</w:t>
      </w:r>
      <w:r>
        <w:rPr>
          <w:sz w:val="20"/>
          <w:szCs w:val="20"/>
        </w:rPr>
        <w:t>5</w:t>
      </w:r>
      <w:r>
        <w:rPr>
          <w:sz w:val="20"/>
          <w:szCs w:val="20"/>
        </w:rPr>
        <w:t>3</w:t>
      </w:r>
      <w:r>
        <w:rPr>
          <w:sz w:val="20"/>
          <w:szCs w:val="20"/>
        </w:rPr>
        <w:t>-week fiscal year which ends on the last Saturday in September. The Partnership’s fiscal quarters are generally</w:t>
      </w:r>
      <w:r>
        <w:rPr>
          <w:sz w:val="20"/>
          <w:szCs w:val="20"/>
        </w:rPr>
        <w:t xml:space="preserve"> </w:t>
      </w:r>
      <w:r>
        <w:rPr>
          <w:sz w:val="20"/>
          <w:szCs w:val="20"/>
        </w:rPr>
        <w:t>thirtee</w:t>
      </w:r>
      <w:r>
        <w:rPr>
          <w:sz w:val="20"/>
          <w:szCs w:val="20"/>
        </w:rPr>
        <w:t>n</w:t>
      </w:r>
      <w:r>
        <w:rPr>
          <w:sz w:val="20"/>
          <w:szCs w:val="20"/>
        </w:rPr>
        <w:t xml:space="preserve"> weeks in duration. When </w:t>
      </w:r>
      <w:r>
        <w:rPr>
          <w:sz w:val="20"/>
          <w:szCs w:val="20"/>
        </w:rPr>
        <w:t>the Partnership’s fiscal year is 53 weeks long, as is the case for fiscal 2023, the corresponding fourth quarter is</w:t>
      </w:r>
      <w:r>
        <w:rPr>
          <w:sz w:val="20"/>
          <w:szCs w:val="20"/>
        </w:rPr>
        <w:t xml:space="preserve"> </w:t>
      </w:r>
      <w:r>
        <w:rPr>
          <w:sz w:val="20"/>
          <w:szCs w:val="20"/>
        </w:rPr>
        <w:t>fourtee</w:t>
      </w:r>
      <w:r>
        <w:rPr>
          <w:sz w:val="20"/>
          <w:szCs w:val="20"/>
        </w:rPr>
        <w:t>n</w:t>
      </w:r>
      <w:r>
        <w:rPr>
          <w:sz w:val="20"/>
          <w:szCs w:val="20"/>
        </w:rPr>
        <w:t xml:space="preserve"> weeks in duration</w:t>
      </w:r>
      <w:r>
        <w:rPr>
          <w:sz w:val="20"/>
          <w:szCs w:val="20"/>
        </w:rPr>
        <w:t>.</w:t>
      </w:r>
      <w:r>
        <w:rPr>
          <w:sz w:val="20"/>
          <w:szCs w:val="20"/>
        </w:rPr>
        <w:t xml:space="preserve"> </w:t>
      </w:r>
    </w:p>
    <w:p w:rsidR="00000000" w:rsidRDefault="00BC3404">
      <w:pPr>
        <w:pStyle w:val="a3"/>
        <w:spacing w:before="240" w:beforeAutospacing="0" w:after="0" w:afterAutospacing="0"/>
        <w:jc w:val="both"/>
        <w:divId w:val="831871458"/>
        <w:rPr>
          <w:sz w:val="20"/>
          <w:szCs w:val="20"/>
        </w:rPr>
      </w:pPr>
      <w:r>
        <w:rPr>
          <w:b/>
          <w:bCs/>
          <w:sz w:val="20"/>
          <w:szCs w:val="20"/>
        </w:rPr>
        <w:t>Revenue Recognition</w:t>
      </w:r>
      <w:r>
        <w:rPr>
          <w:b/>
          <w:bCs/>
          <w:sz w:val="20"/>
          <w:szCs w:val="20"/>
        </w:rPr>
        <w:t>.</w:t>
      </w:r>
      <w:r>
        <w:rPr>
          <w:sz w:val="20"/>
          <w:szCs w:val="20"/>
        </w:rPr>
        <w:t xml:space="preserve"> Revenue is recognized by the Partnership when goods or services promised in a contract wit</w:t>
      </w:r>
      <w:r>
        <w:rPr>
          <w:sz w:val="20"/>
          <w:szCs w:val="20"/>
        </w:rPr>
        <w:t>h a customer have been transferred, and no further performance obligation on that transfer is required, in an amount that reflects the consideration expected to be received. Performance obligations are determined and evaluated based on the specific terms o</w:t>
      </w:r>
      <w:r>
        <w:rPr>
          <w:sz w:val="20"/>
          <w:szCs w:val="20"/>
        </w:rPr>
        <w:t>f the arrangements and the distinct products and services offered. Due to the nature of the retail business of the Partnership, there are</w:t>
      </w:r>
      <w:r>
        <w:rPr>
          <w:sz w:val="20"/>
          <w:szCs w:val="20"/>
        </w:rPr>
        <w:t xml:space="preserve"> </w:t>
      </w:r>
      <w:r>
        <w:rPr>
          <w:sz w:val="20"/>
          <w:szCs w:val="20"/>
        </w:rPr>
        <w:t>n</w:t>
      </w:r>
      <w:r>
        <w:rPr>
          <w:sz w:val="20"/>
          <w:szCs w:val="20"/>
        </w:rPr>
        <w:t>o</w:t>
      </w:r>
      <w:r>
        <w:rPr>
          <w:sz w:val="20"/>
          <w:szCs w:val="20"/>
        </w:rPr>
        <w:t xml:space="preserve"> remaining or unsatisfied performance obligations as of the end of the reporting period, except for tank rental agre</w:t>
      </w:r>
      <w:r>
        <w:rPr>
          <w:sz w:val="20"/>
          <w:szCs w:val="20"/>
        </w:rPr>
        <w:t>ements, maintenance service contracts, fixed price contracts and budgetary programs, as described below. The performance obligation associated with sales of propane, fuel oil and refined fuels is met at the time product is delivered to the customer. Revenu</w:t>
      </w:r>
      <w:r>
        <w:rPr>
          <w:sz w:val="20"/>
          <w:szCs w:val="20"/>
        </w:rPr>
        <w:t>e from the sale of appliances and equipment is recognized at the time of sale or when installation is complete, as defined by the performance obligations included within the related customer contract. Revenue from repairs, maintenance and other service act</w:t>
      </w:r>
      <w:r>
        <w:rPr>
          <w:sz w:val="20"/>
          <w:szCs w:val="20"/>
        </w:rPr>
        <w:t>ivities is recognized upon completion of the service. Revenue from the sale of natural gas and electricity is recognized based on customer usage as determined by meter readings for amounts delivered, an immaterial amount of which may be unbilled at the end</w:t>
      </w:r>
      <w:r>
        <w:rPr>
          <w:sz w:val="20"/>
          <w:szCs w:val="20"/>
        </w:rPr>
        <w:t xml:space="preserve"> of each accounting period</w:t>
      </w:r>
      <w:r>
        <w:rPr>
          <w:sz w:val="20"/>
          <w:szCs w:val="20"/>
        </w:rPr>
        <w:t>.</w:t>
      </w:r>
    </w:p>
    <w:p w:rsidR="00000000" w:rsidRDefault="00BC3404">
      <w:pPr>
        <w:pStyle w:val="a3"/>
        <w:spacing w:before="240" w:beforeAutospacing="0" w:after="0" w:afterAutospacing="0"/>
        <w:jc w:val="both"/>
        <w:divId w:val="831871458"/>
        <w:rPr>
          <w:sz w:val="20"/>
          <w:szCs w:val="20"/>
        </w:rPr>
      </w:pPr>
      <w:r>
        <w:rPr>
          <w:sz w:val="20"/>
          <w:szCs w:val="20"/>
        </w:rPr>
        <w:t>The Partnership defers the recognition of revenue for annually billed tank rent, maintenance service contracts, fixed price contracts and budgetary programs where customer consideration is received at the start of the contract p</w:t>
      </w:r>
      <w:r>
        <w:rPr>
          <w:sz w:val="20"/>
          <w:szCs w:val="20"/>
        </w:rPr>
        <w:t>eriod, establishing contract liabilities which are disclosed as customer deposits and advances on the condensed consolidated balance sheets. Deliveries to customers enrolled in budgetary programs that exceed billings to those customers establish contract a</w:t>
      </w:r>
      <w:r>
        <w:rPr>
          <w:sz w:val="20"/>
          <w:szCs w:val="20"/>
        </w:rPr>
        <w:t>ssets which are included in accounts receivable on the condensed consolidated balance sheets. The Partnership ratably recognizes revenue over the applicable term for tank rent and maintenance service agreements, which is generally</w:t>
      </w:r>
      <w:r>
        <w:rPr>
          <w:sz w:val="20"/>
          <w:szCs w:val="20"/>
        </w:rPr>
        <w:t xml:space="preserve"> </w:t>
      </w:r>
      <w:r>
        <w:rPr>
          <w:sz w:val="20"/>
          <w:szCs w:val="20"/>
        </w:rPr>
        <w:t>one yea</w:t>
      </w:r>
      <w:r>
        <w:rPr>
          <w:sz w:val="20"/>
          <w:szCs w:val="20"/>
        </w:rPr>
        <w:t>r</w:t>
      </w:r>
      <w:r>
        <w:rPr>
          <w:sz w:val="20"/>
          <w:szCs w:val="20"/>
        </w:rPr>
        <w:t>, and at the time</w:t>
      </w:r>
      <w:r>
        <w:rPr>
          <w:sz w:val="20"/>
          <w:szCs w:val="20"/>
        </w:rPr>
        <w:t xml:space="preserve"> of delivery for fixed price contracts and budgetary programs</w:t>
      </w:r>
      <w:r>
        <w:rPr>
          <w:sz w:val="20"/>
          <w:szCs w:val="20"/>
        </w:rPr>
        <w:t>.</w:t>
      </w:r>
      <w:r>
        <w:rPr>
          <w:sz w:val="20"/>
          <w:szCs w:val="20"/>
        </w:rPr>
        <w:t xml:space="preserve"> </w:t>
      </w:r>
    </w:p>
    <w:p w:rsidR="00000000" w:rsidRDefault="00BC3404">
      <w:pPr>
        <w:pStyle w:val="a3"/>
        <w:spacing w:before="240" w:beforeAutospacing="0" w:after="0" w:afterAutospacing="0"/>
        <w:jc w:val="both"/>
        <w:divId w:val="831871458"/>
        <w:rPr>
          <w:sz w:val="20"/>
          <w:szCs w:val="20"/>
        </w:rPr>
      </w:pPr>
      <w:r>
        <w:rPr>
          <w:sz w:val="20"/>
          <w:szCs w:val="20"/>
        </w:rPr>
        <w:t>The Partnership incurs incremental direct costs, such as commissions to its salesforce, to obtain certain contracts. These costs are expensed as incurred, consistent with the practical expedie</w:t>
      </w:r>
      <w:r>
        <w:rPr>
          <w:sz w:val="20"/>
          <w:szCs w:val="20"/>
        </w:rPr>
        <w:t>nts issued by the Financial Accounting Standards Board (“FASB”), since the expected amortization period is one year or less. The Partnership generally determines selling prices based on, among other things, the current weighted average cost and the current</w:t>
      </w:r>
      <w:r>
        <w:rPr>
          <w:sz w:val="20"/>
          <w:szCs w:val="20"/>
        </w:rPr>
        <w:t xml:space="preserve"> replacement cost of the product at the time of delivery, plus an applicable margin. Except for tank rental agreements, maintenance service contracts, fixed price contracts and budgetary programs, customer payments for the satisfaction of a performance obl</w:t>
      </w:r>
      <w:r>
        <w:rPr>
          <w:sz w:val="20"/>
          <w:szCs w:val="20"/>
        </w:rPr>
        <w:t>igation are due upon receipt</w:t>
      </w:r>
      <w:r>
        <w:rPr>
          <w:sz w:val="20"/>
          <w:szCs w:val="20"/>
        </w:rPr>
        <w:t>.</w:t>
      </w:r>
    </w:p>
    <w:p w:rsidR="00000000" w:rsidRDefault="00BC3404">
      <w:pPr>
        <w:pStyle w:val="a3"/>
        <w:spacing w:before="240" w:beforeAutospacing="0" w:after="0" w:afterAutospacing="0"/>
        <w:jc w:val="both"/>
        <w:divId w:val="2009287338"/>
        <w:rPr>
          <w:sz w:val="20"/>
          <w:szCs w:val="20"/>
        </w:rPr>
      </w:pPr>
      <w:r>
        <w:rPr>
          <w:b/>
          <w:bCs/>
          <w:sz w:val="20"/>
          <w:szCs w:val="20"/>
        </w:rPr>
        <w:t>Fair Value Measurements</w:t>
      </w:r>
      <w:r>
        <w:rPr>
          <w:b/>
          <w:bCs/>
          <w:sz w:val="20"/>
          <w:szCs w:val="20"/>
        </w:rPr>
        <w:t>.</w:t>
      </w:r>
      <w:r>
        <w:rPr>
          <w:sz w:val="20"/>
          <w:szCs w:val="20"/>
        </w:rPr>
        <w:t xml:space="preserve"> </w:t>
      </w:r>
      <w:r>
        <w:rPr>
          <w:sz w:val="20"/>
          <w:szCs w:val="20"/>
        </w:rPr>
        <w:t>The Partnership measures certain of its assets and liabilities at fair value, which is defined as the price that would be received to sell an asset or paid to transfer a liability in an orderly transaction between market participants – in either the princi</w:t>
      </w:r>
      <w:r>
        <w:rPr>
          <w:sz w:val="20"/>
          <w:szCs w:val="20"/>
        </w:rPr>
        <w:t>pal market or the most advantageous market. The principal market is the market with the greatest level of activity and volume for the asset or liability</w:t>
      </w:r>
      <w:r>
        <w:rPr>
          <w:sz w:val="20"/>
          <w:szCs w:val="20"/>
        </w:rPr>
        <w:t>.</w:t>
      </w:r>
    </w:p>
    <w:p w:rsidR="00000000" w:rsidRDefault="00BC3404">
      <w:pPr>
        <w:pStyle w:val="a3"/>
        <w:spacing w:before="240" w:beforeAutospacing="0" w:after="0" w:afterAutospacing="0"/>
        <w:jc w:val="both"/>
        <w:divId w:val="2009287338"/>
        <w:rPr>
          <w:sz w:val="20"/>
          <w:szCs w:val="20"/>
        </w:rPr>
      </w:pPr>
      <w:r>
        <w:rPr>
          <w:sz w:val="20"/>
          <w:szCs w:val="20"/>
        </w:rPr>
        <w:t>The common framework for measuring fair value utilizes a three-level hierarchy to prioritize the input</w:t>
      </w:r>
      <w:r>
        <w:rPr>
          <w:sz w:val="20"/>
          <w:szCs w:val="20"/>
        </w:rPr>
        <w:t>s used in the valuation techniques to derive fair values. The basis for fair value measurements for each level within the hierarchy is described below with Level 1 having the highest priority and Level 3 having the lowest</w:t>
      </w:r>
      <w:r>
        <w:rPr>
          <w:sz w:val="20"/>
          <w:szCs w:val="20"/>
        </w:rPr>
        <w:t>.</w:t>
      </w:r>
    </w:p>
    <w:p w:rsidR="00000000" w:rsidRDefault="00BC3404">
      <w:pPr>
        <w:jc w:val="both"/>
        <w:divId w:val="385103285"/>
        <w:rPr>
          <w:rFonts w:eastAsia="Times New Roman"/>
          <w:sz w:val="20"/>
          <w:szCs w:val="20"/>
        </w:rPr>
      </w:pPr>
      <w:r>
        <w:rPr>
          <w:rFonts w:eastAsia="Times New Roman"/>
          <w:sz w:val="20"/>
          <w:szCs w:val="20"/>
        </w:rPr>
        <w:t>•</w:t>
      </w:r>
    </w:p>
    <w:p w:rsidR="00000000" w:rsidRDefault="00BC3404">
      <w:pPr>
        <w:jc w:val="both"/>
        <w:divId w:val="1154300409"/>
        <w:rPr>
          <w:rFonts w:eastAsia="Times New Roman"/>
          <w:sz w:val="20"/>
          <w:szCs w:val="20"/>
        </w:rPr>
      </w:pPr>
      <w:r>
        <w:rPr>
          <w:rFonts w:eastAsia="Times New Roman"/>
          <w:sz w:val="20"/>
          <w:szCs w:val="20"/>
        </w:rPr>
        <w:t>Level 1: Quoted prices in activ</w:t>
      </w:r>
      <w:r>
        <w:rPr>
          <w:rFonts w:eastAsia="Times New Roman"/>
          <w:sz w:val="20"/>
          <w:szCs w:val="20"/>
        </w:rPr>
        <w:t>e markets for identical assets or liabilities</w:t>
      </w:r>
      <w:r>
        <w:rPr>
          <w:rFonts w:eastAsia="Times New Roman"/>
          <w:sz w:val="20"/>
          <w:szCs w:val="20"/>
        </w:rPr>
        <w:t>.</w:t>
      </w:r>
    </w:p>
    <w:p w:rsidR="00000000" w:rsidRDefault="00BC3404">
      <w:pPr>
        <w:jc w:val="both"/>
        <w:divId w:val="848102374"/>
        <w:rPr>
          <w:rFonts w:eastAsia="Times New Roman"/>
          <w:sz w:val="20"/>
          <w:szCs w:val="20"/>
        </w:rPr>
      </w:pPr>
      <w:r>
        <w:rPr>
          <w:rFonts w:eastAsia="Times New Roman"/>
          <w:sz w:val="20"/>
          <w:szCs w:val="20"/>
        </w:rPr>
        <w:t>•</w:t>
      </w:r>
    </w:p>
    <w:p w:rsidR="00000000" w:rsidRDefault="00BC3404">
      <w:pPr>
        <w:jc w:val="both"/>
        <w:divId w:val="2065330679"/>
        <w:rPr>
          <w:rFonts w:eastAsia="Times New Roman"/>
          <w:sz w:val="20"/>
          <w:szCs w:val="20"/>
        </w:rPr>
      </w:pPr>
      <w:r>
        <w:rPr>
          <w:rFonts w:eastAsia="Times New Roman"/>
          <w:sz w:val="20"/>
          <w:szCs w:val="20"/>
        </w:rPr>
        <w:t>Level 2: Quoted prices in active markets for similar assets or liabilities; quoted prices for identical or similar instruments in markets that are not active; and model-derived valuations in which all signif</w:t>
      </w:r>
      <w:r>
        <w:rPr>
          <w:rFonts w:eastAsia="Times New Roman"/>
          <w:sz w:val="20"/>
          <w:szCs w:val="20"/>
        </w:rPr>
        <w:t>icant inputs are observable in active markets</w:t>
      </w:r>
      <w:r>
        <w:rPr>
          <w:rFonts w:eastAsia="Times New Roman"/>
          <w:sz w:val="20"/>
          <w:szCs w:val="20"/>
        </w:rPr>
        <w:t>.</w:t>
      </w:r>
    </w:p>
    <w:p w:rsidR="00000000" w:rsidRDefault="00BC3404">
      <w:pPr>
        <w:jc w:val="both"/>
        <w:divId w:val="1234001172"/>
        <w:rPr>
          <w:rFonts w:eastAsia="Times New Roman"/>
          <w:sz w:val="20"/>
          <w:szCs w:val="20"/>
        </w:rPr>
      </w:pPr>
      <w:r>
        <w:rPr>
          <w:rFonts w:eastAsia="Times New Roman"/>
          <w:sz w:val="20"/>
          <w:szCs w:val="20"/>
        </w:rPr>
        <w:t>•</w:t>
      </w:r>
    </w:p>
    <w:p w:rsidR="00000000" w:rsidRDefault="00BC3404">
      <w:pPr>
        <w:jc w:val="both"/>
        <w:divId w:val="460222874"/>
        <w:rPr>
          <w:rFonts w:eastAsia="Times New Roman"/>
          <w:sz w:val="20"/>
          <w:szCs w:val="20"/>
        </w:rPr>
      </w:pPr>
      <w:r>
        <w:rPr>
          <w:rFonts w:eastAsia="Times New Roman"/>
          <w:sz w:val="20"/>
          <w:szCs w:val="20"/>
        </w:rPr>
        <w:t>Level 3: Valuations derived from valuation techniques in which one or more significant inputs are unobservable</w:t>
      </w:r>
      <w:r>
        <w:rPr>
          <w:rFonts w:eastAsia="Times New Roman"/>
          <w:sz w:val="20"/>
          <w:szCs w:val="20"/>
        </w:rPr>
        <w:t>.</w:t>
      </w:r>
    </w:p>
    <w:p w:rsidR="00000000" w:rsidRDefault="00BC3404">
      <w:pPr>
        <w:pStyle w:val="a3"/>
        <w:spacing w:before="240" w:beforeAutospacing="0" w:after="0" w:afterAutospacing="0"/>
        <w:jc w:val="both"/>
        <w:divId w:val="2114933897"/>
        <w:rPr>
          <w:sz w:val="20"/>
          <w:szCs w:val="20"/>
        </w:rPr>
      </w:pPr>
      <w:r>
        <w:rPr>
          <w:b/>
          <w:bCs/>
          <w:sz w:val="20"/>
          <w:szCs w:val="20"/>
        </w:rPr>
        <w:t>Business Combinations</w:t>
      </w:r>
      <w:r>
        <w:rPr>
          <w:b/>
          <w:bCs/>
          <w:sz w:val="20"/>
          <w:szCs w:val="20"/>
        </w:rPr>
        <w:t>.</w:t>
      </w:r>
      <w:r>
        <w:rPr>
          <w:sz w:val="20"/>
          <w:szCs w:val="20"/>
        </w:rPr>
        <w:t xml:space="preserve"> The Partnership accounts for business combinations using the acquisition</w:t>
      </w:r>
      <w:r>
        <w:rPr>
          <w:sz w:val="20"/>
          <w:szCs w:val="20"/>
        </w:rPr>
        <w:t xml:space="preserve"> method and accordingly, the assets and liabilities of the acquired entities are recorded at their estimated fair values at the acquisition date. Goodwill represents the excess of the purchase price over the fair value of the net assets acquired, including</w:t>
      </w:r>
      <w:r>
        <w:rPr>
          <w:sz w:val="20"/>
          <w:szCs w:val="20"/>
        </w:rPr>
        <w:t xml:space="preserve"> the amount assigned to identifiable intangible assets. The primary drivers that generate goodwill are the value of synergies between the acquired entities and the Partnership, and the acquired assembled workforce, neither of which qualifies as an identifi</w:t>
      </w:r>
      <w:r>
        <w:rPr>
          <w:sz w:val="20"/>
          <w:szCs w:val="20"/>
        </w:rPr>
        <w:t>able intangible asset. Identifiable intangible assets with finite lives are amortized over their useful lives. The results of operations of acquired businesses are included in the condensed consolidated financial statements from the acquisition date. The P</w:t>
      </w:r>
      <w:r>
        <w:rPr>
          <w:sz w:val="20"/>
          <w:szCs w:val="20"/>
        </w:rPr>
        <w:t>artnership expenses all acquisition-related costs as incurred</w:t>
      </w:r>
      <w:r>
        <w:rPr>
          <w:sz w:val="20"/>
          <w:szCs w:val="20"/>
        </w:rPr>
        <w:t>.</w:t>
      </w:r>
    </w:p>
    <w:p w:rsidR="00000000" w:rsidRDefault="00BC3404">
      <w:pPr>
        <w:pStyle w:val="a3"/>
        <w:spacing w:before="240" w:beforeAutospacing="0" w:after="0" w:afterAutospacing="0"/>
        <w:jc w:val="both"/>
        <w:divId w:val="1020934427"/>
        <w:rPr>
          <w:sz w:val="20"/>
          <w:szCs w:val="20"/>
        </w:rPr>
      </w:pPr>
      <w:r>
        <w:rPr>
          <w:b/>
          <w:bCs/>
          <w:sz w:val="20"/>
          <w:szCs w:val="20"/>
        </w:rPr>
        <w:t>Use of Estimates</w:t>
      </w:r>
      <w:r>
        <w:rPr>
          <w:b/>
          <w:bCs/>
          <w:sz w:val="20"/>
          <w:szCs w:val="20"/>
        </w:rPr>
        <w:t>.</w:t>
      </w:r>
      <w:r>
        <w:rPr>
          <w:sz w:val="20"/>
          <w:szCs w:val="20"/>
        </w:rPr>
        <w:t xml:space="preserve"> </w:t>
      </w:r>
      <w:r>
        <w:rPr>
          <w:sz w:val="20"/>
          <w:szCs w:val="20"/>
        </w:rPr>
        <w:t>The preparation of financial statements in conformity with accounting principles generally accepted in the United States of America (“US GAAP”) requires management to make est</w:t>
      </w:r>
      <w:r>
        <w:rPr>
          <w:sz w:val="20"/>
          <w:szCs w:val="20"/>
        </w:rPr>
        <w:t>imates and assumptions that affect the reported amounts of assets and liabilities and disclosure of contingent assets and liabilities at the date of the financial statements and the reported amounts of revenues and expenses during the reporting period. Est</w:t>
      </w:r>
      <w:r>
        <w:rPr>
          <w:sz w:val="20"/>
          <w:szCs w:val="20"/>
        </w:rPr>
        <w:t>imates have been made by management in the areas of self-insurance and litigation reserves, pension and other postretirement benefit liabilities and costs, valuation of derivative instruments, depreciation an</w:t>
      </w:r>
      <w:r>
        <w:rPr>
          <w:sz w:val="20"/>
          <w:szCs w:val="20"/>
        </w:rPr>
        <w:t>d</w:t>
      </w:r>
      <w:r>
        <w:rPr>
          <w:sz w:val="20"/>
          <w:szCs w:val="20"/>
        </w:rPr>
        <w:t xml:space="preserve"> </w:t>
      </w:r>
    </w:p>
    <w:p w:rsidR="00000000" w:rsidRDefault="00BC3404">
      <w:pPr>
        <w:pStyle w:val="a3"/>
        <w:spacing w:before="0" w:beforeAutospacing="0" w:after="0" w:afterAutospacing="0"/>
        <w:jc w:val="center"/>
        <w:divId w:val="1020934427"/>
        <w:rPr>
          <w:sz w:val="20"/>
          <w:szCs w:val="20"/>
        </w:rPr>
      </w:pPr>
      <w:r>
        <w:rPr>
          <w:sz w:val="20"/>
          <w:szCs w:val="20"/>
        </w:rPr>
        <w:t> </w:t>
      </w:r>
    </w:p>
    <w:p w:rsidR="00000000" w:rsidRDefault="00BC3404">
      <w:pPr>
        <w:pStyle w:val="a3"/>
        <w:spacing w:before="0" w:beforeAutospacing="0" w:after="0" w:afterAutospacing="0"/>
        <w:jc w:val="center"/>
        <w:divId w:val="1020934427"/>
        <w:rPr>
          <w:sz w:val="20"/>
          <w:szCs w:val="20"/>
        </w:rPr>
      </w:pPr>
      <w:r>
        <w:rPr>
          <w:sz w:val="20"/>
          <w:szCs w:val="20"/>
        </w:rPr>
        <w:t>7</w:t>
      </w:r>
    </w:p>
    <w:p w:rsidR="00000000" w:rsidRDefault="00BC3404">
      <w:pPr>
        <w:divId w:val="1020934427"/>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BC3404">
      <w:pPr>
        <w:pStyle w:val="a3"/>
        <w:spacing w:before="0" w:beforeAutospacing="0" w:after="0" w:afterAutospacing="0"/>
        <w:divId w:val="1020934427"/>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1020934427"/>
        <w:rPr>
          <w:sz w:val="20"/>
          <w:szCs w:val="20"/>
        </w:rPr>
      </w:pPr>
      <w:r>
        <w:rPr>
          <w:sz w:val="20"/>
          <w:szCs w:val="20"/>
        </w:rPr>
        <w:t>amortization</w:t>
      </w:r>
      <w:r>
        <w:rPr>
          <w:sz w:val="20"/>
          <w:szCs w:val="20"/>
        </w:rPr>
        <w:t xml:space="preserve"> </w:t>
      </w:r>
      <w:r>
        <w:rPr>
          <w:sz w:val="20"/>
          <w:szCs w:val="20"/>
        </w:rPr>
        <w:t xml:space="preserve">of long-lived assets, asset impairment assessments, tax valuation allowances, allowances for doubtful accounts, and purchase price allocation for acquired businesses. </w:t>
      </w:r>
      <w:r>
        <w:rPr>
          <w:sz w:val="20"/>
          <w:szCs w:val="20"/>
        </w:rPr>
        <w:t>The Partnership uses Society of Actuaries life expectancy information when developing the annual mortality assumptions for the pension and postretirement benefit plans, which are used to measure net periodic benefit costs and the obligation under these pla</w:t>
      </w:r>
      <w:r>
        <w:rPr>
          <w:sz w:val="20"/>
          <w:szCs w:val="20"/>
        </w:rPr>
        <w:t>ns. Actual results could differ from those estimates, making it reasonably possible that a material change in these estimates could occur in the near term</w:t>
      </w:r>
      <w:r>
        <w:rPr>
          <w:sz w:val="20"/>
          <w:szCs w:val="20"/>
        </w:rPr>
        <w:t>.</w:t>
      </w:r>
    </w:p>
    <w:p w:rsidR="00000000" w:rsidRDefault="00BC3404">
      <w:pPr>
        <w:pStyle w:val="a3"/>
        <w:spacing w:before="240" w:beforeAutospacing="0" w:after="0" w:afterAutospacing="0"/>
        <w:jc w:val="both"/>
        <w:divId w:val="1380858484"/>
        <w:rPr>
          <w:sz w:val="20"/>
          <w:szCs w:val="20"/>
        </w:rPr>
      </w:pPr>
      <w:r>
        <w:rPr>
          <w:b/>
          <w:bCs/>
          <w:sz w:val="20"/>
          <w:szCs w:val="20"/>
        </w:rPr>
        <w:t>Recently Issued Accounting Pronouncements</w:t>
      </w:r>
      <w:r>
        <w:rPr>
          <w:b/>
          <w:bCs/>
          <w:sz w:val="20"/>
          <w:szCs w:val="20"/>
        </w:rPr>
        <w:t>.</w:t>
      </w:r>
      <w:r>
        <w:rPr>
          <w:sz w:val="20"/>
          <w:szCs w:val="20"/>
        </w:rPr>
        <w:t xml:space="preserve"> In January 2021, the FASB issued Accounting Standards Upd</w:t>
      </w:r>
      <w:r>
        <w:rPr>
          <w:sz w:val="20"/>
          <w:szCs w:val="20"/>
        </w:rPr>
        <w:t xml:space="preserve">ate (“ASU”) 2021-01 “Reference Rate Reform” (“Topic 848”). This update provides optional expedients and exceptions for contracts, hedging relationships, and other transactions that reference the London Interbank Offered Rate (“LIBOR”) or another reference </w:t>
      </w:r>
      <w:r>
        <w:rPr>
          <w:sz w:val="20"/>
          <w:szCs w:val="20"/>
        </w:rPr>
        <w:t>rate expected to be discontinued because of reference rate reform. Topic 848 became effective for all entities as of March 12, 2020, and will continue through December 31, 2024, which will be the Partnership’s first quarter of fiscal 2025. LIBOR rates base</w:t>
      </w:r>
      <w:r>
        <w:rPr>
          <w:sz w:val="20"/>
          <w:szCs w:val="20"/>
        </w:rPr>
        <w:t>d on US dollars will have an extended expiration date of June 30, 2023. Borrowings under the Partnership’s revolving credit facility bear interest at prevailing interest rates based partially on LIBOR (refer to Note 10, “Long-Term Borrowings” for more deta</w:t>
      </w:r>
      <w:r>
        <w:rPr>
          <w:sz w:val="20"/>
          <w:szCs w:val="20"/>
        </w:rPr>
        <w:t>ils). The Partnership expects to adopt Topic 848 during its second quarter of fiscal 2023 and anticipates that the adoption will not have a material impact on the Partnership’s condensed consolidated financial statements</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986008070"/>
        <w:rPr>
          <w:rFonts w:eastAsia="Times New Roman"/>
          <w:sz w:val="20"/>
          <w:szCs w:val="20"/>
        </w:rPr>
      </w:pPr>
      <w:r>
        <w:rPr>
          <w:rFonts w:eastAsia="Times New Roman"/>
          <w:b/>
          <w:bCs/>
          <w:sz w:val="20"/>
          <w:szCs w:val="20"/>
        </w:rPr>
        <w:t>3</w:t>
      </w:r>
      <w:r>
        <w:rPr>
          <w:rFonts w:eastAsia="Times New Roman"/>
          <w:b/>
          <w:bCs/>
          <w:sz w:val="20"/>
          <w:szCs w:val="20"/>
        </w:rPr>
        <w:t>.</w:t>
      </w:r>
    </w:p>
    <w:p w:rsidR="00000000" w:rsidRDefault="00BC3404">
      <w:pPr>
        <w:jc w:val="both"/>
        <w:divId w:val="549192038"/>
        <w:rPr>
          <w:rFonts w:eastAsia="Times New Roman"/>
          <w:sz w:val="20"/>
          <w:szCs w:val="20"/>
        </w:rPr>
      </w:pPr>
      <w:r>
        <w:rPr>
          <w:rFonts w:eastAsia="Times New Roman"/>
          <w:b/>
          <w:bCs/>
          <w:sz w:val="20"/>
          <w:szCs w:val="20"/>
        </w:rPr>
        <w:t>Disaggregation of Revenu</w:t>
      </w:r>
      <w:r>
        <w:rPr>
          <w:rFonts w:eastAsia="Times New Roman"/>
          <w:b/>
          <w:bCs/>
          <w:sz w:val="20"/>
          <w:szCs w:val="20"/>
        </w:rPr>
        <w:t>e</w:t>
      </w:r>
    </w:p>
    <w:p w:rsidR="00000000" w:rsidRDefault="00BC3404">
      <w:pPr>
        <w:pStyle w:val="a3"/>
        <w:spacing w:before="120" w:beforeAutospacing="0" w:after="0" w:afterAutospacing="0"/>
        <w:jc w:val="both"/>
        <w:divId w:val="658734802"/>
        <w:rPr>
          <w:sz w:val="20"/>
          <w:szCs w:val="20"/>
        </w:rPr>
      </w:pPr>
      <w:r>
        <w:rPr>
          <w:sz w:val="20"/>
          <w:szCs w:val="20"/>
        </w:rPr>
        <w:t>The following table disaggregates revenue for each customer type</w:t>
      </w:r>
      <w:r>
        <w:rPr>
          <w:sz w:val="20"/>
          <w:szCs w:val="20"/>
        </w:rPr>
        <w:t>.</w:t>
      </w:r>
      <w:r>
        <w:rPr>
          <w:sz w:val="20"/>
          <w:szCs w:val="20"/>
        </w:rPr>
        <w:t xml:space="preserve"> See Note 18, “Segment Information” for more information on segment reporting wherein it is disclosed that the Partnership’s Propane, Fuel Oil and Refined Fuels and </w:t>
      </w:r>
      <w:r>
        <w:rPr>
          <w:sz w:val="20"/>
          <w:szCs w:val="20"/>
        </w:rPr>
        <w:t>Natural Gas and Electricity reportable segments generated approximately</w:t>
      </w:r>
      <w:r>
        <w:rPr>
          <w:sz w:val="20"/>
          <w:szCs w:val="20"/>
        </w:rPr>
        <w:t xml:space="preserve"> </w:t>
      </w:r>
      <w:r>
        <w:rPr>
          <w:sz w:val="20"/>
          <w:szCs w:val="20"/>
        </w:rPr>
        <w:t>8</w:t>
      </w:r>
      <w:r>
        <w:rPr>
          <w:sz w:val="20"/>
          <w:szCs w:val="20"/>
        </w:rPr>
        <w:t>6</w:t>
      </w:r>
      <w:r>
        <w:rPr>
          <w:sz w:val="20"/>
          <w:szCs w:val="20"/>
        </w:rPr>
        <w:t>%,</w:t>
      </w:r>
      <w:r>
        <w:rPr>
          <w:sz w:val="20"/>
          <w:szCs w:val="20"/>
        </w:rPr>
        <w:t xml:space="preserve"> </w:t>
      </w:r>
      <w:r>
        <w:rPr>
          <w:sz w:val="20"/>
          <w:szCs w:val="20"/>
        </w:rPr>
        <w:t>8</w:t>
      </w:r>
      <w:r>
        <w:rPr>
          <w:sz w:val="20"/>
          <w:szCs w:val="20"/>
        </w:rPr>
        <w:t>% and</w:t>
      </w:r>
      <w:r>
        <w:rPr>
          <w:sz w:val="20"/>
          <w:szCs w:val="20"/>
        </w:rPr>
        <w:t xml:space="preserve"> </w:t>
      </w:r>
      <w:r>
        <w:rPr>
          <w:sz w:val="20"/>
          <w:szCs w:val="20"/>
        </w:rPr>
        <w:t>2</w:t>
      </w:r>
      <w:r>
        <w:rPr>
          <w:sz w:val="20"/>
          <w:szCs w:val="20"/>
        </w:rPr>
        <w:t>%, respectively, of the Partnership’s revenue from its reportable segments for all periods presented. The propane segment contributes the majority of the Partnership’s rev</w:t>
      </w:r>
      <w:r>
        <w:rPr>
          <w:sz w:val="20"/>
          <w:szCs w:val="20"/>
        </w:rPr>
        <w:t>enue and the concentration of revenue by customer type for the propane segment is not materially different from the consolidated revenue</w:t>
      </w:r>
      <w:r>
        <w:rPr>
          <w:sz w:val="20"/>
          <w:szCs w:val="20"/>
        </w:rPr>
        <w:t>.</w:t>
      </w:r>
    </w:p>
    <w:p w:rsidR="00000000" w:rsidRDefault="00BC3404">
      <w:pPr>
        <w:pStyle w:val="a3"/>
        <w:spacing w:before="0" w:beforeAutospacing="0" w:after="0" w:afterAutospacing="0"/>
        <w:jc w:val="both"/>
        <w:divId w:val="4195000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522"/>
        <w:gridCol w:w="160"/>
        <w:gridCol w:w="1284"/>
        <w:gridCol w:w="110"/>
        <w:gridCol w:w="158"/>
        <w:gridCol w:w="160"/>
        <w:gridCol w:w="1295"/>
        <w:gridCol w:w="125"/>
      </w:tblGrid>
      <w:tr w:rsidR="00000000">
        <w:trPr>
          <w:divId w:val="41950001"/>
          <w:tblCellSpacing w:w="15" w:type="dxa"/>
        </w:trPr>
        <w:tc>
          <w:tcPr>
            <w:tcW w:w="2278" w:type="pct"/>
            <w:vAlign w:val="center"/>
            <w:hideMark/>
          </w:tcPr>
          <w:p w:rsidR="00000000" w:rsidRDefault="00BC3404">
            <w:pPr>
              <w:rPr>
                <w:sz w:val="20"/>
                <w:szCs w:val="20"/>
              </w:rPr>
            </w:pPr>
          </w:p>
        </w:tc>
        <w:tc>
          <w:tcPr>
            <w:tcW w:w="50" w:type="pct"/>
            <w:vAlign w:val="center"/>
            <w:hideMark/>
          </w:tcPr>
          <w:p w:rsidR="00000000" w:rsidRDefault="00BC3404">
            <w:pPr>
              <w:rPr>
                <w:rFonts w:eastAsia="Times New Roman"/>
                <w:sz w:val="20"/>
                <w:szCs w:val="20"/>
              </w:rPr>
            </w:pPr>
          </w:p>
        </w:tc>
        <w:tc>
          <w:tcPr>
            <w:tcW w:w="117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18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41950001"/>
          <w:trHeight w:val="160"/>
          <w:tblCellSpacing w:w="15" w:type="dxa"/>
        </w:trPr>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19500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19500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Retai</w:t>
            </w:r>
            <w:r>
              <w:rPr>
                <w:sz w:val="20"/>
                <w:szCs w:val="20"/>
              </w:rPr>
              <w:t>l</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Residentia</w:t>
            </w:r>
            <w:r>
              <w:rPr>
                <w:sz w:val="20"/>
                <w:szCs w:val="20"/>
              </w:rPr>
              <w:t>l</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218,12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198,00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Commercia</w:t>
            </w:r>
            <w:r>
              <w:rPr>
                <w:sz w:val="20"/>
                <w:szCs w:val="20"/>
              </w:rPr>
              <w:t>l</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108,68</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110,95</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Industria</w:t>
            </w:r>
            <w:r>
              <w:rPr>
                <w:sz w:val="20"/>
                <w:szCs w:val="20"/>
              </w:rPr>
              <w:t>l</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35,37</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34,19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Agricultura</w:t>
            </w:r>
            <w:r>
              <w:rPr>
                <w:sz w:val="20"/>
                <w:szCs w:val="20"/>
              </w:rPr>
              <w:t>l</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14,35</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13,80</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Governmen</w:t>
            </w:r>
            <w:r>
              <w:rPr>
                <w:sz w:val="20"/>
                <w:szCs w:val="20"/>
              </w:rPr>
              <w:t>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18,00</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15,98</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Wholesal</w:t>
            </w:r>
            <w:r>
              <w:rPr>
                <w:sz w:val="20"/>
                <w:szCs w:val="20"/>
              </w:rPr>
              <w:t>e</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2,92</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2,46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19500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Total revenue</w:t>
            </w:r>
            <w:r>
              <w:rPr>
                <w:sz w:val="20"/>
                <w:szCs w:val="20"/>
              </w:rPr>
              <w:t>s</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397,47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375,40</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divId w:val="41950001"/>
        <w:rPr>
          <w:sz w:val="20"/>
          <w:szCs w:val="20"/>
        </w:rPr>
      </w:pPr>
      <w:r>
        <w:rPr>
          <w:sz w:val="20"/>
          <w:szCs w:val="20"/>
        </w:rPr>
        <w:t> </w:t>
      </w:r>
    </w:p>
    <w:p w:rsidR="00000000" w:rsidRDefault="00BC3404">
      <w:pPr>
        <w:pStyle w:val="a3"/>
        <w:spacing w:before="40" w:beforeAutospacing="0" w:after="0" w:afterAutospacing="0"/>
        <w:jc w:val="both"/>
        <w:divId w:val="658734802"/>
        <w:rPr>
          <w:sz w:val="20"/>
          <w:szCs w:val="20"/>
        </w:rPr>
      </w:pPr>
      <w:r>
        <w:rPr>
          <w:sz w:val="20"/>
          <w:szCs w:val="20"/>
        </w:rPr>
        <w:t xml:space="preserve">The Partnership recognized </w:t>
      </w:r>
      <w:r>
        <w:rPr>
          <w:sz w:val="20"/>
          <w:szCs w:val="20"/>
        </w:rPr>
        <w:t>$</w:t>
      </w:r>
      <w:r>
        <w:rPr>
          <w:sz w:val="20"/>
          <w:szCs w:val="20"/>
        </w:rPr>
        <w:t>37,11</w:t>
      </w:r>
      <w:r>
        <w:rPr>
          <w:sz w:val="20"/>
          <w:szCs w:val="20"/>
        </w:rPr>
        <w:t>5</w:t>
      </w:r>
      <w:r>
        <w:rPr>
          <w:sz w:val="20"/>
          <w:szCs w:val="20"/>
        </w:rPr>
        <w:t xml:space="preserve"> and </w:t>
      </w:r>
      <w:r>
        <w:rPr>
          <w:sz w:val="20"/>
          <w:szCs w:val="20"/>
        </w:rPr>
        <w:t>$</w:t>
      </w:r>
      <w:r>
        <w:rPr>
          <w:sz w:val="20"/>
          <w:szCs w:val="20"/>
        </w:rPr>
        <w:t>33,28</w:t>
      </w:r>
      <w:r>
        <w:rPr>
          <w:sz w:val="20"/>
          <w:szCs w:val="20"/>
        </w:rPr>
        <w:t>8</w:t>
      </w:r>
      <w:r>
        <w:rPr>
          <w:sz w:val="20"/>
          <w:szCs w:val="20"/>
        </w:rPr>
        <w:t xml:space="preserve"> </w:t>
      </w:r>
      <w:r>
        <w:rPr>
          <w:sz w:val="20"/>
          <w:szCs w:val="20"/>
        </w:rPr>
        <w:t>of revenue during the three months ended December 24, 2022 and December 25, 2021, respectively, for annually billed tank rent, maintenance service contracts, fixed price contracts and budgetary programs where customer consideration was received at the star</w:t>
      </w:r>
      <w:r>
        <w:rPr>
          <w:sz w:val="20"/>
          <w:szCs w:val="20"/>
        </w:rPr>
        <w:t xml:space="preserve">t of the contract period, and which was included in contract liabilities as of the beginning of each respective period. Contract assets of </w:t>
      </w:r>
      <w:r>
        <w:rPr>
          <w:sz w:val="20"/>
          <w:szCs w:val="20"/>
        </w:rPr>
        <w:t>$</w:t>
      </w:r>
      <w:r>
        <w:rPr>
          <w:sz w:val="20"/>
          <w:szCs w:val="20"/>
        </w:rPr>
        <w:t>9,71</w:t>
      </w:r>
      <w:r>
        <w:rPr>
          <w:sz w:val="20"/>
          <w:szCs w:val="20"/>
        </w:rPr>
        <w:t>9</w:t>
      </w:r>
      <w:r>
        <w:rPr>
          <w:sz w:val="20"/>
          <w:szCs w:val="20"/>
        </w:rPr>
        <w:t xml:space="preserve"> and </w:t>
      </w:r>
      <w:r>
        <w:rPr>
          <w:sz w:val="20"/>
          <w:szCs w:val="20"/>
        </w:rPr>
        <w:t>$</w:t>
      </w:r>
      <w:r>
        <w:rPr>
          <w:sz w:val="20"/>
          <w:szCs w:val="20"/>
        </w:rPr>
        <w:t>7,95</w:t>
      </w:r>
      <w:r>
        <w:rPr>
          <w:sz w:val="20"/>
          <w:szCs w:val="20"/>
        </w:rPr>
        <w:t>3</w:t>
      </w:r>
      <w:r>
        <w:rPr>
          <w:sz w:val="20"/>
          <w:szCs w:val="20"/>
        </w:rPr>
        <w:t xml:space="preserve"> relating to deliveries to customers enrolled in budgetary programs that exceeded billings to those </w:t>
      </w:r>
      <w:r>
        <w:rPr>
          <w:sz w:val="20"/>
          <w:szCs w:val="20"/>
        </w:rPr>
        <w:t>customers were included in accounts receivable as of December 24, 2022 and September 24, 2022, respectively</w:t>
      </w:r>
      <w:r>
        <w:rPr>
          <w:sz w:val="20"/>
          <w:szCs w:val="20"/>
        </w:rPr>
        <w:t>.</w:t>
      </w:r>
      <w:r>
        <w:rPr>
          <w:sz w:val="20"/>
          <w:szCs w:val="20"/>
        </w:rPr>
        <w:t xml:space="preserve">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2141268506"/>
        <w:rPr>
          <w:rFonts w:eastAsia="Times New Roman"/>
          <w:sz w:val="20"/>
          <w:szCs w:val="20"/>
        </w:rPr>
      </w:pPr>
      <w:r>
        <w:rPr>
          <w:rFonts w:eastAsia="Times New Roman"/>
          <w:b/>
          <w:bCs/>
          <w:sz w:val="20"/>
          <w:szCs w:val="20"/>
        </w:rPr>
        <w:t>4</w:t>
      </w:r>
      <w:r>
        <w:rPr>
          <w:rFonts w:eastAsia="Times New Roman"/>
          <w:b/>
          <w:bCs/>
          <w:sz w:val="20"/>
          <w:szCs w:val="20"/>
        </w:rPr>
        <w:t>.</w:t>
      </w:r>
    </w:p>
    <w:p w:rsidR="00000000" w:rsidRDefault="00BC3404">
      <w:pPr>
        <w:jc w:val="both"/>
        <w:divId w:val="1958220578"/>
        <w:rPr>
          <w:rFonts w:eastAsia="Times New Roman"/>
          <w:sz w:val="20"/>
          <w:szCs w:val="20"/>
        </w:rPr>
      </w:pPr>
      <w:r>
        <w:rPr>
          <w:rFonts w:eastAsia="Times New Roman"/>
          <w:b/>
          <w:bCs/>
          <w:sz w:val="20"/>
          <w:szCs w:val="20"/>
        </w:rPr>
        <w:t>Investments in and Acquisitions of Businesse</w:t>
      </w:r>
      <w:r>
        <w:rPr>
          <w:rFonts w:eastAsia="Times New Roman"/>
          <w:b/>
          <w:bCs/>
          <w:sz w:val="20"/>
          <w:szCs w:val="20"/>
        </w:rPr>
        <w:t>s</w:t>
      </w:r>
    </w:p>
    <w:p w:rsidR="00000000" w:rsidRDefault="00BC3404">
      <w:pPr>
        <w:pStyle w:val="a3"/>
        <w:spacing w:before="240" w:beforeAutospacing="0" w:after="0" w:afterAutospacing="0"/>
        <w:jc w:val="both"/>
        <w:divId w:val="913005063"/>
        <w:rPr>
          <w:sz w:val="20"/>
          <w:szCs w:val="20"/>
        </w:rPr>
      </w:pPr>
      <w:r>
        <w:rPr>
          <w:sz w:val="20"/>
          <w:szCs w:val="20"/>
        </w:rPr>
        <w:t>Suburban Renewable Energy owns a</w:t>
      </w:r>
      <w:r>
        <w:rPr>
          <w:sz w:val="20"/>
          <w:szCs w:val="20"/>
        </w:rPr>
        <w:t xml:space="preserve"> </w:t>
      </w:r>
      <w:r>
        <w:rPr>
          <w:sz w:val="20"/>
          <w:szCs w:val="20"/>
        </w:rPr>
        <w:t>2</w:t>
      </w:r>
      <w:r>
        <w:rPr>
          <w:sz w:val="20"/>
          <w:szCs w:val="20"/>
        </w:rPr>
        <w:t>5</w:t>
      </w:r>
      <w:r>
        <w:rPr>
          <w:sz w:val="20"/>
          <w:szCs w:val="20"/>
        </w:rPr>
        <w:t>% equity stake in Independence Hydrogen, Inc. (“IH”) based i</w:t>
      </w:r>
      <w:r>
        <w:rPr>
          <w:sz w:val="20"/>
          <w:szCs w:val="20"/>
        </w:rPr>
        <w:t>n Ashburn, VA.</w:t>
      </w:r>
      <w:r>
        <w:rPr>
          <w:sz w:val="20"/>
          <w:szCs w:val="20"/>
        </w:rPr>
        <w:t xml:space="preserve"> </w:t>
      </w:r>
      <w:r>
        <w:rPr>
          <w:sz w:val="20"/>
          <w:szCs w:val="20"/>
        </w:rPr>
        <w:t>IH is a veteran-owned and operated, privately held company developing a gaseous hydrogen ecosystem to deliver locally sourced hydrogen to local markets, with a primary focus on material handling and backup power applications</w:t>
      </w:r>
      <w:r>
        <w:rPr>
          <w:sz w:val="20"/>
          <w:szCs w:val="20"/>
        </w:rPr>
        <w:t>.</w:t>
      </w:r>
      <w:r>
        <w:rPr>
          <w:sz w:val="20"/>
          <w:szCs w:val="20"/>
        </w:rPr>
        <w:t xml:space="preserve"> </w:t>
      </w:r>
    </w:p>
    <w:p w:rsidR="00000000" w:rsidRDefault="00BC3404">
      <w:pPr>
        <w:pStyle w:val="a3"/>
        <w:spacing w:before="240" w:beforeAutospacing="0" w:after="0" w:afterAutospacing="0"/>
        <w:jc w:val="both"/>
        <w:divId w:val="913005063"/>
        <w:rPr>
          <w:sz w:val="20"/>
          <w:szCs w:val="20"/>
        </w:rPr>
      </w:pPr>
      <w:r>
        <w:rPr>
          <w:sz w:val="20"/>
          <w:szCs w:val="20"/>
        </w:rPr>
        <w:t>During the thi</w:t>
      </w:r>
      <w:r>
        <w:rPr>
          <w:sz w:val="20"/>
          <w:szCs w:val="20"/>
        </w:rPr>
        <w:t>rd quarter of fiscal 2022, Suburban Renewable Energy announced an agreement to construct, own and operate a new biodigester system with Adirondack Farms, a family dairy farm located in Clinton County, New York, for the production of renewable natural gas (</w:t>
      </w:r>
      <w:r>
        <w:rPr>
          <w:sz w:val="20"/>
          <w:szCs w:val="20"/>
        </w:rPr>
        <w:t>“RNG”). Construction of the assets began during the first quarter of fiscal 2023, and is expected to be completed within 18-24 months</w:t>
      </w:r>
      <w:r>
        <w:rPr>
          <w:sz w:val="20"/>
          <w:szCs w:val="20"/>
        </w:rPr>
        <w:t>.</w:t>
      </w:r>
    </w:p>
    <w:p w:rsidR="00000000" w:rsidRDefault="00BC3404">
      <w:pPr>
        <w:pStyle w:val="a3"/>
        <w:spacing w:before="240" w:beforeAutospacing="0" w:after="0" w:afterAutospacing="0"/>
        <w:jc w:val="both"/>
        <w:divId w:val="913005063"/>
        <w:rPr>
          <w:sz w:val="20"/>
          <w:szCs w:val="20"/>
        </w:rPr>
      </w:pPr>
      <w:r>
        <w:rPr>
          <w:sz w:val="20"/>
          <w:szCs w:val="20"/>
        </w:rPr>
        <w:t>The Operating Partnership owns a</w:t>
      </w:r>
      <w:r>
        <w:rPr>
          <w:sz w:val="20"/>
          <w:szCs w:val="20"/>
        </w:rPr>
        <w:t xml:space="preserve"> </w:t>
      </w:r>
      <w:r>
        <w:rPr>
          <w:sz w:val="20"/>
          <w:szCs w:val="20"/>
        </w:rPr>
        <w:t>3</w:t>
      </w:r>
      <w:r>
        <w:rPr>
          <w:sz w:val="20"/>
          <w:szCs w:val="20"/>
        </w:rPr>
        <w:t>8</w:t>
      </w:r>
      <w:r>
        <w:rPr>
          <w:sz w:val="20"/>
          <w:szCs w:val="20"/>
        </w:rPr>
        <w:t>%</w:t>
      </w:r>
      <w:r>
        <w:rPr>
          <w:sz w:val="20"/>
          <w:szCs w:val="20"/>
        </w:rPr>
        <w:t xml:space="preserve"> </w:t>
      </w:r>
      <w:r>
        <w:rPr>
          <w:sz w:val="20"/>
          <w:szCs w:val="20"/>
        </w:rPr>
        <w:t>equity stake in Oberon Fuels, Inc. (“Oberon”) based in San Diego, California and has</w:t>
      </w:r>
      <w:r>
        <w:rPr>
          <w:sz w:val="20"/>
          <w:szCs w:val="20"/>
        </w:rPr>
        <w:t xml:space="preserve"> also purchased certain secured convertible notes issued by Oberon. Oberon, a development-stage producer of low-carbon, renewable dimethyl ether (“rDME”) transportation fuel, is focused on the research and development of practical and affordable pathways t</w:t>
      </w:r>
      <w:r>
        <w:rPr>
          <w:sz w:val="20"/>
          <w:szCs w:val="20"/>
        </w:rPr>
        <w:t>o zero-emission transportation through its proprietary production process. Oberon's rDME fuel is a low-carbon, zero-soot alternative to petroleum diesel, and when blended with propane can significantly reduce its carbon intensity. Additionally, rDME is a c</w:t>
      </w:r>
      <w:r>
        <w:rPr>
          <w:sz w:val="20"/>
          <w:szCs w:val="20"/>
        </w:rPr>
        <w:t>arrier fo</w:t>
      </w:r>
      <w:r>
        <w:rPr>
          <w:sz w:val="20"/>
          <w:szCs w:val="20"/>
        </w:rPr>
        <w:t>r</w:t>
      </w:r>
      <w:r>
        <w:rPr>
          <w:sz w:val="20"/>
          <w:szCs w:val="20"/>
        </w:rPr>
        <w:t xml:space="preserve"> </w:t>
      </w:r>
    </w:p>
    <w:p w:rsidR="00000000" w:rsidRDefault="00BC3404">
      <w:pPr>
        <w:pStyle w:val="a3"/>
        <w:spacing w:before="0" w:beforeAutospacing="0" w:after="0" w:afterAutospacing="0"/>
        <w:jc w:val="center"/>
        <w:divId w:val="913005063"/>
        <w:rPr>
          <w:sz w:val="20"/>
          <w:szCs w:val="20"/>
        </w:rPr>
      </w:pPr>
      <w:r>
        <w:rPr>
          <w:sz w:val="20"/>
          <w:szCs w:val="20"/>
        </w:rPr>
        <w:t> </w:t>
      </w:r>
    </w:p>
    <w:p w:rsidR="00000000" w:rsidRDefault="00BC3404">
      <w:pPr>
        <w:pStyle w:val="a3"/>
        <w:spacing w:before="0" w:beforeAutospacing="0" w:after="0" w:afterAutospacing="0"/>
        <w:jc w:val="center"/>
        <w:divId w:val="913005063"/>
        <w:rPr>
          <w:sz w:val="20"/>
          <w:szCs w:val="20"/>
        </w:rPr>
      </w:pPr>
      <w:r>
        <w:rPr>
          <w:sz w:val="20"/>
          <w:szCs w:val="20"/>
        </w:rPr>
        <w:t>8</w:t>
      </w:r>
    </w:p>
    <w:p w:rsidR="00000000" w:rsidRDefault="00BC3404">
      <w:pPr>
        <w:divId w:val="913005063"/>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BC3404">
      <w:pPr>
        <w:pStyle w:val="a3"/>
        <w:spacing w:before="0" w:beforeAutospacing="0" w:after="0" w:afterAutospacing="0"/>
        <w:divId w:val="913005063"/>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913005063"/>
        <w:rPr>
          <w:sz w:val="20"/>
          <w:szCs w:val="20"/>
        </w:rPr>
      </w:pPr>
      <w:r>
        <w:rPr>
          <w:sz w:val="20"/>
          <w:szCs w:val="20"/>
        </w:rPr>
        <w:t>hydrogen,</w:t>
      </w:r>
      <w:r>
        <w:rPr>
          <w:sz w:val="20"/>
          <w:szCs w:val="20"/>
        </w:rPr>
        <w:t xml:space="preserve"> </w:t>
      </w:r>
      <w:r>
        <w:rPr>
          <w:sz w:val="20"/>
          <w:szCs w:val="20"/>
        </w:rPr>
        <w:t>making it easy to deliver this renewable fuel for the growing hydrogen fuel cell vehicle industry. During the firs</w:t>
      </w:r>
      <w:r>
        <w:rPr>
          <w:sz w:val="20"/>
          <w:szCs w:val="20"/>
        </w:rPr>
        <w:t>t quarter of fiscal 2023, the Operating Partnership purchased an additional secured convertible note issued by Oberon</w:t>
      </w:r>
      <w:r>
        <w:rPr>
          <w:sz w:val="20"/>
          <w:szCs w:val="20"/>
        </w:rPr>
        <w:t>.</w:t>
      </w:r>
      <w:r>
        <w:rPr>
          <w:sz w:val="20"/>
          <w:szCs w:val="20"/>
        </w:rPr>
        <w:t xml:space="preserve"> </w:t>
      </w:r>
    </w:p>
    <w:p w:rsidR="00000000" w:rsidRDefault="00BC3404">
      <w:pPr>
        <w:pStyle w:val="a3"/>
        <w:spacing w:before="240" w:beforeAutospacing="0" w:after="0" w:afterAutospacing="0"/>
        <w:jc w:val="both"/>
        <w:divId w:val="913005063"/>
        <w:rPr>
          <w:sz w:val="20"/>
          <w:szCs w:val="20"/>
        </w:rPr>
      </w:pPr>
      <w:r>
        <w:rPr>
          <w:sz w:val="20"/>
          <w:szCs w:val="20"/>
        </w:rPr>
        <w:t>These investments and partnerships were made in line with the Partnership’s</w:t>
      </w:r>
      <w:r>
        <w:rPr>
          <w:sz w:val="20"/>
          <w:szCs w:val="20"/>
        </w:rPr>
        <w:t xml:space="preserve"> </w:t>
      </w:r>
      <w:r>
        <w:rPr>
          <w:b/>
          <w:bCs/>
          <w:i/>
          <w:iCs/>
          <w:sz w:val="20"/>
          <w:szCs w:val="20"/>
        </w:rPr>
        <w:t>Go Green with Suburban Propan</w:t>
      </w:r>
      <w:r>
        <w:rPr>
          <w:b/>
          <w:bCs/>
          <w:i/>
          <w:iCs/>
          <w:sz w:val="20"/>
          <w:szCs w:val="20"/>
        </w:rPr>
        <w:t>e</w:t>
      </w:r>
      <w:r>
        <w:rPr>
          <w:sz w:val="20"/>
          <w:szCs w:val="20"/>
        </w:rPr>
        <w:t xml:space="preserve"> </w:t>
      </w:r>
      <w:r>
        <w:rPr>
          <w:sz w:val="20"/>
          <w:szCs w:val="20"/>
        </w:rPr>
        <w:t>corporate pillar, which focuses on advocating for the clean-burning and versatile nature of propane and renewable propane as a solution to a lower carbon future and investing in innovative, renewable energy alternatives to lower GHG emissions. The investme</w:t>
      </w:r>
      <w:r>
        <w:rPr>
          <w:sz w:val="20"/>
          <w:szCs w:val="20"/>
        </w:rPr>
        <w:t>nts in IH and Oberon are being accounted for under the equity method of accounting and were included in “Other assets” within the condensed consolidated balance sheets, and the Partnership’s equity in their earnings were included in “Other, net” within the</w:t>
      </w:r>
      <w:r>
        <w:rPr>
          <w:sz w:val="20"/>
          <w:szCs w:val="20"/>
        </w:rPr>
        <w:t xml:space="preserve"> condensed consolidated statements of operations</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1443841812"/>
        <w:rPr>
          <w:rFonts w:eastAsia="Times New Roman"/>
          <w:sz w:val="20"/>
          <w:szCs w:val="20"/>
        </w:rPr>
      </w:pPr>
      <w:r>
        <w:rPr>
          <w:rFonts w:eastAsia="Times New Roman"/>
          <w:b/>
          <w:bCs/>
          <w:sz w:val="20"/>
          <w:szCs w:val="20"/>
        </w:rPr>
        <w:t>5</w:t>
      </w:r>
      <w:r>
        <w:rPr>
          <w:rFonts w:eastAsia="Times New Roman"/>
          <w:b/>
          <w:bCs/>
          <w:sz w:val="20"/>
          <w:szCs w:val="20"/>
        </w:rPr>
        <w:t>.</w:t>
      </w:r>
    </w:p>
    <w:p w:rsidR="00000000" w:rsidRDefault="00BC3404">
      <w:pPr>
        <w:jc w:val="both"/>
        <w:divId w:val="1699894003"/>
        <w:rPr>
          <w:rFonts w:eastAsia="Times New Roman"/>
          <w:sz w:val="20"/>
          <w:szCs w:val="20"/>
        </w:rPr>
      </w:pPr>
      <w:r>
        <w:rPr>
          <w:rFonts w:eastAsia="Times New Roman"/>
          <w:b/>
          <w:bCs/>
          <w:sz w:val="20"/>
          <w:szCs w:val="20"/>
        </w:rPr>
        <w:t>Financial Instruments and Risk Managemen</w:t>
      </w:r>
      <w:r>
        <w:rPr>
          <w:rFonts w:eastAsia="Times New Roman"/>
          <w:b/>
          <w:bCs/>
          <w:sz w:val="20"/>
          <w:szCs w:val="20"/>
        </w:rPr>
        <w:t>t</w:t>
      </w:r>
    </w:p>
    <w:p w:rsidR="00000000" w:rsidRDefault="00BC3404">
      <w:pPr>
        <w:pStyle w:val="a3"/>
        <w:spacing w:before="120" w:beforeAutospacing="0" w:after="0" w:afterAutospacing="0"/>
        <w:jc w:val="both"/>
        <w:divId w:val="1271359244"/>
        <w:rPr>
          <w:sz w:val="20"/>
          <w:szCs w:val="20"/>
        </w:rPr>
      </w:pPr>
      <w:r>
        <w:rPr>
          <w:b/>
          <w:bCs/>
          <w:sz w:val="20"/>
          <w:szCs w:val="20"/>
        </w:rPr>
        <w:t>Cash and Cash Equivalents</w:t>
      </w:r>
      <w:r>
        <w:rPr>
          <w:b/>
          <w:bCs/>
          <w:sz w:val="20"/>
          <w:szCs w:val="20"/>
        </w:rPr>
        <w:t>.</w:t>
      </w:r>
      <w:r>
        <w:rPr>
          <w:sz w:val="20"/>
          <w:szCs w:val="20"/>
        </w:rPr>
        <w:t xml:space="preserve"> </w:t>
      </w:r>
      <w:r>
        <w:rPr>
          <w:sz w:val="20"/>
          <w:szCs w:val="20"/>
        </w:rPr>
        <w:t>The Partnership considers all highly liquid instruments purchased with an original maturity of</w:t>
      </w:r>
      <w:r>
        <w:rPr>
          <w:sz w:val="20"/>
          <w:szCs w:val="20"/>
        </w:rPr>
        <w:t xml:space="preserve"> </w:t>
      </w:r>
      <w:r>
        <w:rPr>
          <w:sz w:val="20"/>
          <w:szCs w:val="20"/>
        </w:rPr>
        <w:t>three month</w:t>
      </w:r>
      <w:r>
        <w:rPr>
          <w:sz w:val="20"/>
          <w:szCs w:val="20"/>
        </w:rPr>
        <w:t>s</w:t>
      </w:r>
      <w:r>
        <w:rPr>
          <w:sz w:val="20"/>
          <w:szCs w:val="20"/>
        </w:rPr>
        <w:t xml:space="preserve"> or less to be cash equivalents. The carrying amount approximates fair value because of the short-term maturity of these instruments</w:t>
      </w:r>
      <w:r>
        <w:rPr>
          <w:sz w:val="20"/>
          <w:szCs w:val="20"/>
        </w:rPr>
        <w:t>.</w:t>
      </w:r>
    </w:p>
    <w:p w:rsidR="00000000" w:rsidRDefault="00BC3404">
      <w:pPr>
        <w:pStyle w:val="a3"/>
        <w:spacing w:before="240" w:beforeAutospacing="0" w:after="0" w:afterAutospacing="0"/>
        <w:jc w:val="both"/>
        <w:divId w:val="1271359244"/>
        <w:rPr>
          <w:sz w:val="20"/>
          <w:szCs w:val="20"/>
        </w:rPr>
      </w:pPr>
      <w:r>
        <w:rPr>
          <w:b/>
          <w:bCs/>
          <w:sz w:val="20"/>
          <w:szCs w:val="20"/>
        </w:rPr>
        <w:t>Derivative Inst</w:t>
      </w:r>
      <w:r>
        <w:rPr>
          <w:b/>
          <w:bCs/>
          <w:sz w:val="20"/>
          <w:szCs w:val="20"/>
        </w:rPr>
        <w:t>ruments and Hedging Activitie</w:t>
      </w:r>
      <w:r>
        <w:rPr>
          <w:b/>
          <w:bCs/>
          <w:sz w:val="20"/>
          <w:szCs w:val="20"/>
        </w:rPr>
        <w:t>s</w:t>
      </w:r>
    </w:p>
    <w:p w:rsidR="00000000" w:rsidRDefault="00BC3404">
      <w:pPr>
        <w:pStyle w:val="a3"/>
        <w:spacing w:before="120" w:beforeAutospacing="0" w:after="0" w:afterAutospacing="0"/>
        <w:jc w:val="both"/>
        <w:divId w:val="1271359244"/>
        <w:rPr>
          <w:sz w:val="20"/>
          <w:szCs w:val="20"/>
        </w:rPr>
      </w:pPr>
      <w:r>
        <w:rPr>
          <w:i/>
          <w:iCs/>
          <w:sz w:val="20"/>
          <w:szCs w:val="20"/>
        </w:rPr>
        <w:t>Commodity Price Ris</w:t>
      </w:r>
      <w:r>
        <w:rPr>
          <w:i/>
          <w:iCs/>
          <w:sz w:val="20"/>
          <w:szCs w:val="20"/>
        </w:rPr>
        <w:t>k</w:t>
      </w:r>
      <w:r>
        <w:rPr>
          <w:sz w:val="20"/>
          <w:szCs w:val="20"/>
        </w:rPr>
        <w:t>. Given the retail nature of its operations, the Partnership maintains a certain level of priced physical inventory to help ensure its field operations have adequate supply commensurate with the time of ye</w:t>
      </w:r>
      <w:r>
        <w:rPr>
          <w:sz w:val="20"/>
          <w:szCs w:val="20"/>
        </w:rPr>
        <w:t>ar. The Partnership’s strategy is to keep its physical inventory priced relatively close to market for its field operations. The Partnership enters into a combination of exchange-traded futures and option contracts and, in certain instances, over-the-count</w:t>
      </w:r>
      <w:r>
        <w:rPr>
          <w:sz w:val="20"/>
          <w:szCs w:val="20"/>
        </w:rPr>
        <w:t>er options and swap contracts (collectively, “derivative instruments”) to hedge price risk associated with propane and fuel oil physical inventories, as well as future purchases of propane or fuel oil used in its operations, and to help ensure adequate sup</w:t>
      </w:r>
      <w:r>
        <w:rPr>
          <w:sz w:val="20"/>
          <w:szCs w:val="20"/>
        </w:rPr>
        <w:t>ply during periods of high demand. In addition, the Partnership sells propane and fuel oil to customers at fixed prices, and enters into derivative instruments to hedge a portion of its exposure to fluctuations in commodity prices as a result of selling th</w:t>
      </w:r>
      <w:r>
        <w:rPr>
          <w:sz w:val="20"/>
          <w:szCs w:val="20"/>
        </w:rPr>
        <w:t xml:space="preserve">e fixed price contracts. Under this risk management strategy, realized gains or losses on derivative instruments will typically offset losses or gains on the physical inventory once the product is sold or delivered as it pertains to fixed price contracts. </w:t>
      </w:r>
      <w:r>
        <w:rPr>
          <w:sz w:val="20"/>
          <w:szCs w:val="20"/>
        </w:rPr>
        <w:t xml:space="preserve">All of the Partnership’s derivative instruments are reported on the condensed consolidated balance sheet at their fair values. In addition, in the course of normal operations, the Partnership routinely enters into contracts such as forward priced physical </w:t>
      </w:r>
      <w:r>
        <w:rPr>
          <w:sz w:val="20"/>
          <w:szCs w:val="20"/>
        </w:rPr>
        <w:t>contracts for the purchase or sale of propane and fuel oil that qualify for and are designated as normal purchase or normal sale contracts. Such contracts are exempted from the fair value accounting requirements and are accounted for at the time product is</w:t>
      </w:r>
      <w:r>
        <w:rPr>
          <w:sz w:val="20"/>
          <w:szCs w:val="20"/>
        </w:rPr>
        <w:t xml:space="preserve"> purchased or sold under the related contract. The Partnership does not use derivative instruments for speculative trading purposes. Market risks associated with derivative instruments are monitored daily for compliance with the Partnership’s Hedging and R</w:t>
      </w:r>
      <w:r>
        <w:rPr>
          <w:sz w:val="20"/>
          <w:szCs w:val="20"/>
        </w:rPr>
        <w:t>isk Management Policy which includes volume limits for open positions. Priced on-hand inventory is also reviewed and managed daily as to exposures to changing market prices</w:t>
      </w:r>
      <w:r>
        <w:rPr>
          <w:sz w:val="20"/>
          <w:szCs w:val="20"/>
        </w:rPr>
        <w:t>.</w:t>
      </w:r>
    </w:p>
    <w:p w:rsidR="00000000" w:rsidRDefault="00BC3404">
      <w:pPr>
        <w:pStyle w:val="a3"/>
        <w:spacing w:before="240" w:beforeAutospacing="0" w:after="0" w:afterAutospacing="0"/>
        <w:jc w:val="both"/>
        <w:divId w:val="1271359244"/>
        <w:rPr>
          <w:sz w:val="20"/>
          <w:szCs w:val="20"/>
        </w:rPr>
      </w:pPr>
      <w:r>
        <w:rPr>
          <w:sz w:val="20"/>
          <w:szCs w:val="20"/>
        </w:rPr>
        <w:t>On the date that derivative instruments are entered into, other than those designa</w:t>
      </w:r>
      <w:r>
        <w:rPr>
          <w:sz w:val="20"/>
          <w:szCs w:val="20"/>
        </w:rPr>
        <w:t>ted as normal purchases or normal sales, the Partnership makes a determination as to whether the derivative instrument qualifies for designation as a hedge. Changes in the fair value of derivative instruments are recorded each period in current period earn</w:t>
      </w:r>
      <w:r>
        <w:rPr>
          <w:sz w:val="20"/>
          <w:szCs w:val="20"/>
        </w:rPr>
        <w:t>ings or other comprehensive income (“OCI”), depending on whether the derivative instrument is designated as a hedge and, if so, the type of hedge. For derivative instruments designated as cash flow hedges, the Partnership formally assesses, both at the hed</w:t>
      </w:r>
      <w:r>
        <w:rPr>
          <w:sz w:val="20"/>
          <w:szCs w:val="20"/>
        </w:rPr>
        <w:t>ge contract’s inception and on an ongoing basis, whether the hedge contract is highly effective in offsetting changes in cash flows of hedged items. Changes in the fair value of derivative instruments designated as cash flow hedges are reported in OCI to t</w:t>
      </w:r>
      <w:r>
        <w:rPr>
          <w:sz w:val="20"/>
          <w:szCs w:val="20"/>
        </w:rPr>
        <w:t xml:space="preserve">he extent effective and reclassified into earnings during the same period in which the hedged item affects earnings. The mark-to-market gains or losses on ineffective portions of cash flow hedges are recognized in earnings immediately. Changes in the fair </w:t>
      </w:r>
      <w:r>
        <w:rPr>
          <w:sz w:val="20"/>
          <w:szCs w:val="20"/>
        </w:rPr>
        <w:t>value of derivative instruments that are not designated as cash flow hedges, and that do not meet the normal purchase and normal sale exemption, are recorded within earnings as they occur. Cash flows associated with derivative instruments are reported as o</w:t>
      </w:r>
      <w:r>
        <w:rPr>
          <w:sz w:val="20"/>
          <w:szCs w:val="20"/>
        </w:rPr>
        <w:t>perating activities within the condensed consolidated statement of cash flows</w:t>
      </w:r>
      <w:r>
        <w:rPr>
          <w:sz w:val="20"/>
          <w:szCs w:val="20"/>
        </w:rPr>
        <w:t>.</w:t>
      </w:r>
    </w:p>
    <w:p w:rsidR="00000000" w:rsidRDefault="00BC3404">
      <w:pPr>
        <w:pStyle w:val="a3"/>
        <w:spacing w:before="240" w:beforeAutospacing="0" w:after="0" w:afterAutospacing="0"/>
        <w:jc w:val="both"/>
        <w:divId w:val="1271359244"/>
        <w:rPr>
          <w:sz w:val="20"/>
          <w:szCs w:val="20"/>
        </w:rPr>
      </w:pPr>
      <w:r>
        <w:rPr>
          <w:i/>
          <w:iCs/>
          <w:sz w:val="20"/>
          <w:szCs w:val="20"/>
        </w:rPr>
        <w:t>Interest Rate Ris</w:t>
      </w:r>
      <w:r>
        <w:rPr>
          <w:i/>
          <w:iCs/>
          <w:sz w:val="20"/>
          <w:szCs w:val="20"/>
        </w:rPr>
        <w:t>k</w:t>
      </w:r>
      <w:r>
        <w:rPr>
          <w:sz w:val="20"/>
          <w:szCs w:val="20"/>
        </w:rPr>
        <w:t>. A portion of the Partnership’s borrowings bear interest at prevailing interest rates based upon, at the Operating Partnership’s option, LIBOR plus an applica</w:t>
      </w:r>
      <w:r>
        <w:rPr>
          <w:sz w:val="20"/>
          <w:szCs w:val="20"/>
        </w:rPr>
        <w:t>ble margin or the base rate, defined as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w:t>
      </w:r>
      <w:r>
        <w:rPr>
          <w:sz w:val="20"/>
          <w:szCs w:val="20"/>
        </w:rPr>
        <w:t xml:space="preserve"> </w:t>
      </w:r>
      <w:r>
        <w:rPr>
          <w:sz w:val="20"/>
          <w:szCs w:val="20"/>
        </w:rPr>
        <w:t>of 1% or the agent bank’s prime rate, or</w:t>
      </w:r>
      <w:r>
        <w:rPr>
          <w:sz w:val="20"/>
          <w:szCs w:val="20"/>
        </w:rPr>
        <w:t xml:space="preserve"> </w:t>
      </w:r>
      <w:r>
        <w:rPr>
          <w:sz w:val="20"/>
          <w:szCs w:val="20"/>
        </w:rPr>
        <w:t>LIBO</w:t>
      </w:r>
      <w:r>
        <w:rPr>
          <w:sz w:val="20"/>
          <w:szCs w:val="20"/>
        </w:rPr>
        <w:t>R</w:t>
      </w:r>
      <w:r>
        <w:rPr>
          <w:sz w:val="20"/>
          <w:szCs w:val="20"/>
        </w:rPr>
        <w:t xml:space="preserve"> plus</w:t>
      </w:r>
      <w:r>
        <w:rPr>
          <w:sz w:val="20"/>
          <w:szCs w:val="20"/>
        </w:rPr>
        <w:t xml:space="preserve"> </w:t>
      </w:r>
      <w:r>
        <w:rPr>
          <w:sz w:val="20"/>
          <w:szCs w:val="20"/>
        </w:rPr>
        <w:t>1</w:t>
      </w:r>
      <w:r>
        <w:rPr>
          <w:sz w:val="20"/>
          <w:szCs w:val="20"/>
        </w:rPr>
        <w:t>%, plus the applicable margin. The applicable margin is dependent on the level of the Partnership’s total leverage (the</w:t>
      </w:r>
      <w:r>
        <w:rPr>
          <w:sz w:val="20"/>
          <w:szCs w:val="20"/>
        </w:rPr>
        <w:t xml:space="preserve"> ratio of total debt to income before deducting interest expense, income taxes, depreciation and amortization (“EBITDA”)). Therefore, the Partnership is subject to interest rate risk on the variable component of the interest rate. From time to time, the Pa</w:t>
      </w:r>
      <w:r>
        <w:rPr>
          <w:sz w:val="20"/>
          <w:szCs w:val="20"/>
        </w:rPr>
        <w:t>rtnership manages part of its variable interest rate risk by entering into interest rate swap agreements. The Partnership did not enter into any interest rate swap agreements during the first quarter of fiscal 2023 or in fiscal 2022</w:t>
      </w:r>
      <w:r>
        <w:rPr>
          <w:sz w:val="20"/>
          <w:szCs w:val="20"/>
        </w:rPr>
        <w:t>.</w:t>
      </w:r>
    </w:p>
    <w:p w:rsidR="00000000" w:rsidRDefault="00BC3404">
      <w:pPr>
        <w:pStyle w:val="a3"/>
        <w:spacing w:before="0" w:beforeAutospacing="0" w:after="0" w:afterAutospacing="0"/>
        <w:jc w:val="center"/>
        <w:divId w:val="1271359244"/>
        <w:rPr>
          <w:sz w:val="20"/>
          <w:szCs w:val="20"/>
        </w:rPr>
      </w:pPr>
      <w:r>
        <w:rPr>
          <w:sz w:val="20"/>
          <w:szCs w:val="20"/>
        </w:rPr>
        <w:t> </w:t>
      </w:r>
    </w:p>
    <w:p w:rsidR="00000000" w:rsidRDefault="00BC3404">
      <w:pPr>
        <w:pStyle w:val="a3"/>
        <w:spacing w:before="0" w:beforeAutospacing="0" w:after="0" w:afterAutospacing="0"/>
        <w:jc w:val="center"/>
        <w:divId w:val="1271359244"/>
        <w:rPr>
          <w:sz w:val="20"/>
          <w:szCs w:val="20"/>
        </w:rPr>
      </w:pPr>
      <w:r>
        <w:rPr>
          <w:sz w:val="20"/>
          <w:szCs w:val="20"/>
        </w:rPr>
        <w:t>9</w:t>
      </w:r>
    </w:p>
    <w:p w:rsidR="00000000" w:rsidRDefault="00BC3404">
      <w:pPr>
        <w:divId w:val="1271359244"/>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BC3404">
      <w:pPr>
        <w:pStyle w:val="a3"/>
        <w:spacing w:before="0" w:beforeAutospacing="0" w:after="0" w:afterAutospacing="0"/>
        <w:divId w:val="1271359244"/>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1271359244"/>
        <w:rPr>
          <w:sz w:val="20"/>
          <w:szCs w:val="20"/>
        </w:rPr>
      </w:pPr>
      <w:r>
        <w:rPr>
          <w:i/>
          <w:iCs/>
          <w:sz w:val="20"/>
          <w:szCs w:val="20"/>
        </w:rPr>
        <w:t>Valuation of Derivative Instrument</w:t>
      </w:r>
      <w:r>
        <w:rPr>
          <w:i/>
          <w:iCs/>
          <w:sz w:val="20"/>
          <w:szCs w:val="20"/>
        </w:rPr>
        <w:t>s</w:t>
      </w:r>
      <w:r>
        <w:rPr>
          <w:sz w:val="20"/>
          <w:szCs w:val="20"/>
        </w:rPr>
        <w:t>. The Partnership measures the fair value of its exchange-traded options and futures contracts using quoted market prices f</w:t>
      </w:r>
      <w:r>
        <w:rPr>
          <w:sz w:val="20"/>
          <w:szCs w:val="20"/>
        </w:rPr>
        <w:t>ound on the New York Mercantile Exchange (the “NYMEX”) (Level 1 inputs); the fair value of its swap contracts using quoted forward prices, and the fair value of its interest rate swaps using model-derived valuations driven by observable projected movements</w:t>
      </w:r>
      <w:r>
        <w:rPr>
          <w:sz w:val="20"/>
          <w:szCs w:val="20"/>
        </w:rPr>
        <w:t xml:space="preserve"> of the 3-month LIBOR (Level 2 inputs); and the fair value of its over-the-counter options contracts using Level 3 inputs. The Partnership’s over-the-counter options contracts are valued based on an internal option model. The inputs utilized in the model a</w:t>
      </w:r>
      <w:r>
        <w:rPr>
          <w:sz w:val="20"/>
          <w:szCs w:val="20"/>
        </w:rPr>
        <w:t>re based on publicly available information as well as broker quotes. The significant unobservable inputs used in the fair value measurements of the Partnership’s over-the-counter options contracts are interest rate and market volatility</w:t>
      </w:r>
      <w:r>
        <w:rPr>
          <w:sz w:val="20"/>
          <w:szCs w:val="20"/>
        </w:rPr>
        <w:t>.</w:t>
      </w:r>
    </w:p>
    <w:p w:rsidR="00000000" w:rsidRDefault="00BC3404">
      <w:pPr>
        <w:pStyle w:val="a3"/>
        <w:spacing w:before="240" w:beforeAutospacing="0" w:after="0" w:afterAutospacing="0"/>
        <w:jc w:val="both"/>
        <w:divId w:val="1742873909"/>
        <w:rPr>
          <w:sz w:val="20"/>
          <w:szCs w:val="20"/>
        </w:rPr>
      </w:pPr>
      <w:r>
        <w:rPr>
          <w:sz w:val="20"/>
          <w:szCs w:val="20"/>
        </w:rPr>
        <w:t>The following summ</w:t>
      </w:r>
      <w:r>
        <w:rPr>
          <w:sz w:val="20"/>
          <w:szCs w:val="20"/>
        </w:rPr>
        <w:t>arizes the fair value of the Partnership’s derivative instruments and their location in the condensed consolidated balance sheets as of</w:t>
      </w:r>
      <w:r>
        <w:rPr>
          <w:sz w:val="20"/>
          <w:szCs w:val="20"/>
        </w:rPr>
        <w:t xml:space="preserve"> </w:t>
      </w:r>
      <w:r>
        <w:rPr>
          <w:sz w:val="20"/>
          <w:szCs w:val="20"/>
        </w:rPr>
        <w:t>December 24, 2022 and September 24, 2022, respectively</w:t>
      </w:r>
      <w:r>
        <w:rPr>
          <w:sz w:val="20"/>
          <w:szCs w:val="20"/>
        </w:rPr>
        <w:t>:</w:t>
      </w:r>
    </w:p>
    <w:p w:rsidR="00000000" w:rsidRDefault="00BC3404">
      <w:pPr>
        <w:pStyle w:val="a3"/>
        <w:spacing w:before="0" w:beforeAutospacing="0" w:after="0" w:afterAutospacing="0"/>
        <w:jc w:val="both"/>
        <w:divId w:val="174287390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2"/>
        <w:gridCol w:w="141"/>
        <w:gridCol w:w="1495"/>
        <w:gridCol w:w="140"/>
        <w:gridCol w:w="160"/>
        <w:gridCol w:w="989"/>
        <w:gridCol w:w="110"/>
        <w:gridCol w:w="140"/>
        <w:gridCol w:w="1495"/>
        <w:gridCol w:w="140"/>
        <w:gridCol w:w="160"/>
        <w:gridCol w:w="989"/>
        <w:gridCol w:w="125"/>
      </w:tblGrid>
      <w:tr w:rsidR="00000000">
        <w:trPr>
          <w:divId w:val="1742873909"/>
          <w:tblCellSpacing w:w="15" w:type="dxa"/>
        </w:trPr>
        <w:tc>
          <w:tcPr>
            <w:tcW w:w="1387" w:type="pct"/>
            <w:vAlign w:val="center"/>
            <w:hideMark/>
          </w:tcPr>
          <w:p w:rsidR="00000000" w:rsidRDefault="00BC3404">
            <w:pPr>
              <w:rPr>
                <w:sz w:val="20"/>
                <w:szCs w:val="20"/>
              </w:rPr>
            </w:pPr>
          </w:p>
        </w:tc>
        <w:tc>
          <w:tcPr>
            <w:tcW w:w="78" w:type="pct"/>
            <w:vAlign w:val="center"/>
            <w:hideMark/>
          </w:tcPr>
          <w:p w:rsidR="00000000" w:rsidRDefault="00BC3404">
            <w:pPr>
              <w:rPr>
                <w:rFonts w:eastAsia="Times New Roman"/>
                <w:sz w:val="20"/>
                <w:szCs w:val="20"/>
              </w:rPr>
            </w:pPr>
          </w:p>
        </w:tc>
        <w:tc>
          <w:tcPr>
            <w:tcW w:w="935" w:type="pct"/>
            <w:vAlign w:val="center"/>
            <w:hideMark/>
          </w:tcPr>
          <w:p w:rsidR="00000000" w:rsidRDefault="00BC3404">
            <w:pPr>
              <w:rPr>
                <w:rFonts w:eastAsia="Times New Roman"/>
                <w:sz w:val="20"/>
                <w:szCs w:val="20"/>
              </w:rPr>
            </w:pPr>
          </w:p>
        </w:tc>
        <w:tc>
          <w:tcPr>
            <w:tcW w:w="7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7" w:type="pct"/>
            <w:vAlign w:val="center"/>
            <w:hideMark/>
          </w:tcPr>
          <w:p w:rsidR="00000000" w:rsidRDefault="00BC3404">
            <w:pPr>
              <w:rPr>
                <w:rFonts w:eastAsia="Times New Roman"/>
                <w:sz w:val="20"/>
                <w:szCs w:val="20"/>
              </w:rPr>
            </w:pPr>
          </w:p>
        </w:tc>
        <w:tc>
          <w:tcPr>
            <w:tcW w:w="935" w:type="pct"/>
            <w:vAlign w:val="center"/>
            <w:hideMark/>
          </w:tcPr>
          <w:p w:rsidR="00000000" w:rsidRDefault="00BC3404">
            <w:pPr>
              <w:rPr>
                <w:rFonts w:eastAsia="Times New Roman"/>
                <w:sz w:val="20"/>
                <w:szCs w:val="20"/>
              </w:rPr>
            </w:pPr>
          </w:p>
        </w:tc>
        <w:tc>
          <w:tcPr>
            <w:tcW w:w="7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742873909"/>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4"/>
            <w:vAlign w:val="bottom"/>
            <w:hideMark/>
          </w:tcPr>
          <w:p w:rsidR="00000000" w:rsidRDefault="00BC3404">
            <w:pPr>
              <w:pStyle w:val="a3"/>
              <w:spacing w:before="0" w:beforeAutospacing="0" w:after="0" w:afterAutospacing="0"/>
              <w:jc w:val="center"/>
              <w:rPr>
                <w:sz w:val="16"/>
                <w:szCs w:val="16"/>
              </w:rPr>
            </w:pPr>
            <w:r>
              <w:rPr>
                <w:b/>
                <w:bCs/>
                <w:sz w:val="16"/>
                <w:szCs w:val="16"/>
              </w:rPr>
              <w:t>As of December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4"/>
            <w:vAlign w:val="bottom"/>
            <w:hideMark/>
          </w:tcPr>
          <w:p w:rsidR="00000000" w:rsidRDefault="00BC3404">
            <w:pPr>
              <w:pStyle w:val="a3"/>
              <w:spacing w:before="0" w:beforeAutospacing="0" w:after="0" w:afterAutospacing="0"/>
              <w:jc w:val="center"/>
              <w:rPr>
                <w:sz w:val="16"/>
                <w:szCs w:val="16"/>
              </w:rPr>
            </w:pPr>
            <w:r>
              <w:rPr>
                <w:b/>
                <w:bCs/>
                <w:sz w:val="16"/>
                <w:szCs w:val="16"/>
              </w:rPr>
              <w:t>As of September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42873909"/>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Asset Derivative</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Derivatives not designated as</w:t>
            </w:r>
            <w:r>
              <w:rPr>
                <w:sz w:val="20"/>
                <w:szCs w:val="20"/>
              </w:rPr>
              <w:br/>
              <w:t>   hedging instruments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11,76</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18,26</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16,43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11,76</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blCellSpacing w:w="15" w:type="dxa"/>
        </w:trPr>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Liability Derivative</w:t>
            </w:r>
            <w:r>
              <w:rPr>
                <w:b/>
                <w:bCs/>
                <w:sz w:val="16"/>
                <w:szCs w:val="16"/>
              </w:rPr>
              <w:t>s</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Derivatives not designated as</w:t>
            </w:r>
            <w:r>
              <w:rPr>
                <w:sz w:val="20"/>
                <w:szCs w:val="20"/>
              </w:rPr>
              <w:br/>
              <w:t>   hedging instruments</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12,56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16,95</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31</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1,89</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42873909"/>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12,88</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divId w:val="1271359244"/>
        <w:rPr>
          <w:sz w:val="20"/>
          <w:szCs w:val="20"/>
        </w:rPr>
      </w:pPr>
      <w:r>
        <w:rPr>
          <w:sz w:val="20"/>
          <w:szCs w:val="20"/>
        </w:rPr>
        <w:t> </w:t>
      </w:r>
    </w:p>
    <w:p w:rsidR="00000000" w:rsidRDefault="00BC3404">
      <w:pPr>
        <w:pStyle w:val="a3"/>
        <w:spacing w:before="40" w:beforeAutospacing="0" w:after="0" w:afterAutospacing="0"/>
        <w:jc w:val="both"/>
        <w:divId w:val="166136885"/>
        <w:rPr>
          <w:sz w:val="20"/>
          <w:szCs w:val="20"/>
        </w:rPr>
      </w:pPr>
      <w:r>
        <w:rPr>
          <w:sz w:val="20"/>
          <w:szCs w:val="20"/>
        </w:rPr>
        <w:t>The following summarizes the reconciliation of the beginning and ending balances of assets and liabilities measured at fair value on a recurring basis using significant unobservable inputs</w:t>
      </w:r>
      <w:r>
        <w:rPr>
          <w:sz w:val="20"/>
          <w:szCs w:val="20"/>
        </w:rPr>
        <w:t>:</w:t>
      </w:r>
    </w:p>
    <w:p w:rsidR="00000000" w:rsidRDefault="00BC3404">
      <w:pPr>
        <w:pStyle w:val="a3"/>
        <w:spacing w:before="0" w:beforeAutospacing="0" w:after="0" w:afterAutospacing="0"/>
        <w:jc w:val="both"/>
        <w:divId w:val="16613688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98"/>
        <w:gridCol w:w="110"/>
        <w:gridCol w:w="160"/>
        <w:gridCol w:w="596"/>
        <w:gridCol w:w="127"/>
        <w:gridCol w:w="110"/>
        <w:gridCol w:w="161"/>
        <w:gridCol w:w="649"/>
        <w:gridCol w:w="127"/>
        <w:gridCol w:w="110"/>
        <w:gridCol w:w="160"/>
        <w:gridCol w:w="577"/>
        <w:gridCol w:w="127"/>
        <w:gridCol w:w="110"/>
        <w:gridCol w:w="161"/>
        <w:gridCol w:w="650"/>
        <w:gridCol w:w="142"/>
      </w:tblGrid>
      <w:tr w:rsidR="00000000">
        <w:trPr>
          <w:divId w:val="166136885"/>
          <w:tblCellSpacing w:w="15" w:type="dxa"/>
        </w:trPr>
        <w:tc>
          <w:tcPr>
            <w:tcW w:w="2456" w:type="pct"/>
            <w:vAlign w:val="center"/>
            <w:hideMark/>
          </w:tcPr>
          <w:p w:rsidR="00000000" w:rsidRDefault="00BC3404">
            <w:pPr>
              <w:rPr>
                <w:sz w:val="20"/>
                <w:szCs w:val="20"/>
              </w:rPr>
            </w:pPr>
          </w:p>
        </w:tc>
        <w:tc>
          <w:tcPr>
            <w:tcW w:w="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6613688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BC3404">
            <w:pPr>
              <w:pStyle w:val="a3"/>
              <w:spacing w:before="0" w:beforeAutospacing="0" w:after="0" w:afterAutospacing="0"/>
              <w:jc w:val="center"/>
              <w:rPr>
                <w:sz w:val="16"/>
                <w:szCs w:val="16"/>
              </w:rPr>
            </w:pPr>
            <w:r>
              <w:rPr>
                <w:b/>
                <w:bCs/>
                <w:sz w:val="16"/>
                <w:szCs w:val="16"/>
              </w:rPr>
              <w:t xml:space="preserve">Fair Value Measurement Using Significant </w:t>
            </w:r>
            <w:r>
              <w:rPr>
                <w:b/>
                <w:bCs/>
                <w:sz w:val="16"/>
                <w:szCs w:val="16"/>
              </w:rPr>
              <w:br/>
              <w:t>Unobservable Inputs (Level 3</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613688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613688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December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December 25, 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613688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613688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Beginning balance of over-the-counter option</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22</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3,40</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6613688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Beginning balance realized during the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1,62</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6613688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Contracts purchased during the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6613688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Change in the fair value of outstanding contract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30</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2,13</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6613688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Ending balance of over-the-counter option</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3,41</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86</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44</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divId w:val="1271359244"/>
        <w:rPr>
          <w:sz w:val="20"/>
          <w:szCs w:val="20"/>
        </w:rPr>
      </w:pPr>
      <w:r>
        <w:rPr>
          <w:sz w:val="20"/>
          <w:szCs w:val="20"/>
        </w:rPr>
        <w:t> </w:t>
      </w:r>
    </w:p>
    <w:p w:rsidR="00000000" w:rsidRDefault="00BC3404">
      <w:pPr>
        <w:pStyle w:val="a3"/>
        <w:spacing w:before="40" w:beforeAutospacing="0" w:after="0" w:afterAutospacing="0"/>
        <w:jc w:val="both"/>
        <w:divId w:val="1271359244"/>
        <w:rPr>
          <w:sz w:val="20"/>
          <w:szCs w:val="20"/>
        </w:rPr>
      </w:pPr>
      <w:r>
        <w:rPr>
          <w:sz w:val="20"/>
          <w:szCs w:val="20"/>
        </w:rPr>
        <w:t>As of December 24, 2022 and September 24, 2022, the Partnership’s outstanding commodity-related derivatives had a weighted average maturity of approximately</w:t>
      </w:r>
      <w:r>
        <w:rPr>
          <w:sz w:val="20"/>
          <w:szCs w:val="20"/>
        </w:rPr>
        <w:t xml:space="preserve"> </w:t>
      </w:r>
      <w:r>
        <w:rPr>
          <w:sz w:val="20"/>
          <w:szCs w:val="20"/>
        </w:rPr>
        <w:t>fiv</w:t>
      </w:r>
      <w:r>
        <w:rPr>
          <w:sz w:val="20"/>
          <w:szCs w:val="20"/>
        </w:rPr>
        <w:t>e</w:t>
      </w:r>
      <w:r>
        <w:rPr>
          <w:sz w:val="20"/>
          <w:szCs w:val="20"/>
        </w:rPr>
        <w:t xml:space="preserve"> and</w:t>
      </w:r>
      <w:r>
        <w:rPr>
          <w:sz w:val="20"/>
          <w:szCs w:val="20"/>
        </w:rPr>
        <w:t xml:space="preserve"> </w:t>
      </w:r>
      <w:r>
        <w:rPr>
          <w:sz w:val="20"/>
          <w:szCs w:val="20"/>
        </w:rPr>
        <w:t>seve</w:t>
      </w:r>
      <w:r>
        <w:rPr>
          <w:sz w:val="20"/>
          <w:szCs w:val="20"/>
        </w:rPr>
        <w:t>n</w:t>
      </w:r>
      <w:r>
        <w:rPr>
          <w:sz w:val="20"/>
          <w:szCs w:val="20"/>
        </w:rPr>
        <w:t xml:space="preserve"> month</w:t>
      </w:r>
      <w:r>
        <w:rPr>
          <w:sz w:val="20"/>
          <w:szCs w:val="20"/>
        </w:rPr>
        <w:t>s</w:t>
      </w:r>
      <w:r>
        <w:rPr>
          <w:sz w:val="20"/>
          <w:szCs w:val="20"/>
        </w:rPr>
        <w:t>, respectively</w:t>
      </w:r>
      <w:r>
        <w:rPr>
          <w:sz w:val="20"/>
          <w:szCs w:val="20"/>
        </w:rPr>
        <w:t>.</w:t>
      </w:r>
    </w:p>
    <w:p w:rsidR="00000000" w:rsidRDefault="00BC3404">
      <w:pPr>
        <w:pStyle w:val="a3"/>
        <w:spacing w:before="240" w:beforeAutospacing="0" w:after="0" w:afterAutospacing="0"/>
        <w:jc w:val="both"/>
        <w:divId w:val="16590288"/>
        <w:rPr>
          <w:sz w:val="20"/>
          <w:szCs w:val="20"/>
        </w:rPr>
      </w:pPr>
      <w:r>
        <w:rPr>
          <w:sz w:val="20"/>
          <w:szCs w:val="20"/>
        </w:rPr>
        <w:t>The effect of the Partnership’s derivative instruments on the</w:t>
      </w:r>
      <w:r>
        <w:rPr>
          <w:sz w:val="20"/>
          <w:szCs w:val="20"/>
        </w:rPr>
        <w:t xml:space="preserve"> condensed consolidated statements of operations for the three months ended December 24, 2022 and December 25, 2021 are as follows</w:t>
      </w:r>
      <w:r>
        <w:rPr>
          <w:sz w:val="20"/>
          <w:szCs w:val="20"/>
        </w:rPr>
        <w:t>:</w:t>
      </w:r>
    </w:p>
    <w:p w:rsidR="00000000" w:rsidRDefault="00BC3404">
      <w:pPr>
        <w:pStyle w:val="a3"/>
        <w:spacing w:before="0" w:beforeAutospacing="0" w:after="0" w:afterAutospacing="0"/>
        <w:jc w:val="both"/>
        <w:divId w:val="1659028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9"/>
        <w:gridCol w:w="138"/>
        <w:gridCol w:w="1491"/>
        <w:gridCol w:w="136"/>
        <w:gridCol w:w="160"/>
        <w:gridCol w:w="985"/>
        <w:gridCol w:w="127"/>
        <w:gridCol w:w="136"/>
        <w:gridCol w:w="1491"/>
        <w:gridCol w:w="136"/>
        <w:gridCol w:w="160"/>
        <w:gridCol w:w="985"/>
        <w:gridCol w:w="142"/>
      </w:tblGrid>
      <w:tr w:rsidR="00000000">
        <w:trPr>
          <w:divId w:val="16590288"/>
          <w:tblCellSpacing w:w="15" w:type="dxa"/>
        </w:trPr>
        <w:tc>
          <w:tcPr>
            <w:tcW w:w="1387" w:type="pct"/>
            <w:vAlign w:val="center"/>
            <w:hideMark/>
          </w:tcPr>
          <w:p w:rsidR="00000000" w:rsidRDefault="00BC3404">
            <w:pPr>
              <w:rPr>
                <w:sz w:val="20"/>
                <w:szCs w:val="20"/>
              </w:rPr>
            </w:pPr>
          </w:p>
        </w:tc>
        <w:tc>
          <w:tcPr>
            <w:tcW w:w="78" w:type="pct"/>
            <w:vAlign w:val="center"/>
            <w:hideMark/>
          </w:tcPr>
          <w:p w:rsidR="00000000" w:rsidRDefault="00BC3404">
            <w:pPr>
              <w:rPr>
                <w:rFonts w:eastAsia="Times New Roman"/>
                <w:sz w:val="20"/>
                <w:szCs w:val="20"/>
              </w:rPr>
            </w:pPr>
          </w:p>
        </w:tc>
        <w:tc>
          <w:tcPr>
            <w:tcW w:w="935" w:type="pct"/>
            <w:vAlign w:val="center"/>
            <w:hideMark/>
          </w:tcPr>
          <w:p w:rsidR="00000000" w:rsidRDefault="00BC3404">
            <w:pPr>
              <w:rPr>
                <w:rFonts w:eastAsia="Times New Roman"/>
                <w:sz w:val="20"/>
                <w:szCs w:val="20"/>
              </w:rPr>
            </w:pPr>
          </w:p>
        </w:tc>
        <w:tc>
          <w:tcPr>
            <w:tcW w:w="7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7" w:type="pct"/>
            <w:vAlign w:val="center"/>
            <w:hideMark/>
          </w:tcPr>
          <w:p w:rsidR="00000000" w:rsidRDefault="00BC3404">
            <w:pPr>
              <w:rPr>
                <w:rFonts w:eastAsia="Times New Roman"/>
                <w:sz w:val="20"/>
                <w:szCs w:val="20"/>
              </w:rPr>
            </w:pPr>
          </w:p>
        </w:tc>
        <w:tc>
          <w:tcPr>
            <w:tcW w:w="935" w:type="pct"/>
            <w:vAlign w:val="center"/>
            <w:hideMark/>
          </w:tcPr>
          <w:p w:rsidR="00000000" w:rsidRDefault="00BC3404">
            <w:pPr>
              <w:rPr>
                <w:rFonts w:eastAsia="Times New Roman"/>
                <w:sz w:val="20"/>
                <w:szCs w:val="20"/>
              </w:rPr>
            </w:pPr>
          </w:p>
        </w:tc>
        <w:tc>
          <w:tcPr>
            <w:tcW w:w="7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1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6590288"/>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BC3404">
            <w:pPr>
              <w:pStyle w:val="a3"/>
              <w:spacing w:before="0" w:beforeAutospacing="0" w:after="0" w:afterAutospacing="0"/>
              <w:jc w:val="center"/>
              <w:rPr>
                <w:sz w:val="16"/>
                <w:szCs w:val="16"/>
              </w:rPr>
            </w:pPr>
            <w:r>
              <w:rPr>
                <w:b/>
                <w:bCs/>
                <w:sz w:val="16"/>
                <w:szCs w:val="16"/>
              </w:rPr>
              <w:t>Three Months Ended December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BC3404">
            <w:pPr>
              <w:pStyle w:val="a3"/>
              <w:spacing w:before="0" w:beforeAutospacing="0" w:after="0" w:afterAutospacing="0"/>
              <w:jc w:val="center"/>
              <w:rPr>
                <w:sz w:val="16"/>
                <w:szCs w:val="16"/>
              </w:rPr>
            </w:pPr>
            <w:r>
              <w:rPr>
                <w:b/>
                <w:bCs/>
                <w:sz w:val="16"/>
                <w:szCs w:val="16"/>
              </w:rPr>
              <w:t>Three Months Ended December 25, 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590288"/>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 xml:space="preserve">Derivatives Not Designated </w:t>
            </w:r>
            <w:r>
              <w:rPr>
                <w:b/>
                <w:bCs/>
                <w:sz w:val="16"/>
                <w:szCs w:val="16"/>
              </w:rPr>
              <w:br/>
              <w:t>as Hedging Instrument</w:t>
            </w:r>
            <w:r>
              <w:rPr>
                <w:b/>
                <w:bCs/>
                <w:sz w:val="16"/>
                <w:szCs w:val="16"/>
              </w:rPr>
              <w:t>s</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BC3404">
            <w:pPr>
              <w:pStyle w:val="a3"/>
              <w:spacing w:before="0" w:beforeAutospacing="0" w:after="0" w:afterAutospacing="0"/>
              <w:jc w:val="center"/>
              <w:rPr>
                <w:sz w:val="16"/>
                <w:szCs w:val="16"/>
              </w:rPr>
            </w:pPr>
            <w:r>
              <w:rPr>
                <w:b/>
                <w:bCs/>
                <w:sz w:val="16"/>
                <w:szCs w:val="16"/>
              </w:rPr>
              <w:t>Unrealized Gains (Losses)</w:t>
            </w:r>
            <w:r>
              <w:rPr>
                <w:b/>
                <w:bCs/>
                <w:sz w:val="16"/>
                <w:szCs w:val="16"/>
              </w:rPr>
              <w:br/>
              <w:t> Recognized in Incom</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BC3404">
            <w:pPr>
              <w:pStyle w:val="a3"/>
              <w:spacing w:before="0" w:beforeAutospacing="0" w:after="0" w:afterAutospacing="0"/>
              <w:jc w:val="center"/>
              <w:rPr>
                <w:sz w:val="16"/>
                <w:szCs w:val="16"/>
              </w:rPr>
            </w:pPr>
            <w:r>
              <w:rPr>
                <w:b/>
                <w:bCs/>
                <w:sz w:val="16"/>
                <w:szCs w:val="16"/>
              </w:rPr>
              <w:t xml:space="preserve">Unrealized Gains (Losses) </w:t>
            </w:r>
            <w:r>
              <w:rPr>
                <w:b/>
                <w:bCs/>
                <w:sz w:val="16"/>
                <w:szCs w:val="16"/>
              </w:rPr>
              <w:br/>
              <w:t>Recognized in Incom</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590288"/>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6590288"/>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13,70</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33,50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bl>
    <w:p w:rsidR="00000000" w:rsidRDefault="00BC3404">
      <w:pPr>
        <w:pStyle w:val="a3"/>
        <w:spacing w:before="0" w:beforeAutospacing="0" w:after="0" w:afterAutospacing="0"/>
        <w:jc w:val="both"/>
        <w:divId w:val="1271359244"/>
        <w:rPr>
          <w:sz w:val="20"/>
          <w:szCs w:val="20"/>
        </w:rPr>
      </w:pPr>
      <w:r>
        <w:rPr>
          <w:sz w:val="20"/>
          <w:szCs w:val="20"/>
        </w:rPr>
        <w:t> </w:t>
      </w:r>
    </w:p>
    <w:p w:rsidR="00000000" w:rsidRDefault="00BC3404">
      <w:pPr>
        <w:pStyle w:val="a3"/>
        <w:spacing w:before="0" w:beforeAutospacing="0" w:after="0" w:afterAutospacing="0"/>
        <w:jc w:val="center"/>
        <w:divId w:val="1271359244"/>
        <w:rPr>
          <w:sz w:val="20"/>
          <w:szCs w:val="20"/>
        </w:rPr>
      </w:pPr>
      <w:r>
        <w:rPr>
          <w:sz w:val="20"/>
          <w:szCs w:val="20"/>
        </w:rPr>
        <w:t> </w:t>
      </w:r>
    </w:p>
    <w:p w:rsidR="00000000" w:rsidRDefault="00BC3404">
      <w:pPr>
        <w:pStyle w:val="a3"/>
        <w:spacing w:before="0" w:beforeAutospacing="0" w:after="0" w:afterAutospacing="0"/>
        <w:jc w:val="center"/>
        <w:divId w:val="1271359244"/>
        <w:rPr>
          <w:sz w:val="20"/>
          <w:szCs w:val="20"/>
        </w:rPr>
      </w:pPr>
      <w:r>
        <w:rPr>
          <w:sz w:val="20"/>
          <w:szCs w:val="20"/>
        </w:rPr>
        <w:t>1</w:t>
      </w:r>
      <w:r>
        <w:rPr>
          <w:sz w:val="20"/>
          <w:szCs w:val="20"/>
        </w:rPr>
        <w:t>0</w:t>
      </w:r>
    </w:p>
    <w:p w:rsidR="00000000" w:rsidRDefault="00BC3404">
      <w:pPr>
        <w:divId w:val="1271359244"/>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BC3404">
      <w:pPr>
        <w:pStyle w:val="a3"/>
        <w:spacing w:before="0" w:beforeAutospacing="0" w:after="0" w:afterAutospacing="0"/>
        <w:divId w:val="1271359244"/>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divId w:val="487019547"/>
        <w:rPr>
          <w:sz w:val="20"/>
          <w:szCs w:val="20"/>
        </w:rPr>
      </w:pPr>
      <w:r>
        <w:rPr>
          <w:sz w:val="20"/>
          <w:szCs w:val="20"/>
        </w:rPr>
        <w:t>The following table presents the fair value of the Partnership’s recognized derivative assets and liabilities on a gross basis and amounts o</w:t>
      </w:r>
      <w:r>
        <w:rPr>
          <w:sz w:val="20"/>
          <w:szCs w:val="20"/>
        </w:rPr>
        <w:t>ffset on the condensed consolidated balance sheets subject to enforceable master netting arrangements or similar agreements</w:t>
      </w:r>
      <w:r>
        <w:rPr>
          <w:sz w:val="20"/>
          <w:szCs w:val="20"/>
        </w:rPr>
        <w:t>:</w:t>
      </w:r>
    </w:p>
    <w:p w:rsidR="00000000" w:rsidRDefault="00BC3404">
      <w:pPr>
        <w:pStyle w:val="a3"/>
        <w:spacing w:before="0" w:beforeAutospacing="0" w:after="0" w:afterAutospacing="0"/>
        <w:jc w:val="both"/>
        <w:divId w:val="48701954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3"/>
        <w:gridCol w:w="110"/>
        <w:gridCol w:w="160"/>
        <w:gridCol w:w="691"/>
        <w:gridCol w:w="110"/>
        <w:gridCol w:w="110"/>
        <w:gridCol w:w="160"/>
        <w:gridCol w:w="797"/>
        <w:gridCol w:w="127"/>
        <w:gridCol w:w="110"/>
        <w:gridCol w:w="160"/>
        <w:gridCol w:w="641"/>
        <w:gridCol w:w="110"/>
        <w:gridCol w:w="110"/>
        <w:gridCol w:w="160"/>
        <w:gridCol w:w="811"/>
        <w:gridCol w:w="110"/>
        <w:gridCol w:w="110"/>
        <w:gridCol w:w="160"/>
        <w:gridCol w:w="797"/>
        <w:gridCol w:w="127"/>
        <w:gridCol w:w="110"/>
        <w:gridCol w:w="160"/>
        <w:gridCol w:w="647"/>
        <w:gridCol w:w="125"/>
      </w:tblGrid>
      <w:tr w:rsidR="00000000">
        <w:trPr>
          <w:divId w:val="487019547"/>
          <w:tblCellSpacing w:w="15" w:type="dxa"/>
        </w:trPr>
        <w:tc>
          <w:tcPr>
            <w:tcW w:w="1090" w:type="pct"/>
            <w:vAlign w:val="center"/>
            <w:hideMark/>
          </w:tcPr>
          <w:p w:rsidR="00000000" w:rsidRDefault="00BC3404">
            <w:pPr>
              <w:rPr>
                <w:sz w:val="20"/>
                <w:szCs w:val="20"/>
              </w:rPr>
            </w:pPr>
          </w:p>
        </w:tc>
        <w:tc>
          <w:tcPr>
            <w:tcW w:w="2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0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7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6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8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7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487019547"/>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BC3404">
            <w:pPr>
              <w:pStyle w:val="a3"/>
              <w:spacing w:before="0" w:beforeAutospacing="0" w:after="0" w:afterAutospacing="0"/>
              <w:jc w:val="center"/>
              <w:rPr>
                <w:sz w:val="16"/>
                <w:szCs w:val="16"/>
              </w:rPr>
            </w:pPr>
            <w:r>
              <w:rPr>
                <w:b/>
                <w:bCs/>
                <w:sz w:val="16"/>
                <w:szCs w:val="16"/>
              </w:rPr>
              <w:t>As of December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BC3404">
            <w:pPr>
              <w:pStyle w:val="a3"/>
              <w:spacing w:before="0" w:beforeAutospacing="0" w:after="0" w:afterAutospacing="0"/>
              <w:jc w:val="center"/>
              <w:rPr>
                <w:sz w:val="16"/>
                <w:szCs w:val="16"/>
              </w:rPr>
            </w:pPr>
            <w:r>
              <w:rPr>
                <w:b/>
                <w:bCs/>
                <w:sz w:val="16"/>
                <w:szCs w:val="16"/>
              </w:rPr>
              <w:t>As of September 24, 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87019547"/>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87019547"/>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87019547"/>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87019547"/>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Asset Derivative</w:t>
            </w:r>
            <w:r>
              <w:rPr>
                <w:b/>
                <w:bCs/>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487019547"/>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42,52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30,76</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11,76</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117,26</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87019547"/>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b/>
                <w:bCs/>
                <w:sz w:val="20"/>
                <w:szCs w:val="20"/>
              </w:rPr>
              <w:t>Liability Derivative</w:t>
            </w:r>
            <w:r>
              <w:rPr>
                <w:b/>
                <w:bCs/>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487019547"/>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43,65</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30,76</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12,88</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101,41</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divId w:val="1271359244"/>
        <w:rPr>
          <w:sz w:val="20"/>
          <w:szCs w:val="20"/>
        </w:rPr>
      </w:pPr>
      <w:r>
        <w:rPr>
          <w:sz w:val="20"/>
          <w:szCs w:val="20"/>
        </w:rPr>
        <w:t> </w:t>
      </w:r>
    </w:p>
    <w:p w:rsidR="00000000" w:rsidRDefault="00BC3404">
      <w:pPr>
        <w:pStyle w:val="a3"/>
        <w:spacing w:before="40" w:beforeAutospacing="0" w:after="0" w:afterAutospacing="0"/>
        <w:jc w:val="both"/>
        <w:divId w:val="1271359244"/>
        <w:rPr>
          <w:sz w:val="20"/>
          <w:szCs w:val="20"/>
        </w:rPr>
      </w:pPr>
      <w:r>
        <w:rPr>
          <w:sz w:val="20"/>
          <w:szCs w:val="20"/>
        </w:rPr>
        <w:t xml:space="preserve">The Partnership had </w:t>
      </w:r>
      <w:r>
        <w:rPr>
          <w:sz w:val="20"/>
          <w:szCs w:val="20"/>
        </w:rPr>
        <w:t>$</w:t>
      </w:r>
      <w:r>
        <w:rPr>
          <w:sz w:val="20"/>
          <w:szCs w:val="20"/>
        </w:rPr>
        <w:t>8,32</w:t>
      </w:r>
      <w:r>
        <w:rPr>
          <w:sz w:val="20"/>
          <w:szCs w:val="20"/>
        </w:rPr>
        <w:t>7</w:t>
      </w:r>
      <w:r>
        <w:rPr>
          <w:sz w:val="20"/>
          <w:szCs w:val="20"/>
        </w:rPr>
        <w:t xml:space="preserve"> and $</w:t>
      </w:r>
      <w:r>
        <w:rPr>
          <w:sz w:val="20"/>
          <w:szCs w:val="20"/>
        </w:rPr>
        <w:t>-</w:t>
      </w:r>
      <w:r>
        <w:rPr>
          <w:sz w:val="20"/>
          <w:szCs w:val="20"/>
        </w:rPr>
        <w:t>0</w:t>
      </w:r>
      <w:r>
        <w:rPr>
          <w:sz w:val="20"/>
          <w:szCs w:val="20"/>
        </w:rPr>
        <w:t>- posted cash collateral as of</w:t>
      </w:r>
      <w:r>
        <w:rPr>
          <w:sz w:val="20"/>
          <w:szCs w:val="20"/>
        </w:rPr>
        <w:t xml:space="preserve"> </w:t>
      </w:r>
      <w:r>
        <w:rPr>
          <w:sz w:val="20"/>
          <w:szCs w:val="20"/>
        </w:rPr>
        <w:t>December 24, 2022 and September 24, 2022, respectively, with its brokers for outstanding commodity-related derivatives</w:t>
      </w:r>
      <w:r>
        <w:rPr>
          <w:sz w:val="20"/>
          <w:szCs w:val="20"/>
        </w:rPr>
        <w:t>.</w:t>
      </w:r>
    </w:p>
    <w:p w:rsidR="00000000" w:rsidRDefault="00BC3404">
      <w:pPr>
        <w:pStyle w:val="a3"/>
        <w:spacing w:before="240" w:beforeAutospacing="0" w:after="0" w:afterAutospacing="0"/>
        <w:jc w:val="both"/>
        <w:divId w:val="1271359244"/>
        <w:rPr>
          <w:sz w:val="20"/>
          <w:szCs w:val="20"/>
        </w:rPr>
      </w:pPr>
      <w:r>
        <w:rPr>
          <w:b/>
          <w:bCs/>
          <w:sz w:val="20"/>
          <w:szCs w:val="20"/>
        </w:rPr>
        <w:t>Bank Debt and Senior Notes</w:t>
      </w:r>
      <w:r>
        <w:rPr>
          <w:b/>
          <w:bCs/>
          <w:sz w:val="20"/>
          <w:szCs w:val="20"/>
        </w:rPr>
        <w:t>.</w:t>
      </w:r>
      <w:r>
        <w:rPr>
          <w:sz w:val="20"/>
          <w:szCs w:val="20"/>
        </w:rPr>
        <w:t xml:space="preserve"> </w:t>
      </w:r>
      <w:r>
        <w:rPr>
          <w:sz w:val="20"/>
          <w:szCs w:val="20"/>
        </w:rPr>
        <w:t>The fair value of the borrowings under the Revolving Credit Facility (defined below in Note 10) approximates the carrying value since the interest rates are adjusted quarterly to reflect market conditions.</w:t>
      </w:r>
      <w:r>
        <w:rPr>
          <w:sz w:val="20"/>
          <w:szCs w:val="20"/>
        </w:rPr>
        <w:t xml:space="preserve"> </w:t>
      </w:r>
      <w:r>
        <w:rPr>
          <w:sz w:val="20"/>
          <w:szCs w:val="20"/>
        </w:rPr>
        <w:t>Based upon quoted market prices (a Level 1 input),</w:t>
      </w:r>
      <w:r>
        <w:rPr>
          <w:sz w:val="20"/>
          <w:szCs w:val="20"/>
        </w:rPr>
        <w:t xml:space="preserve"> the fair value of the Senior Notes (also defined below in Note 10) of the Partnership are as follows</w:t>
      </w:r>
      <w:r>
        <w:rPr>
          <w:sz w:val="20"/>
          <w:szCs w:val="20"/>
        </w:rPr>
        <w:t>:</w:t>
      </w:r>
    </w:p>
    <w:p w:rsidR="00000000" w:rsidRDefault="00BC3404">
      <w:pPr>
        <w:pStyle w:val="a3"/>
        <w:spacing w:before="0" w:beforeAutospacing="0" w:after="0" w:afterAutospacing="0"/>
        <w:jc w:val="both"/>
        <w:divId w:val="127135924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19"/>
        <w:gridCol w:w="110"/>
        <w:gridCol w:w="160"/>
        <w:gridCol w:w="710"/>
        <w:gridCol w:w="110"/>
        <w:gridCol w:w="110"/>
        <w:gridCol w:w="160"/>
        <w:gridCol w:w="710"/>
        <w:gridCol w:w="125"/>
      </w:tblGrid>
      <w:tr w:rsidR="00000000">
        <w:trPr>
          <w:divId w:val="593979074"/>
          <w:tblCellSpacing w:w="15" w:type="dxa"/>
        </w:trPr>
        <w:tc>
          <w:tcPr>
            <w:tcW w:w="3311" w:type="pct"/>
            <w:vAlign w:val="center"/>
            <w:hideMark/>
          </w:tcPr>
          <w:p w:rsidR="00000000" w:rsidRDefault="00BC3404">
            <w:pPr>
              <w:rPr>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6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593979074"/>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593979074"/>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593979074"/>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593979074"/>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336,00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336,37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593979074"/>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559,00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547,62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593979074"/>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895,00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884,00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756943251"/>
        <w:rPr>
          <w:rFonts w:eastAsia="Times New Roman"/>
        </w:rPr>
      </w:pPr>
      <w:r>
        <w:rPr>
          <w:rFonts w:eastAsia="Times New Roman"/>
          <w:b/>
          <w:bCs/>
          <w:sz w:val="20"/>
          <w:szCs w:val="20"/>
        </w:rPr>
        <w:t>6</w:t>
      </w:r>
      <w:r>
        <w:rPr>
          <w:rFonts w:eastAsia="Times New Roman"/>
          <w:b/>
          <w:bCs/>
          <w:sz w:val="20"/>
          <w:szCs w:val="20"/>
        </w:rPr>
        <w:t>.</w:t>
      </w:r>
    </w:p>
    <w:p w:rsidR="00000000" w:rsidRDefault="00BC3404">
      <w:pPr>
        <w:jc w:val="both"/>
        <w:divId w:val="1676151012"/>
        <w:rPr>
          <w:rFonts w:eastAsia="Times New Roman"/>
        </w:rPr>
      </w:pPr>
      <w:r>
        <w:rPr>
          <w:rFonts w:eastAsia="Times New Roman"/>
          <w:b/>
          <w:bCs/>
          <w:sz w:val="20"/>
          <w:szCs w:val="20"/>
        </w:rPr>
        <w:t>Inventorie</w:t>
      </w:r>
      <w:r>
        <w:rPr>
          <w:rFonts w:eastAsia="Times New Roman"/>
          <w:b/>
          <w:bCs/>
          <w:sz w:val="20"/>
          <w:szCs w:val="20"/>
        </w:rPr>
        <w:t>s</w:t>
      </w:r>
    </w:p>
    <w:p w:rsidR="00000000" w:rsidRDefault="00BC3404">
      <w:pPr>
        <w:pStyle w:val="a3"/>
        <w:spacing w:before="120" w:beforeAutospacing="0" w:after="0" w:afterAutospacing="0"/>
        <w:jc w:val="both"/>
        <w:divId w:val="229461735"/>
        <w:rPr>
          <w:sz w:val="20"/>
          <w:szCs w:val="20"/>
        </w:rPr>
      </w:pPr>
      <w:r>
        <w:rPr>
          <w:sz w:val="20"/>
          <w:szCs w:val="20"/>
        </w:rPr>
        <w:t xml:space="preserve">Inventories are stated at the lower of cost or market. </w:t>
      </w:r>
      <w:r>
        <w:rPr>
          <w:sz w:val="20"/>
          <w:szCs w:val="20"/>
        </w:rPr>
        <w:t>Cost is determined using a weighted average method for propane, fuel oil and refined fuels and natural gas, and a standard cost basis for appliances, which approximates average cost.</w:t>
      </w:r>
      <w:r>
        <w:rPr>
          <w:sz w:val="20"/>
          <w:szCs w:val="20"/>
        </w:rPr>
        <w:t xml:space="preserve"> </w:t>
      </w:r>
      <w:r>
        <w:rPr>
          <w:sz w:val="20"/>
          <w:szCs w:val="20"/>
        </w:rPr>
        <w:t>Inventories consist of the following</w:t>
      </w:r>
      <w:r>
        <w:rPr>
          <w:sz w:val="20"/>
          <w:szCs w:val="20"/>
        </w:rPr>
        <w:t>:</w:t>
      </w:r>
    </w:p>
    <w:p w:rsidR="00000000" w:rsidRDefault="00BC3404">
      <w:pPr>
        <w:pStyle w:val="a3"/>
        <w:spacing w:before="0" w:beforeAutospacing="0" w:after="0" w:afterAutospacing="0"/>
        <w:jc w:val="both"/>
        <w:divId w:val="34039699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25"/>
        <w:gridCol w:w="110"/>
        <w:gridCol w:w="160"/>
        <w:gridCol w:w="696"/>
        <w:gridCol w:w="110"/>
        <w:gridCol w:w="110"/>
        <w:gridCol w:w="161"/>
        <w:gridCol w:w="717"/>
        <w:gridCol w:w="125"/>
      </w:tblGrid>
      <w:tr w:rsidR="00000000">
        <w:trPr>
          <w:divId w:val="340396994"/>
          <w:tblCellSpacing w:w="15" w:type="dxa"/>
        </w:trPr>
        <w:tc>
          <w:tcPr>
            <w:tcW w:w="3288" w:type="pct"/>
            <w:vAlign w:val="center"/>
            <w:hideMark/>
          </w:tcPr>
          <w:p w:rsidR="00000000" w:rsidRDefault="00BC3404">
            <w:pPr>
              <w:rPr>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340396994"/>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340396994"/>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340396994"/>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340396994"/>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Propane, fuel oil and refined fuels and natural ga</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68,28</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64,24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340396994"/>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Appliance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2,68</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340396994"/>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71,19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66,92</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886838671"/>
        <w:rPr>
          <w:rFonts w:eastAsia="Times New Roman"/>
          <w:sz w:val="20"/>
          <w:szCs w:val="20"/>
        </w:rPr>
      </w:pPr>
      <w:r>
        <w:rPr>
          <w:rFonts w:eastAsia="Times New Roman"/>
          <w:b/>
          <w:bCs/>
          <w:sz w:val="20"/>
          <w:szCs w:val="20"/>
        </w:rPr>
        <w:t>7</w:t>
      </w:r>
      <w:r>
        <w:rPr>
          <w:rFonts w:eastAsia="Times New Roman"/>
          <w:b/>
          <w:bCs/>
          <w:sz w:val="20"/>
          <w:szCs w:val="20"/>
        </w:rPr>
        <w:t>.</w:t>
      </w:r>
    </w:p>
    <w:p w:rsidR="00000000" w:rsidRDefault="00BC3404">
      <w:pPr>
        <w:jc w:val="both"/>
        <w:divId w:val="263264669"/>
        <w:rPr>
          <w:rFonts w:eastAsia="Times New Roman"/>
          <w:sz w:val="20"/>
          <w:szCs w:val="20"/>
        </w:rPr>
      </w:pPr>
      <w:r>
        <w:rPr>
          <w:rFonts w:eastAsia="Times New Roman"/>
          <w:b/>
          <w:bCs/>
          <w:sz w:val="20"/>
          <w:szCs w:val="20"/>
        </w:rPr>
        <w:t>Goodwill and Other Intangible Asset</w:t>
      </w:r>
      <w:r>
        <w:rPr>
          <w:rFonts w:eastAsia="Times New Roman"/>
          <w:b/>
          <w:bCs/>
          <w:sz w:val="20"/>
          <w:szCs w:val="20"/>
        </w:rPr>
        <w:t>s</w:t>
      </w:r>
    </w:p>
    <w:p w:rsidR="00000000" w:rsidRDefault="00BC3404">
      <w:pPr>
        <w:pStyle w:val="a3"/>
        <w:spacing w:before="120" w:beforeAutospacing="0" w:after="0" w:afterAutospacing="0"/>
        <w:jc w:val="both"/>
        <w:divId w:val="1225410000"/>
        <w:rPr>
          <w:sz w:val="20"/>
          <w:szCs w:val="20"/>
        </w:rPr>
      </w:pPr>
      <w:r>
        <w:rPr>
          <w:sz w:val="20"/>
          <w:szCs w:val="20"/>
        </w:rPr>
        <w:t xml:space="preserve">Goodwill represents the excess of the purchase price over the fair value of net assets acquired. Goodwill is subject to an impairment review at a reporting unit level, on an annual basis as of the end of fiscal July of </w:t>
      </w:r>
      <w:r>
        <w:rPr>
          <w:sz w:val="20"/>
          <w:szCs w:val="20"/>
        </w:rPr>
        <w:t>each year, or when an event occurs or circumstances change that would indicate potential impairment</w:t>
      </w:r>
      <w:r>
        <w:rPr>
          <w:sz w:val="20"/>
          <w:szCs w:val="20"/>
        </w:rPr>
        <w:t>.</w:t>
      </w:r>
    </w:p>
    <w:p w:rsidR="00000000" w:rsidRDefault="00BC3404">
      <w:pPr>
        <w:pStyle w:val="a3"/>
        <w:spacing w:before="240" w:beforeAutospacing="0" w:after="0" w:afterAutospacing="0"/>
        <w:jc w:val="both"/>
        <w:divId w:val="1225410000"/>
        <w:rPr>
          <w:sz w:val="20"/>
          <w:szCs w:val="20"/>
        </w:rPr>
      </w:pPr>
      <w:r>
        <w:rPr>
          <w:sz w:val="20"/>
          <w:szCs w:val="20"/>
        </w:rPr>
        <w:t>The Partnership has the option to first assess qualitative factors to determine whether the existence of events or circumstances leads to a determination t</w:t>
      </w:r>
      <w:r>
        <w:rPr>
          <w:sz w:val="20"/>
          <w:szCs w:val="20"/>
        </w:rPr>
        <w:t>hat it is more likely than not that the fair value of a reporting unit is less than its carrying amount. If, after assessing the totality of events or circumstances, an entity determines it is not more likely than not that the fair value of a reporting uni</w:t>
      </w:r>
      <w:r>
        <w:rPr>
          <w:sz w:val="20"/>
          <w:szCs w:val="20"/>
        </w:rPr>
        <w:t>t is less than its carrying amount, then performing an impairment test is unnecessary. However, if an entity concludes otherwise, then it is required to perform an impairment test</w:t>
      </w:r>
      <w:r>
        <w:rPr>
          <w:sz w:val="20"/>
          <w:szCs w:val="20"/>
        </w:rPr>
        <w:t>.</w:t>
      </w:r>
    </w:p>
    <w:p w:rsidR="00000000" w:rsidRDefault="00BC3404">
      <w:pPr>
        <w:pStyle w:val="a3"/>
        <w:spacing w:before="240" w:beforeAutospacing="0" w:after="0" w:afterAutospacing="0"/>
        <w:jc w:val="both"/>
        <w:divId w:val="1225410000"/>
        <w:rPr>
          <w:sz w:val="20"/>
          <w:szCs w:val="20"/>
        </w:rPr>
      </w:pPr>
      <w:r>
        <w:rPr>
          <w:sz w:val="20"/>
          <w:szCs w:val="20"/>
        </w:rPr>
        <w:t>Under</w:t>
      </w:r>
      <w:r>
        <w:rPr>
          <w:sz w:val="20"/>
          <w:szCs w:val="20"/>
        </w:rPr>
        <w:t xml:space="preserve"> </w:t>
      </w:r>
      <w:r>
        <w:rPr>
          <w:sz w:val="20"/>
          <w:szCs w:val="20"/>
        </w:rPr>
        <w:t>an impairment test, the Partnership assesses the carrying value of go</w:t>
      </w:r>
      <w:r>
        <w:rPr>
          <w:sz w:val="20"/>
          <w:szCs w:val="20"/>
        </w:rPr>
        <w:t>odwill at a reporting unit level based on an estimate of the fair value of the respective reporting unit. Fair value of the reporting unit is estimated using discounted cash flow analyses taking int</w:t>
      </w:r>
      <w:r>
        <w:rPr>
          <w:sz w:val="20"/>
          <w:szCs w:val="20"/>
        </w:rPr>
        <w:t>o</w:t>
      </w:r>
      <w:r>
        <w:rPr>
          <w:sz w:val="20"/>
          <w:szCs w:val="20"/>
        </w:rPr>
        <w:t xml:space="preserve"> </w:t>
      </w:r>
    </w:p>
    <w:p w:rsidR="00000000" w:rsidRDefault="00BC3404">
      <w:pPr>
        <w:pStyle w:val="a3"/>
        <w:spacing w:before="0" w:beforeAutospacing="0" w:after="0" w:afterAutospacing="0"/>
        <w:jc w:val="center"/>
        <w:divId w:val="1225410000"/>
        <w:rPr>
          <w:sz w:val="20"/>
          <w:szCs w:val="20"/>
        </w:rPr>
      </w:pPr>
      <w:r>
        <w:rPr>
          <w:sz w:val="20"/>
          <w:szCs w:val="20"/>
        </w:rPr>
        <w:t> </w:t>
      </w:r>
    </w:p>
    <w:p w:rsidR="00000000" w:rsidRDefault="00BC3404">
      <w:pPr>
        <w:pStyle w:val="a3"/>
        <w:spacing w:before="0" w:beforeAutospacing="0" w:after="0" w:afterAutospacing="0"/>
        <w:jc w:val="center"/>
        <w:divId w:val="1225410000"/>
        <w:rPr>
          <w:sz w:val="20"/>
          <w:szCs w:val="20"/>
        </w:rPr>
      </w:pPr>
      <w:r>
        <w:rPr>
          <w:sz w:val="20"/>
          <w:szCs w:val="20"/>
        </w:rPr>
        <w:t>1</w:t>
      </w:r>
      <w:r>
        <w:rPr>
          <w:sz w:val="20"/>
          <w:szCs w:val="20"/>
        </w:rPr>
        <w:t>1</w:t>
      </w:r>
    </w:p>
    <w:p w:rsidR="00000000" w:rsidRDefault="00BC3404">
      <w:pPr>
        <w:divId w:val="1225410000"/>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BC3404">
      <w:pPr>
        <w:pStyle w:val="a3"/>
        <w:spacing w:before="0" w:beforeAutospacing="0" w:after="0" w:afterAutospacing="0"/>
        <w:divId w:val="122541000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1225410000"/>
        <w:rPr>
          <w:sz w:val="20"/>
          <w:szCs w:val="20"/>
        </w:rPr>
      </w:pPr>
      <w:r>
        <w:rPr>
          <w:sz w:val="20"/>
          <w:szCs w:val="20"/>
        </w:rPr>
        <w:t>consideration</w:t>
      </w:r>
      <w:r>
        <w:rPr>
          <w:sz w:val="20"/>
          <w:szCs w:val="20"/>
        </w:rPr>
        <w:t xml:space="preserve"> </w:t>
      </w:r>
      <w:r>
        <w:rPr>
          <w:sz w:val="20"/>
          <w:szCs w:val="20"/>
        </w:rPr>
        <w:t>estimated cash flows in a</w:t>
      </w:r>
      <w:r>
        <w:rPr>
          <w:sz w:val="20"/>
          <w:szCs w:val="20"/>
        </w:rPr>
        <w:t xml:space="preserve"> </w:t>
      </w:r>
      <w:r>
        <w:rPr>
          <w:sz w:val="20"/>
          <w:szCs w:val="20"/>
        </w:rPr>
        <w:t>ten-yea</w:t>
      </w:r>
      <w:r>
        <w:rPr>
          <w:sz w:val="20"/>
          <w:szCs w:val="20"/>
        </w:rPr>
        <w:t>r</w:t>
      </w:r>
      <w:r>
        <w:rPr>
          <w:sz w:val="20"/>
          <w:szCs w:val="20"/>
        </w:rPr>
        <w:t xml:space="preserve"> projection period and a terminal value calculation at the end of the projection period. If </w:t>
      </w:r>
      <w:r>
        <w:rPr>
          <w:sz w:val="20"/>
          <w:szCs w:val="20"/>
        </w:rPr>
        <w:t>the fair value of the reporting unit exceeds its carrying value, the goodwill associated with the reporting unit is not considered to be impaired. If the carrying value of the reporting unit exceeds its fair value, an impairment loss is recognized to the e</w:t>
      </w:r>
      <w:r>
        <w:rPr>
          <w:sz w:val="20"/>
          <w:szCs w:val="20"/>
        </w:rPr>
        <w:t>xtent that the carrying amount exceeds the fair value, up to the amount of goodwill allocated to the reporting unit</w:t>
      </w:r>
      <w:r>
        <w:rPr>
          <w:sz w:val="20"/>
          <w:szCs w:val="20"/>
        </w:rPr>
        <w:t>.</w:t>
      </w:r>
    </w:p>
    <w:p w:rsidR="00000000" w:rsidRDefault="00BC3404">
      <w:pPr>
        <w:pStyle w:val="a3"/>
        <w:spacing w:before="200" w:beforeAutospacing="0" w:after="200" w:afterAutospacing="0"/>
        <w:jc w:val="both"/>
        <w:divId w:val="1770813193"/>
        <w:rPr>
          <w:sz w:val="20"/>
          <w:szCs w:val="20"/>
        </w:rPr>
      </w:pPr>
      <w:r>
        <w:rPr>
          <w:sz w:val="20"/>
          <w:szCs w:val="20"/>
        </w:rPr>
        <w:t>The carrying values of goodwill assigned to the Partnership’s operating segments are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63"/>
        <w:gridCol w:w="110"/>
        <w:gridCol w:w="160"/>
        <w:gridCol w:w="860"/>
        <w:gridCol w:w="110"/>
        <w:gridCol w:w="110"/>
        <w:gridCol w:w="160"/>
        <w:gridCol w:w="635"/>
        <w:gridCol w:w="127"/>
        <w:gridCol w:w="110"/>
        <w:gridCol w:w="161"/>
        <w:gridCol w:w="687"/>
        <w:gridCol w:w="110"/>
        <w:gridCol w:w="110"/>
        <w:gridCol w:w="160"/>
        <w:gridCol w:w="860"/>
        <w:gridCol w:w="142"/>
      </w:tblGrid>
      <w:tr w:rsidR="00000000">
        <w:trPr>
          <w:divId w:val="1770813193"/>
          <w:tblCellSpacing w:w="15" w:type="dxa"/>
        </w:trPr>
        <w:tc>
          <w:tcPr>
            <w:tcW w:w="2084" w:type="pct"/>
            <w:vAlign w:val="center"/>
            <w:hideMark/>
          </w:tcPr>
          <w:p w:rsidR="00000000" w:rsidRDefault="00BC3404">
            <w:pPr>
              <w:rPr>
                <w:sz w:val="20"/>
                <w:szCs w:val="20"/>
              </w:rPr>
            </w:pPr>
          </w:p>
        </w:tc>
        <w:tc>
          <w:tcPr>
            <w:tcW w:w="6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6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77081319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Fuel oil an</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Natural ga</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7081319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Propan</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refined fuel</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and electricit</w:t>
            </w:r>
            <w:r>
              <w:rPr>
                <w:b/>
                <w:bCs/>
                <w:sz w:val="16"/>
                <w:szCs w:val="16"/>
              </w:rPr>
              <w:t>y</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as of September 24, 202</w:t>
            </w:r>
            <w:r>
              <w:rPr>
                <w:sz w:val="20"/>
                <w:szCs w:val="20"/>
              </w:rPr>
              <w:t>2</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10,90</w:t>
            </w:r>
            <w:r>
              <w:rPr>
                <w:sz w:val="20"/>
                <w:szCs w:val="20"/>
              </w:rPr>
              <w:t>0</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7,90</w:t>
            </w:r>
            <w:r>
              <w:rPr>
                <w:sz w:val="20"/>
                <w:szCs w:val="20"/>
              </w:rPr>
              <w:t>0</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1,119,88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70813193"/>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u w:val="single"/>
              </w:rPr>
              <w:t>Fiscal 2023 Activit</w:t>
            </w:r>
            <w:r>
              <w:rPr>
                <w:b/>
                <w:bCs/>
                <w:sz w:val="20"/>
                <w:szCs w:val="20"/>
                <w:u w:val="single"/>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Goodwill acquire</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r>
      <w:tr w:rsidR="00000000">
        <w:trPr>
          <w:divId w:val="1770813193"/>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as of December 24, 202</w:t>
            </w:r>
            <w:r>
              <w:rPr>
                <w:sz w:val="20"/>
                <w:szCs w:val="20"/>
              </w:rPr>
              <w:t>2</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10,90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1,119,88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7081319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divId w:val="1225410000"/>
        <w:rPr>
          <w:sz w:val="20"/>
          <w:szCs w:val="20"/>
        </w:rPr>
      </w:pPr>
      <w:r>
        <w:rPr>
          <w:sz w:val="20"/>
          <w:szCs w:val="20"/>
        </w:rPr>
        <w:t> </w:t>
      </w:r>
    </w:p>
    <w:p w:rsidR="00000000" w:rsidRDefault="00BC3404">
      <w:pPr>
        <w:pStyle w:val="a3"/>
        <w:spacing w:before="40" w:beforeAutospacing="0" w:after="160" w:afterAutospacing="0"/>
        <w:jc w:val="both"/>
        <w:divId w:val="1852404219"/>
        <w:rPr>
          <w:sz w:val="20"/>
          <w:szCs w:val="20"/>
        </w:rPr>
      </w:pPr>
      <w:r>
        <w:rPr>
          <w:sz w:val="20"/>
          <w:szCs w:val="20"/>
        </w:rPr>
        <w:t>Other intangible assets consist of the following</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51"/>
        <w:gridCol w:w="110"/>
        <w:gridCol w:w="160"/>
        <w:gridCol w:w="777"/>
        <w:gridCol w:w="127"/>
        <w:gridCol w:w="110"/>
        <w:gridCol w:w="160"/>
        <w:gridCol w:w="777"/>
        <w:gridCol w:w="142"/>
      </w:tblGrid>
      <w:tr w:rsidR="00000000">
        <w:trPr>
          <w:divId w:val="1852404219"/>
          <w:tblCellSpacing w:w="15" w:type="dxa"/>
        </w:trPr>
        <w:tc>
          <w:tcPr>
            <w:tcW w:w="3296" w:type="pct"/>
            <w:vAlign w:val="center"/>
            <w:hideMark/>
          </w:tcPr>
          <w:p w:rsidR="00000000" w:rsidRDefault="00BC3404">
            <w:pPr>
              <w:rPr>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852404219"/>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852404219"/>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852404219"/>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Customer relationship</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526,66</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526,66</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Non-compete agreement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40,19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40,19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568,82</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568,82</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852404219"/>
          <w:trHeight w:val="200"/>
          <w:tblCellSpacing w:w="15" w:type="dxa"/>
        </w:trPr>
        <w:tc>
          <w:tcPr>
            <w:tcW w:w="0" w:type="auto"/>
            <w:vAlign w:val="bottom"/>
            <w:hideMark/>
          </w:tcPr>
          <w:p w:rsidR="00000000" w:rsidRDefault="00BC3404">
            <w:pPr>
              <w:pStyle w:val="a3"/>
              <w:spacing w:before="0" w:beforeAutospacing="0" w:after="0" w:afterAutospacing="0"/>
              <w:ind w:left="200"/>
              <w:rPr>
                <w:sz w:val="20"/>
                <w:szCs w:val="20"/>
              </w:rPr>
            </w:pPr>
            <w:r>
              <w:rPr>
                <w:sz w:val="20"/>
                <w:szCs w:val="20"/>
              </w:rPr>
              <w:t>Customer relationship</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494,75</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492,96</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Non-compete agreement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34,35</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34,13</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1,71</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530,85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528,82</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852404219"/>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37,96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40,00</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1703549112"/>
        <w:rPr>
          <w:rFonts w:eastAsia="Times New Roman"/>
          <w:sz w:val="20"/>
          <w:szCs w:val="20"/>
        </w:rPr>
      </w:pPr>
      <w:r>
        <w:rPr>
          <w:rFonts w:eastAsia="Times New Roman"/>
          <w:b/>
          <w:bCs/>
          <w:sz w:val="20"/>
          <w:szCs w:val="20"/>
        </w:rPr>
        <w:t>8</w:t>
      </w:r>
      <w:r>
        <w:rPr>
          <w:rFonts w:eastAsia="Times New Roman"/>
          <w:b/>
          <w:bCs/>
          <w:sz w:val="20"/>
          <w:szCs w:val="20"/>
        </w:rPr>
        <w:t>.</w:t>
      </w:r>
    </w:p>
    <w:p w:rsidR="00000000" w:rsidRDefault="00BC3404">
      <w:pPr>
        <w:jc w:val="both"/>
        <w:divId w:val="1809784583"/>
        <w:rPr>
          <w:rFonts w:eastAsia="Times New Roman"/>
          <w:sz w:val="20"/>
          <w:szCs w:val="20"/>
        </w:rPr>
      </w:pPr>
      <w:r>
        <w:rPr>
          <w:rFonts w:eastAsia="Times New Roman"/>
          <w:b/>
          <w:bCs/>
          <w:sz w:val="20"/>
          <w:szCs w:val="20"/>
        </w:rPr>
        <w:t>Leases</w:t>
      </w:r>
      <w:r>
        <w:rPr>
          <w:rFonts w:eastAsia="Times New Roman"/>
          <w:b/>
          <w:bCs/>
          <w:sz w:val="20"/>
          <w:szCs w:val="20"/>
        </w:rPr>
        <w:t xml:space="preserve"> </w:t>
      </w:r>
    </w:p>
    <w:p w:rsidR="00000000" w:rsidRDefault="00BC3404">
      <w:pPr>
        <w:pStyle w:val="a3"/>
        <w:spacing w:before="120" w:beforeAutospacing="0" w:after="0" w:afterAutospacing="0"/>
        <w:jc w:val="both"/>
        <w:divId w:val="1122961696"/>
        <w:rPr>
          <w:sz w:val="20"/>
          <w:szCs w:val="20"/>
        </w:rPr>
      </w:pPr>
      <w:r>
        <w:rPr>
          <w:sz w:val="20"/>
          <w:szCs w:val="20"/>
        </w:rPr>
        <w:t>The Partnership leases certain property, plant and equipment, including portions of its vehicle fleet, for various periods under noncancelable leases all of which were determined to be operating leases. The Partnership determines if an agreement contains a</w:t>
      </w:r>
      <w:r>
        <w:rPr>
          <w:sz w:val="20"/>
          <w:szCs w:val="20"/>
        </w:rPr>
        <w:t xml:space="preserve"> lease at inception based on the Partnership’s right to the economic benefits of the leased assets and its right to direct the use of the leased asset. Right-of-use assets represent the Partnership’s right to use an underlying asset, and right-of-use liabi</w:t>
      </w:r>
      <w:r>
        <w:rPr>
          <w:sz w:val="20"/>
          <w:szCs w:val="20"/>
        </w:rPr>
        <w:t>lities represent the Partnership’s obligation to make lease payments arising from the lease. Right-of-use assets and liabilities are recognized at the lease commencement date based on the present value of the lease payments over the lease term.</w:t>
      </w:r>
      <w:r>
        <w:rPr>
          <w:sz w:val="20"/>
          <w:szCs w:val="20"/>
        </w:rPr>
        <w:t xml:space="preserve"> </w:t>
      </w:r>
      <w:r>
        <w:rPr>
          <w:sz w:val="20"/>
          <w:szCs w:val="20"/>
        </w:rPr>
        <w:t xml:space="preserve">As most of </w:t>
      </w:r>
      <w:r>
        <w:rPr>
          <w:sz w:val="20"/>
          <w:szCs w:val="20"/>
        </w:rPr>
        <w:t>the Partnership’s leases do not provide an implicit rate, the Partnership uses its estimated incremental borrowing rate based on the information available at the commencement date, adjusted for the lease term, to determine the present value of the lease pa</w:t>
      </w:r>
      <w:r>
        <w:rPr>
          <w:sz w:val="20"/>
          <w:szCs w:val="20"/>
        </w:rPr>
        <w:t>yments. This rate is calculated based on a collateralized rate for the specific leasing activities of the Partnership</w:t>
      </w:r>
      <w:r>
        <w:rPr>
          <w:sz w:val="20"/>
          <w:szCs w:val="20"/>
        </w:rPr>
        <w:t>.</w:t>
      </w:r>
    </w:p>
    <w:p w:rsidR="00000000" w:rsidRDefault="00BC3404">
      <w:pPr>
        <w:pStyle w:val="a3"/>
        <w:spacing w:before="240" w:beforeAutospacing="0" w:after="0" w:afterAutospacing="0"/>
        <w:jc w:val="both"/>
        <w:divId w:val="1122961696"/>
        <w:rPr>
          <w:sz w:val="20"/>
          <w:szCs w:val="20"/>
        </w:rPr>
      </w:pPr>
      <w:r>
        <w:rPr>
          <w:sz w:val="20"/>
          <w:szCs w:val="20"/>
        </w:rPr>
        <w:t>Some leases include one or more options to renew at the Partnership’s discretion, with renewal terms that can extend the lease from</w:t>
      </w:r>
      <w:r>
        <w:rPr>
          <w:sz w:val="20"/>
          <w:szCs w:val="20"/>
        </w:rPr>
        <w:t xml:space="preserve"> </w:t>
      </w:r>
      <w:r>
        <w:rPr>
          <w:sz w:val="20"/>
          <w:szCs w:val="20"/>
        </w:rPr>
        <w:t>on</w:t>
      </w:r>
      <w:r>
        <w:rPr>
          <w:sz w:val="20"/>
          <w:szCs w:val="20"/>
        </w:rPr>
        <w:t>e</w:t>
      </w:r>
      <w:r>
        <w:rPr>
          <w:sz w:val="20"/>
          <w:szCs w:val="20"/>
        </w:rPr>
        <w:t xml:space="preserve"> t</w:t>
      </w:r>
      <w:r>
        <w:rPr>
          <w:sz w:val="20"/>
          <w:szCs w:val="20"/>
        </w:rPr>
        <w:t>o</w:t>
      </w:r>
      <w:r>
        <w:rPr>
          <w:sz w:val="20"/>
          <w:szCs w:val="20"/>
        </w:rPr>
        <w:t xml:space="preserve"> </w:t>
      </w:r>
      <w:r>
        <w:rPr>
          <w:sz w:val="20"/>
          <w:szCs w:val="20"/>
        </w:rPr>
        <w:t>fiftee</w:t>
      </w:r>
      <w:r>
        <w:rPr>
          <w:sz w:val="20"/>
          <w:szCs w:val="20"/>
        </w:rPr>
        <w:t>n</w:t>
      </w:r>
      <w:r>
        <w:rPr>
          <w:sz w:val="20"/>
          <w:szCs w:val="20"/>
        </w:rPr>
        <w:t xml:space="preserve"> additional years. The renewal options are included in the measurement of the right-of-use assets and lease liabilities if the Partnership is reasonably certain to exercise the renewal options</w:t>
      </w:r>
      <w:r>
        <w:rPr>
          <w:sz w:val="20"/>
          <w:szCs w:val="20"/>
        </w:rPr>
        <w:t>.</w:t>
      </w:r>
      <w:r>
        <w:rPr>
          <w:sz w:val="20"/>
          <w:szCs w:val="20"/>
        </w:rPr>
        <w:t xml:space="preserve"> Short-term leases are leases having an initial term o</w:t>
      </w:r>
      <w:r>
        <w:rPr>
          <w:sz w:val="20"/>
          <w:szCs w:val="20"/>
        </w:rPr>
        <w:t>f</w:t>
      </w:r>
      <w:r>
        <w:rPr>
          <w:sz w:val="20"/>
          <w:szCs w:val="20"/>
        </w:rPr>
        <w:t xml:space="preserve"> </w:t>
      </w:r>
      <w:r>
        <w:rPr>
          <w:sz w:val="20"/>
          <w:szCs w:val="20"/>
        </w:rPr>
        <w:t>twelve month</w:t>
      </w:r>
      <w:r>
        <w:rPr>
          <w:sz w:val="20"/>
          <w:szCs w:val="20"/>
        </w:rPr>
        <w:t>s</w:t>
      </w:r>
      <w:r>
        <w:rPr>
          <w:sz w:val="20"/>
          <w:szCs w:val="20"/>
        </w:rPr>
        <w:t xml:space="preserve"> or less. The Partnership recognizes expenses for short-term leases on a straight-line basis and does not record a lease asset or lease liability for such leases</w:t>
      </w:r>
      <w:r>
        <w:rPr>
          <w:sz w:val="20"/>
          <w:szCs w:val="20"/>
        </w:rPr>
        <w:t>.</w:t>
      </w:r>
    </w:p>
    <w:p w:rsidR="00000000" w:rsidRDefault="00BC3404">
      <w:pPr>
        <w:pStyle w:val="a3"/>
        <w:spacing w:before="240" w:beforeAutospacing="0" w:after="0" w:afterAutospacing="0"/>
        <w:jc w:val="both"/>
        <w:divId w:val="1122961696"/>
        <w:rPr>
          <w:sz w:val="20"/>
          <w:szCs w:val="20"/>
        </w:rPr>
      </w:pPr>
      <w:r>
        <w:rPr>
          <w:sz w:val="20"/>
          <w:szCs w:val="20"/>
        </w:rPr>
        <w:t>The Partnership has residual value guarantees associated with certain of its o</w:t>
      </w:r>
      <w:r>
        <w:rPr>
          <w:sz w:val="20"/>
          <w:szCs w:val="20"/>
        </w:rPr>
        <w:t>perating leases, related primarily to transportation equipment. See Note 14, “Guarantees” for more information</w:t>
      </w:r>
      <w:r>
        <w:rPr>
          <w:sz w:val="20"/>
          <w:szCs w:val="20"/>
        </w:rPr>
        <w:t>.</w:t>
      </w:r>
      <w:r>
        <w:rPr>
          <w:sz w:val="20"/>
          <w:szCs w:val="20"/>
        </w:rPr>
        <w:t xml:space="preserve"> </w:t>
      </w:r>
    </w:p>
    <w:p w:rsidR="00000000" w:rsidRDefault="00BC3404">
      <w:pPr>
        <w:pStyle w:val="a3"/>
        <w:spacing w:before="0" w:beforeAutospacing="0" w:after="0" w:afterAutospacing="0"/>
        <w:jc w:val="center"/>
        <w:divId w:val="1122961696"/>
        <w:rPr>
          <w:sz w:val="20"/>
          <w:szCs w:val="20"/>
        </w:rPr>
      </w:pPr>
      <w:r>
        <w:rPr>
          <w:sz w:val="20"/>
          <w:szCs w:val="20"/>
        </w:rPr>
        <w:t> </w:t>
      </w:r>
    </w:p>
    <w:p w:rsidR="00000000" w:rsidRDefault="00BC3404">
      <w:pPr>
        <w:pStyle w:val="a3"/>
        <w:spacing w:before="0" w:beforeAutospacing="0" w:after="0" w:afterAutospacing="0"/>
        <w:jc w:val="center"/>
        <w:divId w:val="1122961696"/>
        <w:rPr>
          <w:sz w:val="20"/>
          <w:szCs w:val="20"/>
        </w:rPr>
      </w:pPr>
      <w:r>
        <w:rPr>
          <w:sz w:val="20"/>
          <w:szCs w:val="20"/>
        </w:rPr>
        <w:t>1</w:t>
      </w:r>
      <w:r>
        <w:rPr>
          <w:sz w:val="20"/>
          <w:szCs w:val="20"/>
        </w:rPr>
        <w:t>2</w:t>
      </w:r>
    </w:p>
    <w:p w:rsidR="00000000" w:rsidRDefault="00BC3404">
      <w:pPr>
        <w:divId w:val="1122961696"/>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BC3404">
      <w:pPr>
        <w:pStyle w:val="a3"/>
        <w:spacing w:before="0" w:beforeAutospacing="0" w:after="0" w:afterAutospacing="0"/>
        <w:divId w:val="1122961696"/>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1122961696"/>
        <w:rPr>
          <w:sz w:val="20"/>
          <w:szCs w:val="20"/>
        </w:rPr>
      </w:pPr>
      <w:r>
        <w:rPr>
          <w:sz w:val="20"/>
          <w:szCs w:val="20"/>
        </w:rPr>
        <w:t>The Partnership does n</w:t>
      </w:r>
      <w:r>
        <w:rPr>
          <w:sz w:val="20"/>
          <w:szCs w:val="20"/>
        </w:rPr>
        <w:t>ot have any material lease obligations that were signed, but not yet commenced as of December 24, 2022</w:t>
      </w:r>
      <w:r>
        <w:rPr>
          <w:sz w:val="20"/>
          <w:szCs w:val="20"/>
        </w:rPr>
        <w:t>.</w:t>
      </w:r>
    </w:p>
    <w:p w:rsidR="00000000" w:rsidRDefault="00BC3404">
      <w:pPr>
        <w:pStyle w:val="a3"/>
        <w:spacing w:before="240" w:beforeAutospacing="0" w:after="0" w:afterAutospacing="0"/>
        <w:jc w:val="both"/>
        <w:divId w:val="750587086"/>
        <w:rPr>
          <w:sz w:val="20"/>
          <w:szCs w:val="20"/>
        </w:rPr>
      </w:pPr>
      <w:r>
        <w:rPr>
          <w:sz w:val="20"/>
          <w:szCs w:val="20"/>
        </w:rPr>
        <w:t>Quantitative information on the Partnership’s lease population is as follows</w:t>
      </w:r>
      <w:r>
        <w:rPr>
          <w:sz w:val="20"/>
          <w:szCs w:val="20"/>
        </w:rPr>
        <w:t>:</w:t>
      </w:r>
    </w:p>
    <w:p w:rsidR="00000000" w:rsidRDefault="00BC3404">
      <w:pPr>
        <w:pStyle w:val="a3"/>
        <w:spacing w:before="0" w:beforeAutospacing="0" w:after="0" w:afterAutospacing="0"/>
        <w:jc w:val="both"/>
        <w:divId w:val="75058708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22"/>
        <w:gridCol w:w="110"/>
        <w:gridCol w:w="160"/>
        <w:gridCol w:w="753"/>
        <w:gridCol w:w="227"/>
        <w:gridCol w:w="110"/>
        <w:gridCol w:w="160"/>
        <w:gridCol w:w="730"/>
        <w:gridCol w:w="242"/>
      </w:tblGrid>
      <w:tr w:rsidR="00000000">
        <w:trPr>
          <w:divId w:val="750587086"/>
          <w:tblCellSpacing w:w="15" w:type="dxa"/>
        </w:trPr>
        <w:tc>
          <w:tcPr>
            <w:tcW w:w="3103" w:type="pct"/>
            <w:vAlign w:val="center"/>
            <w:hideMark/>
          </w:tcPr>
          <w:p w:rsidR="00000000" w:rsidRDefault="00BC3404">
            <w:pPr>
              <w:rPr>
                <w:sz w:val="20"/>
                <w:szCs w:val="20"/>
              </w:rPr>
            </w:pPr>
          </w:p>
        </w:tc>
        <w:tc>
          <w:tcPr>
            <w:tcW w:w="7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8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6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750587086"/>
          <w:trHeight w:val="160"/>
          <w:tblCellSpacing w:w="15" w:type="dxa"/>
        </w:trPr>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750587086"/>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750587086"/>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750587086"/>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Lease expens</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10,06</w:t>
            </w:r>
            <w:r>
              <w:rPr>
                <w:sz w:val="20"/>
                <w:szCs w:val="20"/>
              </w:rPr>
              <w:t>0</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9,83</w:t>
            </w:r>
            <w:r>
              <w:rPr>
                <w:sz w:val="20"/>
                <w:szCs w:val="20"/>
              </w:rPr>
              <w:t>8</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750587086"/>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750587086"/>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Other information</w:t>
            </w:r>
            <w:r>
              <w:rPr>
                <w:b/>
                <w:bCs/>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750587086"/>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Cash payments for operating lease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10,06</w:t>
            </w:r>
            <w:r>
              <w:rPr>
                <w:sz w:val="20"/>
                <w:szCs w:val="20"/>
              </w:rPr>
              <w:t>4</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10,07</w:t>
            </w:r>
            <w:r>
              <w:rPr>
                <w:sz w:val="20"/>
                <w:szCs w:val="20"/>
              </w:rPr>
              <w:t>4</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750587086"/>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Right-of-use assets obtained in exchange</w:t>
            </w:r>
            <w:r>
              <w:rPr>
                <w:sz w:val="20"/>
                <w:szCs w:val="20"/>
              </w:rPr>
              <w:br/>
              <w:t>   for new operating lease liabilitie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5,22</w:t>
            </w:r>
            <w:r>
              <w:rPr>
                <w:sz w:val="20"/>
                <w:szCs w:val="20"/>
              </w:rPr>
              <w:t>8</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18,90</w:t>
            </w:r>
            <w:r>
              <w:rPr>
                <w:sz w:val="20"/>
                <w:szCs w:val="20"/>
              </w:rPr>
              <w:t>4</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750587086"/>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Weighted-average remaining lease ter</w:t>
            </w:r>
            <w:r>
              <w:rPr>
                <w:sz w:val="20"/>
                <w:szCs w:val="20"/>
              </w:rPr>
              <w:t>m</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BC3404">
            <w:pPr>
              <w:pStyle w:val="a3"/>
              <w:spacing w:before="0" w:beforeAutospacing="0" w:after="0" w:afterAutospacing="0"/>
              <w:jc w:val="right"/>
              <w:rPr>
                <w:sz w:val="20"/>
                <w:szCs w:val="20"/>
              </w:rPr>
            </w:pPr>
            <w:r>
              <w:rPr>
                <w:sz w:val="20"/>
                <w:szCs w:val="20"/>
              </w:rPr>
              <w:t>5.8</w:t>
            </w:r>
            <w:r>
              <w:rPr>
                <w:sz w:val="20"/>
                <w:szCs w:val="20"/>
              </w:rPr>
              <w:t xml:space="preserve"> </w:t>
            </w:r>
            <w:r>
              <w:rPr>
                <w:sz w:val="20"/>
                <w:szCs w:val="20"/>
              </w:rPr>
              <w:t>year</w:t>
            </w:r>
            <w:r>
              <w:rPr>
                <w:sz w:val="20"/>
                <w:szCs w:val="20"/>
              </w:rPr>
              <w:t>s</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BC3404">
            <w:pPr>
              <w:pStyle w:val="a3"/>
              <w:spacing w:before="0" w:beforeAutospacing="0" w:after="0" w:afterAutospacing="0"/>
              <w:jc w:val="right"/>
              <w:rPr>
                <w:sz w:val="20"/>
                <w:szCs w:val="20"/>
              </w:rPr>
            </w:pPr>
            <w:r>
              <w:rPr>
                <w:sz w:val="20"/>
                <w:szCs w:val="20"/>
              </w:rPr>
              <w:t>6.1</w:t>
            </w:r>
            <w:r>
              <w:rPr>
                <w:sz w:val="20"/>
                <w:szCs w:val="20"/>
              </w:rPr>
              <w:t xml:space="preserve"> </w:t>
            </w:r>
            <w:r>
              <w:rPr>
                <w:sz w:val="20"/>
                <w:szCs w:val="20"/>
              </w:rPr>
              <w:t>year</w:t>
            </w:r>
            <w:r>
              <w:rPr>
                <w:sz w:val="20"/>
                <w:szCs w:val="20"/>
              </w:rPr>
              <w:t>s</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750587086"/>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Weighted-average discount rat</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r>
    </w:tbl>
    <w:p w:rsidR="00000000" w:rsidRDefault="00BC3404">
      <w:pPr>
        <w:pStyle w:val="a3"/>
        <w:spacing w:before="0" w:beforeAutospacing="0" w:after="0" w:afterAutospacing="0"/>
        <w:divId w:val="1122961696"/>
        <w:rPr>
          <w:sz w:val="20"/>
          <w:szCs w:val="20"/>
        </w:rPr>
      </w:pPr>
      <w:r>
        <w:rPr>
          <w:sz w:val="20"/>
          <w:szCs w:val="20"/>
        </w:rPr>
        <w:t> </w:t>
      </w:r>
    </w:p>
    <w:p w:rsidR="00000000" w:rsidRDefault="00BC3404">
      <w:pPr>
        <w:pStyle w:val="a3"/>
        <w:spacing w:before="0" w:beforeAutospacing="0" w:after="0" w:afterAutospacing="0"/>
        <w:jc w:val="both"/>
        <w:divId w:val="406611840"/>
        <w:rPr>
          <w:sz w:val="20"/>
          <w:szCs w:val="20"/>
        </w:rPr>
      </w:pPr>
      <w:r>
        <w:rPr>
          <w:sz w:val="20"/>
          <w:szCs w:val="20"/>
        </w:rPr>
        <w:t>The following table summarizes future minimum lease payments under non-cancelable operating leases as of December 24, 2022</w:t>
      </w:r>
      <w:r>
        <w:rPr>
          <w:sz w:val="20"/>
          <w:szCs w:val="20"/>
        </w:rPr>
        <w:t>:</w:t>
      </w:r>
      <w:r>
        <w:rPr>
          <w:sz w:val="20"/>
          <w:szCs w:val="20"/>
        </w:rPr>
        <w:t xml:space="preserve"> </w:t>
      </w:r>
    </w:p>
    <w:p w:rsidR="00000000" w:rsidRDefault="00BC3404">
      <w:pPr>
        <w:pStyle w:val="a3"/>
        <w:spacing w:before="0" w:beforeAutospacing="0" w:after="0" w:afterAutospacing="0"/>
        <w:jc w:val="both"/>
        <w:divId w:val="40661184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350"/>
        <w:gridCol w:w="115"/>
        <w:gridCol w:w="160"/>
        <w:gridCol w:w="1047"/>
        <w:gridCol w:w="142"/>
      </w:tblGrid>
      <w:tr w:rsidR="00000000">
        <w:trPr>
          <w:divId w:val="406611840"/>
          <w:tblCellSpacing w:w="15" w:type="dxa"/>
        </w:trPr>
        <w:tc>
          <w:tcPr>
            <w:tcW w:w="3853" w:type="pct"/>
            <w:vAlign w:val="center"/>
            <w:hideMark/>
          </w:tcPr>
          <w:p w:rsidR="00000000" w:rsidRDefault="00BC3404">
            <w:pPr>
              <w:rPr>
                <w:sz w:val="20"/>
                <w:szCs w:val="20"/>
              </w:rPr>
            </w:pPr>
          </w:p>
        </w:tc>
        <w:tc>
          <w:tcPr>
            <w:tcW w:w="10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93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406611840"/>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b/>
                <w:bCs/>
                <w:sz w:val="16"/>
                <w:szCs w:val="16"/>
              </w:rPr>
              <w:t>Fiscal Yea</w:t>
            </w:r>
            <w:r>
              <w:rPr>
                <w:b/>
                <w:bCs/>
                <w:sz w:val="16"/>
                <w:szCs w:val="16"/>
              </w:rPr>
              <w:t>r</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2023 (remaining</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28,99</w:t>
            </w:r>
            <w:r>
              <w:rPr>
                <w:sz w:val="20"/>
                <w:szCs w:val="20"/>
              </w:rPr>
              <w:t>9</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202</w:t>
            </w:r>
            <w:r>
              <w:rPr>
                <w:sz w:val="20"/>
                <w:szCs w:val="20"/>
              </w:rPr>
              <w:t>4</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33,38</w:t>
            </w:r>
            <w:r>
              <w:rPr>
                <w:sz w:val="20"/>
                <w:szCs w:val="20"/>
              </w:rPr>
              <w:t>8</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202</w:t>
            </w:r>
            <w:r>
              <w:rPr>
                <w:sz w:val="20"/>
                <w:szCs w:val="20"/>
              </w:rPr>
              <w:t>5</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28,91</w:t>
            </w:r>
            <w:r>
              <w:rPr>
                <w:sz w:val="20"/>
                <w:szCs w:val="20"/>
              </w:rPr>
              <w:t>0</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202</w:t>
            </w:r>
            <w:r>
              <w:rPr>
                <w:sz w:val="20"/>
                <w:szCs w:val="20"/>
              </w:rPr>
              <w:t>6</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23,73</w:t>
            </w:r>
            <w:r>
              <w:rPr>
                <w:sz w:val="20"/>
                <w:szCs w:val="20"/>
              </w:rPr>
              <w:t>0</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202</w:t>
            </w:r>
            <w:r>
              <w:rPr>
                <w:sz w:val="20"/>
                <w:szCs w:val="20"/>
              </w:rPr>
              <w:t>7</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13,83</w:t>
            </w:r>
            <w:r>
              <w:rPr>
                <w:sz w:val="20"/>
                <w:szCs w:val="20"/>
              </w:rPr>
              <w:t>1</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2028 and thereafte</w:t>
            </w:r>
            <w:r>
              <w:rPr>
                <w:sz w:val="20"/>
                <w:szCs w:val="20"/>
              </w:rPr>
              <w:t>r</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27,27</w:t>
            </w:r>
            <w:r>
              <w:rPr>
                <w:sz w:val="20"/>
                <w:szCs w:val="20"/>
              </w:rPr>
              <w:t>4</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Total future minimum lease payment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156,13</w:t>
            </w:r>
            <w:r>
              <w:rPr>
                <w:sz w:val="20"/>
                <w:szCs w:val="20"/>
              </w:rPr>
              <w:t>2</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Less: interes</w:t>
            </w:r>
            <w:r>
              <w:rPr>
                <w:sz w:val="20"/>
                <w:szCs w:val="20"/>
              </w:rPr>
              <w:t>t</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24,04</w:t>
            </w:r>
            <w:r>
              <w:rPr>
                <w:sz w:val="20"/>
                <w:szCs w:val="20"/>
              </w:rPr>
              <w:t>7</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r>
      <w:tr w:rsidR="00000000">
        <w:trPr>
          <w:divId w:val="406611840"/>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Total lease obligation</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w:t>
            </w:r>
          </w:p>
        </w:tc>
        <w:tc>
          <w:tcPr>
            <w:tcW w:w="0" w:type="auto"/>
            <w:vAlign w:val="center"/>
            <w:hideMark/>
          </w:tcPr>
          <w:p w:rsidR="00000000" w:rsidRDefault="00BC3404">
            <w:pPr>
              <w:pStyle w:val="a3"/>
              <w:spacing w:before="0" w:beforeAutospacing="0" w:after="0" w:afterAutospacing="0"/>
              <w:jc w:val="right"/>
              <w:rPr>
                <w:sz w:val="20"/>
                <w:szCs w:val="20"/>
              </w:rPr>
            </w:pPr>
            <w:r>
              <w:rPr>
                <w:sz w:val="20"/>
                <w:szCs w:val="20"/>
              </w:rPr>
              <w:t>132,08</w:t>
            </w:r>
            <w:r>
              <w:rPr>
                <w:sz w:val="20"/>
                <w:szCs w:val="20"/>
              </w:rPr>
              <w:t>5</w:t>
            </w:r>
          </w:p>
        </w:tc>
        <w:tc>
          <w:tcPr>
            <w:tcW w:w="0" w:type="auto"/>
            <w:noWrap/>
            <w:vAlign w:val="center"/>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406464549"/>
        <w:rPr>
          <w:rFonts w:eastAsia="Times New Roman"/>
          <w:sz w:val="20"/>
          <w:szCs w:val="20"/>
        </w:rPr>
      </w:pPr>
      <w:r>
        <w:rPr>
          <w:rFonts w:eastAsia="Times New Roman"/>
          <w:b/>
          <w:bCs/>
          <w:sz w:val="20"/>
          <w:szCs w:val="20"/>
        </w:rPr>
        <w:t>9</w:t>
      </w:r>
      <w:r>
        <w:rPr>
          <w:rFonts w:eastAsia="Times New Roman"/>
          <w:b/>
          <w:bCs/>
          <w:sz w:val="20"/>
          <w:szCs w:val="20"/>
        </w:rPr>
        <w:t>.</w:t>
      </w:r>
    </w:p>
    <w:p w:rsidR="00000000" w:rsidRDefault="00BC3404">
      <w:pPr>
        <w:jc w:val="both"/>
        <w:divId w:val="434908083"/>
        <w:rPr>
          <w:rFonts w:eastAsia="Times New Roman"/>
          <w:sz w:val="20"/>
          <w:szCs w:val="20"/>
        </w:rPr>
      </w:pPr>
      <w:r>
        <w:rPr>
          <w:rFonts w:eastAsia="Times New Roman"/>
          <w:b/>
          <w:bCs/>
          <w:sz w:val="20"/>
          <w:szCs w:val="20"/>
        </w:rPr>
        <w:t>Net Income Per Common Uni</w:t>
      </w:r>
      <w:r>
        <w:rPr>
          <w:rFonts w:eastAsia="Times New Roman"/>
          <w:b/>
          <w:bCs/>
          <w:sz w:val="20"/>
          <w:szCs w:val="20"/>
        </w:rPr>
        <w:t>t</w:t>
      </w:r>
    </w:p>
    <w:p w:rsidR="00000000" w:rsidRDefault="00BC3404">
      <w:pPr>
        <w:pStyle w:val="a3"/>
        <w:spacing w:before="120" w:beforeAutospacing="0" w:after="0" w:afterAutospacing="0"/>
        <w:jc w:val="both"/>
        <w:divId w:val="406464549"/>
        <w:rPr>
          <w:sz w:val="20"/>
          <w:szCs w:val="20"/>
        </w:rPr>
      </w:pPr>
      <w:r>
        <w:rPr>
          <w:sz w:val="20"/>
          <w:szCs w:val="20"/>
        </w:rPr>
        <w:t>Computations of basic income per Common Unit are performed by dividing net income by the weighted average number of outstanding Common Units, and vested (and unissued) restricted units granted under the Partnership’s Restricted Unit Plans, as defined below</w:t>
      </w:r>
      <w:r>
        <w:rPr>
          <w:sz w:val="20"/>
          <w:szCs w:val="20"/>
        </w:rPr>
        <w:t>, to retirement-eligible grantees. Computations of diluted income per Common Unit are performed by dividing net income by the weighted average number of outstanding Common Units and unissued restricted units granted under the Restricted Unit Plans. In comp</w:t>
      </w:r>
      <w:r>
        <w:rPr>
          <w:sz w:val="20"/>
          <w:szCs w:val="20"/>
        </w:rPr>
        <w:t>uting diluted net income per Common Unit, weighted average units outstanding used to compute basic net income per Common Unit were increased by</w:t>
      </w:r>
      <w:r>
        <w:rPr>
          <w:sz w:val="20"/>
          <w:szCs w:val="20"/>
        </w:rPr>
        <w:t xml:space="preserve"> </w:t>
      </w:r>
      <w:r>
        <w:rPr>
          <w:sz w:val="20"/>
          <w:szCs w:val="20"/>
        </w:rPr>
        <w:t>298,95</w:t>
      </w:r>
      <w:r>
        <w:rPr>
          <w:sz w:val="20"/>
          <w:szCs w:val="20"/>
        </w:rPr>
        <w:t>3</w:t>
      </w:r>
      <w:r>
        <w:rPr>
          <w:sz w:val="20"/>
          <w:szCs w:val="20"/>
        </w:rPr>
        <w:t xml:space="preserve"> and</w:t>
      </w:r>
      <w:r>
        <w:rPr>
          <w:sz w:val="20"/>
          <w:szCs w:val="20"/>
        </w:rPr>
        <w:t xml:space="preserve"> </w:t>
      </w:r>
      <w:r>
        <w:rPr>
          <w:sz w:val="20"/>
          <w:szCs w:val="20"/>
        </w:rPr>
        <w:t>277,22</w:t>
      </w:r>
      <w:r>
        <w:rPr>
          <w:sz w:val="20"/>
          <w:szCs w:val="20"/>
        </w:rPr>
        <w:t>3</w:t>
      </w:r>
      <w:r>
        <w:rPr>
          <w:sz w:val="20"/>
          <w:szCs w:val="20"/>
        </w:rPr>
        <w:t xml:space="preserve"> units for the</w:t>
      </w:r>
      <w:r>
        <w:rPr>
          <w:sz w:val="20"/>
          <w:szCs w:val="20"/>
        </w:rPr>
        <w:t xml:space="preserve"> </w:t>
      </w:r>
      <w:r>
        <w:rPr>
          <w:sz w:val="20"/>
          <w:szCs w:val="20"/>
        </w:rPr>
        <w:t>three months ended December 24, 2022 and December 25, 2021, respectively, to r</w:t>
      </w:r>
      <w:r>
        <w:rPr>
          <w:sz w:val="20"/>
          <w:szCs w:val="20"/>
        </w:rPr>
        <w:t>eflect the potential dilutive effect of the unvested restricted units outstanding using the treasury stock method</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662585040"/>
        <w:rPr>
          <w:rFonts w:eastAsia="Times New Roman"/>
          <w:sz w:val="20"/>
          <w:szCs w:val="20"/>
        </w:rPr>
      </w:pPr>
      <w:r>
        <w:rPr>
          <w:rFonts w:eastAsia="Times New Roman"/>
          <w:b/>
          <w:bCs/>
          <w:sz w:val="20"/>
          <w:szCs w:val="20"/>
        </w:rPr>
        <w:t>10</w:t>
      </w:r>
      <w:r>
        <w:rPr>
          <w:rFonts w:eastAsia="Times New Roman"/>
          <w:b/>
          <w:bCs/>
          <w:sz w:val="20"/>
          <w:szCs w:val="20"/>
        </w:rPr>
        <w:t>.</w:t>
      </w:r>
    </w:p>
    <w:p w:rsidR="00000000" w:rsidRDefault="00BC3404">
      <w:pPr>
        <w:jc w:val="both"/>
        <w:divId w:val="861431246"/>
        <w:rPr>
          <w:rFonts w:eastAsia="Times New Roman"/>
          <w:sz w:val="20"/>
          <w:szCs w:val="20"/>
        </w:rPr>
      </w:pPr>
      <w:r>
        <w:rPr>
          <w:rFonts w:eastAsia="Times New Roman"/>
          <w:b/>
          <w:bCs/>
          <w:sz w:val="20"/>
          <w:szCs w:val="20"/>
        </w:rPr>
        <w:t>Long-Term Borrowing</w:t>
      </w:r>
      <w:r>
        <w:rPr>
          <w:rFonts w:eastAsia="Times New Roman"/>
          <w:b/>
          <w:bCs/>
          <w:sz w:val="20"/>
          <w:szCs w:val="20"/>
        </w:rPr>
        <w:t>s</w:t>
      </w:r>
    </w:p>
    <w:p w:rsidR="00000000" w:rsidRDefault="00BC3404">
      <w:pPr>
        <w:pStyle w:val="a3"/>
        <w:spacing w:before="160" w:beforeAutospacing="0" w:after="0" w:afterAutospacing="0"/>
        <w:divId w:val="1899589513"/>
        <w:rPr>
          <w:sz w:val="20"/>
          <w:szCs w:val="20"/>
        </w:rPr>
      </w:pPr>
      <w:r>
        <w:rPr>
          <w:sz w:val="20"/>
          <w:szCs w:val="20"/>
        </w:rPr>
        <w:t>Long-term borrowings consist of the following</w:t>
      </w:r>
      <w:r>
        <w:rPr>
          <w:sz w:val="20"/>
          <w:szCs w:val="20"/>
        </w:rPr>
        <w:t>:</w:t>
      </w:r>
    </w:p>
    <w:p w:rsidR="00000000" w:rsidRDefault="00BC3404">
      <w:pPr>
        <w:pStyle w:val="a3"/>
        <w:spacing w:before="0" w:beforeAutospacing="0" w:after="0" w:afterAutospacing="0"/>
        <w:jc w:val="both"/>
        <w:divId w:val="189958951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60"/>
        <w:gridCol w:w="860"/>
        <w:gridCol w:w="127"/>
        <w:gridCol w:w="110"/>
        <w:gridCol w:w="160"/>
        <w:gridCol w:w="860"/>
        <w:gridCol w:w="142"/>
      </w:tblGrid>
      <w:tr w:rsidR="00000000">
        <w:trPr>
          <w:divId w:val="1899589513"/>
          <w:tblCellSpacing w:w="15" w:type="dxa"/>
        </w:trPr>
        <w:tc>
          <w:tcPr>
            <w:tcW w:w="3296" w:type="pct"/>
            <w:vAlign w:val="center"/>
            <w:hideMark/>
          </w:tcPr>
          <w:p w:rsidR="00000000" w:rsidRDefault="00BC3404">
            <w:pPr>
              <w:rPr>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7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8995895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8995895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8995895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89958951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9958951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9958951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Revolving Credit Facility, due</w:t>
            </w:r>
            <w:r>
              <w:rPr>
                <w:sz w:val="20"/>
                <w:szCs w:val="20"/>
              </w:rPr>
              <w:t xml:space="preserve"> </w:t>
            </w:r>
            <w:r>
              <w:rPr>
                <w:sz w:val="20"/>
                <w:szCs w:val="20"/>
              </w:rPr>
              <w:t>March 5, 202</w:t>
            </w:r>
            <w:r>
              <w:rPr>
                <w:sz w:val="20"/>
                <w:szCs w:val="20"/>
              </w:rPr>
              <w:t>5</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123,50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89,60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995895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Subtota</w:t>
            </w:r>
            <w:r>
              <w:rPr>
                <w:sz w:val="20"/>
                <w:szCs w:val="20"/>
              </w:rPr>
              <w:t>l</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1,123,50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1,089,60</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899589513"/>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89958951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Less: unamortized debt issuance cost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11,84</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12,27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899589513"/>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1,111,65</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1,077,32</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120" w:beforeAutospacing="0" w:after="0" w:afterAutospacing="0"/>
        <w:jc w:val="both"/>
        <w:divId w:val="1992757435"/>
        <w:rPr>
          <w:sz w:val="20"/>
          <w:szCs w:val="20"/>
        </w:rPr>
      </w:pPr>
      <w:r>
        <w:rPr>
          <w:b/>
          <w:bCs/>
          <w:sz w:val="20"/>
          <w:szCs w:val="20"/>
        </w:rPr>
        <w:t>Senior Note</w:t>
      </w:r>
      <w:r>
        <w:rPr>
          <w:b/>
          <w:bCs/>
          <w:sz w:val="20"/>
          <w:szCs w:val="20"/>
        </w:rPr>
        <w:t>s</w:t>
      </w:r>
    </w:p>
    <w:p w:rsidR="00000000" w:rsidRDefault="00BC3404">
      <w:pPr>
        <w:pStyle w:val="a3"/>
        <w:spacing w:before="120" w:beforeAutospacing="0" w:after="0" w:afterAutospacing="0"/>
        <w:jc w:val="both"/>
        <w:divId w:val="1992757435"/>
        <w:rPr>
          <w:sz w:val="20"/>
          <w:szCs w:val="20"/>
        </w:rPr>
      </w:pPr>
      <w:r>
        <w:rPr>
          <w:i/>
          <w:iCs/>
          <w:sz w:val="20"/>
          <w:szCs w:val="20"/>
        </w:rPr>
        <w:t>2027 Senior Notes.</w:t>
      </w:r>
      <w:r>
        <w:rPr>
          <w:i/>
          <w:iCs/>
          <w:sz w:val="20"/>
          <w:szCs w:val="20"/>
        </w:rPr>
        <w:t xml:space="preserve"> </w:t>
      </w:r>
      <w:r>
        <w:rPr>
          <w:sz w:val="20"/>
          <w:szCs w:val="20"/>
        </w:rPr>
        <w:t>On</w:t>
      </w:r>
      <w:r>
        <w:rPr>
          <w:sz w:val="20"/>
          <w:szCs w:val="20"/>
        </w:rPr>
        <w:t xml:space="preserve"> </w:t>
      </w:r>
      <w:r>
        <w:rPr>
          <w:sz w:val="20"/>
          <w:szCs w:val="20"/>
        </w:rPr>
        <w:t>February 14, 201</w:t>
      </w:r>
      <w:r>
        <w:rPr>
          <w:sz w:val="20"/>
          <w:szCs w:val="20"/>
        </w:rPr>
        <w:t>7</w:t>
      </w:r>
      <w:r>
        <w:rPr>
          <w:sz w:val="20"/>
          <w:szCs w:val="20"/>
        </w:rPr>
        <w:t>, the Partnership and its</w:t>
      </w:r>
      <w:r>
        <w:rPr>
          <w:sz w:val="20"/>
          <w:szCs w:val="20"/>
        </w:rPr>
        <w:t xml:space="preserve"> </w:t>
      </w:r>
      <w:r>
        <w:rPr>
          <w:sz w:val="20"/>
          <w:szCs w:val="20"/>
        </w:rPr>
        <w:t>10</w:t>
      </w:r>
      <w:r>
        <w:rPr>
          <w:sz w:val="20"/>
          <w:szCs w:val="20"/>
        </w:rPr>
        <w:t>0</w:t>
      </w:r>
      <w:r>
        <w:rPr>
          <w:sz w:val="20"/>
          <w:szCs w:val="20"/>
        </w:rPr>
        <w:t xml:space="preserve">%-owned subsidiary, Suburban Energy Finance Corp., completed a public offering of </w:t>
      </w:r>
      <w:r>
        <w:rPr>
          <w:sz w:val="20"/>
          <w:szCs w:val="20"/>
        </w:rPr>
        <w:t>$</w:t>
      </w:r>
      <w:r>
        <w:rPr>
          <w:sz w:val="20"/>
          <w:szCs w:val="20"/>
        </w:rPr>
        <w:t>350,00</w:t>
      </w:r>
      <w:r>
        <w:rPr>
          <w:sz w:val="20"/>
          <w:szCs w:val="20"/>
        </w:rPr>
        <w:t>0</w:t>
      </w:r>
      <w:r>
        <w:rPr>
          <w:sz w:val="20"/>
          <w:szCs w:val="20"/>
        </w:rPr>
        <w:t xml:space="preserve"> in aggregate principal amount of</w:t>
      </w:r>
      <w:r>
        <w:rPr>
          <w:sz w:val="20"/>
          <w:szCs w:val="20"/>
        </w:rPr>
        <w:t xml:space="preserve"> </w:t>
      </w: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r>
        <w:rPr>
          <w:sz w:val="20"/>
          <w:szCs w:val="20"/>
        </w:rPr>
        <w:t xml:space="preserve"> (the “2027 Senior Notes”). The 2027 Senior Notes were issued at</w:t>
      </w:r>
      <w:r>
        <w:rPr>
          <w:sz w:val="20"/>
          <w:szCs w:val="20"/>
        </w:rPr>
        <w:t xml:space="preserve"> </w:t>
      </w:r>
      <w:r>
        <w:rPr>
          <w:sz w:val="20"/>
          <w:szCs w:val="20"/>
        </w:rPr>
        <w:t>1</w:t>
      </w:r>
      <w:r>
        <w:rPr>
          <w:sz w:val="20"/>
          <w:szCs w:val="20"/>
        </w:rPr>
        <w:t>0</w:t>
      </w:r>
      <w:r>
        <w:rPr>
          <w:sz w:val="20"/>
          <w:szCs w:val="20"/>
        </w:rPr>
        <w:t>0</w:t>
      </w:r>
      <w:r>
        <w:rPr>
          <w:sz w:val="20"/>
          <w:szCs w:val="20"/>
        </w:rPr>
        <w:t>%</w:t>
      </w:r>
      <w:r>
        <w:rPr>
          <w:sz w:val="20"/>
          <w:szCs w:val="20"/>
        </w:rPr>
        <w:t xml:space="preserve"> </w:t>
      </w:r>
      <w:r>
        <w:rPr>
          <w:sz w:val="20"/>
          <w:szCs w:val="20"/>
        </w:rPr>
        <w:t>of the principal amount and require semi-annual interest payments in March and September</w:t>
      </w:r>
      <w:r>
        <w:rPr>
          <w:sz w:val="20"/>
          <w:szCs w:val="20"/>
        </w:rPr>
        <w:t>.</w:t>
      </w:r>
      <w:r>
        <w:rPr>
          <w:sz w:val="20"/>
          <w:szCs w:val="20"/>
        </w:rPr>
        <w:t xml:space="preserve"> </w:t>
      </w:r>
    </w:p>
    <w:p w:rsidR="00000000" w:rsidRDefault="00BC3404">
      <w:pPr>
        <w:pStyle w:val="a3"/>
        <w:spacing w:before="0" w:beforeAutospacing="0" w:after="0" w:afterAutospacing="0"/>
        <w:jc w:val="center"/>
        <w:divId w:val="1992757435"/>
        <w:rPr>
          <w:sz w:val="20"/>
          <w:szCs w:val="20"/>
        </w:rPr>
      </w:pPr>
      <w:r>
        <w:rPr>
          <w:sz w:val="20"/>
          <w:szCs w:val="20"/>
        </w:rPr>
        <w:t> </w:t>
      </w:r>
    </w:p>
    <w:p w:rsidR="00000000" w:rsidRDefault="00BC3404">
      <w:pPr>
        <w:pStyle w:val="a3"/>
        <w:spacing w:before="0" w:beforeAutospacing="0" w:after="0" w:afterAutospacing="0"/>
        <w:jc w:val="center"/>
        <w:divId w:val="1992757435"/>
        <w:rPr>
          <w:sz w:val="20"/>
          <w:szCs w:val="20"/>
        </w:rPr>
      </w:pPr>
      <w:r>
        <w:rPr>
          <w:sz w:val="20"/>
          <w:szCs w:val="20"/>
        </w:rPr>
        <w:t>1</w:t>
      </w:r>
      <w:r>
        <w:rPr>
          <w:sz w:val="20"/>
          <w:szCs w:val="20"/>
        </w:rPr>
        <w:t>3</w:t>
      </w:r>
    </w:p>
    <w:p w:rsidR="00000000" w:rsidRDefault="00BC3404">
      <w:pPr>
        <w:divId w:val="1992757435"/>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BC3404">
      <w:pPr>
        <w:pStyle w:val="a3"/>
        <w:spacing w:before="0" w:beforeAutospacing="0" w:after="0" w:afterAutospacing="0"/>
        <w:divId w:val="1992757435"/>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120" w:beforeAutospacing="0" w:after="0" w:afterAutospacing="0"/>
        <w:jc w:val="both"/>
        <w:divId w:val="1992757435"/>
        <w:rPr>
          <w:sz w:val="20"/>
          <w:szCs w:val="20"/>
        </w:rPr>
      </w:pPr>
      <w:r>
        <w:rPr>
          <w:sz w:val="20"/>
          <w:szCs w:val="20"/>
        </w:rPr>
        <w:t>The</w:t>
      </w:r>
      <w:r>
        <w:rPr>
          <w:sz w:val="20"/>
          <w:szCs w:val="20"/>
        </w:rPr>
        <w:t xml:space="preserve"> </w:t>
      </w:r>
      <w:r>
        <w:rPr>
          <w:sz w:val="20"/>
          <w:szCs w:val="20"/>
        </w:rPr>
        <w:t>net proceeds from the issuance of the 2027 Senior Notes, along with borrowings under the Revolving Credit Facility, were used to repurchase, satisfy and discharge all of the Partnership’s then-outstanding</w:t>
      </w:r>
      <w:r>
        <w:rPr>
          <w:sz w:val="20"/>
          <w:szCs w:val="20"/>
        </w:rPr>
        <w:t xml:space="preserve"> </w:t>
      </w:r>
      <w:r>
        <w:rPr>
          <w:sz w:val="20"/>
          <w:szCs w:val="20"/>
        </w:rPr>
        <w:t>7.37</w:t>
      </w:r>
      <w:r>
        <w:rPr>
          <w:sz w:val="20"/>
          <w:szCs w:val="20"/>
        </w:rPr>
        <w:t>5</w:t>
      </w:r>
      <w:r>
        <w:rPr>
          <w:sz w:val="20"/>
          <w:szCs w:val="20"/>
        </w:rPr>
        <w:t>% senior notes due in 2021</w:t>
      </w:r>
      <w:r>
        <w:rPr>
          <w:sz w:val="20"/>
          <w:szCs w:val="20"/>
        </w:rPr>
        <w:t>.</w:t>
      </w:r>
      <w:r>
        <w:rPr>
          <w:sz w:val="20"/>
          <w:szCs w:val="20"/>
        </w:rPr>
        <w:t xml:space="preserve"> </w:t>
      </w:r>
    </w:p>
    <w:p w:rsidR="00000000" w:rsidRDefault="00BC3404">
      <w:pPr>
        <w:pStyle w:val="a3"/>
        <w:spacing w:before="240" w:beforeAutospacing="0" w:after="0" w:afterAutospacing="0"/>
        <w:jc w:val="both"/>
        <w:divId w:val="1992757435"/>
        <w:rPr>
          <w:sz w:val="20"/>
          <w:szCs w:val="20"/>
        </w:rPr>
      </w:pPr>
      <w:r>
        <w:rPr>
          <w:i/>
          <w:iCs/>
          <w:sz w:val="20"/>
          <w:szCs w:val="20"/>
        </w:rPr>
        <w:t>2031 Senior Note</w:t>
      </w:r>
      <w:r>
        <w:rPr>
          <w:i/>
          <w:iCs/>
          <w:sz w:val="20"/>
          <w:szCs w:val="20"/>
        </w:rPr>
        <w:t>s</w:t>
      </w:r>
      <w:r>
        <w:rPr>
          <w:sz w:val="20"/>
          <w:szCs w:val="20"/>
        </w:rPr>
        <w:t>. On</w:t>
      </w:r>
      <w:r>
        <w:rPr>
          <w:sz w:val="20"/>
          <w:szCs w:val="20"/>
        </w:rPr>
        <w:t xml:space="preserve"> </w:t>
      </w:r>
      <w:r>
        <w:rPr>
          <w:sz w:val="20"/>
          <w:szCs w:val="20"/>
        </w:rPr>
        <w:t>May 24, 202</w:t>
      </w:r>
      <w:r>
        <w:rPr>
          <w:sz w:val="20"/>
          <w:szCs w:val="20"/>
        </w:rPr>
        <w:t>1</w:t>
      </w:r>
      <w:r>
        <w:rPr>
          <w:sz w:val="20"/>
          <w:szCs w:val="20"/>
        </w:rPr>
        <w:t xml:space="preserve">, the Partnership and its 100%-owned subsidiary, Suburban Energy Finance Corp., completed a private offering of </w:t>
      </w:r>
      <w:r>
        <w:rPr>
          <w:sz w:val="20"/>
          <w:szCs w:val="20"/>
        </w:rPr>
        <w:t>$</w:t>
      </w:r>
      <w:r>
        <w:rPr>
          <w:sz w:val="20"/>
          <w:szCs w:val="20"/>
        </w:rPr>
        <w:t>650,00</w:t>
      </w:r>
      <w:r>
        <w:rPr>
          <w:sz w:val="20"/>
          <w:szCs w:val="20"/>
        </w:rPr>
        <w:t>0</w:t>
      </w:r>
      <w:r>
        <w:rPr>
          <w:sz w:val="20"/>
          <w:szCs w:val="20"/>
        </w:rPr>
        <w:t xml:space="preserve"> in aggregate principal amount of</w:t>
      </w:r>
      <w:r>
        <w:rPr>
          <w:sz w:val="20"/>
          <w:szCs w:val="20"/>
        </w:rPr>
        <w:t xml:space="preserve"> </w:t>
      </w: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r>
        <w:rPr>
          <w:sz w:val="20"/>
          <w:szCs w:val="20"/>
        </w:rPr>
        <w:t xml:space="preserve"> (the “2031 Senior Notes”) to “qua</w:t>
      </w:r>
      <w:r>
        <w:rPr>
          <w:sz w:val="20"/>
          <w:szCs w:val="20"/>
        </w:rPr>
        <w:t>lified institutional buyers,” as defined in Rule 144A under the Securities Act of 1933, as amended (the “Securities Act”), and non-U.S. persons outside the United States under Regulation S under the Securities Act. The 2031 Senior Notes were issued at</w:t>
      </w:r>
      <w:r>
        <w:rPr>
          <w:sz w:val="20"/>
          <w:szCs w:val="20"/>
        </w:rPr>
        <w:t xml:space="preserve"> </w:t>
      </w:r>
      <w:r>
        <w:rPr>
          <w:sz w:val="20"/>
          <w:szCs w:val="20"/>
        </w:rPr>
        <w:t>10</w:t>
      </w:r>
      <w:r>
        <w:rPr>
          <w:sz w:val="20"/>
          <w:szCs w:val="20"/>
        </w:rPr>
        <w:t>0</w:t>
      </w:r>
      <w:r>
        <w:rPr>
          <w:sz w:val="20"/>
          <w:szCs w:val="20"/>
        </w:rPr>
        <w:t>%</w:t>
      </w:r>
      <w:r>
        <w:rPr>
          <w:sz w:val="20"/>
          <w:szCs w:val="20"/>
        </w:rPr>
        <w:t xml:space="preserve"> of the principal amount and require semi-annual interest payments in June and December. The net proceeds from the issuance of the 2031 Senior Notes, along with borrowings under the Revolving Credit Facility, were used to repurchase, satisfy and discharge </w:t>
      </w:r>
      <w:r>
        <w:rPr>
          <w:sz w:val="20"/>
          <w:szCs w:val="20"/>
        </w:rPr>
        <w:t>all of the Partnership’s then-outstanding</w:t>
      </w:r>
      <w:r>
        <w:rPr>
          <w:sz w:val="20"/>
          <w:szCs w:val="20"/>
        </w:rPr>
        <w:t xml:space="preserve"> </w:t>
      </w:r>
      <w:r>
        <w:rPr>
          <w:sz w:val="20"/>
          <w:szCs w:val="20"/>
        </w:rPr>
        <w:t>5.</w:t>
      </w:r>
      <w:r>
        <w:rPr>
          <w:sz w:val="20"/>
          <w:szCs w:val="20"/>
        </w:rPr>
        <w:t>5</w:t>
      </w:r>
      <w:r>
        <w:rPr>
          <w:sz w:val="20"/>
          <w:szCs w:val="20"/>
        </w:rPr>
        <w:t>% senior notes due in 2024 and</w:t>
      </w:r>
      <w:r>
        <w:rPr>
          <w:sz w:val="20"/>
          <w:szCs w:val="20"/>
        </w:rPr>
        <w:t xml:space="preserve"> </w:t>
      </w:r>
      <w:r>
        <w:rPr>
          <w:sz w:val="20"/>
          <w:szCs w:val="20"/>
        </w:rPr>
        <w:t>5.7</w:t>
      </w:r>
      <w:r>
        <w:rPr>
          <w:sz w:val="20"/>
          <w:szCs w:val="20"/>
        </w:rPr>
        <w:t>5</w:t>
      </w:r>
      <w:r>
        <w:rPr>
          <w:sz w:val="20"/>
          <w:szCs w:val="20"/>
        </w:rPr>
        <w:t>% senior notes due in 2025</w:t>
      </w:r>
      <w:r>
        <w:rPr>
          <w:sz w:val="20"/>
          <w:szCs w:val="20"/>
        </w:rPr>
        <w:t>.</w:t>
      </w:r>
    </w:p>
    <w:p w:rsidR="00000000" w:rsidRDefault="00BC3404">
      <w:pPr>
        <w:pStyle w:val="a3"/>
        <w:spacing w:before="240" w:beforeAutospacing="0" w:after="0" w:afterAutospacing="0"/>
        <w:jc w:val="both"/>
        <w:divId w:val="1992757435"/>
        <w:rPr>
          <w:sz w:val="20"/>
          <w:szCs w:val="20"/>
        </w:rPr>
      </w:pPr>
      <w:r>
        <w:rPr>
          <w:sz w:val="20"/>
          <w:szCs w:val="20"/>
        </w:rPr>
        <w:t xml:space="preserve">The Partnership’s obligations under the 2027 Senior Notes and 2031 Senior Notes (collectively, the “Senior Notes”) are unsecured and rank senior in </w:t>
      </w:r>
      <w:r>
        <w:rPr>
          <w:sz w:val="20"/>
          <w:szCs w:val="20"/>
        </w:rPr>
        <w:t>right of payment to any future subordinated indebtedness and equally in right of payment with any future senior indebtedness. The Senior Notes are structurally subordinated to, which means they rank effectively behind, any debt and other liabilities of the</w:t>
      </w:r>
      <w:r>
        <w:rPr>
          <w:sz w:val="20"/>
          <w:szCs w:val="20"/>
        </w:rPr>
        <w:t xml:space="preserve"> Operating Partnership. The Partnership is permitted to redeem some or all of the Senior Notes at redemption prices and times as specified in the indentures governing the Senior Notes. The Senior Notes each have a change of control provision that would req</w:t>
      </w:r>
      <w:r>
        <w:rPr>
          <w:sz w:val="20"/>
          <w:szCs w:val="20"/>
        </w:rPr>
        <w:t>uire the Partnership to offer to repurchase the notes at</w:t>
      </w:r>
      <w:r>
        <w:rPr>
          <w:sz w:val="20"/>
          <w:szCs w:val="20"/>
        </w:rPr>
        <w:t xml:space="preserve"> </w:t>
      </w:r>
      <w:r>
        <w:rPr>
          <w:sz w:val="20"/>
          <w:szCs w:val="20"/>
        </w:rPr>
        <w:t>10</w:t>
      </w:r>
      <w:r>
        <w:rPr>
          <w:sz w:val="20"/>
          <w:szCs w:val="20"/>
        </w:rPr>
        <w:t>1</w:t>
      </w:r>
      <w:r>
        <w:rPr>
          <w:sz w:val="20"/>
          <w:szCs w:val="20"/>
        </w:rPr>
        <w:t>% of the principal amount repurchased, if a change of control, as defined in the indentures governing the terms of the Senior Notes, occurs and is followed by a rating decline (a decrease in the r</w:t>
      </w:r>
      <w:r>
        <w:rPr>
          <w:sz w:val="20"/>
          <w:szCs w:val="20"/>
        </w:rPr>
        <w:t>ating of the notes by either Moody’s Investors Service or Standard and Poor’s Rating Group by one or more gradations) within</w:t>
      </w:r>
      <w:r>
        <w:rPr>
          <w:sz w:val="20"/>
          <w:szCs w:val="20"/>
        </w:rPr>
        <w:t xml:space="preserve"> </w:t>
      </w:r>
      <w:r>
        <w:rPr>
          <w:sz w:val="20"/>
          <w:szCs w:val="20"/>
        </w:rPr>
        <w:t>9</w:t>
      </w:r>
      <w:r>
        <w:rPr>
          <w:sz w:val="20"/>
          <w:szCs w:val="20"/>
        </w:rPr>
        <w:t>0</w:t>
      </w:r>
      <w:r>
        <w:rPr>
          <w:sz w:val="20"/>
          <w:szCs w:val="20"/>
        </w:rPr>
        <w:t xml:space="preserve"> days of the consummation of the change of control</w:t>
      </w:r>
      <w:r>
        <w:rPr>
          <w:sz w:val="20"/>
          <w:szCs w:val="20"/>
        </w:rPr>
        <w:t>.</w:t>
      </w:r>
    </w:p>
    <w:p w:rsidR="00000000" w:rsidRDefault="00BC3404">
      <w:pPr>
        <w:pStyle w:val="a3"/>
        <w:spacing w:before="240" w:beforeAutospacing="0" w:after="0" w:afterAutospacing="0"/>
        <w:jc w:val="both"/>
        <w:divId w:val="1992757435"/>
        <w:rPr>
          <w:sz w:val="20"/>
          <w:szCs w:val="20"/>
        </w:rPr>
      </w:pPr>
      <w:r>
        <w:rPr>
          <w:b/>
          <w:bCs/>
          <w:sz w:val="20"/>
          <w:szCs w:val="20"/>
        </w:rPr>
        <w:t>Credit Agreement.</w:t>
      </w:r>
      <w:r>
        <w:rPr>
          <w:b/>
          <w:bCs/>
          <w:sz w:val="20"/>
          <w:szCs w:val="20"/>
        </w:rPr>
        <w:t xml:space="preserve"> </w:t>
      </w:r>
      <w:r>
        <w:rPr>
          <w:sz w:val="20"/>
          <w:szCs w:val="20"/>
        </w:rPr>
        <w:t>The Operating Partnership has an amended and restated credi</w:t>
      </w:r>
      <w:r>
        <w:rPr>
          <w:sz w:val="20"/>
          <w:szCs w:val="20"/>
        </w:rPr>
        <w:t xml:space="preserve">t agreement dated March 5, 2020 (the “Credit Agreement”) that provides for a </w:t>
      </w:r>
      <w:r>
        <w:rPr>
          <w:sz w:val="20"/>
          <w:szCs w:val="20"/>
        </w:rPr>
        <w:t>$</w:t>
      </w:r>
      <w:r>
        <w:rPr>
          <w:sz w:val="20"/>
          <w:szCs w:val="20"/>
        </w:rPr>
        <w:t>500,00</w:t>
      </w:r>
      <w:r>
        <w:rPr>
          <w:sz w:val="20"/>
          <w:szCs w:val="20"/>
        </w:rPr>
        <w:t>0</w:t>
      </w:r>
      <w:r>
        <w:rPr>
          <w:sz w:val="20"/>
          <w:szCs w:val="20"/>
        </w:rPr>
        <w:t xml:space="preserve"> revolving credit facility (the “Revolving Credit Facility”), of which </w:t>
      </w:r>
      <w:r>
        <w:rPr>
          <w:sz w:val="20"/>
          <w:szCs w:val="20"/>
        </w:rPr>
        <w:t>$</w:t>
      </w:r>
      <w:r>
        <w:rPr>
          <w:sz w:val="20"/>
          <w:szCs w:val="20"/>
        </w:rPr>
        <w:t>123,50</w:t>
      </w:r>
      <w:r>
        <w:rPr>
          <w:sz w:val="20"/>
          <w:szCs w:val="20"/>
        </w:rPr>
        <w:t>0</w:t>
      </w:r>
      <w:r>
        <w:rPr>
          <w:sz w:val="20"/>
          <w:szCs w:val="20"/>
        </w:rPr>
        <w:t xml:space="preserve"> and </w:t>
      </w:r>
      <w:r>
        <w:rPr>
          <w:sz w:val="20"/>
          <w:szCs w:val="20"/>
        </w:rPr>
        <w:t>$</w:t>
      </w:r>
      <w:r>
        <w:rPr>
          <w:sz w:val="20"/>
          <w:szCs w:val="20"/>
        </w:rPr>
        <w:t>89,60</w:t>
      </w:r>
      <w:r>
        <w:rPr>
          <w:sz w:val="20"/>
          <w:szCs w:val="20"/>
        </w:rPr>
        <w:t>0</w:t>
      </w:r>
      <w:r>
        <w:rPr>
          <w:sz w:val="20"/>
          <w:szCs w:val="20"/>
        </w:rPr>
        <w:t xml:space="preserve"> was outstanding as of December 24, 2022 and September 24, 2022, respectively. T</w:t>
      </w:r>
      <w:r>
        <w:rPr>
          <w:sz w:val="20"/>
          <w:szCs w:val="20"/>
        </w:rPr>
        <w:t>he Revolving Credit Facility matures on</w:t>
      </w:r>
      <w:r>
        <w:rPr>
          <w:sz w:val="20"/>
          <w:szCs w:val="20"/>
        </w:rPr>
        <w:t xml:space="preserve"> </w:t>
      </w:r>
      <w:r>
        <w:rPr>
          <w:sz w:val="20"/>
          <w:szCs w:val="20"/>
        </w:rPr>
        <w:t>March 5, 202</w:t>
      </w:r>
      <w:r>
        <w:rPr>
          <w:sz w:val="20"/>
          <w:szCs w:val="20"/>
        </w:rPr>
        <w:t>5</w:t>
      </w:r>
      <w:r>
        <w:rPr>
          <w:sz w:val="20"/>
          <w:szCs w:val="20"/>
        </w:rPr>
        <w:t>. Borrowings under the Revolving Credit Facility may be used for general corporate purposes, including working capital, capital expenditures and acquisitions. The Operating Partnership has the right to p</w:t>
      </w:r>
      <w:r>
        <w:rPr>
          <w:sz w:val="20"/>
          <w:szCs w:val="20"/>
        </w:rPr>
        <w:t>repay any borrowings under the Revolving Credit Facility, in whole or in part, without penalty at any time prior to maturity</w:t>
      </w:r>
      <w:r>
        <w:rPr>
          <w:sz w:val="20"/>
          <w:szCs w:val="20"/>
        </w:rPr>
        <w:t>.</w:t>
      </w:r>
    </w:p>
    <w:p w:rsidR="00000000" w:rsidRDefault="00BC3404">
      <w:pPr>
        <w:pStyle w:val="a3"/>
        <w:spacing w:before="240" w:beforeAutospacing="0" w:after="0" w:afterAutospacing="0"/>
        <w:jc w:val="both"/>
        <w:divId w:val="1992757435"/>
        <w:rPr>
          <w:sz w:val="20"/>
          <w:szCs w:val="20"/>
        </w:rPr>
      </w:pPr>
      <w:r>
        <w:rPr>
          <w:sz w:val="20"/>
          <w:szCs w:val="20"/>
        </w:rPr>
        <w:t>The Credit Agreement contains certain restrictive and affirmative covenants applicable to the Operating Partnership, its subsidiar</w:t>
      </w:r>
      <w:r>
        <w:rPr>
          <w:sz w:val="20"/>
          <w:szCs w:val="20"/>
        </w:rPr>
        <w:t>ies and the Partnership, as well as certain financial covenants, including (a) requiring the Partnership’s Consolidated Interest Coverage Ratio, as defined in the Credit Agreement, to be not less than</w:t>
      </w:r>
      <w:r>
        <w:rPr>
          <w:sz w:val="20"/>
          <w:szCs w:val="20"/>
        </w:rPr>
        <w:t xml:space="preserve"> </w:t>
      </w:r>
      <w:r>
        <w:rPr>
          <w:sz w:val="20"/>
          <w:szCs w:val="20"/>
        </w:rPr>
        <w:t>2.</w:t>
      </w:r>
      <w:r>
        <w:rPr>
          <w:sz w:val="20"/>
          <w:szCs w:val="20"/>
        </w:rPr>
        <w:t>5</w:t>
      </w:r>
      <w:r>
        <w:rPr>
          <w:sz w:val="20"/>
          <w:szCs w:val="20"/>
        </w:rPr>
        <w:t xml:space="preserve"> to 1.0 as of the end of any fiscal quarter, (b) pro</w:t>
      </w:r>
      <w:r>
        <w:rPr>
          <w:sz w:val="20"/>
          <w:szCs w:val="20"/>
        </w:rPr>
        <w:t>hibiting the Total Consolidated Leverage Ratio, as defined in the Credit Agreement, of the Partnership from being greater than</w:t>
      </w:r>
      <w:r>
        <w:rPr>
          <w:sz w:val="20"/>
          <w:szCs w:val="20"/>
        </w:rPr>
        <w:t xml:space="preserve"> </w:t>
      </w:r>
      <w:r>
        <w:rPr>
          <w:sz w:val="20"/>
          <w:szCs w:val="20"/>
        </w:rPr>
        <w:t>5.7</w:t>
      </w:r>
      <w:r>
        <w:rPr>
          <w:sz w:val="20"/>
          <w:szCs w:val="20"/>
        </w:rPr>
        <w:t>5</w:t>
      </w:r>
      <w:r>
        <w:rPr>
          <w:sz w:val="20"/>
          <w:szCs w:val="20"/>
        </w:rPr>
        <w:t xml:space="preserve"> to 1.0, and (c) prohibiting the Senior Secured Consolidated Leverage Ratio, as defined in the Credit Agreement, of the Opera</w:t>
      </w:r>
      <w:r>
        <w:rPr>
          <w:sz w:val="20"/>
          <w:szCs w:val="20"/>
        </w:rPr>
        <w:t>ting Partnership from being greater than</w:t>
      </w:r>
      <w:r>
        <w:rPr>
          <w:sz w:val="20"/>
          <w:szCs w:val="20"/>
        </w:rPr>
        <w:t xml:space="preserve"> </w:t>
      </w:r>
      <w:r>
        <w:rPr>
          <w:sz w:val="20"/>
          <w:szCs w:val="20"/>
        </w:rPr>
        <w:t>3.2</w:t>
      </w:r>
      <w:r>
        <w:rPr>
          <w:sz w:val="20"/>
          <w:szCs w:val="20"/>
        </w:rPr>
        <w:t>5</w:t>
      </w:r>
      <w:r>
        <w:rPr>
          <w:sz w:val="20"/>
          <w:szCs w:val="20"/>
        </w:rPr>
        <w:t xml:space="preserve"> to 1.0 as of the end of any fiscal quarter</w:t>
      </w:r>
      <w:r>
        <w:rPr>
          <w:sz w:val="20"/>
          <w:szCs w:val="20"/>
        </w:rPr>
        <w:t>.</w:t>
      </w:r>
      <w:r>
        <w:rPr>
          <w:sz w:val="20"/>
          <w:szCs w:val="20"/>
        </w:rPr>
        <w:t xml:space="preserve"> </w:t>
      </w:r>
    </w:p>
    <w:p w:rsidR="00000000" w:rsidRDefault="00BC3404">
      <w:pPr>
        <w:pStyle w:val="a3"/>
        <w:spacing w:before="240" w:beforeAutospacing="0" w:after="0" w:afterAutospacing="0"/>
        <w:jc w:val="both"/>
        <w:divId w:val="1992757435"/>
        <w:rPr>
          <w:sz w:val="20"/>
          <w:szCs w:val="20"/>
        </w:rPr>
      </w:pPr>
      <w:r>
        <w:rPr>
          <w:sz w:val="20"/>
          <w:szCs w:val="20"/>
        </w:rPr>
        <w:t>The Partnership and certain subsidiaries of the Operating Partnership act as guarantors with respect to the obligations of the Operating Partnership under the Credit</w:t>
      </w:r>
      <w:r>
        <w:rPr>
          <w:sz w:val="20"/>
          <w:szCs w:val="20"/>
        </w:rPr>
        <w:t xml:space="preserve"> Agreement pursuant to the terms and conditions set forth therein. The obligations under the Credit Agreement are secured by liens on substantially all of the personal property of the Partnership, the Operating Partnership and their subsidiaries, as well a</w:t>
      </w:r>
      <w:r>
        <w:rPr>
          <w:sz w:val="20"/>
          <w:szCs w:val="20"/>
        </w:rPr>
        <w:t>s mortgages on certain real property</w:t>
      </w:r>
      <w:r>
        <w:rPr>
          <w:sz w:val="20"/>
          <w:szCs w:val="20"/>
        </w:rPr>
        <w:t>.</w:t>
      </w:r>
    </w:p>
    <w:p w:rsidR="00000000" w:rsidRDefault="00BC3404">
      <w:pPr>
        <w:pStyle w:val="a3"/>
        <w:spacing w:before="240" w:beforeAutospacing="0" w:after="0" w:afterAutospacing="0"/>
        <w:jc w:val="both"/>
        <w:divId w:val="1992757435"/>
        <w:rPr>
          <w:sz w:val="20"/>
          <w:szCs w:val="20"/>
        </w:rPr>
      </w:pPr>
      <w:r>
        <w:rPr>
          <w:sz w:val="20"/>
          <w:szCs w:val="20"/>
        </w:rPr>
        <w:t>As of December 24, 2022, borrowings under the Revolving Credit Facility bear interest at prevailing interest rates based upon, at the Operating Partnership’s option, LIBOR plus the Applicable Rate, or the base rate, de</w:t>
      </w:r>
      <w:r>
        <w:rPr>
          <w:sz w:val="20"/>
          <w:szCs w:val="20"/>
        </w:rPr>
        <w:t>fined as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 of 1</w:t>
      </w:r>
      <w:r>
        <w:rPr>
          <w:sz w:val="20"/>
          <w:szCs w:val="20"/>
        </w:rPr>
        <w:t>%</w:t>
      </w:r>
      <w:r>
        <w:rPr>
          <w:sz w:val="20"/>
          <w:szCs w:val="20"/>
        </w:rPr>
        <w:t>, the administrative agent bank’s prime rate, or</w:t>
      </w:r>
      <w:r>
        <w:rPr>
          <w:sz w:val="20"/>
          <w:szCs w:val="20"/>
        </w:rPr>
        <w:t xml:space="preserve"> </w:t>
      </w:r>
      <w:r>
        <w:rPr>
          <w:sz w:val="20"/>
          <w:szCs w:val="20"/>
        </w:rPr>
        <w:t>LIBO</w:t>
      </w:r>
      <w:r>
        <w:rPr>
          <w:sz w:val="20"/>
          <w:szCs w:val="20"/>
        </w:rPr>
        <w:t>R</w:t>
      </w:r>
      <w:r>
        <w:rPr>
          <w:sz w:val="20"/>
          <w:szCs w:val="20"/>
        </w:rPr>
        <w:t xml:space="preserve"> plus</w:t>
      </w:r>
      <w:r>
        <w:rPr>
          <w:sz w:val="20"/>
          <w:szCs w:val="20"/>
        </w:rPr>
        <w:t xml:space="preserve"> </w:t>
      </w:r>
      <w:r>
        <w:rPr>
          <w:sz w:val="20"/>
          <w:szCs w:val="20"/>
        </w:rPr>
        <w:t>1</w:t>
      </w:r>
      <w:r>
        <w:rPr>
          <w:sz w:val="20"/>
          <w:szCs w:val="20"/>
        </w:rPr>
        <w:t>%, plus in each case the Applicable Rate. The Applicable Rate is dependent upon the Partnership’s Total Consolidated Leverage Ratio. As o</w:t>
      </w:r>
      <w:r>
        <w:rPr>
          <w:sz w:val="20"/>
          <w:szCs w:val="20"/>
        </w:rPr>
        <w:t>f</w:t>
      </w:r>
      <w:r>
        <w:rPr>
          <w:sz w:val="20"/>
          <w:szCs w:val="20"/>
        </w:rPr>
        <w:t xml:space="preserve"> </w:t>
      </w:r>
      <w:r>
        <w:rPr>
          <w:sz w:val="20"/>
          <w:szCs w:val="20"/>
        </w:rPr>
        <w:t>December 24, 202</w:t>
      </w:r>
      <w:r>
        <w:rPr>
          <w:sz w:val="20"/>
          <w:szCs w:val="20"/>
        </w:rPr>
        <w:t>2</w:t>
      </w:r>
      <w:r>
        <w:rPr>
          <w:sz w:val="20"/>
          <w:szCs w:val="20"/>
        </w:rPr>
        <w:t>, the interest rate for borrowings under the Revolving Credit Facility was approximately</w:t>
      </w:r>
      <w:r>
        <w:rPr>
          <w:sz w:val="20"/>
          <w:szCs w:val="20"/>
        </w:rPr>
        <w:t xml:space="preserve"> </w:t>
      </w:r>
      <w:r>
        <w:rPr>
          <w:sz w:val="20"/>
          <w:szCs w:val="20"/>
        </w:rPr>
        <w:t>6.5</w:t>
      </w:r>
      <w:r>
        <w:rPr>
          <w:sz w:val="20"/>
          <w:szCs w:val="20"/>
        </w:rPr>
        <w:t>0</w:t>
      </w:r>
      <w:r>
        <w:rPr>
          <w:sz w:val="20"/>
          <w:szCs w:val="20"/>
        </w:rPr>
        <w:t>%. The interest rate and the Applicable Rate will be reset following the end of each calendar quarter. On December 28, 2022, the Operating Partn</w:t>
      </w:r>
      <w:r>
        <w:rPr>
          <w:sz w:val="20"/>
          <w:szCs w:val="20"/>
        </w:rPr>
        <w:t>ership amended the Credit Agreement to, among other things, replace the LIBOR component of the borrowing rate with a term rate based on the Secured Overnight Financing Rate (“SOFR”). See Note 19, “Subsequent Events” for more information</w:t>
      </w:r>
      <w:r>
        <w:rPr>
          <w:sz w:val="20"/>
          <w:szCs w:val="20"/>
        </w:rPr>
        <w:t>.</w:t>
      </w:r>
    </w:p>
    <w:p w:rsidR="00000000" w:rsidRDefault="00BC3404">
      <w:pPr>
        <w:pStyle w:val="a3"/>
        <w:spacing w:before="240" w:beforeAutospacing="0" w:after="0" w:afterAutospacing="0"/>
        <w:jc w:val="both"/>
        <w:divId w:val="1992757435"/>
        <w:rPr>
          <w:sz w:val="20"/>
          <w:szCs w:val="20"/>
        </w:rPr>
      </w:pPr>
      <w:r>
        <w:rPr>
          <w:sz w:val="20"/>
          <w:szCs w:val="20"/>
        </w:rPr>
        <w:t>As of December 24,</w:t>
      </w:r>
      <w:r>
        <w:rPr>
          <w:sz w:val="20"/>
          <w:szCs w:val="20"/>
        </w:rPr>
        <w:t xml:space="preserve"> 2022, the Partnership had standby letters of credit issued under the Revolving Credit Facility of </w:t>
      </w:r>
      <w:r>
        <w:rPr>
          <w:sz w:val="20"/>
          <w:szCs w:val="20"/>
        </w:rPr>
        <w:t>$</w:t>
      </w:r>
      <w:r>
        <w:rPr>
          <w:sz w:val="20"/>
          <w:szCs w:val="20"/>
        </w:rPr>
        <w:t>50,86</w:t>
      </w:r>
      <w:r>
        <w:rPr>
          <w:sz w:val="20"/>
          <w:szCs w:val="20"/>
        </w:rPr>
        <w:t>2</w:t>
      </w:r>
      <w:r>
        <w:rPr>
          <w:sz w:val="20"/>
          <w:szCs w:val="20"/>
        </w:rPr>
        <w:t xml:space="preserve"> which expire periodically through</w:t>
      </w:r>
      <w:r>
        <w:rPr>
          <w:sz w:val="20"/>
          <w:szCs w:val="20"/>
        </w:rPr>
        <w:t xml:space="preserve"> </w:t>
      </w:r>
      <w:r>
        <w:rPr>
          <w:sz w:val="20"/>
          <w:szCs w:val="20"/>
        </w:rPr>
        <w:t>November 21, 202</w:t>
      </w:r>
      <w:r>
        <w:rPr>
          <w:sz w:val="20"/>
          <w:szCs w:val="20"/>
        </w:rPr>
        <w:t>3</w:t>
      </w:r>
      <w:r>
        <w:rPr>
          <w:sz w:val="20"/>
          <w:szCs w:val="20"/>
        </w:rPr>
        <w:t>.</w:t>
      </w:r>
    </w:p>
    <w:p w:rsidR="00000000" w:rsidRDefault="00BC3404">
      <w:pPr>
        <w:pStyle w:val="a3"/>
        <w:spacing w:before="240" w:beforeAutospacing="0" w:after="0" w:afterAutospacing="0"/>
        <w:jc w:val="both"/>
        <w:divId w:val="1992757435"/>
        <w:rPr>
          <w:sz w:val="20"/>
          <w:szCs w:val="20"/>
        </w:rPr>
      </w:pPr>
      <w:r>
        <w:rPr>
          <w:sz w:val="20"/>
          <w:szCs w:val="20"/>
        </w:rPr>
        <w:t>The Credit Agreement and the Senior Notes both contain various restrictive and affirmative coven</w:t>
      </w:r>
      <w:r>
        <w:rPr>
          <w:sz w:val="20"/>
          <w:szCs w:val="20"/>
        </w:rPr>
        <w:t>ants applicable to the Operating Partnership, its subsidiaries and the Partnership, respectively, including (i) restrictions on the incurrence of additional indebtedness, and (ii) restrictions on certain liens, investments, guarantees, loans, advances, pay</w:t>
      </w:r>
      <w:r>
        <w:rPr>
          <w:sz w:val="20"/>
          <w:szCs w:val="20"/>
        </w:rPr>
        <w:t>ments, mergers, consolidations, distributions, sales of assets and other transactions. Under the Credit Agreement and the indentures governing the Senior Notes, the Operating Partnership and the Partnership are generally permitted to make cash distribution</w:t>
      </w:r>
      <w:r>
        <w:rPr>
          <w:sz w:val="20"/>
          <w:szCs w:val="20"/>
        </w:rPr>
        <w:t>s equal to available cash, as defined, as of the end of the immediately preceding quarter, if no event of default exists or would exist upon making such distributions, and with respect to the indentures governing the Senior Notes, the Partnership’s Consoli</w:t>
      </w:r>
      <w:r>
        <w:rPr>
          <w:sz w:val="20"/>
          <w:szCs w:val="20"/>
        </w:rPr>
        <w:t>dated Fixed Charge Coverage Ratio, as defined, is greater than</w:t>
      </w:r>
      <w:r>
        <w:rPr>
          <w:sz w:val="20"/>
          <w:szCs w:val="20"/>
        </w:rPr>
        <w:t xml:space="preserve"> </w:t>
      </w:r>
      <w:r>
        <w:rPr>
          <w:sz w:val="20"/>
          <w:szCs w:val="20"/>
        </w:rPr>
        <w:t>1.7</w:t>
      </w:r>
      <w:r>
        <w:rPr>
          <w:sz w:val="20"/>
          <w:szCs w:val="20"/>
        </w:rPr>
        <w:t>5</w:t>
      </w:r>
      <w:r>
        <w:rPr>
          <w:sz w:val="20"/>
          <w:szCs w:val="20"/>
        </w:rPr>
        <w:t xml:space="preserve"> to</w:t>
      </w:r>
      <w:r>
        <w:rPr>
          <w:sz w:val="20"/>
          <w:szCs w:val="20"/>
        </w:rPr>
        <w:t xml:space="preserve"> </w:t>
      </w:r>
      <w:r>
        <w:rPr>
          <w:sz w:val="20"/>
          <w:szCs w:val="20"/>
        </w:rPr>
        <w:t>1. Th</w:t>
      </w:r>
      <w:r>
        <w:rPr>
          <w:sz w:val="20"/>
          <w:szCs w:val="20"/>
        </w:rPr>
        <w:t>e</w:t>
      </w:r>
      <w:r>
        <w:rPr>
          <w:sz w:val="20"/>
          <w:szCs w:val="20"/>
        </w:rPr>
        <w:t xml:space="preserve"> </w:t>
      </w:r>
    </w:p>
    <w:p w:rsidR="00000000" w:rsidRDefault="00BC3404">
      <w:pPr>
        <w:pStyle w:val="a3"/>
        <w:spacing w:before="0" w:beforeAutospacing="0" w:after="0" w:afterAutospacing="0"/>
        <w:jc w:val="center"/>
        <w:divId w:val="1992757435"/>
        <w:rPr>
          <w:sz w:val="20"/>
          <w:szCs w:val="20"/>
        </w:rPr>
      </w:pPr>
      <w:r>
        <w:rPr>
          <w:sz w:val="20"/>
          <w:szCs w:val="20"/>
        </w:rPr>
        <w:t> </w:t>
      </w:r>
    </w:p>
    <w:p w:rsidR="00000000" w:rsidRDefault="00BC3404">
      <w:pPr>
        <w:pStyle w:val="a3"/>
        <w:spacing w:before="0" w:beforeAutospacing="0" w:after="0" w:afterAutospacing="0"/>
        <w:jc w:val="center"/>
        <w:divId w:val="1992757435"/>
        <w:rPr>
          <w:sz w:val="20"/>
          <w:szCs w:val="20"/>
        </w:rPr>
      </w:pPr>
      <w:r>
        <w:rPr>
          <w:sz w:val="20"/>
          <w:szCs w:val="20"/>
        </w:rPr>
        <w:t>1</w:t>
      </w:r>
      <w:r>
        <w:rPr>
          <w:sz w:val="20"/>
          <w:szCs w:val="20"/>
        </w:rPr>
        <w:t>4</w:t>
      </w:r>
    </w:p>
    <w:p w:rsidR="00000000" w:rsidRDefault="00BC3404">
      <w:pPr>
        <w:divId w:val="1992757435"/>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BC3404">
      <w:pPr>
        <w:pStyle w:val="a3"/>
        <w:spacing w:before="0" w:beforeAutospacing="0" w:after="0" w:afterAutospacing="0"/>
        <w:divId w:val="1992757435"/>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1992757435"/>
        <w:rPr>
          <w:sz w:val="20"/>
          <w:szCs w:val="20"/>
        </w:rPr>
      </w:pPr>
      <w:r>
        <w:rPr>
          <w:sz w:val="20"/>
          <w:szCs w:val="20"/>
        </w:rPr>
        <w:t>Partnership</w:t>
      </w:r>
      <w:r>
        <w:rPr>
          <w:sz w:val="20"/>
          <w:szCs w:val="20"/>
        </w:rPr>
        <w:t xml:space="preserve"> </w:t>
      </w:r>
      <w:r>
        <w:rPr>
          <w:sz w:val="20"/>
          <w:szCs w:val="20"/>
        </w:rPr>
        <w:t>and the Operating Partnership were in compli</w:t>
      </w:r>
      <w:r>
        <w:rPr>
          <w:sz w:val="20"/>
          <w:szCs w:val="20"/>
        </w:rPr>
        <w:t>ance with all covenants and terms of the Senior Notes and the Credit Agreement as of December 24, 2022</w:t>
      </w:r>
      <w:r>
        <w:rPr>
          <w:sz w:val="20"/>
          <w:szCs w:val="20"/>
        </w:rPr>
        <w:t>.</w:t>
      </w:r>
    </w:p>
    <w:p w:rsidR="00000000" w:rsidRDefault="00BC3404">
      <w:pPr>
        <w:pStyle w:val="a3"/>
        <w:spacing w:before="240" w:beforeAutospacing="0" w:after="0" w:afterAutospacing="0"/>
        <w:jc w:val="both"/>
        <w:divId w:val="1992757435"/>
        <w:rPr>
          <w:sz w:val="20"/>
          <w:szCs w:val="20"/>
        </w:rPr>
      </w:pPr>
      <w:r>
        <w:rPr>
          <w:sz w:val="20"/>
          <w:szCs w:val="20"/>
        </w:rPr>
        <w:t>The aggregate amounts of long-term debt maturities subsequent to December 24, 202</w:t>
      </w:r>
      <w:r>
        <w:rPr>
          <w:sz w:val="20"/>
          <w:szCs w:val="20"/>
        </w:rPr>
        <w:t>2</w:t>
      </w:r>
      <w:r>
        <w:rPr>
          <w:sz w:val="20"/>
          <w:szCs w:val="20"/>
        </w:rPr>
        <w:t xml:space="preserve"> are as follows: fiscal 2023: $</w:t>
      </w:r>
      <w:r>
        <w:rPr>
          <w:sz w:val="20"/>
          <w:szCs w:val="20"/>
        </w:rPr>
        <w:t>-</w:t>
      </w:r>
      <w:r>
        <w:rPr>
          <w:sz w:val="20"/>
          <w:szCs w:val="20"/>
        </w:rPr>
        <w:t>0</w:t>
      </w:r>
      <w:r>
        <w:rPr>
          <w:sz w:val="20"/>
          <w:szCs w:val="20"/>
        </w:rPr>
        <w:t>-; fiscal 2024: $</w:t>
      </w:r>
      <w:r>
        <w:rPr>
          <w:sz w:val="20"/>
          <w:szCs w:val="20"/>
        </w:rPr>
        <w:t>-</w:t>
      </w:r>
      <w:r>
        <w:rPr>
          <w:sz w:val="20"/>
          <w:szCs w:val="20"/>
        </w:rPr>
        <w:t>0</w:t>
      </w:r>
      <w:r>
        <w:rPr>
          <w:sz w:val="20"/>
          <w:szCs w:val="20"/>
        </w:rPr>
        <w:t xml:space="preserve">-; fiscal 2025: </w:t>
      </w:r>
      <w:r>
        <w:rPr>
          <w:sz w:val="20"/>
          <w:szCs w:val="20"/>
        </w:rPr>
        <w:t>$</w:t>
      </w:r>
      <w:r>
        <w:rPr>
          <w:sz w:val="20"/>
          <w:szCs w:val="20"/>
        </w:rPr>
        <w:t>1</w:t>
      </w:r>
      <w:r>
        <w:rPr>
          <w:sz w:val="20"/>
          <w:szCs w:val="20"/>
        </w:rPr>
        <w:t>23,50</w:t>
      </w:r>
      <w:r>
        <w:rPr>
          <w:sz w:val="20"/>
          <w:szCs w:val="20"/>
        </w:rPr>
        <w:t>0</w:t>
      </w:r>
      <w:r>
        <w:rPr>
          <w:sz w:val="20"/>
          <w:szCs w:val="20"/>
        </w:rPr>
        <w:t>; fiscal 2026: $</w:t>
      </w:r>
      <w:r>
        <w:rPr>
          <w:sz w:val="20"/>
          <w:szCs w:val="20"/>
        </w:rPr>
        <w:t>-</w:t>
      </w:r>
      <w:r>
        <w:rPr>
          <w:sz w:val="20"/>
          <w:szCs w:val="20"/>
        </w:rPr>
        <w:t>0</w:t>
      </w:r>
      <w:r>
        <w:rPr>
          <w:sz w:val="20"/>
          <w:szCs w:val="20"/>
        </w:rPr>
        <w:t xml:space="preserve">-; fiscal 2027: </w:t>
      </w:r>
      <w:r>
        <w:rPr>
          <w:sz w:val="20"/>
          <w:szCs w:val="20"/>
        </w:rPr>
        <w:t>$</w:t>
      </w:r>
      <w:r>
        <w:rPr>
          <w:sz w:val="20"/>
          <w:szCs w:val="20"/>
        </w:rPr>
        <w:t>350,00</w:t>
      </w:r>
      <w:r>
        <w:rPr>
          <w:sz w:val="20"/>
          <w:szCs w:val="20"/>
        </w:rPr>
        <w:t>0</w:t>
      </w:r>
      <w:r>
        <w:rPr>
          <w:sz w:val="20"/>
          <w:szCs w:val="20"/>
        </w:rPr>
        <w:t xml:space="preserve">; and thereafter: </w:t>
      </w:r>
      <w:r>
        <w:rPr>
          <w:sz w:val="20"/>
          <w:szCs w:val="20"/>
        </w:rPr>
        <w:t>$</w:t>
      </w:r>
      <w:r>
        <w:rPr>
          <w:sz w:val="20"/>
          <w:szCs w:val="20"/>
        </w:rPr>
        <w:t>650,00</w:t>
      </w:r>
      <w:r>
        <w:rPr>
          <w:sz w:val="20"/>
          <w:szCs w:val="20"/>
        </w:rPr>
        <w:t>0</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1334719264"/>
        <w:rPr>
          <w:rFonts w:eastAsia="Times New Roman"/>
          <w:sz w:val="20"/>
          <w:szCs w:val="20"/>
        </w:rPr>
      </w:pPr>
      <w:r>
        <w:rPr>
          <w:rFonts w:eastAsia="Times New Roman"/>
          <w:b/>
          <w:bCs/>
          <w:sz w:val="20"/>
          <w:szCs w:val="20"/>
        </w:rPr>
        <w:t>11</w:t>
      </w:r>
      <w:r>
        <w:rPr>
          <w:rFonts w:eastAsia="Times New Roman"/>
          <w:b/>
          <w:bCs/>
          <w:sz w:val="20"/>
          <w:szCs w:val="20"/>
        </w:rPr>
        <w:t>.</w:t>
      </w:r>
    </w:p>
    <w:p w:rsidR="00000000" w:rsidRDefault="00BC3404">
      <w:pPr>
        <w:jc w:val="both"/>
        <w:divId w:val="1974364826"/>
        <w:rPr>
          <w:rFonts w:eastAsia="Times New Roman"/>
          <w:sz w:val="20"/>
          <w:szCs w:val="20"/>
        </w:rPr>
      </w:pPr>
      <w:r>
        <w:rPr>
          <w:rFonts w:eastAsia="Times New Roman"/>
          <w:b/>
          <w:bCs/>
          <w:sz w:val="20"/>
          <w:szCs w:val="20"/>
        </w:rPr>
        <w:t>Distributions of Available Cas</w:t>
      </w:r>
      <w:r>
        <w:rPr>
          <w:rFonts w:eastAsia="Times New Roman"/>
          <w:b/>
          <w:bCs/>
          <w:sz w:val="20"/>
          <w:szCs w:val="20"/>
        </w:rPr>
        <w:t>h</w:t>
      </w:r>
    </w:p>
    <w:p w:rsidR="00000000" w:rsidRDefault="00BC3404">
      <w:pPr>
        <w:pStyle w:val="a3"/>
        <w:spacing w:before="120" w:beforeAutospacing="0" w:after="0" w:afterAutospacing="0"/>
        <w:jc w:val="both"/>
        <w:divId w:val="1727291421"/>
        <w:rPr>
          <w:sz w:val="20"/>
          <w:szCs w:val="20"/>
        </w:rPr>
      </w:pPr>
      <w:r>
        <w:rPr>
          <w:sz w:val="20"/>
          <w:szCs w:val="20"/>
        </w:rPr>
        <w:t>The Partnership makes distributions to its partners no later than</w:t>
      </w:r>
      <w:r>
        <w:rPr>
          <w:sz w:val="20"/>
          <w:szCs w:val="20"/>
        </w:rPr>
        <w:t xml:space="preserve"> </w:t>
      </w:r>
      <w:r>
        <w:rPr>
          <w:sz w:val="20"/>
          <w:szCs w:val="20"/>
        </w:rPr>
        <w:t>4</w:t>
      </w:r>
      <w:r>
        <w:rPr>
          <w:sz w:val="20"/>
          <w:szCs w:val="20"/>
        </w:rPr>
        <w:t>5</w:t>
      </w:r>
      <w:r>
        <w:rPr>
          <w:sz w:val="20"/>
          <w:szCs w:val="20"/>
        </w:rPr>
        <w:t xml:space="preserve"> days after the end of each fiscal quarter in an aggregate amount equal to</w:t>
      </w:r>
      <w:r>
        <w:rPr>
          <w:sz w:val="20"/>
          <w:szCs w:val="20"/>
        </w:rPr>
        <w:t xml:space="preserve"> its Available Cash for such quarter. Available Cash, as defined in the Partnership Agreement, generally means all cash on hand at the end of the respective fiscal quarter less the amount of cash reserves established by the Board of Supervisors in its reas</w:t>
      </w:r>
      <w:r>
        <w:rPr>
          <w:sz w:val="20"/>
          <w:szCs w:val="20"/>
        </w:rPr>
        <w:t>onable discretion for future cash requirements. These reserves are retained for the proper conduct of the Partnership’s business, the payment of debt principal and interest and for distributions during the next four quarters</w:t>
      </w:r>
      <w:r>
        <w:rPr>
          <w:sz w:val="20"/>
          <w:szCs w:val="20"/>
        </w:rPr>
        <w:t>.</w:t>
      </w:r>
    </w:p>
    <w:p w:rsidR="00000000" w:rsidRDefault="00BC3404">
      <w:pPr>
        <w:pStyle w:val="a3"/>
        <w:spacing w:before="240" w:beforeAutospacing="0" w:after="0" w:afterAutospacing="0"/>
        <w:jc w:val="both"/>
        <w:divId w:val="1727291421"/>
        <w:rPr>
          <w:sz w:val="20"/>
          <w:szCs w:val="20"/>
        </w:rPr>
      </w:pPr>
      <w:r>
        <w:rPr>
          <w:sz w:val="20"/>
          <w:szCs w:val="20"/>
        </w:rPr>
        <w:t>On</w:t>
      </w:r>
      <w:r>
        <w:rPr>
          <w:sz w:val="20"/>
          <w:szCs w:val="20"/>
        </w:rPr>
        <w:t xml:space="preserve"> </w:t>
      </w:r>
      <w:r>
        <w:rPr>
          <w:sz w:val="20"/>
          <w:szCs w:val="20"/>
        </w:rPr>
        <w:t>January 19, 202</w:t>
      </w:r>
      <w:r>
        <w:rPr>
          <w:sz w:val="20"/>
          <w:szCs w:val="20"/>
        </w:rPr>
        <w:t>3</w:t>
      </w:r>
      <w:r>
        <w:rPr>
          <w:sz w:val="20"/>
          <w:szCs w:val="20"/>
        </w:rPr>
        <w:t>, the Partn</w:t>
      </w:r>
      <w:r>
        <w:rPr>
          <w:sz w:val="20"/>
          <w:szCs w:val="20"/>
        </w:rPr>
        <w:t>ership announced a quarterly distribution</w:t>
      </w:r>
      <w:r>
        <w:rPr>
          <w:sz w:val="20"/>
          <w:szCs w:val="20"/>
        </w:rPr>
        <w:t xml:space="preserve"> </w:t>
      </w:r>
      <w:r>
        <w:rPr>
          <w:sz w:val="20"/>
          <w:szCs w:val="20"/>
        </w:rPr>
        <w:t xml:space="preserve">of </w:t>
      </w:r>
      <w:r>
        <w:rPr>
          <w:sz w:val="20"/>
          <w:szCs w:val="20"/>
        </w:rPr>
        <w:t>$</w:t>
      </w:r>
      <w:r>
        <w:rPr>
          <w:sz w:val="20"/>
          <w:szCs w:val="20"/>
        </w:rPr>
        <w:t>0.32</w:t>
      </w:r>
      <w:r>
        <w:rPr>
          <w:sz w:val="20"/>
          <w:szCs w:val="20"/>
        </w:rPr>
        <w:t>5</w:t>
      </w:r>
      <w:r>
        <w:rPr>
          <w:sz w:val="20"/>
          <w:szCs w:val="20"/>
        </w:rPr>
        <w:t xml:space="preserve"> per Common Unit, or </w:t>
      </w:r>
      <w:r>
        <w:rPr>
          <w:sz w:val="20"/>
          <w:szCs w:val="20"/>
        </w:rPr>
        <w:t>$</w:t>
      </w:r>
      <w:r>
        <w:rPr>
          <w:sz w:val="20"/>
          <w:szCs w:val="20"/>
        </w:rPr>
        <w:t>1.3</w:t>
      </w:r>
      <w:r>
        <w:rPr>
          <w:sz w:val="20"/>
          <w:szCs w:val="20"/>
        </w:rPr>
        <w:t>0</w:t>
      </w:r>
      <w:r>
        <w:rPr>
          <w:sz w:val="20"/>
          <w:szCs w:val="20"/>
        </w:rPr>
        <w:t xml:space="preserve"> </w:t>
      </w:r>
      <w:r>
        <w:rPr>
          <w:sz w:val="20"/>
          <w:szCs w:val="20"/>
        </w:rPr>
        <w:t>p</w:t>
      </w:r>
      <w:r>
        <w:rPr>
          <w:sz w:val="20"/>
          <w:szCs w:val="20"/>
        </w:rPr>
        <w:t>er Common Unit on an annualized basis, in respect of the firs</w:t>
      </w:r>
      <w:r>
        <w:rPr>
          <w:sz w:val="20"/>
          <w:szCs w:val="20"/>
        </w:rPr>
        <w:t>t</w:t>
      </w:r>
      <w:r>
        <w:rPr>
          <w:sz w:val="20"/>
          <w:szCs w:val="20"/>
        </w:rPr>
        <w:t xml:space="preserve"> quarter of fiscal 2023, payable on</w:t>
      </w:r>
      <w:r>
        <w:rPr>
          <w:sz w:val="20"/>
          <w:szCs w:val="20"/>
        </w:rPr>
        <w:t xml:space="preserve"> </w:t>
      </w:r>
      <w:r>
        <w:rPr>
          <w:sz w:val="20"/>
          <w:szCs w:val="20"/>
        </w:rPr>
        <w:t>February 7, 202</w:t>
      </w:r>
      <w:r>
        <w:rPr>
          <w:sz w:val="20"/>
          <w:szCs w:val="20"/>
        </w:rPr>
        <w:t>3</w:t>
      </w:r>
      <w:r>
        <w:rPr>
          <w:sz w:val="20"/>
          <w:szCs w:val="20"/>
        </w:rPr>
        <w:t xml:space="preserve"> to holders of record on</w:t>
      </w:r>
      <w:r>
        <w:rPr>
          <w:sz w:val="20"/>
          <w:szCs w:val="20"/>
        </w:rPr>
        <w:t xml:space="preserve"> </w:t>
      </w:r>
      <w:r>
        <w:rPr>
          <w:sz w:val="20"/>
          <w:szCs w:val="20"/>
        </w:rPr>
        <w:t>January 31, 202</w:t>
      </w:r>
      <w:r>
        <w:rPr>
          <w:sz w:val="20"/>
          <w:szCs w:val="20"/>
        </w:rPr>
        <w:t>3</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645360815"/>
        <w:rPr>
          <w:rFonts w:eastAsia="Times New Roman"/>
        </w:rPr>
      </w:pPr>
      <w:r>
        <w:rPr>
          <w:rFonts w:eastAsia="Times New Roman"/>
          <w:b/>
          <w:bCs/>
          <w:sz w:val="20"/>
          <w:szCs w:val="20"/>
        </w:rPr>
        <w:t>12</w:t>
      </w:r>
      <w:r>
        <w:rPr>
          <w:rFonts w:eastAsia="Times New Roman"/>
          <w:b/>
          <w:bCs/>
          <w:sz w:val="20"/>
          <w:szCs w:val="20"/>
        </w:rPr>
        <w:t>.</w:t>
      </w:r>
    </w:p>
    <w:p w:rsidR="00000000" w:rsidRDefault="00BC3404">
      <w:pPr>
        <w:jc w:val="both"/>
        <w:divId w:val="1448770326"/>
        <w:rPr>
          <w:rFonts w:eastAsia="Times New Roman"/>
        </w:rPr>
      </w:pPr>
      <w:r>
        <w:rPr>
          <w:rFonts w:eastAsia="Times New Roman"/>
          <w:b/>
          <w:bCs/>
          <w:sz w:val="20"/>
          <w:szCs w:val="20"/>
        </w:rPr>
        <w:t>Unit-Based Com</w:t>
      </w:r>
      <w:r>
        <w:rPr>
          <w:rFonts w:eastAsia="Times New Roman"/>
          <w:b/>
          <w:bCs/>
          <w:sz w:val="20"/>
          <w:szCs w:val="20"/>
        </w:rPr>
        <w:t>pensation Arrangement</w:t>
      </w:r>
      <w:r>
        <w:rPr>
          <w:rFonts w:eastAsia="Times New Roman"/>
          <w:b/>
          <w:bCs/>
          <w:sz w:val="20"/>
          <w:szCs w:val="20"/>
        </w:rPr>
        <w:t>s</w:t>
      </w:r>
    </w:p>
    <w:p w:rsidR="00000000" w:rsidRDefault="00BC3404">
      <w:pPr>
        <w:pStyle w:val="a3"/>
        <w:spacing w:before="120" w:beforeAutospacing="0" w:after="0" w:afterAutospacing="0"/>
        <w:jc w:val="both"/>
        <w:divId w:val="1564095437"/>
        <w:rPr>
          <w:sz w:val="20"/>
          <w:szCs w:val="20"/>
        </w:rPr>
      </w:pPr>
      <w:r>
        <w:rPr>
          <w:sz w:val="20"/>
          <w:szCs w:val="20"/>
        </w:rPr>
        <w:t>The Partnership recognizes compensation cost over the respective service period for employee services received in exchange for an award of equity, or equity-based compensation, based on the grant date fair value of the award. The Partnership measures liabi</w:t>
      </w:r>
      <w:r>
        <w:rPr>
          <w:sz w:val="20"/>
          <w:szCs w:val="20"/>
        </w:rPr>
        <w:t>lity awards under an equity-based payment arrangement based on remeasurement of the award’s fair value at the conclusion of each interim and annual reporting period until the date of settlement, taking into consideration the probability that the performanc</w:t>
      </w:r>
      <w:r>
        <w:rPr>
          <w:sz w:val="20"/>
          <w:szCs w:val="20"/>
        </w:rPr>
        <w:t>e conditions will be satisfied</w:t>
      </w:r>
      <w:r>
        <w:rPr>
          <w:sz w:val="20"/>
          <w:szCs w:val="20"/>
        </w:rPr>
        <w:t>.</w:t>
      </w:r>
    </w:p>
    <w:p w:rsidR="00000000" w:rsidRDefault="00BC3404">
      <w:pPr>
        <w:pStyle w:val="a3"/>
        <w:spacing w:before="240" w:beforeAutospacing="0" w:after="0" w:afterAutospacing="0"/>
        <w:jc w:val="both"/>
        <w:divId w:val="1564095437"/>
        <w:rPr>
          <w:sz w:val="20"/>
          <w:szCs w:val="20"/>
        </w:rPr>
      </w:pPr>
      <w:r>
        <w:rPr>
          <w:b/>
          <w:bCs/>
          <w:sz w:val="20"/>
          <w:szCs w:val="20"/>
        </w:rPr>
        <w:t>Restricted Unit Plan</w:t>
      </w:r>
      <w:r>
        <w:rPr>
          <w:b/>
          <w:bCs/>
          <w:sz w:val="20"/>
          <w:szCs w:val="20"/>
        </w:rPr>
        <w:t>.</w:t>
      </w:r>
      <w:r>
        <w:rPr>
          <w:sz w:val="20"/>
          <w:szCs w:val="20"/>
        </w:rPr>
        <w:t xml:space="preserve"> At the Partnership’s Tri-Annual Meeting held on May 15, 2018, the Unitholders approved and the Partnership adopted the Suburban Propane Partners, L.P. 2018 Restricted Unit Plan (the “Restricted Unit Pla</w:t>
      </w:r>
      <w:r>
        <w:rPr>
          <w:sz w:val="20"/>
          <w:szCs w:val="20"/>
        </w:rPr>
        <w:t>n”) authorizing the issuance of up to</w:t>
      </w:r>
      <w:r>
        <w:rPr>
          <w:sz w:val="20"/>
          <w:szCs w:val="20"/>
        </w:rPr>
        <w:t xml:space="preserve"> </w:t>
      </w:r>
      <w:r>
        <w:rPr>
          <w:sz w:val="20"/>
          <w:szCs w:val="20"/>
        </w:rPr>
        <w:t>1,800,00</w:t>
      </w:r>
      <w:r>
        <w:rPr>
          <w:sz w:val="20"/>
          <w:szCs w:val="20"/>
        </w:rPr>
        <w:t>0</w:t>
      </w:r>
      <w:r>
        <w:rPr>
          <w:sz w:val="20"/>
          <w:szCs w:val="20"/>
        </w:rPr>
        <w:t xml:space="preserve"> Common Units to executives, managers and other employees and members of the Board of Supervisors of the Partnership. The Restricted Unit Plan was amended and restated to authorize the issuance of an additiona</w:t>
      </w:r>
      <w:r>
        <w:rPr>
          <w:sz w:val="20"/>
          <w:szCs w:val="20"/>
        </w:rPr>
        <w:t>l</w:t>
      </w:r>
      <w:r>
        <w:rPr>
          <w:sz w:val="20"/>
          <w:szCs w:val="20"/>
        </w:rPr>
        <w:t xml:space="preserve"> </w:t>
      </w:r>
      <w:r>
        <w:rPr>
          <w:sz w:val="20"/>
          <w:szCs w:val="20"/>
        </w:rPr>
        <w:t>1,725,00</w:t>
      </w:r>
      <w:r>
        <w:rPr>
          <w:sz w:val="20"/>
          <w:szCs w:val="20"/>
        </w:rPr>
        <w:t>0</w:t>
      </w:r>
      <w:r>
        <w:rPr>
          <w:sz w:val="20"/>
          <w:szCs w:val="20"/>
        </w:rPr>
        <w:t xml:space="preserve"> Common Units for a total of</w:t>
      </w:r>
      <w:r>
        <w:rPr>
          <w:sz w:val="20"/>
          <w:szCs w:val="20"/>
        </w:rPr>
        <w:t xml:space="preserve"> </w:t>
      </w:r>
      <w:r>
        <w:rPr>
          <w:sz w:val="20"/>
          <w:szCs w:val="20"/>
        </w:rPr>
        <w:t>3,525,00</w:t>
      </w:r>
      <w:r>
        <w:rPr>
          <w:sz w:val="20"/>
          <w:szCs w:val="20"/>
        </w:rPr>
        <w:t>0</w:t>
      </w:r>
      <w:r>
        <w:rPr>
          <w:sz w:val="20"/>
          <w:szCs w:val="20"/>
        </w:rPr>
        <w:t xml:space="preserve"> Common Units by approval of the Unitholders at the Partnership’s Tri-Annual Meeting held on May 18, 2021. Unless otherwise determined by the Compensation Committee of the Partnership’s Board of Supervisors </w:t>
      </w:r>
      <w:r>
        <w:rPr>
          <w:sz w:val="20"/>
          <w:szCs w:val="20"/>
        </w:rPr>
        <w:t>(the “Compensation Committee”) on or before the grant date,</w:t>
      </w:r>
      <w:r>
        <w:rPr>
          <w:sz w:val="20"/>
          <w:szCs w:val="20"/>
        </w:rPr>
        <w:t xml:space="preserve"> </w:t>
      </w:r>
      <w:r>
        <w:rPr>
          <w:sz w:val="20"/>
          <w:szCs w:val="20"/>
        </w:rPr>
        <w:t>33.3</w:t>
      </w:r>
      <w:r>
        <w:rPr>
          <w:sz w:val="20"/>
          <w:szCs w:val="20"/>
        </w:rPr>
        <w:t>3</w:t>
      </w:r>
      <w:r>
        <w:rPr>
          <w:sz w:val="20"/>
          <w:szCs w:val="20"/>
        </w:rPr>
        <w:t>% of all outstanding awards under the Restricted Unit Plan will vest on each of the first three anniversaries of the award grant date. Participants in the Restricted Unit Plan are not eligibl</w:t>
      </w:r>
      <w:r>
        <w:rPr>
          <w:sz w:val="20"/>
          <w:szCs w:val="20"/>
        </w:rPr>
        <w:t>e to receive quarterly distributions on, or vote, their respective restricted units until vested. Restricted units cannot be sold or transferred prior to vesting. The value of each restricted unit is established by the market price of the Common Unit on th</w:t>
      </w:r>
      <w:r>
        <w:rPr>
          <w:sz w:val="20"/>
          <w:szCs w:val="20"/>
        </w:rPr>
        <w:t>e date of grant, net of estimated future distributions during the vesting period. Restricted units are subject to forfeiture in certain circumstances as defined in the Restricted Unit Plan. Compensation expense for the unvested awards is recognized ratably</w:t>
      </w:r>
      <w:r>
        <w:rPr>
          <w:sz w:val="20"/>
          <w:szCs w:val="20"/>
        </w:rPr>
        <w:t xml:space="preserve"> over the vesting periods and is net of estimated forfeitures</w:t>
      </w:r>
      <w:r>
        <w:rPr>
          <w:sz w:val="20"/>
          <w:szCs w:val="20"/>
        </w:rPr>
        <w:t>.</w:t>
      </w:r>
    </w:p>
    <w:p w:rsidR="00000000" w:rsidRDefault="00BC3404">
      <w:pPr>
        <w:pStyle w:val="a3"/>
        <w:spacing w:before="240" w:beforeAutospacing="0" w:after="0" w:afterAutospacing="0"/>
        <w:jc w:val="both"/>
        <w:divId w:val="1564095437"/>
        <w:rPr>
          <w:sz w:val="20"/>
          <w:szCs w:val="20"/>
        </w:rPr>
      </w:pPr>
      <w:r>
        <w:rPr>
          <w:sz w:val="20"/>
          <w:szCs w:val="20"/>
        </w:rPr>
        <w:t>During the three months ended December 24, 202</w:t>
      </w:r>
      <w:r>
        <w:rPr>
          <w:sz w:val="20"/>
          <w:szCs w:val="20"/>
        </w:rPr>
        <w:t>2</w:t>
      </w:r>
      <w:r>
        <w:rPr>
          <w:sz w:val="20"/>
          <w:szCs w:val="20"/>
        </w:rPr>
        <w:t>, the Partnership awarded</w:t>
      </w:r>
      <w:r>
        <w:rPr>
          <w:sz w:val="20"/>
          <w:szCs w:val="20"/>
        </w:rPr>
        <w:t xml:space="preserve"> </w:t>
      </w:r>
      <w:r>
        <w:rPr>
          <w:sz w:val="20"/>
          <w:szCs w:val="20"/>
        </w:rPr>
        <w:t>506,06</w:t>
      </w:r>
      <w:r>
        <w:rPr>
          <w:sz w:val="20"/>
          <w:szCs w:val="20"/>
        </w:rPr>
        <w:t>1</w:t>
      </w:r>
      <w:r>
        <w:rPr>
          <w:sz w:val="20"/>
          <w:szCs w:val="20"/>
        </w:rPr>
        <w:t xml:space="preserve"> restricted units under the Restricted Unit Plan at an aggregate grant date fair value of </w:t>
      </w:r>
      <w:r>
        <w:rPr>
          <w:sz w:val="20"/>
          <w:szCs w:val="20"/>
        </w:rPr>
        <w:t>$</w:t>
      </w:r>
      <w:r>
        <w:rPr>
          <w:sz w:val="20"/>
          <w:szCs w:val="20"/>
        </w:rPr>
        <w:t>6,85</w:t>
      </w:r>
      <w:r>
        <w:rPr>
          <w:sz w:val="20"/>
          <w:szCs w:val="20"/>
        </w:rPr>
        <w:t>9</w:t>
      </w:r>
      <w:r>
        <w:rPr>
          <w:sz w:val="20"/>
          <w:szCs w:val="20"/>
        </w:rPr>
        <w:t>.</w:t>
      </w:r>
      <w:r>
        <w:rPr>
          <w:sz w:val="20"/>
          <w:szCs w:val="20"/>
        </w:rPr>
        <w:t xml:space="preserve"> </w:t>
      </w:r>
      <w:r>
        <w:rPr>
          <w:sz w:val="20"/>
          <w:szCs w:val="20"/>
        </w:rPr>
        <w:t>The following i</w:t>
      </w:r>
      <w:r>
        <w:rPr>
          <w:sz w:val="20"/>
          <w:szCs w:val="20"/>
        </w:rPr>
        <w:t>s a summary of activity for the Restricted Unit Plan for the</w:t>
      </w:r>
      <w:r>
        <w:rPr>
          <w:sz w:val="20"/>
          <w:szCs w:val="20"/>
        </w:rPr>
        <w:t xml:space="preserve"> </w:t>
      </w:r>
      <w:r>
        <w:rPr>
          <w:sz w:val="20"/>
          <w:szCs w:val="20"/>
        </w:rPr>
        <w:t>three months ended December 24, 2022</w:t>
      </w:r>
      <w:r>
        <w:rPr>
          <w:sz w:val="20"/>
          <w:szCs w:val="20"/>
        </w:rPr>
        <w:t>:</w:t>
      </w:r>
    </w:p>
    <w:p w:rsidR="00000000" w:rsidRDefault="00BC3404">
      <w:pPr>
        <w:pStyle w:val="a3"/>
        <w:spacing w:before="0" w:beforeAutospacing="0" w:after="0" w:afterAutospacing="0"/>
        <w:jc w:val="both"/>
        <w:divId w:val="46943853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62"/>
        <w:gridCol w:w="110"/>
        <w:gridCol w:w="110"/>
        <w:gridCol w:w="928"/>
        <w:gridCol w:w="127"/>
        <w:gridCol w:w="110"/>
        <w:gridCol w:w="160"/>
        <w:gridCol w:w="965"/>
        <w:gridCol w:w="142"/>
      </w:tblGrid>
      <w:tr w:rsidR="00000000">
        <w:trPr>
          <w:divId w:val="469438531"/>
          <w:tblCellSpacing w:w="15" w:type="dxa"/>
        </w:trPr>
        <w:tc>
          <w:tcPr>
            <w:tcW w:w="2882" w:type="pct"/>
            <w:vAlign w:val="center"/>
            <w:hideMark/>
          </w:tcPr>
          <w:p w:rsidR="00000000" w:rsidRDefault="00BC3404">
            <w:pPr>
              <w:rPr>
                <w:sz w:val="20"/>
                <w:szCs w:val="20"/>
              </w:rPr>
            </w:pPr>
          </w:p>
        </w:tc>
        <w:tc>
          <w:tcPr>
            <w:tcW w:w="7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7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90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46943853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Weighte</w:t>
            </w:r>
            <w:r>
              <w:rPr>
                <w:b/>
                <w:bCs/>
                <w:sz w:val="16"/>
                <w:szCs w:val="16"/>
              </w:rPr>
              <w:t>d</w:t>
            </w:r>
            <w:r>
              <w:rPr>
                <w:rFonts w:ascii="Calibri" w:hAnsi="Calibri" w:cs="Calibri"/>
                <w:b/>
                <w:bCs/>
                <w:sz w:val="16"/>
                <w:szCs w:val="16"/>
              </w:rPr>
              <w:t xml:space="preserve"> </w:t>
            </w:r>
            <w:r>
              <w:rPr>
                <w:b/>
                <w:bCs/>
                <w:sz w:val="16"/>
                <w:szCs w:val="16"/>
              </w:rPr>
              <w:t>Averag</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6943853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Restricte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Grant Date Fai</w:t>
            </w:r>
            <w:r>
              <w:rPr>
                <w:b/>
                <w:bCs/>
                <w:sz w:val="16"/>
                <w:szCs w:val="16"/>
              </w:rPr>
              <w:t>r</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6943853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Unit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Value Per Uni</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469438531"/>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Outstanding September 24, 202</w:t>
            </w:r>
            <w:r>
              <w:rPr>
                <w:b/>
                <w:bCs/>
                <w:sz w:val="20"/>
                <w:szCs w:val="20"/>
              </w:rPr>
              <w:t>2</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1,516,22</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13.5</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6943853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Awarde</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506,06</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13.5</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46943853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Forfeite</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66</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14.2</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46943853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Vested</w:t>
            </w:r>
            <w:r>
              <w:rPr>
                <w:sz w:val="20"/>
                <w:szCs w:val="20"/>
              </w:rPr>
              <w:t xml:space="preserve"> </w:t>
            </w:r>
            <w:r>
              <w:rPr>
                <w:sz w:val="14"/>
                <w:szCs w:val="14"/>
              </w:rPr>
              <w:t>(1</w:t>
            </w:r>
            <w:r>
              <w:rPr>
                <w:sz w:val="14"/>
                <w:szCs w:val="14"/>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670,40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14.6</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469438531"/>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Outstanding December 24, 202</w:t>
            </w:r>
            <w:r>
              <w:rPr>
                <w:b/>
                <w:bCs/>
                <w:sz w:val="20"/>
                <w:szCs w:val="20"/>
              </w:rPr>
              <w:t>2</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1,351,22</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12.9</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divId w:val="469438531"/>
        <w:rPr>
          <w:sz w:val="20"/>
          <w:szCs w:val="20"/>
        </w:rPr>
      </w:pPr>
      <w:r>
        <w:rPr>
          <w:sz w:val="20"/>
          <w:szCs w:val="20"/>
        </w:rPr>
        <w:t> </w:t>
      </w:r>
    </w:p>
    <w:p w:rsidR="00000000" w:rsidRDefault="00BC3404">
      <w:pPr>
        <w:pStyle w:val="a3"/>
        <w:spacing w:before="0" w:beforeAutospacing="0" w:after="0" w:afterAutospacing="0"/>
        <w:jc w:val="center"/>
        <w:divId w:val="469438531"/>
        <w:rPr>
          <w:sz w:val="20"/>
          <w:szCs w:val="20"/>
        </w:rPr>
      </w:pPr>
      <w:r>
        <w:rPr>
          <w:sz w:val="20"/>
          <w:szCs w:val="20"/>
        </w:rPr>
        <w:t> </w:t>
      </w:r>
    </w:p>
    <w:p w:rsidR="00000000" w:rsidRDefault="00BC3404">
      <w:pPr>
        <w:pStyle w:val="a3"/>
        <w:spacing w:before="0" w:beforeAutospacing="0" w:after="0" w:afterAutospacing="0"/>
        <w:jc w:val="center"/>
        <w:divId w:val="469438531"/>
        <w:rPr>
          <w:sz w:val="20"/>
          <w:szCs w:val="20"/>
        </w:rPr>
      </w:pPr>
      <w:r>
        <w:rPr>
          <w:sz w:val="20"/>
          <w:szCs w:val="20"/>
        </w:rPr>
        <w:t>1</w:t>
      </w:r>
      <w:r>
        <w:rPr>
          <w:sz w:val="20"/>
          <w:szCs w:val="20"/>
        </w:rPr>
        <w:t>5</w:t>
      </w:r>
    </w:p>
    <w:p w:rsidR="00000000" w:rsidRDefault="00BC3404">
      <w:pPr>
        <w:divId w:val="469438531"/>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BC3404">
      <w:pPr>
        <w:pStyle w:val="a3"/>
        <w:spacing w:before="0" w:beforeAutospacing="0" w:after="0" w:afterAutospacing="0"/>
        <w:divId w:val="469438531"/>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divId w:val="469438531"/>
        <w:rPr>
          <w:sz w:val="20"/>
          <w:szCs w:val="20"/>
        </w:rPr>
      </w:pPr>
      <w:r>
        <w:rPr>
          <w:sz w:val="20"/>
          <w:szCs w:val="20"/>
        </w:rPr>
        <w:t> </w:t>
      </w:r>
    </w:p>
    <w:p w:rsidR="00000000" w:rsidRDefault="00BC3404">
      <w:pPr>
        <w:jc w:val="both"/>
        <w:divId w:val="1546528294"/>
        <w:rPr>
          <w:rFonts w:eastAsia="Times New Roman"/>
          <w:sz w:val="20"/>
          <w:szCs w:val="20"/>
        </w:rPr>
      </w:pPr>
      <w:r>
        <w:rPr>
          <w:rFonts w:eastAsia="Times New Roman"/>
          <w:sz w:val="20"/>
          <w:szCs w:val="20"/>
        </w:rPr>
        <w:t>(1</w:t>
      </w:r>
      <w:r>
        <w:rPr>
          <w:rFonts w:eastAsia="Times New Roman"/>
          <w:sz w:val="20"/>
          <w:szCs w:val="20"/>
        </w:rPr>
        <w:t>)</w:t>
      </w:r>
    </w:p>
    <w:p w:rsidR="00000000" w:rsidRDefault="00BC3404">
      <w:pPr>
        <w:jc w:val="both"/>
        <w:divId w:val="893544604"/>
        <w:rPr>
          <w:rFonts w:eastAsia="Times New Roman"/>
          <w:sz w:val="20"/>
          <w:szCs w:val="20"/>
        </w:rPr>
      </w:pPr>
      <w:r>
        <w:rPr>
          <w:rFonts w:eastAsia="Times New Roman"/>
          <w:sz w:val="20"/>
          <w:szCs w:val="20"/>
        </w:rPr>
        <w:t>During fiscal 2023, the Partnership withheld</w:t>
      </w:r>
      <w:r>
        <w:rPr>
          <w:rFonts w:eastAsia="Times New Roman"/>
          <w:sz w:val="20"/>
          <w:szCs w:val="20"/>
        </w:rPr>
        <w:t xml:space="preserve"> </w:t>
      </w:r>
      <w:r>
        <w:rPr>
          <w:rFonts w:eastAsia="Times New Roman"/>
          <w:sz w:val="20"/>
          <w:szCs w:val="20"/>
        </w:rPr>
        <w:t>171,84</w:t>
      </w:r>
      <w:r>
        <w:rPr>
          <w:rFonts w:eastAsia="Times New Roman"/>
          <w:sz w:val="20"/>
          <w:szCs w:val="20"/>
        </w:rPr>
        <w:t>0</w:t>
      </w:r>
      <w:r>
        <w:rPr>
          <w:rFonts w:eastAsia="Times New Roman"/>
          <w:sz w:val="20"/>
          <w:szCs w:val="20"/>
        </w:rPr>
        <w:t xml:space="preserve"> Common Units from participants for income tax withholding purposes for those exec</w:t>
      </w:r>
      <w:r>
        <w:rPr>
          <w:rFonts w:eastAsia="Times New Roman"/>
          <w:sz w:val="20"/>
          <w:szCs w:val="20"/>
        </w:rPr>
        <w:t>utive officers of the Partnership whose shares of restricted units vested during the period</w:t>
      </w:r>
      <w:r>
        <w:rPr>
          <w:rFonts w:eastAsia="Times New Roman"/>
          <w:sz w:val="20"/>
          <w:szCs w:val="20"/>
        </w:rPr>
        <w:t>.</w:t>
      </w:r>
    </w:p>
    <w:p w:rsidR="00000000" w:rsidRDefault="00BC3404">
      <w:pPr>
        <w:pStyle w:val="a3"/>
        <w:spacing w:before="240" w:beforeAutospacing="0" w:after="0" w:afterAutospacing="0"/>
        <w:jc w:val="both"/>
        <w:divId w:val="1564095437"/>
        <w:rPr>
          <w:sz w:val="20"/>
          <w:szCs w:val="20"/>
        </w:rPr>
      </w:pPr>
      <w:r>
        <w:rPr>
          <w:sz w:val="20"/>
          <w:szCs w:val="20"/>
        </w:rPr>
        <w:t>As of December 24, 202</w:t>
      </w:r>
      <w:r>
        <w:rPr>
          <w:sz w:val="20"/>
          <w:szCs w:val="20"/>
        </w:rPr>
        <w:t>2</w:t>
      </w:r>
      <w:r>
        <w:rPr>
          <w:sz w:val="20"/>
          <w:szCs w:val="20"/>
        </w:rPr>
        <w:t xml:space="preserve">, unrecognized compensation cost related to unvested restricted units awarded under the Restricted Unit Plan amounted to </w:t>
      </w:r>
      <w:r>
        <w:rPr>
          <w:sz w:val="20"/>
          <w:szCs w:val="20"/>
        </w:rPr>
        <w:t>$</w:t>
      </w:r>
      <w:r>
        <w:rPr>
          <w:sz w:val="20"/>
          <w:szCs w:val="20"/>
        </w:rPr>
        <w:t>8,13</w:t>
      </w:r>
      <w:r>
        <w:rPr>
          <w:sz w:val="20"/>
          <w:szCs w:val="20"/>
        </w:rPr>
        <w:t>8</w:t>
      </w:r>
      <w:r>
        <w:rPr>
          <w:sz w:val="20"/>
          <w:szCs w:val="20"/>
        </w:rPr>
        <w:t>. Compensatio</w:t>
      </w:r>
      <w:r>
        <w:rPr>
          <w:sz w:val="20"/>
          <w:szCs w:val="20"/>
        </w:rPr>
        <w:t>n cost associated with unvested awards is expected to be recognized over a weighted-average period of</w:t>
      </w:r>
      <w:r>
        <w:rPr>
          <w:sz w:val="20"/>
          <w:szCs w:val="20"/>
        </w:rPr>
        <w:t xml:space="preserve"> </w:t>
      </w:r>
      <w:r>
        <w:rPr>
          <w:sz w:val="20"/>
          <w:szCs w:val="20"/>
        </w:rPr>
        <w:t>1.1</w:t>
      </w:r>
      <w:r>
        <w:rPr>
          <w:sz w:val="20"/>
          <w:szCs w:val="20"/>
        </w:rPr>
        <w:t xml:space="preserve"> </w:t>
      </w:r>
      <w:r>
        <w:rPr>
          <w:sz w:val="20"/>
          <w:szCs w:val="20"/>
        </w:rPr>
        <w:t xml:space="preserve">years. Compensation expense for the Restricted Unit Plan, net of forfeitures, for the three months ended December 24, 2022 and December 25, 2021 was </w:t>
      </w:r>
      <w:r>
        <w:rPr>
          <w:sz w:val="20"/>
          <w:szCs w:val="20"/>
        </w:rPr>
        <w:t>$</w:t>
      </w:r>
      <w:r>
        <w:rPr>
          <w:sz w:val="20"/>
          <w:szCs w:val="20"/>
        </w:rPr>
        <w:t>2,47</w:t>
      </w:r>
      <w:r>
        <w:rPr>
          <w:sz w:val="20"/>
          <w:szCs w:val="20"/>
        </w:rPr>
        <w:t>1</w:t>
      </w:r>
      <w:r>
        <w:rPr>
          <w:sz w:val="20"/>
          <w:szCs w:val="20"/>
        </w:rPr>
        <w:t xml:space="preserve"> and </w:t>
      </w:r>
      <w:r>
        <w:rPr>
          <w:sz w:val="20"/>
          <w:szCs w:val="20"/>
        </w:rPr>
        <w:t>$</w:t>
      </w:r>
      <w:r>
        <w:rPr>
          <w:sz w:val="20"/>
          <w:szCs w:val="20"/>
        </w:rPr>
        <w:t>2,70</w:t>
      </w:r>
      <w:r>
        <w:rPr>
          <w:sz w:val="20"/>
          <w:szCs w:val="20"/>
        </w:rPr>
        <w:t>9</w:t>
      </w:r>
      <w:r>
        <w:rPr>
          <w:sz w:val="20"/>
          <w:szCs w:val="20"/>
        </w:rPr>
        <w:t>, respectively</w:t>
      </w:r>
      <w:r>
        <w:rPr>
          <w:sz w:val="20"/>
          <w:szCs w:val="20"/>
        </w:rPr>
        <w:t>.</w:t>
      </w:r>
    </w:p>
    <w:p w:rsidR="00000000" w:rsidRDefault="00BC3404">
      <w:pPr>
        <w:pStyle w:val="a3"/>
        <w:spacing w:before="240" w:beforeAutospacing="0" w:after="0" w:afterAutospacing="0"/>
        <w:jc w:val="both"/>
        <w:divId w:val="1564095437"/>
        <w:rPr>
          <w:sz w:val="20"/>
          <w:szCs w:val="20"/>
        </w:rPr>
      </w:pPr>
      <w:r>
        <w:rPr>
          <w:b/>
          <w:bCs/>
          <w:sz w:val="20"/>
          <w:szCs w:val="20"/>
        </w:rPr>
        <w:t>Phantom Equity Plan</w:t>
      </w:r>
      <w:r>
        <w:rPr>
          <w:b/>
          <w:bCs/>
          <w:sz w:val="20"/>
          <w:szCs w:val="20"/>
        </w:rPr>
        <w:t>.</w:t>
      </w:r>
      <w:r>
        <w:rPr>
          <w:sz w:val="20"/>
          <w:szCs w:val="20"/>
        </w:rPr>
        <w:t xml:space="preserve"> At its November 8, 2022 meeting, the Compensation Committee adopted the Phantom Equity Plan (the “PEP”) to incentivize behaviors that will lead to the creation of long-term value for the Partnership’s Un</w:t>
      </w:r>
      <w:r>
        <w:rPr>
          <w:sz w:val="20"/>
          <w:szCs w:val="20"/>
        </w:rPr>
        <w:t xml:space="preserve">itholders by functioning as a cash-settled corollary plan to the Partnership’s Restricted Unit Plan. The executive officers of the Partnership, the members of the Board, and other employees of the Partnership are eligible for awards of phantom units under </w:t>
      </w:r>
      <w:r>
        <w:rPr>
          <w:sz w:val="20"/>
          <w:szCs w:val="20"/>
        </w:rPr>
        <w:t>the PEP. Unless otherwise stipulated by the Compensation Committee, the standard vesting schedule for awards under the PEP will be one third of each award on each of the first three anniversaries of the award grant date, subject to continuous employment or</w:t>
      </w:r>
      <w:r>
        <w:rPr>
          <w:sz w:val="20"/>
          <w:szCs w:val="20"/>
        </w:rPr>
        <w:t xml:space="preserve"> service from the grant date through the applicable payment date. Unvested awards are subject to forfeiture in certain circumstances, as defined in the PEP document and the applicable award agreements. Upon vesting, phantom units are automatically converte</w:t>
      </w:r>
      <w:r>
        <w:rPr>
          <w:sz w:val="20"/>
          <w:szCs w:val="20"/>
        </w:rPr>
        <w:t>d into cash equal to the average of the highest and lowest trading prices of the Partnership’s Common Units on the vesting date</w:t>
      </w:r>
      <w:r>
        <w:rPr>
          <w:sz w:val="20"/>
          <w:szCs w:val="20"/>
        </w:rPr>
        <w:t>.</w:t>
      </w:r>
    </w:p>
    <w:p w:rsidR="00000000" w:rsidRDefault="00BC3404">
      <w:pPr>
        <w:pStyle w:val="a3"/>
        <w:spacing w:before="240" w:beforeAutospacing="0" w:after="0" w:afterAutospacing="0"/>
        <w:jc w:val="both"/>
        <w:divId w:val="1564095437"/>
        <w:rPr>
          <w:sz w:val="20"/>
          <w:szCs w:val="20"/>
        </w:rPr>
      </w:pPr>
      <w:r>
        <w:rPr>
          <w:sz w:val="20"/>
          <w:szCs w:val="20"/>
        </w:rPr>
        <w:t>Compensation expense, which includes adjustments to previously recognized compensation expense for current period changes in th</w:t>
      </w:r>
      <w:r>
        <w:rPr>
          <w:sz w:val="20"/>
          <w:szCs w:val="20"/>
        </w:rPr>
        <w:t xml:space="preserve">e fair value of unvested awards, for the three months ended December 24, 2022 was </w:t>
      </w:r>
      <w:r>
        <w:rPr>
          <w:sz w:val="20"/>
          <w:szCs w:val="20"/>
        </w:rPr>
        <w:t>$</w:t>
      </w:r>
      <w:r>
        <w:rPr>
          <w:sz w:val="20"/>
          <w:szCs w:val="20"/>
        </w:rPr>
        <w:t>65</w:t>
      </w:r>
      <w:r>
        <w:rPr>
          <w:sz w:val="20"/>
          <w:szCs w:val="20"/>
        </w:rPr>
        <w:t>2</w:t>
      </w:r>
      <w:r>
        <w:rPr>
          <w:sz w:val="20"/>
          <w:szCs w:val="20"/>
        </w:rPr>
        <w:t xml:space="preserve">. As of December 24, 2022, the Partnership had a liability included within accrued employment and benefit costs (or other liabilities, as applicable) of </w:t>
      </w:r>
      <w:r>
        <w:rPr>
          <w:sz w:val="20"/>
          <w:szCs w:val="20"/>
        </w:rPr>
        <w:t>$</w:t>
      </w:r>
      <w:r>
        <w:rPr>
          <w:sz w:val="20"/>
          <w:szCs w:val="20"/>
        </w:rPr>
        <w:t>65</w:t>
      </w:r>
      <w:r>
        <w:rPr>
          <w:sz w:val="20"/>
          <w:szCs w:val="20"/>
        </w:rPr>
        <w:t>2</w:t>
      </w:r>
      <w:r>
        <w:rPr>
          <w:sz w:val="20"/>
          <w:szCs w:val="20"/>
        </w:rPr>
        <w:t>.</w:t>
      </w:r>
    </w:p>
    <w:p w:rsidR="00000000" w:rsidRDefault="00BC3404">
      <w:pPr>
        <w:pStyle w:val="a3"/>
        <w:spacing w:before="240" w:beforeAutospacing="0" w:after="0" w:afterAutospacing="0"/>
        <w:jc w:val="both"/>
        <w:divId w:val="1564095437"/>
        <w:rPr>
          <w:sz w:val="20"/>
          <w:szCs w:val="20"/>
        </w:rPr>
      </w:pPr>
      <w:r>
        <w:rPr>
          <w:b/>
          <w:bCs/>
          <w:sz w:val="20"/>
          <w:szCs w:val="20"/>
        </w:rPr>
        <w:t>Distributio</w:t>
      </w:r>
      <w:r>
        <w:rPr>
          <w:b/>
          <w:bCs/>
          <w:sz w:val="20"/>
          <w:szCs w:val="20"/>
        </w:rPr>
        <w:t>n Equivalent Rights Plan</w:t>
      </w:r>
      <w:r>
        <w:rPr>
          <w:b/>
          <w:bCs/>
          <w:sz w:val="20"/>
          <w:szCs w:val="20"/>
        </w:rPr>
        <w:t>.</w:t>
      </w:r>
      <w:r>
        <w:rPr>
          <w:sz w:val="20"/>
          <w:szCs w:val="20"/>
        </w:rPr>
        <w:t xml:space="preserve"> </w:t>
      </w:r>
      <w:r>
        <w:rPr>
          <w:sz w:val="20"/>
          <w:szCs w:val="20"/>
        </w:rPr>
        <w:t>On January 17, 2017, the Partnership adopted the Distribution Equivalent Rights Plan (the “DER Plan”), as amended on November 8, 2022, which gives the Compensation Committee discretion to award distribution equivalent rights (“DER</w:t>
      </w:r>
      <w:r>
        <w:rPr>
          <w:sz w:val="20"/>
          <w:szCs w:val="20"/>
        </w:rPr>
        <w:t>s”) to executive officers of the Partnership. Once awarded, DERs entitle the grantee to a cash payment each time the Board of Supervisors declares a cash distribution on the Partnership’s Common Units, which cash payment will be equal to an amount calculat</w:t>
      </w:r>
      <w:r>
        <w:rPr>
          <w:sz w:val="20"/>
          <w:szCs w:val="20"/>
        </w:rPr>
        <w:t>ed by multiplying the number of unvested restricted units and unvested phantom units which are held by the grantee on the record date of the distribution, by the amount of the declared distribution per Common Unit</w:t>
      </w:r>
      <w:r>
        <w:rPr>
          <w:sz w:val="20"/>
          <w:szCs w:val="20"/>
        </w:rPr>
        <w:t>.</w:t>
      </w:r>
      <w:r>
        <w:rPr>
          <w:sz w:val="20"/>
          <w:szCs w:val="20"/>
        </w:rPr>
        <w:t xml:space="preserve"> Compensation expense recognized under the</w:t>
      </w:r>
      <w:r>
        <w:rPr>
          <w:sz w:val="20"/>
          <w:szCs w:val="20"/>
        </w:rPr>
        <w:t xml:space="preserve"> DER Plan for the three months ended December 24, 2022 and December 25, 2021 was </w:t>
      </w:r>
      <w:r>
        <w:rPr>
          <w:sz w:val="20"/>
          <w:szCs w:val="20"/>
        </w:rPr>
        <w:t>$</w:t>
      </w:r>
      <w:r>
        <w:rPr>
          <w:sz w:val="20"/>
          <w:szCs w:val="20"/>
        </w:rPr>
        <w:t>33</w:t>
      </w:r>
      <w:r>
        <w:rPr>
          <w:sz w:val="20"/>
          <w:szCs w:val="20"/>
        </w:rPr>
        <w:t>5</w:t>
      </w:r>
      <w:r>
        <w:rPr>
          <w:sz w:val="20"/>
          <w:szCs w:val="20"/>
        </w:rPr>
        <w:t xml:space="preserve"> and </w:t>
      </w:r>
      <w:r>
        <w:rPr>
          <w:sz w:val="20"/>
          <w:szCs w:val="20"/>
        </w:rPr>
        <w:t>$</w:t>
      </w:r>
      <w:r>
        <w:rPr>
          <w:sz w:val="20"/>
          <w:szCs w:val="20"/>
        </w:rPr>
        <w:t>29</w:t>
      </w:r>
      <w:r>
        <w:rPr>
          <w:sz w:val="20"/>
          <w:szCs w:val="20"/>
        </w:rPr>
        <w:t>9</w:t>
      </w:r>
      <w:r>
        <w:rPr>
          <w:sz w:val="20"/>
          <w:szCs w:val="20"/>
        </w:rPr>
        <w:t>, respectively</w:t>
      </w:r>
      <w:r>
        <w:rPr>
          <w:sz w:val="20"/>
          <w:szCs w:val="20"/>
        </w:rPr>
        <w:t>.</w:t>
      </w:r>
    </w:p>
    <w:p w:rsidR="00000000" w:rsidRDefault="00BC3404">
      <w:pPr>
        <w:pStyle w:val="a3"/>
        <w:spacing w:before="240" w:beforeAutospacing="0" w:after="0" w:afterAutospacing="0"/>
        <w:jc w:val="both"/>
        <w:divId w:val="1564095437"/>
        <w:rPr>
          <w:sz w:val="20"/>
          <w:szCs w:val="20"/>
        </w:rPr>
      </w:pPr>
      <w:r>
        <w:rPr>
          <w:b/>
          <w:bCs/>
          <w:sz w:val="20"/>
          <w:szCs w:val="20"/>
        </w:rPr>
        <w:t>Long-Term Incentive Plan</w:t>
      </w:r>
      <w:r>
        <w:rPr>
          <w:b/>
          <w:bCs/>
          <w:sz w:val="20"/>
          <w:szCs w:val="20"/>
        </w:rPr>
        <w:t>.</w:t>
      </w:r>
      <w:r>
        <w:rPr>
          <w:sz w:val="20"/>
          <w:szCs w:val="20"/>
        </w:rPr>
        <w:t xml:space="preserve"> On August 6, 2013, the Partnership adopted the 2014 Long-Term Incentive Plan (“2014 LTIP”) and on November 10, 2020, the</w:t>
      </w:r>
      <w:r>
        <w:rPr>
          <w:sz w:val="20"/>
          <w:szCs w:val="20"/>
        </w:rPr>
        <w:t xml:space="preserve"> Partnership adopted the 2021 Long-Term Incentive Plan (“2021 LTIP” and together with the 2014 LTIP, “the LTIPs”).</w:t>
      </w:r>
      <w:r>
        <w:rPr>
          <w:sz w:val="20"/>
          <w:szCs w:val="20"/>
        </w:rPr>
        <w:t xml:space="preserve"> </w:t>
      </w:r>
      <w:r>
        <w:rPr>
          <w:sz w:val="20"/>
          <w:szCs w:val="20"/>
        </w:rPr>
        <w:t>The LTIPs are non-qualified, unfunded, long-term incentive plans for executive officers and key employees that provide for payment, in the fo</w:t>
      </w:r>
      <w:r>
        <w:rPr>
          <w:sz w:val="20"/>
          <w:szCs w:val="20"/>
        </w:rPr>
        <w:t>rm of cash, of an award of equity-based compensation at the end of a three-year performance perio</w:t>
      </w:r>
      <w:r>
        <w:rPr>
          <w:sz w:val="20"/>
          <w:szCs w:val="20"/>
        </w:rPr>
        <w:t>d</w:t>
      </w:r>
      <w:r>
        <w:rPr>
          <w:sz w:val="20"/>
          <w:szCs w:val="20"/>
        </w:rPr>
        <w:t>. The 2014 LTIP document governs the terms and conditions of the fiscal 2020 award and the 2021 LTIP document governs the terms and conditions of the outstand</w:t>
      </w:r>
      <w:r>
        <w:rPr>
          <w:sz w:val="20"/>
          <w:szCs w:val="20"/>
        </w:rPr>
        <w:t>ing fiscal 2021 award and any awards granted in fiscal years thereafter. The level of compensation earned under the 2014 LTIP was based on the Partnership’s average distribution coverage ratio over the three-year measurement period. The Partnership’s avera</w:t>
      </w:r>
      <w:r>
        <w:rPr>
          <w:sz w:val="20"/>
          <w:szCs w:val="20"/>
        </w:rPr>
        <w:t>ge distribution coverage ratio was calculated as the Partnership’s average distributable cash flow, as defined by the 2014 LTIP document, for the</w:t>
      </w:r>
      <w:r>
        <w:rPr>
          <w:sz w:val="20"/>
          <w:szCs w:val="20"/>
        </w:rPr>
        <w:t xml:space="preserve"> </w:t>
      </w:r>
      <w:r>
        <w:rPr>
          <w:sz w:val="20"/>
          <w:szCs w:val="20"/>
        </w:rPr>
        <w:t>three year</w:t>
      </w:r>
      <w:r>
        <w:rPr>
          <w:sz w:val="20"/>
          <w:szCs w:val="20"/>
        </w:rPr>
        <w:t>s</w:t>
      </w:r>
      <w:r>
        <w:rPr>
          <w:sz w:val="20"/>
          <w:szCs w:val="20"/>
        </w:rPr>
        <w:t xml:space="preserve"> in the measurement period, subject to certain adjustments as set forth in the 2014 LTIP document, </w:t>
      </w:r>
      <w:r>
        <w:rPr>
          <w:sz w:val="20"/>
          <w:szCs w:val="20"/>
        </w:rPr>
        <w:t>divided by the amount of annualized cash distributions to be paid by the Partnership.</w:t>
      </w:r>
      <w:r>
        <w:rPr>
          <w:sz w:val="20"/>
          <w:szCs w:val="20"/>
        </w:rPr>
        <w:t xml:space="preserve"> </w:t>
      </w:r>
      <w:r>
        <w:rPr>
          <w:sz w:val="20"/>
          <w:szCs w:val="20"/>
        </w:rPr>
        <w:t>The level of compensation earned under the fiscal 2021 award is evaluated using two separate measurement components: (i) 75% weight based on the level of average distribu</w:t>
      </w:r>
      <w:r>
        <w:rPr>
          <w:sz w:val="20"/>
          <w:szCs w:val="20"/>
        </w:rPr>
        <w:t>table cash flow of the Partnership over the three-year measurement period; and (ii) 25% weight based on the achievement of certain operating and strategic objectives, set by the Compensation Committee, over that award’s three-year measurement period. The l</w:t>
      </w:r>
      <w:r>
        <w:rPr>
          <w:sz w:val="20"/>
          <w:szCs w:val="20"/>
        </w:rPr>
        <w:t>evel of compensation earned under the fiscal 2022 award, and measurement periods thereafter, is also evaluated using two separate measurement components: (i) 50% weight based on the level of average distributable cash flow of the Partnership over the three</w:t>
      </w:r>
      <w:r>
        <w:rPr>
          <w:sz w:val="20"/>
          <w:szCs w:val="20"/>
        </w:rPr>
        <w:t>-year measurement period; and (ii) 50% weight based on the achievement of certain operating and strategic objectives, set by the Compensation Committee for that award’s three-year measurement period</w:t>
      </w:r>
      <w:r>
        <w:rPr>
          <w:sz w:val="20"/>
          <w:szCs w:val="20"/>
        </w:rPr>
        <w:t>.</w:t>
      </w:r>
    </w:p>
    <w:p w:rsidR="00000000" w:rsidRDefault="00BC3404">
      <w:pPr>
        <w:pStyle w:val="a3"/>
        <w:spacing w:before="240" w:beforeAutospacing="0" w:after="0" w:afterAutospacing="0"/>
        <w:jc w:val="both"/>
        <w:divId w:val="1564095437"/>
        <w:rPr>
          <w:sz w:val="20"/>
          <w:szCs w:val="20"/>
        </w:rPr>
      </w:pPr>
      <w:r>
        <w:rPr>
          <w:sz w:val="20"/>
          <w:szCs w:val="20"/>
        </w:rPr>
        <w:t>As a result of the quarterly remeasurement of the liabil</w:t>
      </w:r>
      <w:r>
        <w:rPr>
          <w:sz w:val="20"/>
          <w:szCs w:val="20"/>
        </w:rPr>
        <w:t>ity for awards under the LTIPs, compensation expense recognized for the three months ended December 24, 202</w:t>
      </w:r>
      <w:r>
        <w:rPr>
          <w:sz w:val="20"/>
          <w:szCs w:val="20"/>
        </w:rPr>
        <w:t>2</w:t>
      </w:r>
      <w:r>
        <w:rPr>
          <w:sz w:val="20"/>
          <w:szCs w:val="20"/>
        </w:rPr>
        <w:t xml:space="preserve"> and December 25, 2021 was </w:t>
      </w:r>
      <w:r>
        <w:rPr>
          <w:sz w:val="20"/>
          <w:szCs w:val="20"/>
        </w:rPr>
        <w:t>$</w:t>
      </w:r>
      <w:r>
        <w:rPr>
          <w:sz w:val="20"/>
          <w:szCs w:val="20"/>
        </w:rPr>
        <w:t>1,89</w:t>
      </w:r>
      <w:r>
        <w:rPr>
          <w:sz w:val="20"/>
          <w:szCs w:val="20"/>
        </w:rPr>
        <w:t>6</w:t>
      </w:r>
      <w:r>
        <w:rPr>
          <w:sz w:val="20"/>
          <w:szCs w:val="20"/>
        </w:rPr>
        <w:t xml:space="preserve"> and </w:t>
      </w:r>
      <w:r>
        <w:rPr>
          <w:sz w:val="20"/>
          <w:szCs w:val="20"/>
        </w:rPr>
        <w:t>$</w:t>
      </w:r>
      <w:r>
        <w:rPr>
          <w:sz w:val="20"/>
          <w:szCs w:val="20"/>
        </w:rPr>
        <w:t>2,06</w:t>
      </w:r>
      <w:r>
        <w:rPr>
          <w:sz w:val="20"/>
          <w:szCs w:val="20"/>
        </w:rPr>
        <w:t>7</w:t>
      </w:r>
      <w:r>
        <w:rPr>
          <w:sz w:val="20"/>
          <w:szCs w:val="20"/>
        </w:rPr>
        <w:t>, respectively. As of</w:t>
      </w:r>
      <w:r>
        <w:rPr>
          <w:sz w:val="20"/>
          <w:szCs w:val="20"/>
        </w:rPr>
        <w:t xml:space="preserve"> </w:t>
      </w:r>
      <w:r>
        <w:rPr>
          <w:sz w:val="20"/>
          <w:szCs w:val="20"/>
        </w:rPr>
        <w:t>December 24, 202</w:t>
      </w:r>
      <w:r>
        <w:rPr>
          <w:sz w:val="20"/>
          <w:szCs w:val="20"/>
        </w:rPr>
        <w:t>2</w:t>
      </w:r>
      <w:r>
        <w:rPr>
          <w:sz w:val="20"/>
          <w:szCs w:val="20"/>
        </w:rPr>
        <w:t>, and September 24, 2022, the Partnership had a liability include</w:t>
      </w:r>
      <w:r>
        <w:rPr>
          <w:sz w:val="20"/>
          <w:szCs w:val="20"/>
        </w:rPr>
        <w:t xml:space="preserve">d within accrued employment and benefit costs (or other liabilities, as applicable) of </w:t>
      </w:r>
      <w:r>
        <w:rPr>
          <w:sz w:val="20"/>
          <w:szCs w:val="20"/>
        </w:rPr>
        <w:t>$</w:t>
      </w:r>
      <w:r>
        <w:rPr>
          <w:sz w:val="20"/>
          <w:szCs w:val="20"/>
        </w:rPr>
        <w:t>10,07</w:t>
      </w:r>
      <w:r>
        <w:rPr>
          <w:sz w:val="20"/>
          <w:szCs w:val="20"/>
        </w:rPr>
        <w:t>8</w:t>
      </w:r>
      <w:r>
        <w:rPr>
          <w:sz w:val="20"/>
          <w:szCs w:val="20"/>
        </w:rPr>
        <w:t xml:space="preserve"> and </w:t>
      </w:r>
      <w:r>
        <w:rPr>
          <w:sz w:val="20"/>
          <w:szCs w:val="20"/>
        </w:rPr>
        <w:t>$</w:t>
      </w:r>
      <w:r>
        <w:rPr>
          <w:sz w:val="20"/>
          <w:szCs w:val="20"/>
        </w:rPr>
        <w:t>11,31</w:t>
      </w:r>
      <w:r>
        <w:rPr>
          <w:sz w:val="20"/>
          <w:szCs w:val="20"/>
        </w:rPr>
        <w:t>1</w:t>
      </w:r>
      <w:r>
        <w:rPr>
          <w:sz w:val="20"/>
          <w:szCs w:val="20"/>
        </w:rPr>
        <w:t xml:space="preserve">, respectively, related to estimated future payments under the LTIPs. In the first quarter of fiscal 2023 and 2022, cash payouts totaling </w:t>
      </w:r>
      <w:r>
        <w:rPr>
          <w:sz w:val="20"/>
          <w:szCs w:val="20"/>
        </w:rPr>
        <w:t>$</w:t>
      </w:r>
      <w:r>
        <w:rPr>
          <w:sz w:val="20"/>
          <w:szCs w:val="20"/>
        </w:rPr>
        <w:t>3,12</w:t>
      </w:r>
      <w:r>
        <w:rPr>
          <w:sz w:val="20"/>
          <w:szCs w:val="20"/>
        </w:rPr>
        <w:t>9</w:t>
      </w:r>
      <w:r>
        <w:rPr>
          <w:sz w:val="20"/>
          <w:szCs w:val="20"/>
        </w:rPr>
        <w:t xml:space="preserve"> and </w:t>
      </w:r>
      <w:r>
        <w:rPr>
          <w:sz w:val="20"/>
          <w:szCs w:val="20"/>
        </w:rPr>
        <w:t>$</w:t>
      </w:r>
      <w:r>
        <w:rPr>
          <w:sz w:val="20"/>
          <w:szCs w:val="20"/>
        </w:rPr>
        <w:t>3,98</w:t>
      </w:r>
      <w:r>
        <w:rPr>
          <w:sz w:val="20"/>
          <w:szCs w:val="20"/>
        </w:rPr>
        <w:t>5</w:t>
      </w:r>
      <w:r>
        <w:rPr>
          <w:sz w:val="20"/>
          <w:szCs w:val="20"/>
        </w:rPr>
        <w:t xml:space="preserve"> were made relating to the fiscal 2020 and 2019 awards, respectively</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1</w:t>
      </w:r>
      <w:r>
        <w:rPr>
          <w:sz w:val="20"/>
          <w:szCs w:val="20"/>
        </w:rPr>
        <w:t>6</w:t>
      </w:r>
    </w:p>
    <w:p w:rsidR="00000000" w:rsidRDefault="00BC3404">
      <w:pPr>
        <w:rPr>
          <w:rFonts w:eastAsia="Times New Roman"/>
        </w:rPr>
      </w:pPr>
      <w:r>
        <w:rPr>
          <w:rFonts w:eastAsia="Times New Roman"/>
        </w:rPr>
        <w:pict>
          <v:rect id="_x0000_i1044"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jc w:val="both"/>
        <w:divId w:val="266893178"/>
        <w:rPr>
          <w:rFonts w:eastAsia="Times New Roman"/>
          <w:sz w:val="20"/>
          <w:szCs w:val="20"/>
        </w:rPr>
      </w:pPr>
      <w:r>
        <w:rPr>
          <w:rFonts w:eastAsia="Times New Roman"/>
          <w:b/>
          <w:bCs/>
          <w:sz w:val="20"/>
          <w:szCs w:val="20"/>
        </w:rPr>
        <w:t>13</w:t>
      </w:r>
      <w:r>
        <w:rPr>
          <w:rFonts w:eastAsia="Times New Roman"/>
          <w:b/>
          <w:bCs/>
          <w:sz w:val="20"/>
          <w:szCs w:val="20"/>
        </w:rPr>
        <w:t>.</w:t>
      </w:r>
    </w:p>
    <w:p w:rsidR="00000000" w:rsidRDefault="00BC3404">
      <w:pPr>
        <w:jc w:val="both"/>
        <w:divId w:val="1672902925"/>
        <w:rPr>
          <w:rFonts w:eastAsia="Times New Roman"/>
          <w:sz w:val="20"/>
          <w:szCs w:val="20"/>
        </w:rPr>
      </w:pPr>
      <w:r>
        <w:rPr>
          <w:rFonts w:eastAsia="Times New Roman"/>
          <w:b/>
          <w:bCs/>
          <w:sz w:val="20"/>
          <w:szCs w:val="20"/>
        </w:rPr>
        <w:t>Commitments and Contingencie</w:t>
      </w:r>
      <w:r>
        <w:rPr>
          <w:rFonts w:eastAsia="Times New Roman"/>
          <w:b/>
          <w:bCs/>
          <w:sz w:val="20"/>
          <w:szCs w:val="20"/>
        </w:rPr>
        <w:t>s</w:t>
      </w:r>
    </w:p>
    <w:p w:rsidR="00000000" w:rsidRDefault="00BC3404">
      <w:pPr>
        <w:pStyle w:val="a3"/>
        <w:spacing w:before="120" w:beforeAutospacing="0" w:after="0" w:afterAutospacing="0"/>
        <w:jc w:val="both"/>
        <w:divId w:val="925072249"/>
        <w:rPr>
          <w:sz w:val="20"/>
          <w:szCs w:val="20"/>
        </w:rPr>
      </w:pPr>
      <w:r>
        <w:rPr>
          <w:b/>
          <w:bCs/>
          <w:sz w:val="20"/>
          <w:szCs w:val="20"/>
        </w:rPr>
        <w:t>Accrued Insurance</w:t>
      </w:r>
      <w:r>
        <w:rPr>
          <w:b/>
          <w:bCs/>
          <w:sz w:val="20"/>
          <w:szCs w:val="20"/>
        </w:rPr>
        <w:t>.</w:t>
      </w:r>
      <w:r>
        <w:rPr>
          <w:sz w:val="20"/>
          <w:szCs w:val="20"/>
        </w:rPr>
        <w:t xml:space="preserve"> The P</w:t>
      </w:r>
      <w:r>
        <w:rPr>
          <w:sz w:val="20"/>
          <w:szCs w:val="20"/>
        </w:rPr>
        <w:t>artnership is self-insured for general and product, workers’ compensation and automobile liabilities up to predetermined amounts above which third party insurance applies. As of December 24, 2022 and September 24, 2022, the Partnership had accrued liabilit</w:t>
      </w:r>
      <w:r>
        <w:rPr>
          <w:sz w:val="20"/>
          <w:szCs w:val="20"/>
        </w:rPr>
        <w:t xml:space="preserve">ies of </w:t>
      </w:r>
      <w:r>
        <w:rPr>
          <w:sz w:val="20"/>
          <w:szCs w:val="20"/>
        </w:rPr>
        <w:t>$</w:t>
      </w:r>
      <w:r>
        <w:rPr>
          <w:sz w:val="20"/>
          <w:szCs w:val="20"/>
        </w:rPr>
        <w:t>64,37</w:t>
      </w:r>
      <w:r>
        <w:rPr>
          <w:sz w:val="20"/>
          <w:szCs w:val="20"/>
        </w:rPr>
        <w:t>5</w:t>
      </w:r>
      <w:r>
        <w:rPr>
          <w:sz w:val="20"/>
          <w:szCs w:val="20"/>
        </w:rPr>
        <w:t xml:space="preserve"> and </w:t>
      </w:r>
      <w:r>
        <w:rPr>
          <w:sz w:val="20"/>
          <w:szCs w:val="20"/>
        </w:rPr>
        <w:t>$</w:t>
      </w:r>
      <w:r>
        <w:rPr>
          <w:sz w:val="20"/>
          <w:szCs w:val="20"/>
        </w:rPr>
        <w:t>64,06</w:t>
      </w:r>
      <w:r>
        <w:rPr>
          <w:sz w:val="20"/>
          <w:szCs w:val="20"/>
        </w:rPr>
        <w:t>5</w:t>
      </w:r>
      <w:r>
        <w:rPr>
          <w:sz w:val="20"/>
          <w:szCs w:val="20"/>
        </w:rPr>
        <w:t>, respectively, representing the total estimated losses for known and anticipated or unasserted general and product, workers’ compensation and automobile claims. For the portion of the estimated liability that exceeds insurance de</w:t>
      </w:r>
      <w:r>
        <w:rPr>
          <w:sz w:val="20"/>
          <w:szCs w:val="20"/>
        </w:rPr>
        <w:t xml:space="preserve">ductibles, the Partnership records an asset within other assets (or prepaid expenses and other current assets, as applicable) related to the amount of the liability expected to be covered by insurance which amounted to </w:t>
      </w:r>
      <w:r>
        <w:rPr>
          <w:sz w:val="20"/>
          <w:szCs w:val="20"/>
        </w:rPr>
        <w:t>$</w:t>
      </w:r>
      <w:r>
        <w:rPr>
          <w:sz w:val="20"/>
          <w:szCs w:val="20"/>
        </w:rPr>
        <w:t>15,71</w:t>
      </w:r>
      <w:r>
        <w:rPr>
          <w:sz w:val="20"/>
          <w:szCs w:val="20"/>
        </w:rPr>
        <w:t>0</w:t>
      </w:r>
      <w:r>
        <w:rPr>
          <w:sz w:val="20"/>
          <w:szCs w:val="20"/>
        </w:rPr>
        <w:t xml:space="preserve"> as of December 24, 2022 and S</w:t>
      </w:r>
      <w:r>
        <w:rPr>
          <w:sz w:val="20"/>
          <w:szCs w:val="20"/>
        </w:rPr>
        <w:t>eptember 24, 2022, respectively</w:t>
      </w:r>
      <w:r>
        <w:rPr>
          <w:sz w:val="20"/>
          <w:szCs w:val="20"/>
        </w:rPr>
        <w:t>.</w:t>
      </w:r>
    </w:p>
    <w:p w:rsidR="00000000" w:rsidRDefault="00BC3404">
      <w:pPr>
        <w:pStyle w:val="a3"/>
        <w:spacing w:before="240" w:beforeAutospacing="0" w:after="0" w:afterAutospacing="0"/>
        <w:jc w:val="both"/>
        <w:divId w:val="925072249"/>
        <w:rPr>
          <w:sz w:val="20"/>
          <w:szCs w:val="20"/>
        </w:rPr>
      </w:pPr>
      <w:r>
        <w:rPr>
          <w:b/>
          <w:bCs/>
          <w:sz w:val="20"/>
          <w:szCs w:val="20"/>
        </w:rPr>
        <w:t>Legal Matters</w:t>
      </w:r>
      <w:r>
        <w:rPr>
          <w:b/>
          <w:bCs/>
          <w:sz w:val="20"/>
          <w:szCs w:val="20"/>
        </w:rPr>
        <w:t>.</w:t>
      </w:r>
      <w:r>
        <w:rPr>
          <w:sz w:val="20"/>
          <w:szCs w:val="20"/>
        </w:rPr>
        <w:t xml:space="preserve"> The Partnership’s operations are subject to operating hazards and risks normally incidental to handling, storing and delivering combustible liquids such as propane. The Partnership has been, and will continue</w:t>
      </w:r>
      <w:r>
        <w:rPr>
          <w:sz w:val="20"/>
          <w:szCs w:val="20"/>
        </w:rPr>
        <w:t xml:space="preserve"> to be, a defendant in various legal proceedings and litigation as a result of these operating hazards and risks, and as a result of other aspects of its business. In this regard, the Partnership’s natural gas and electricity business was sued in a putativ</w:t>
      </w:r>
      <w:r>
        <w:rPr>
          <w:sz w:val="20"/>
          <w:szCs w:val="20"/>
        </w:rPr>
        <w:t xml:space="preserve">e class action suit in the Northern District of New York. The complaint alleged a number of claims under various consumer statutes and common law in New York and Pennsylvania regarding pricing offered to electricity customers in those states. The case was </w:t>
      </w:r>
      <w:r>
        <w:rPr>
          <w:sz w:val="20"/>
          <w:szCs w:val="20"/>
        </w:rPr>
        <w:t>dismissed in part by the district court, but causes of action based on the New York consumer statute and breach of contract were allowed to proceed. On April 12, 2022, the court granted summary judgment in favor of the Partnership on the remaining counts a</w:t>
      </w:r>
      <w:r>
        <w:rPr>
          <w:sz w:val="20"/>
          <w:szCs w:val="20"/>
        </w:rPr>
        <w:t xml:space="preserve">nd the complaint was dismissed in full. The plaintiff has filed an appeal to the Second Circuit Court of Appeals. The Partnership believes that the appeal is without merit. Accordingly, it was determined that no reserve for a loss contingency is required. </w:t>
      </w:r>
      <w:r>
        <w:rPr>
          <w:sz w:val="20"/>
          <w:szCs w:val="20"/>
        </w:rPr>
        <w:t>Although any litigation is inherently uncertain, based on past experience, the information currently available to the Partnership, and the amount of its accrued insurance liabilities, the Partnership does not believe that currently pending or threatened li</w:t>
      </w:r>
      <w:r>
        <w:rPr>
          <w:sz w:val="20"/>
          <w:szCs w:val="20"/>
        </w:rPr>
        <w:t>tigation matters, or known claims or known contingent claims, will have a material adverse effect on its results of operations, financial condition or cash flow</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1241257896"/>
        <w:rPr>
          <w:rFonts w:eastAsia="Times New Roman"/>
          <w:sz w:val="20"/>
          <w:szCs w:val="20"/>
        </w:rPr>
      </w:pPr>
      <w:r>
        <w:rPr>
          <w:rFonts w:eastAsia="Times New Roman"/>
          <w:b/>
          <w:bCs/>
          <w:sz w:val="20"/>
          <w:szCs w:val="20"/>
        </w:rPr>
        <w:t>14</w:t>
      </w:r>
      <w:r>
        <w:rPr>
          <w:rFonts w:eastAsia="Times New Roman"/>
          <w:b/>
          <w:bCs/>
          <w:sz w:val="20"/>
          <w:szCs w:val="20"/>
        </w:rPr>
        <w:t>.</w:t>
      </w:r>
    </w:p>
    <w:p w:rsidR="00000000" w:rsidRDefault="00BC3404">
      <w:pPr>
        <w:jc w:val="both"/>
        <w:divId w:val="106438894"/>
        <w:rPr>
          <w:rFonts w:eastAsia="Times New Roman"/>
          <w:sz w:val="20"/>
          <w:szCs w:val="20"/>
        </w:rPr>
      </w:pPr>
      <w:r>
        <w:rPr>
          <w:rFonts w:eastAsia="Times New Roman"/>
          <w:b/>
          <w:bCs/>
          <w:sz w:val="20"/>
          <w:szCs w:val="20"/>
        </w:rPr>
        <w:t>Guarantee</w:t>
      </w:r>
      <w:r>
        <w:rPr>
          <w:rFonts w:eastAsia="Times New Roman"/>
          <w:b/>
          <w:bCs/>
          <w:sz w:val="20"/>
          <w:szCs w:val="20"/>
        </w:rPr>
        <w:t>s</w:t>
      </w:r>
    </w:p>
    <w:p w:rsidR="00000000" w:rsidRDefault="00BC3404">
      <w:pPr>
        <w:pStyle w:val="a3"/>
        <w:spacing w:before="120" w:beforeAutospacing="0" w:after="0" w:afterAutospacing="0"/>
        <w:jc w:val="both"/>
        <w:divId w:val="578715415"/>
        <w:rPr>
          <w:sz w:val="20"/>
          <w:szCs w:val="20"/>
        </w:rPr>
      </w:pPr>
      <w:r>
        <w:rPr>
          <w:sz w:val="20"/>
          <w:szCs w:val="20"/>
        </w:rPr>
        <w:t>The Partnership has residual value guarantees associated with certain of its operating leases, related primarily to transportation equipment, with remaining lease periods scheduled to expire periodically through fiscal</w:t>
      </w:r>
      <w:r>
        <w:rPr>
          <w:sz w:val="20"/>
          <w:szCs w:val="20"/>
        </w:rPr>
        <w:t xml:space="preserve"> </w:t>
      </w:r>
      <w:r>
        <w:rPr>
          <w:sz w:val="20"/>
          <w:szCs w:val="20"/>
        </w:rPr>
        <w:t>203</w:t>
      </w:r>
      <w:r>
        <w:rPr>
          <w:sz w:val="20"/>
          <w:szCs w:val="20"/>
        </w:rPr>
        <w:t>2</w:t>
      </w:r>
      <w:r>
        <w:rPr>
          <w:sz w:val="20"/>
          <w:szCs w:val="20"/>
        </w:rPr>
        <w:t>. Upon completion of the lease pe</w:t>
      </w:r>
      <w:r>
        <w:rPr>
          <w:sz w:val="20"/>
          <w:szCs w:val="20"/>
        </w:rPr>
        <w:t>riod, the Partnership guarantees that the fair value of the equipment will equal or exceed the guaranteed amount, or the Partnership will pay the lessor the difference. Although the fair value of equipment at the end of its lease term has historically exce</w:t>
      </w:r>
      <w:r>
        <w:rPr>
          <w:sz w:val="20"/>
          <w:szCs w:val="20"/>
        </w:rPr>
        <w:t xml:space="preserve">eded the guaranteed amounts, the maximum potential amount of aggregate future payments the Partnership could be required to make under these leasing arrangements, assuming the equipment is deemed worthless at the end of the lease term, was </w:t>
      </w:r>
      <w:r>
        <w:rPr>
          <w:sz w:val="20"/>
          <w:szCs w:val="20"/>
        </w:rPr>
        <w:t>$</w:t>
      </w:r>
      <w:r>
        <w:rPr>
          <w:sz w:val="20"/>
          <w:szCs w:val="20"/>
        </w:rPr>
        <w:t>34,56</w:t>
      </w:r>
      <w:r>
        <w:rPr>
          <w:sz w:val="20"/>
          <w:szCs w:val="20"/>
        </w:rPr>
        <w:t>5</w:t>
      </w:r>
      <w:r>
        <w:rPr>
          <w:sz w:val="20"/>
          <w:szCs w:val="20"/>
        </w:rPr>
        <w:t xml:space="preserve"> as of De</w:t>
      </w:r>
      <w:r>
        <w:rPr>
          <w:sz w:val="20"/>
          <w:szCs w:val="20"/>
        </w:rPr>
        <w:t>cember 24, 2022. The fair value of residual value guarantees for outstanding operating leases was de minimis as of December 24, 202</w:t>
      </w:r>
      <w:r>
        <w:rPr>
          <w:sz w:val="20"/>
          <w:szCs w:val="20"/>
        </w:rPr>
        <w:t>2</w:t>
      </w:r>
      <w:r>
        <w:rPr>
          <w:sz w:val="20"/>
          <w:szCs w:val="20"/>
        </w:rPr>
        <w:t xml:space="preserve"> and September 24, 2022</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1217475613"/>
        <w:rPr>
          <w:rFonts w:eastAsia="Times New Roman"/>
          <w:sz w:val="20"/>
          <w:szCs w:val="20"/>
        </w:rPr>
      </w:pPr>
      <w:r>
        <w:rPr>
          <w:rFonts w:eastAsia="Times New Roman"/>
          <w:b/>
          <w:bCs/>
          <w:sz w:val="20"/>
          <w:szCs w:val="20"/>
        </w:rPr>
        <w:t>15</w:t>
      </w:r>
      <w:r>
        <w:rPr>
          <w:rFonts w:eastAsia="Times New Roman"/>
          <w:b/>
          <w:bCs/>
          <w:sz w:val="20"/>
          <w:szCs w:val="20"/>
        </w:rPr>
        <w:t>.</w:t>
      </w:r>
    </w:p>
    <w:p w:rsidR="00000000" w:rsidRDefault="00BC3404">
      <w:pPr>
        <w:jc w:val="both"/>
        <w:divId w:val="1327901884"/>
        <w:rPr>
          <w:rFonts w:eastAsia="Times New Roman"/>
          <w:sz w:val="20"/>
          <w:szCs w:val="20"/>
        </w:rPr>
      </w:pPr>
      <w:r>
        <w:rPr>
          <w:rFonts w:eastAsia="Times New Roman"/>
          <w:b/>
          <w:bCs/>
          <w:sz w:val="20"/>
          <w:szCs w:val="20"/>
        </w:rPr>
        <w:t>Pension Plans and Other Postretirement Benefit</w:t>
      </w:r>
      <w:r>
        <w:rPr>
          <w:rFonts w:eastAsia="Times New Roman"/>
          <w:b/>
          <w:bCs/>
          <w:sz w:val="20"/>
          <w:szCs w:val="20"/>
        </w:rPr>
        <w:t>s</w:t>
      </w:r>
    </w:p>
    <w:p w:rsidR="00000000" w:rsidRDefault="00BC3404">
      <w:pPr>
        <w:pStyle w:val="a3"/>
        <w:spacing w:before="120" w:beforeAutospacing="0" w:after="0" w:afterAutospacing="0"/>
        <w:jc w:val="both"/>
        <w:divId w:val="1382942701"/>
        <w:rPr>
          <w:sz w:val="20"/>
          <w:szCs w:val="20"/>
        </w:rPr>
      </w:pPr>
      <w:r>
        <w:rPr>
          <w:sz w:val="20"/>
          <w:szCs w:val="20"/>
        </w:rPr>
        <w:t>The following table provides the components o</w:t>
      </w:r>
      <w:r>
        <w:rPr>
          <w:sz w:val="20"/>
          <w:szCs w:val="20"/>
        </w:rPr>
        <w:t>f net periodic benefit costs</w:t>
      </w:r>
      <w:r>
        <w:rPr>
          <w:sz w:val="20"/>
          <w:szCs w:val="20"/>
        </w:rPr>
        <w:t>:</w:t>
      </w:r>
    </w:p>
    <w:p w:rsidR="00000000" w:rsidRDefault="00BC3404">
      <w:pPr>
        <w:pStyle w:val="a3"/>
        <w:spacing w:before="0" w:beforeAutospacing="0" w:after="0" w:afterAutospacing="0"/>
        <w:jc w:val="both"/>
        <w:divId w:val="138294270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98"/>
        <w:gridCol w:w="111"/>
        <w:gridCol w:w="161"/>
        <w:gridCol w:w="928"/>
        <w:gridCol w:w="127"/>
        <w:gridCol w:w="112"/>
        <w:gridCol w:w="161"/>
        <w:gridCol w:w="935"/>
        <w:gridCol w:w="142"/>
      </w:tblGrid>
      <w:tr w:rsidR="00000000">
        <w:trPr>
          <w:divId w:val="1382942701"/>
          <w:tblCellSpacing w:w="15" w:type="dxa"/>
        </w:trPr>
        <w:tc>
          <w:tcPr>
            <w:tcW w:w="3335"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5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82</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55</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Expected return on plan asset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33</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35</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Amortization of net los</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48</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periodic benefit cos</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80</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divId w:val="138294270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900"/>
        <w:gridCol w:w="110"/>
        <w:gridCol w:w="160"/>
        <w:gridCol w:w="890"/>
        <w:gridCol w:w="127"/>
        <w:gridCol w:w="110"/>
        <w:gridCol w:w="161"/>
        <w:gridCol w:w="875"/>
        <w:gridCol w:w="142"/>
      </w:tblGrid>
      <w:tr w:rsidR="00000000">
        <w:trPr>
          <w:divId w:val="1382942701"/>
          <w:tblCellSpacing w:w="15" w:type="dxa"/>
        </w:trPr>
        <w:tc>
          <w:tcPr>
            <w:tcW w:w="3425" w:type="pct"/>
            <w:vAlign w:val="center"/>
            <w:hideMark/>
          </w:tcPr>
          <w:p w:rsidR="00000000" w:rsidRDefault="00BC3404">
            <w:pPr>
              <w:rPr>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3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Postretirement Benefit</w:t>
            </w:r>
            <w:r>
              <w:rPr>
                <w:b/>
                <w:bCs/>
                <w:sz w:val="16"/>
                <w:szCs w:val="16"/>
              </w:rPr>
              <w:t>s</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Amortization of prior service credit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Amortization of net (gain</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18</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382942701"/>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periodic benefit cos</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27</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bl>
    <w:p w:rsidR="00000000" w:rsidRDefault="00BC3404">
      <w:pPr>
        <w:pStyle w:val="a3"/>
        <w:spacing w:before="0" w:beforeAutospacing="0" w:after="0" w:afterAutospacing="0"/>
        <w:jc w:val="both"/>
        <w:divId w:val="292643237"/>
        <w:rPr>
          <w:sz w:val="20"/>
          <w:szCs w:val="20"/>
        </w:rPr>
      </w:pPr>
      <w:r>
        <w:rPr>
          <w:sz w:val="20"/>
          <w:szCs w:val="20"/>
        </w:rPr>
        <w:t> </w:t>
      </w:r>
    </w:p>
    <w:p w:rsidR="00000000" w:rsidRDefault="00BC3404">
      <w:pPr>
        <w:pStyle w:val="a3"/>
        <w:spacing w:before="0" w:beforeAutospacing="0" w:after="0" w:afterAutospacing="0"/>
        <w:jc w:val="both"/>
        <w:divId w:val="292643237"/>
        <w:rPr>
          <w:sz w:val="20"/>
          <w:szCs w:val="20"/>
        </w:rPr>
      </w:pPr>
      <w:r>
        <w:rPr>
          <w:sz w:val="20"/>
          <w:szCs w:val="20"/>
        </w:rPr>
        <w:t xml:space="preserve">The Partnership expects to voluntarily contribute approximately </w:t>
      </w:r>
      <w:r>
        <w:rPr>
          <w:sz w:val="20"/>
          <w:szCs w:val="20"/>
        </w:rPr>
        <w:t>$</w:t>
      </w:r>
      <w:r>
        <w:rPr>
          <w:sz w:val="20"/>
          <w:szCs w:val="20"/>
        </w:rPr>
        <w:t>4,00</w:t>
      </w:r>
      <w:r>
        <w:rPr>
          <w:sz w:val="20"/>
          <w:szCs w:val="20"/>
        </w:rPr>
        <w:t>0</w:t>
      </w:r>
      <w:r>
        <w:rPr>
          <w:sz w:val="20"/>
          <w:szCs w:val="20"/>
        </w:rPr>
        <w:t xml:space="preserve"> to the defined benefit pension plan during fiscal 2023, of which </w:t>
      </w:r>
      <w:r>
        <w:rPr>
          <w:sz w:val="20"/>
          <w:szCs w:val="20"/>
        </w:rPr>
        <w:t>$</w:t>
      </w:r>
      <w:r>
        <w:rPr>
          <w:sz w:val="20"/>
          <w:szCs w:val="20"/>
        </w:rPr>
        <w:t>1,00</w:t>
      </w:r>
      <w:r>
        <w:rPr>
          <w:sz w:val="20"/>
          <w:szCs w:val="20"/>
        </w:rPr>
        <w:t>0</w:t>
      </w:r>
      <w:r>
        <w:rPr>
          <w:sz w:val="20"/>
          <w:szCs w:val="20"/>
        </w:rPr>
        <w:t xml:space="preserve"> was contributed during the three months ended December 24, 2022. The projected annual contribution requirements</w:t>
      </w:r>
      <w:r>
        <w:rPr>
          <w:sz w:val="20"/>
          <w:szCs w:val="20"/>
        </w:rPr>
        <w:t xml:space="preserve"> related to the Partnership’s postretirement health care and life insurance benefit plan for fiscal 2023 is </w:t>
      </w:r>
      <w:r>
        <w:rPr>
          <w:sz w:val="20"/>
          <w:szCs w:val="20"/>
        </w:rPr>
        <w:t>$</w:t>
      </w:r>
      <w:r>
        <w:rPr>
          <w:sz w:val="20"/>
          <w:szCs w:val="20"/>
        </w:rPr>
        <w:t>62</w:t>
      </w:r>
      <w:r>
        <w:rPr>
          <w:sz w:val="20"/>
          <w:szCs w:val="20"/>
        </w:rPr>
        <w:t>7</w:t>
      </w:r>
      <w:r>
        <w:rPr>
          <w:sz w:val="20"/>
          <w:szCs w:val="20"/>
        </w:rPr>
        <w:t xml:space="preserve">, of which </w:t>
      </w:r>
      <w:r>
        <w:rPr>
          <w:sz w:val="20"/>
          <w:szCs w:val="20"/>
        </w:rPr>
        <w:t>$</w:t>
      </w:r>
      <w:r>
        <w:rPr>
          <w:sz w:val="20"/>
          <w:szCs w:val="20"/>
        </w:rPr>
        <w:t>12</w:t>
      </w:r>
      <w:r>
        <w:rPr>
          <w:sz w:val="20"/>
          <w:szCs w:val="20"/>
        </w:rPr>
        <w:t>5</w:t>
      </w:r>
      <w:r>
        <w:rPr>
          <w:sz w:val="20"/>
          <w:szCs w:val="20"/>
        </w:rPr>
        <w:t xml:space="preserve"> was contributed durin</w:t>
      </w:r>
      <w:r>
        <w:rPr>
          <w:sz w:val="20"/>
          <w:szCs w:val="20"/>
        </w:rPr>
        <w:t>g</w:t>
      </w:r>
      <w:r>
        <w:rPr>
          <w:sz w:val="20"/>
          <w:szCs w:val="20"/>
        </w:rPr>
        <w:t xml:space="preserve"> </w:t>
      </w:r>
    </w:p>
    <w:p w:rsidR="00000000" w:rsidRDefault="00BC3404">
      <w:pPr>
        <w:pStyle w:val="a3"/>
        <w:spacing w:before="0" w:beforeAutospacing="0" w:after="0" w:afterAutospacing="0"/>
        <w:jc w:val="center"/>
        <w:divId w:val="292643237"/>
        <w:rPr>
          <w:sz w:val="20"/>
          <w:szCs w:val="20"/>
        </w:rPr>
      </w:pPr>
      <w:r>
        <w:rPr>
          <w:sz w:val="20"/>
          <w:szCs w:val="20"/>
        </w:rPr>
        <w:t> </w:t>
      </w:r>
    </w:p>
    <w:p w:rsidR="00000000" w:rsidRDefault="00BC3404">
      <w:pPr>
        <w:pStyle w:val="a3"/>
        <w:spacing w:before="0" w:beforeAutospacing="0" w:after="0" w:afterAutospacing="0"/>
        <w:jc w:val="center"/>
        <w:divId w:val="292643237"/>
        <w:rPr>
          <w:sz w:val="20"/>
          <w:szCs w:val="20"/>
        </w:rPr>
      </w:pPr>
      <w:r>
        <w:rPr>
          <w:sz w:val="20"/>
          <w:szCs w:val="20"/>
        </w:rPr>
        <w:t>1</w:t>
      </w:r>
      <w:r>
        <w:rPr>
          <w:sz w:val="20"/>
          <w:szCs w:val="20"/>
        </w:rPr>
        <w:t>7</w:t>
      </w:r>
    </w:p>
    <w:p w:rsidR="00000000" w:rsidRDefault="00BC3404">
      <w:pPr>
        <w:divId w:val="292643237"/>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BC3404">
      <w:pPr>
        <w:pStyle w:val="a3"/>
        <w:spacing w:before="0" w:beforeAutospacing="0" w:after="0" w:afterAutospacing="0"/>
        <w:divId w:val="292643237"/>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divId w:val="292643237"/>
        <w:rPr>
          <w:sz w:val="20"/>
          <w:szCs w:val="20"/>
        </w:rPr>
      </w:pPr>
      <w:r>
        <w:rPr>
          <w:sz w:val="20"/>
          <w:szCs w:val="20"/>
        </w:rPr>
        <w:t>the three months ended December 24, 2022. The components of net periodic benefit cost are included in the line item “Other, net” in the condensed consolidated statements of operations</w:t>
      </w:r>
      <w:r>
        <w:rPr>
          <w:sz w:val="20"/>
          <w:szCs w:val="20"/>
        </w:rPr>
        <w:t>.</w:t>
      </w:r>
    </w:p>
    <w:p w:rsidR="00000000" w:rsidRDefault="00BC3404">
      <w:pPr>
        <w:pStyle w:val="a3"/>
        <w:spacing w:before="240" w:beforeAutospacing="0" w:after="0" w:afterAutospacing="0"/>
        <w:jc w:val="both"/>
        <w:divId w:val="292643237"/>
        <w:rPr>
          <w:sz w:val="20"/>
          <w:szCs w:val="20"/>
        </w:rPr>
      </w:pPr>
      <w:r>
        <w:rPr>
          <w:sz w:val="20"/>
          <w:szCs w:val="20"/>
        </w:rPr>
        <w:t>The Partnership contributes to multi-employer pension</w:t>
      </w:r>
      <w:r>
        <w:rPr>
          <w:sz w:val="20"/>
          <w:szCs w:val="20"/>
        </w:rPr>
        <w:t xml:space="preserve"> plans (“MEPPs”) in accordance with various collective bargaining agreements covering union employees. As one of the many participating employers in these MEPPs, the Partnership is responsible with the other participating employers for any plan underfundin</w:t>
      </w:r>
      <w:r>
        <w:rPr>
          <w:sz w:val="20"/>
          <w:szCs w:val="20"/>
        </w:rPr>
        <w:t xml:space="preserve">g. As of December 24, 2022 and September 24, 2022, the Partnership’s estimated obligation to these MEPPs was </w:t>
      </w:r>
      <w:r>
        <w:rPr>
          <w:sz w:val="20"/>
          <w:szCs w:val="20"/>
        </w:rPr>
        <w:t>$</w:t>
      </w:r>
      <w:r>
        <w:rPr>
          <w:sz w:val="20"/>
          <w:szCs w:val="20"/>
        </w:rPr>
        <w:t>22,22</w:t>
      </w:r>
      <w:r>
        <w:rPr>
          <w:sz w:val="20"/>
          <w:szCs w:val="20"/>
        </w:rPr>
        <w:t>4</w:t>
      </w:r>
      <w:r>
        <w:rPr>
          <w:sz w:val="20"/>
          <w:szCs w:val="20"/>
        </w:rPr>
        <w:t xml:space="preserve"> and </w:t>
      </w:r>
      <w:r>
        <w:rPr>
          <w:sz w:val="20"/>
          <w:szCs w:val="20"/>
        </w:rPr>
        <w:t>$</w:t>
      </w:r>
      <w:r>
        <w:rPr>
          <w:sz w:val="20"/>
          <w:szCs w:val="20"/>
        </w:rPr>
        <w:t>22,49</w:t>
      </w:r>
      <w:r>
        <w:rPr>
          <w:sz w:val="20"/>
          <w:szCs w:val="20"/>
        </w:rPr>
        <w:t>6</w:t>
      </w:r>
      <w:r>
        <w:rPr>
          <w:sz w:val="20"/>
          <w:szCs w:val="20"/>
        </w:rPr>
        <w:t>, respectively, as a result of its voluntary full withdrawal from certain MEPPs</w:t>
      </w:r>
      <w:r>
        <w:rPr>
          <w:sz w:val="20"/>
          <w:szCs w:val="20"/>
        </w:rPr>
        <w:t>.</w:t>
      </w:r>
    </w:p>
    <w:p w:rsidR="00000000" w:rsidRDefault="00BC3404">
      <w:pPr>
        <w:pStyle w:val="a3"/>
        <w:spacing w:before="0" w:beforeAutospacing="0" w:after="0" w:afterAutospacing="0"/>
        <w:ind w:hanging="581"/>
        <w:jc w:val="both"/>
        <w:rPr>
          <w:sz w:val="20"/>
          <w:szCs w:val="20"/>
        </w:rPr>
      </w:pPr>
      <w:r>
        <w:rPr>
          <w:sz w:val="20"/>
          <w:szCs w:val="20"/>
        </w:rPr>
        <w:t> </w:t>
      </w:r>
    </w:p>
    <w:p w:rsidR="00000000" w:rsidRDefault="00BC3404">
      <w:pPr>
        <w:jc w:val="both"/>
        <w:divId w:val="1547062096"/>
        <w:rPr>
          <w:rFonts w:eastAsia="Times New Roman"/>
          <w:sz w:val="20"/>
          <w:szCs w:val="20"/>
        </w:rPr>
      </w:pPr>
      <w:r>
        <w:rPr>
          <w:rFonts w:eastAsia="Times New Roman"/>
          <w:b/>
          <w:bCs/>
          <w:sz w:val="20"/>
          <w:szCs w:val="20"/>
        </w:rPr>
        <w:t>16</w:t>
      </w:r>
      <w:r>
        <w:rPr>
          <w:rFonts w:eastAsia="Times New Roman"/>
          <w:b/>
          <w:bCs/>
          <w:sz w:val="20"/>
          <w:szCs w:val="20"/>
        </w:rPr>
        <w:t>.</w:t>
      </w:r>
    </w:p>
    <w:p w:rsidR="00000000" w:rsidRDefault="00BC3404">
      <w:pPr>
        <w:jc w:val="both"/>
        <w:divId w:val="298146157"/>
        <w:rPr>
          <w:rFonts w:eastAsia="Times New Roman"/>
          <w:sz w:val="20"/>
          <w:szCs w:val="20"/>
        </w:rPr>
      </w:pPr>
      <w:r>
        <w:rPr>
          <w:rFonts w:eastAsia="Times New Roman"/>
          <w:b/>
          <w:bCs/>
          <w:sz w:val="20"/>
          <w:szCs w:val="20"/>
        </w:rPr>
        <w:t>Amounts Reclassified Out of Accumulated Other Comprehensive Incom</w:t>
      </w:r>
      <w:r>
        <w:rPr>
          <w:rFonts w:eastAsia="Times New Roman"/>
          <w:b/>
          <w:bCs/>
          <w:sz w:val="20"/>
          <w:szCs w:val="20"/>
        </w:rPr>
        <w:t>e</w:t>
      </w:r>
    </w:p>
    <w:p w:rsidR="00000000" w:rsidRDefault="00BC3404">
      <w:pPr>
        <w:pStyle w:val="a3"/>
        <w:spacing w:before="120" w:beforeAutospacing="0" w:after="0" w:afterAutospacing="0"/>
        <w:jc w:val="both"/>
        <w:divId w:val="1797674015"/>
        <w:rPr>
          <w:sz w:val="20"/>
          <w:szCs w:val="20"/>
        </w:rPr>
      </w:pPr>
      <w:r>
        <w:rPr>
          <w:sz w:val="20"/>
          <w:szCs w:val="20"/>
        </w:rPr>
        <w:t>The following table summarizes amounts reclassified out of accumulated other comprehensive income (loss) for the three months ended December 24, 2022 and December 25, 2021</w:t>
      </w:r>
      <w:r>
        <w:rPr>
          <w:sz w:val="20"/>
          <w:szCs w:val="20"/>
        </w:rPr>
        <w:t>:</w:t>
      </w:r>
    </w:p>
    <w:p w:rsidR="00000000" w:rsidRDefault="00BC3404">
      <w:pPr>
        <w:pStyle w:val="a3"/>
        <w:spacing w:before="0" w:beforeAutospacing="0" w:after="0" w:afterAutospacing="0"/>
        <w:jc w:val="both"/>
        <w:divId w:val="179767401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74"/>
        <w:gridCol w:w="210"/>
        <w:gridCol w:w="160"/>
        <w:gridCol w:w="903"/>
        <w:gridCol w:w="127"/>
        <w:gridCol w:w="110"/>
        <w:gridCol w:w="160"/>
        <w:gridCol w:w="889"/>
        <w:gridCol w:w="142"/>
      </w:tblGrid>
      <w:tr w:rsidR="00000000">
        <w:trPr>
          <w:divId w:val="1797674015"/>
          <w:tblCellSpacing w:w="15" w:type="dxa"/>
        </w:trPr>
        <w:tc>
          <w:tcPr>
            <w:tcW w:w="3335"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5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79767401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9767401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97674015"/>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Pension Benefit</w:t>
            </w:r>
            <w:r>
              <w:rPr>
                <w:b/>
                <w:bCs/>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17,79</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ind w:left="300"/>
              <w:rPr>
                <w:sz w:val="20"/>
                <w:szCs w:val="20"/>
              </w:rPr>
            </w:pPr>
            <w:r>
              <w:rPr>
                <w:sz w:val="20"/>
                <w:szCs w:val="20"/>
              </w:rPr>
              <w:t>Amortization of net loss</w:t>
            </w:r>
            <w:r>
              <w:rPr>
                <w:sz w:val="20"/>
                <w:szCs w:val="20"/>
              </w:rPr>
              <w:t xml:space="preserve"> </w:t>
            </w:r>
            <w:r>
              <w:rPr>
                <w:sz w:val="14"/>
                <w:szCs w:val="14"/>
              </w:rPr>
              <w:t>(1</w:t>
            </w:r>
            <w:r>
              <w:rPr>
                <w:sz w:val="14"/>
                <w:szCs w:val="14"/>
              </w:rPr>
              <w:t>)</w:t>
            </w:r>
          </w:p>
        </w:tc>
        <w:tc>
          <w:tcPr>
            <w:tcW w:w="0" w:type="auto"/>
            <w:hideMark/>
          </w:tcPr>
          <w:p w:rsidR="00000000" w:rsidRDefault="00BC3404">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48</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incom</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48</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17,31</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22,70</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97674015"/>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Postretirement Benefit</w:t>
            </w:r>
            <w:r>
              <w:rPr>
                <w:b/>
                <w:bCs/>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5,20</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5,71</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   Amortization of net gain and prior service credits</w:t>
            </w:r>
            <w:r>
              <w:rPr>
                <w:sz w:val="20"/>
                <w:szCs w:val="20"/>
              </w:rPr>
              <w:t xml:space="preserve"> </w:t>
            </w:r>
            <w:r>
              <w:rPr>
                <w:sz w:val="14"/>
                <w:szCs w:val="14"/>
              </w:rPr>
              <w:t>(1</w:t>
            </w:r>
            <w:r>
              <w:rPr>
                <w:sz w:val="14"/>
                <w:szCs w:val="14"/>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31</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los</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31</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30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4,88</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5,41</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Accumulated Other Comprehensive Income (Loss</w:t>
            </w:r>
            <w:r>
              <w:rPr>
                <w:b/>
                <w:bCs/>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Reclassifications to earning</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Other comprehensive incom</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797674015"/>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12,43</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17,29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bl>
    <w:p w:rsidR="00000000" w:rsidRDefault="00BC3404">
      <w:pPr>
        <w:pStyle w:val="a3"/>
        <w:spacing w:before="0" w:beforeAutospacing="0" w:after="0" w:afterAutospacing="0"/>
        <w:ind w:left="476" w:hanging="581"/>
        <w:jc w:val="both"/>
        <w:divId w:val="1797674015"/>
        <w:rPr>
          <w:sz w:val="20"/>
          <w:szCs w:val="20"/>
        </w:rPr>
      </w:pPr>
      <w:r>
        <w:rPr>
          <w:sz w:val="20"/>
          <w:szCs w:val="20"/>
        </w:rPr>
        <w:t> </w:t>
      </w:r>
    </w:p>
    <w:p w:rsidR="00000000" w:rsidRDefault="00BC3404">
      <w:pPr>
        <w:jc w:val="both"/>
        <w:divId w:val="745568307"/>
        <w:rPr>
          <w:rFonts w:eastAsia="Times New Roman"/>
          <w:sz w:val="20"/>
          <w:szCs w:val="20"/>
        </w:rPr>
      </w:pPr>
      <w:r>
        <w:rPr>
          <w:rFonts w:eastAsia="Times New Roman"/>
          <w:sz w:val="20"/>
          <w:szCs w:val="20"/>
        </w:rPr>
        <w:t>(1</w:t>
      </w:r>
      <w:r>
        <w:rPr>
          <w:rFonts w:eastAsia="Times New Roman"/>
          <w:sz w:val="20"/>
          <w:szCs w:val="20"/>
        </w:rPr>
        <w:t>)</w:t>
      </w:r>
    </w:p>
    <w:p w:rsidR="00000000" w:rsidRDefault="00BC3404">
      <w:pPr>
        <w:jc w:val="both"/>
        <w:divId w:val="1543251098"/>
        <w:rPr>
          <w:rFonts w:eastAsia="Times New Roman"/>
          <w:sz w:val="20"/>
          <w:szCs w:val="20"/>
        </w:rPr>
      </w:pPr>
      <w:r>
        <w:rPr>
          <w:rFonts w:eastAsia="Times New Roman"/>
          <w:sz w:val="20"/>
          <w:szCs w:val="20"/>
        </w:rPr>
        <w:t>These amounts are included in the computation of net periodic benefit cost. See Note 15, “Pension Plans and Other Postretirement Benefits.</w:t>
      </w:r>
      <w:r>
        <w:rPr>
          <w:rFonts w:eastAsia="Times New Roman"/>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1</w:t>
      </w:r>
      <w:r>
        <w:rPr>
          <w:sz w:val="20"/>
          <w:szCs w:val="20"/>
        </w:rPr>
        <w:t>8</w:t>
      </w:r>
    </w:p>
    <w:p w:rsidR="00000000" w:rsidRDefault="00BC3404">
      <w:pPr>
        <w:rPr>
          <w:rFonts w:eastAsia="Times New Roman"/>
        </w:rPr>
      </w:pPr>
      <w:r>
        <w:rPr>
          <w:rFonts w:eastAsia="Times New Roman"/>
        </w:rPr>
        <w:pict>
          <v:rect id="_x0000_i1046"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jc w:val="both"/>
        <w:divId w:val="1582988920"/>
        <w:rPr>
          <w:rFonts w:eastAsia="Times New Roman"/>
          <w:sz w:val="20"/>
          <w:szCs w:val="20"/>
        </w:rPr>
      </w:pPr>
      <w:r>
        <w:rPr>
          <w:rFonts w:eastAsia="Times New Roman"/>
          <w:b/>
          <w:bCs/>
          <w:sz w:val="20"/>
          <w:szCs w:val="20"/>
        </w:rPr>
        <w:t>17</w:t>
      </w:r>
      <w:r>
        <w:rPr>
          <w:rFonts w:eastAsia="Times New Roman"/>
          <w:b/>
          <w:bCs/>
          <w:sz w:val="20"/>
          <w:szCs w:val="20"/>
        </w:rPr>
        <w:t>.</w:t>
      </w:r>
    </w:p>
    <w:p w:rsidR="00000000" w:rsidRDefault="00BC3404">
      <w:pPr>
        <w:jc w:val="both"/>
        <w:divId w:val="946156907"/>
        <w:rPr>
          <w:rFonts w:eastAsia="Times New Roman"/>
          <w:sz w:val="20"/>
          <w:szCs w:val="20"/>
        </w:rPr>
      </w:pPr>
      <w:r>
        <w:rPr>
          <w:rFonts w:eastAsia="Times New Roman"/>
          <w:b/>
          <w:bCs/>
          <w:sz w:val="20"/>
          <w:szCs w:val="20"/>
        </w:rPr>
        <w:t>Income Taxe</w:t>
      </w:r>
      <w:r>
        <w:rPr>
          <w:rFonts w:eastAsia="Times New Roman"/>
          <w:b/>
          <w:bCs/>
          <w:sz w:val="20"/>
          <w:szCs w:val="20"/>
        </w:rPr>
        <w:t>s</w:t>
      </w:r>
    </w:p>
    <w:p w:rsidR="00000000" w:rsidRDefault="00BC3404">
      <w:pPr>
        <w:pStyle w:val="a3"/>
        <w:spacing w:before="120" w:beforeAutospacing="0" w:after="0" w:afterAutospacing="0"/>
        <w:jc w:val="both"/>
        <w:divId w:val="2085182600"/>
        <w:rPr>
          <w:sz w:val="20"/>
          <w:szCs w:val="20"/>
        </w:rPr>
      </w:pPr>
      <w:r>
        <w:rPr>
          <w:sz w:val="20"/>
          <w:szCs w:val="20"/>
        </w:rPr>
        <w:t>For federal income tax purposes, as well as for state income tax purposes in the majority of the states in which the Partne</w:t>
      </w:r>
      <w:r>
        <w:rPr>
          <w:sz w:val="20"/>
          <w:szCs w:val="20"/>
        </w:rPr>
        <w:t>rship operates, the earnings attributable to the Partnership and the Operating Partnership are not subject to income tax at the partnership level. With the exception of those states that impose an entity-level income tax on partnerships, the taxable income</w:t>
      </w:r>
      <w:r>
        <w:rPr>
          <w:sz w:val="20"/>
          <w:szCs w:val="20"/>
        </w:rPr>
        <w:t xml:space="preserve"> or loss attributable to the Partnership and to the Operating Partnership, which may vary substantially from the income (loss) before income taxes reported by the Partnership in the condensed consolidated statement of operations, are includable in the fede</w:t>
      </w:r>
      <w:r>
        <w:rPr>
          <w:sz w:val="20"/>
          <w:szCs w:val="20"/>
        </w:rPr>
        <w:t>ral and state income tax returns of the Common Unitholders. The aggregate difference in the basis of the Partnership’s net assets for financial and tax reporting purposes cannot be readily determined as the Partnership does not have access to each Common U</w:t>
      </w:r>
      <w:r>
        <w:rPr>
          <w:sz w:val="20"/>
          <w:szCs w:val="20"/>
        </w:rPr>
        <w:t>nitholder’s basis in the Partnership</w:t>
      </w:r>
      <w:r>
        <w:rPr>
          <w:sz w:val="20"/>
          <w:szCs w:val="20"/>
        </w:rPr>
        <w:t>.</w:t>
      </w:r>
    </w:p>
    <w:p w:rsidR="00000000" w:rsidRDefault="00BC3404">
      <w:pPr>
        <w:pStyle w:val="a3"/>
        <w:spacing w:before="240" w:beforeAutospacing="0" w:after="0" w:afterAutospacing="0"/>
        <w:jc w:val="both"/>
        <w:divId w:val="2085182600"/>
        <w:rPr>
          <w:sz w:val="20"/>
          <w:szCs w:val="20"/>
        </w:rPr>
      </w:pPr>
      <w:r>
        <w:rPr>
          <w:sz w:val="20"/>
          <w:szCs w:val="20"/>
        </w:rPr>
        <w:t xml:space="preserve">As described in Note 1, “Partnership Organization and Formation,” the earnings of the Corporate Entities are subject to U.S. corporate level income tax. However, based upon past performance, the Corporate Entities are </w:t>
      </w:r>
      <w:r>
        <w:rPr>
          <w:sz w:val="20"/>
          <w:szCs w:val="20"/>
        </w:rPr>
        <w:t>currently reporting an income tax provision composed primarily of minimum state income taxes. A full valuation allowance has been provided against the deferred tax assets (with the exception of certain net operating loss carryforwards (“NOLs”) that arose a</w:t>
      </w:r>
      <w:r>
        <w:rPr>
          <w:sz w:val="20"/>
          <w:szCs w:val="20"/>
        </w:rPr>
        <w:t>fter 2017) based upon an analysis of all available evidence, both negative and positive at the balance sheet date, which, taken as a whole, indicates that it is more likely than not that sufficient future taxable income will not be available to utilize the</w:t>
      </w:r>
      <w:r>
        <w:rPr>
          <w:sz w:val="20"/>
          <w:szCs w:val="20"/>
        </w:rPr>
        <w:t xml:space="preserve"> assets. Management’s periodic reviews include, among other things, the nature and amount of the taxable income and expense items, the expected timing of when assets will be used or liabilities will be required to be reported and the reliability of histori</w:t>
      </w:r>
      <w:r>
        <w:rPr>
          <w:sz w:val="20"/>
          <w:szCs w:val="20"/>
        </w:rPr>
        <w:t>cal profitability of businesses that are expected to provide future earnings. Furthermore, management considered tax-planning strategies it could use to increase the likelihood that the deferred tax assets will be realized</w:t>
      </w:r>
      <w:r>
        <w:rPr>
          <w:sz w:val="20"/>
          <w:szCs w:val="20"/>
        </w:rPr>
        <w:t>.</w:t>
      </w:r>
    </w:p>
    <w:p w:rsidR="00000000" w:rsidRDefault="00BC3404">
      <w:pPr>
        <w:pStyle w:val="a3"/>
        <w:spacing w:before="240" w:beforeAutospacing="0" w:after="0" w:afterAutospacing="0"/>
        <w:jc w:val="both"/>
        <w:divId w:val="2085182600"/>
        <w:rPr>
          <w:sz w:val="20"/>
          <w:szCs w:val="20"/>
        </w:rPr>
      </w:pPr>
      <w:r>
        <w:rPr>
          <w:sz w:val="20"/>
          <w:szCs w:val="20"/>
        </w:rPr>
        <w:t xml:space="preserve">As a result of the Tax Cuts and </w:t>
      </w:r>
      <w:r>
        <w:rPr>
          <w:sz w:val="20"/>
          <w:szCs w:val="20"/>
        </w:rPr>
        <w:t xml:space="preserve">Jobs Act of 2017, NOLs generated by the Corporate Entities beginning in 2018 may be carried forward indefinitely. The Corporate Entities generated a taxable loss during the 2022 and 2021 tax years, which resulted in a </w:t>
      </w:r>
      <w:r>
        <w:rPr>
          <w:sz w:val="20"/>
          <w:szCs w:val="20"/>
        </w:rPr>
        <w:t>$</w:t>
      </w:r>
      <w:r>
        <w:rPr>
          <w:sz w:val="20"/>
          <w:szCs w:val="20"/>
        </w:rPr>
        <w:t>29</w:t>
      </w:r>
      <w:r>
        <w:rPr>
          <w:sz w:val="20"/>
          <w:szCs w:val="20"/>
        </w:rPr>
        <w:t>5</w:t>
      </w:r>
      <w:r>
        <w:rPr>
          <w:sz w:val="20"/>
          <w:szCs w:val="20"/>
        </w:rPr>
        <w:t xml:space="preserve"> and</w:t>
      </w:r>
      <w:r>
        <w:rPr>
          <w:sz w:val="20"/>
          <w:szCs w:val="20"/>
        </w:rPr>
        <w:t xml:space="preserve"> </w:t>
      </w:r>
      <w:r>
        <w:rPr>
          <w:sz w:val="20"/>
          <w:szCs w:val="20"/>
        </w:rPr>
        <w:t>$</w:t>
      </w:r>
      <w:r>
        <w:rPr>
          <w:sz w:val="20"/>
          <w:szCs w:val="20"/>
        </w:rPr>
        <w:t>63</w:t>
      </w:r>
      <w:r>
        <w:rPr>
          <w:sz w:val="20"/>
          <w:szCs w:val="20"/>
        </w:rPr>
        <w:t>8</w:t>
      </w:r>
      <w:r>
        <w:rPr>
          <w:sz w:val="20"/>
          <w:szCs w:val="20"/>
        </w:rPr>
        <w:t xml:space="preserve"> </w:t>
      </w:r>
      <w:r>
        <w:rPr>
          <w:sz w:val="20"/>
          <w:szCs w:val="20"/>
        </w:rPr>
        <w:t>deferred tax benefit rec</w:t>
      </w:r>
      <w:r>
        <w:rPr>
          <w:sz w:val="20"/>
          <w:szCs w:val="20"/>
        </w:rPr>
        <w:t>orded during the first quarter of fiscal 2023 and fiscal 2022, respectively</w:t>
      </w:r>
      <w:r>
        <w:rPr>
          <w:sz w:val="20"/>
          <w:szCs w:val="20"/>
        </w:rPr>
        <w:t>.</w:t>
      </w:r>
      <w:r>
        <w:rPr>
          <w:sz w:val="20"/>
          <w:szCs w:val="20"/>
        </w:rPr>
        <w:t xml:space="preserve"> </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jc w:val="both"/>
        <w:divId w:val="576676053"/>
        <w:rPr>
          <w:rFonts w:eastAsia="Times New Roman"/>
          <w:sz w:val="20"/>
          <w:szCs w:val="20"/>
        </w:rPr>
      </w:pPr>
      <w:r>
        <w:rPr>
          <w:rFonts w:eastAsia="Times New Roman"/>
          <w:b/>
          <w:bCs/>
          <w:sz w:val="20"/>
          <w:szCs w:val="20"/>
        </w:rPr>
        <w:t>18</w:t>
      </w:r>
      <w:r>
        <w:rPr>
          <w:rFonts w:eastAsia="Times New Roman"/>
          <w:b/>
          <w:bCs/>
          <w:sz w:val="20"/>
          <w:szCs w:val="20"/>
        </w:rPr>
        <w:t>.</w:t>
      </w:r>
    </w:p>
    <w:p w:rsidR="00000000" w:rsidRDefault="00BC3404">
      <w:pPr>
        <w:jc w:val="both"/>
        <w:divId w:val="54478557"/>
        <w:rPr>
          <w:rFonts w:eastAsia="Times New Roman"/>
          <w:sz w:val="20"/>
          <w:szCs w:val="20"/>
        </w:rPr>
      </w:pPr>
      <w:r>
        <w:rPr>
          <w:rFonts w:eastAsia="Times New Roman"/>
          <w:b/>
          <w:bCs/>
          <w:sz w:val="20"/>
          <w:szCs w:val="20"/>
        </w:rPr>
        <w:t>Segment Informatio</w:t>
      </w:r>
      <w:r>
        <w:rPr>
          <w:rFonts w:eastAsia="Times New Roman"/>
          <w:b/>
          <w:bCs/>
          <w:sz w:val="20"/>
          <w:szCs w:val="20"/>
        </w:rPr>
        <w:t>n</w:t>
      </w:r>
    </w:p>
    <w:p w:rsidR="00000000" w:rsidRDefault="00BC3404">
      <w:pPr>
        <w:pStyle w:val="a3"/>
        <w:spacing w:before="120" w:beforeAutospacing="0" w:after="0" w:afterAutospacing="0"/>
        <w:jc w:val="both"/>
        <w:divId w:val="1674531290"/>
        <w:rPr>
          <w:sz w:val="20"/>
          <w:szCs w:val="20"/>
        </w:rPr>
      </w:pPr>
      <w:r>
        <w:rPr>
          <w:sz w:val="20"/>
          <w:szCs w:val="20"/>
        </w:rPr>
        <w:t>The Partnership manages and evaluates its operations in</w:t>
      </w:r>
      <w:r>
        <w:rPr>
          <w:sz w:val="20"/>
          <w:szCs w:val="20"/>
        </w:rPr>
        <w:t xml:space="preserve"> </w:t>
      </w:r>
      <w:r>
        <w:rPr>
          <w:sz w:val="20"/>
          <w:szCs w:val="20"/>
        </w:rPr>
        <w:t>fou</w:t>
      </w:r>
      <w:r>
        <w:rPr>
          <w:sz w:val="20"/>
          <w:szCs w:val="20"/>
        </w:rPr>
        <w:t>r</w:t>
      </w:r>
      <w:r>
        <w:rPr>
          <w:sz w:val="20"/>
          <w:szCs w:val="20"/>
        </w:rPr>
        <w:t xml:space="preserve"> operating segments,</w:t>
      </w:r>
      <w:r>
        <w:rPr>
          <w:sz w:val="20"/>
          <w:szCs w:val="20"/>
        </w:rPr>
        <w:t xml:space="preserve"> </w:t>
      </w:r>
      <w:r>
        <w:rPr>
          <w:sz w:val="20"/>
          <w:szCs w:val="20"/>
        </w:rPr>
        <w:t>thre</w:t>
      </w:r>
      <w:r>
        <w:rPr>
          <w:sz w:val="20"/>
          <w:szCs w:val="20"/>
        </w:rPr>
        <w:t>e</w:t>
      </w:r>
      <w:r>
        <w:rPr>
          <w:sz w:val="20"/>
          <w:szCs w:val="20"/>
        </w:rPr>
        <w:t xml:space="preserve"> of which are reportable segments: Propane, Fuel Oil and Refined F</w:t>
      </w:r>
      <w:r>
        <w:rPr>
          <w:sz w:val="20"/>
          <w:szCs w:val="20"/>
        </w:rPr>
        <w:t>uels, and Natural Gas and Electricity. The chief operating decision maker evaluates performance of the operating segments using a number of performance measures, including gross margins and income before interest expense and provision for income taxes (ope</w:t>
      </w:r>
      <w:r>
        <w:rPr>
          <w:sz w:val="20"/>
          <w:szCs w:val="20"/>
        </w:rPr>
        <w:t xml:space="preserve">rating profit). Costs excluded from these profit measures are captured in Corporate and include corporate overhead expenses not allocated to the operating segments. Unallocated corporate overhead expenses include all costs of back office support functions </w:t>
      </w:r>
      <w:r>
        <w:rPr>
          <w:sz w:val="20"/>
          <w:szCs w:val="20"/>
        </w:rPr>
        <w:t>that are reported as general and administrative expenses within the condensed consolidated statements of operations. In addition, certain costs associated with field operations support that are reported in operating expenses within the condensed consolidat</w:t>
      </w:r>
      <w:r>
        <w:rPr>
          <w:sz w:val="20"/>
          <w:szCs w:val="20"/>
        </w:rPr>
        <w:t>ed statements of operations, including purchasing, training and safety, are not allocated to the individual operating segments. Thus, operating profit for each operating segment includes only the costs that are directly attributable to the operations of th</w:t>
      </w:r>
      <w:r>
        <w:rPr>
          <w:sz w:val="20"/>
          <w:szCs w:val="20"/>
        </w:rPr>
        <w:t>e individual segment. The accounting policies of the operating segments are otherwise the same as those described in Note 2, “Summary of Significant Accounting Policies,” in the Partnership’s Annual Report on Form 10-K for the fiscal year ended September 2</w:t>
      </w:r>
      <w:r>
        <w:rPr>
          <w:sz w:val="20"/>
          <w:szCs w:val="20"/>
        </w:rPr>
        <w:t>4, 2022</w:t>
      </w:r>
      <w:r>
        <w:rPr>
          <w:sz w:val="20"/>
          <w:szCs w:val="20"/>
        </w:rPr>
        <w:t>.</w:t>
      </w:r>
    </w:p>
    <w:p w:rsidR="00000000" w:rsidRDefault="00BC3404">
      <w:pPr>
        <w:pStyle w:val="a3"/>
        <w:spacing w:before="240" w:beforeAutospacing="0" w:after="0" w:afterAutospacing="0"/>
        <w:jc w:val="both"/>
        <w:divId w:val="1674531290"/>
        <w:rPr>
          <w:sz w:val="20"/>
          <w:szCs w:val="20"/>
        </w:rPr>
      </w:pPr>
      <w:r>
        <w:rPr>
          <w:sz w:val="20"/>
          <w:szCs w:val="20"/>
        </w:rPr>
        <w:t>The propane segment is primarily engaged in the retail distribution of propane to residential, commercial, industrial, agricultural and government customers and, to a lesser extent, wholesale distribution to large industrial end users. In the resi</w:t>
      </w:r>
      <w:r>
        <w:rPr>
          <w:sz w:val="20"/>
          <w:szCs w:val="20"/>
        </w:rPr>
        <w:t>dential, commercial and government markets, propane is used primarily for space heating, water heating, cooking and clothes drying. Industrial customers use propane generally as a motor fuel burned in internal combustion engines that power over-the-road ve</w:t>
      </w:r>
      <w:r>
        <w:rPr>
          <w:sz w:val="20"/>
          <w:szCs w:val="20"/>
        </w:rPr>
        <w:t xml:space="preserve">hicles, forklifts and stationary engines, to fire furnaces and as a cutting gas. In the agricultural markets, propane is primarily used for tobacco curing, crop drying, poultry brooding and weed control. In addition, the Partnership’s equity investment in </w:t>
      </w:r>
      <w:r>
        <w:rPr>
          <w:sz w:val="20"/>
          <w:szCs w:val="20"/>
        </w:rPr>
        <w:t>Oberon is included within the propane segment</w:t>
      </w:r>
      <w:r>
        <w:rPr>
          <w:sz w:val="20"/>
          <w:szCs w:val="20"/>
        </w:rPr>
        <w:t>.</w:t>
      </w:r>
    </w:p>
    <w:p w:rsidR="00000000" w:rsidRDefault="00BC3404">
      <w:pPr>
        <w:pStyle w:val="a3"/>
        <w:spacing w:before="240" w:beforeAutospacing="0" w:after="0" w:afterAutospacing="0"/>
        <w:jc w:val="both"/>
        <w:divId w:val="1674531290"/>
        <w:rPr>
          <w:sz w:val="20"/>
          <w:szCs w:val="20"/>
        </w:rPr>
      </w:pPr>
      <w:r>
        <w:rPr>
          <w:sz w:val="20"/>
          <w:szCs w:val="20"/>
        </w:rPr>
        <w:t>The fuel oil and refined fuels segment is primarily engaged in the retail distribution of fuel oil, diesel, kerosene and gasoline to residential and commercial customers for use primarily as a source of heat i</w:t>
      </w:r>
      <w:r>
        <w:rPr>
          <w:sz w:val="20"/>
          <w:szCs w:val="20"/>
        </w:rPr>
        <w:t>n homes and buildings</w:t>
      </w:r>
      <w:r>
        <w:rPr>
          <w:sz w:val="20"/>
          <w:szCs w:val="20"/>
        </w:rPr>
        <w:t>.</w:t>
      </w:r>
    </w:p>
    <w:p w:rsidR="00000000" w:rsidRDefault="00BC3404">
      <w:pPr>
        <w:pStyle w:val="a3"/>
        <w:spacing w:before="240" w:beforeAutospacing="0" w:after="0" w:afterAutospacing="0"/>
        <w:jc w:val="both"/>
        <w:divId w:val="1674531290"/>
        <w:rPr>
          <w:sz w:val="20"/>
          <w:szCs w:val="20"/>
        </w:rPr>
      </w:pPr>
      <w:r>
        <w:rPr>
          <w:sz w:val="20"/>
          <w:szCs w:val="20"/>
        </w:rPr>
        <w:t xml:space="preserve">The natural gas and electricity segment is engaged in the marketing of natural gas and electricity to residential and commercial customers in the deregulated energy markets of New York and Pennsylvania. Under this operating segment, </w:t>
      </w:r>
      <w:r>
        <w:rPr>
          <w:sz w:val="20"/>
          <w:szCs w:val="20"/>
        </w:rPr>
        <w:t>the Partnership owns the relationship with the end consumer and has agreements with the local distribution companies to deliver the natural gas or electricity from the Partnership’s suppliers to the customer</w:t>
      </w:r>
      <w:r>
        <w:rPr>
          <w:sz w:val="20"/>
          <w:szCs w:val="20"/>
        </w:rPr>
        <w:t>.</w:t>
      </w:r>
    </w:p>
    <w:p w:rsidR="00000000" w:rsidRDefault="00BC3404">
      <w:pPr>
        <w:pStyle w:val="a3"/>
        <w:spacing w:before="240" w:beforeAutospacing="0" w:after="0" w:afterAutospacing="0"/>
        <w:jc w:val="both"/>
        <w:divId w:val="1674531290"/>
        <w:rPr>
          <w:sz w:val="20"/>
          <w:szCs w:val="20"/>
        </w:rPr>
      </w:pPr>
      <w:r>
        <w:rPr>
          <w:sz w:val="20"/>
          <w:szCs w:val="20"/>
        </w:rPr>
        <w:t xml:space="preserve">Activities in the “all other” category include </w:t>
      </w:r>
      <w:r>
        <w:rPr>
          <w:sz w:val="20"/>
          <w:szCs w:val="20"/>
        </w:rPr>
        <w:t>the Partnership’s service business, which is primarily engaged in the sale, installation and servicing of a wide variety of home comfort equipment, particularly in the areas of heating and ventilation. In addition, the Partnership’s equity investment in IH</w:t>
      </w:r>
      <w:r>
        <w:rPr>
          <w:sz w:val="20"/>
          <w:szCs w:val="20"/>
        </w:rPr>
        <w:t>, as well as its biodigester systems for the production of RNG, are included within “all other”</w:t>
      </w:r>
      <w:r>
        <w:rPr>
          <w:sz w:val="20"/>
          <w:szCs w:val="20"/>
        </w:rPr>
        <w:t>.</w:t>
      </w:r>
    </w:p>
    <w:p w:rsidR="00000000" w:rsidRDefault="00BC3404">
      <w:pPr>
        <w:pStyle w:val="a3"/>
        <w:spacing w:before="0" w:beforeAutospacing="0" w:after="0" w:afterAutospacing="0"/>
        <w:jc w:val="center"/>
        <w:divId w:val="1674531290"/>
        <w:rPr>
          <w:sz w:val="20"/>
          <w:szCs w:val="20"/>
        </w:rPr>
      </w:pPr>
      <w:r>
        <w:rPr>
          <w:sz w:val="20"/>
          <w:szCs w:val="20"/>
        </w:rPr>
        <w:t> </w:t>
      </w:r>
    </w:p>
    <w:p w:rsidR="00000000" w:rsidRDefault="00BC3404">
      <w:pPr>
        <w:pStyle w:val="a3"/>
        <w:spacing w:before="0" w:beforeAutospacing="0" w:after="0" w:afterAutospacing="0"/>
        <w:jc w:val="center"/>
        <w:divId w:val="1674531290"/>
        <w:rPr>
          <w:sz w:val="20"/>
          <w:szCs w:val="20"/>
        </w:rPr>
      </w:pPr>
      <w:r>
        <w:rPr>
          <w:sz w:val="20"/>
          <w:szCs w:val="20"/>
        </w:rPr>
        <w:t>1</w:t>
      </w:r>
      <w:r>
        <w:rPr>
          <w:sz w:val="20"/>
          <w:szCs w:val="20"/>
        </w:rPr>
        <w:t>9</w:t>
      </w:r>
    </w:p>
    <w:p w:rsidR="00000000" w:rsidRDefault="00BC3404">
      <w:pPr>
        <w:divId w:val="1674531290"/>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BC3404">
      <w:pPr>
        <w:pStyle w:val="a3"/>
        <w:spacing w:before="0" w:beforeAutospacing="0" w:after="0" w:afterAutospacing="0"/>
        <w:divId w:val="167453129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1999721113"/>
        <w:rPr>
          <w:sz w:val="20"/>
          <w:szCs w:val="20"/>
        </w:rPr>
      </w:pPr>
      <w:r>
        <w:rPr>
          <w:sz w:val="20"/>
          <w:szCs w:val="20"/>
        </w:rPr>
        <w:t>The following table presents certain d</w:t>
      </w:r>
      <w:r>
        <w:rPr>
          <w:sz w:val="20"/>
          <w:szCs w:val="20"/>
        </w:rPr>
        <w:t>ata by reportable segment and provides a reconciliation of total operating segment information to the corresponding condensed consolidated amounts for the periods presented</w:t>
      </w:r>
      <w:r>
        <w:rPr>
          <w:sz w:val="20"/>
          <w:szCs w:val="20"/>
        </w:rPr>
        <w:t>:</w:t>
      </w:r>
    </w:p>
    <w:p w:rsidR="00000000" w:rsidRDefault="00BC3404">
      <w:pPr>
        <w:pStyle w:val="a3"/>
        <w:spacing w:before="0" w:beforeAutospacing="0" w:after="0" w:afterAutospacing="0"/>
        <w:jc w:val="both"/>
        <w:divId w:val="1999721113"/>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99"/>
        <w:gridCol w:w="112"/>
        <w:gridCol w:w="160"/>
        <w:gridCol w:w="928"/>
        <w:gridCol w:w="127"/>
        <w:gridCol w:w="112"/>
        <w:gridCol w:w="160"/>
        <w:gridCol w:w="935"/>
        <w:gridCol w:w="142"/>
      </w:tblGrid>
      <w:tr w:rsidR="00000000">
        <w:trPr>
          <w:divId w:val="1999721113"/>
          <w:tblCellSpacing w:w="15" w:type="dxa"/>
        </w:trPr>
        <w:tc>
          <w:tcPr>
            <w:tcW w:w="3335" w:type="pct"/>
            <w:vAlign w:val="center"/>
            <w:hideMark/>
          </w:tcPr>
          <w:p w:rsidR="00000000" w:rsidRDefault="00BC3404">
            <w:pPr>
              <w:rPr>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5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9997211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9997211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w:t>
            </w:r>
            <w:r>
              <w:rPr>
                <w:b/>
                <w:bCs/>
                <w:sz w:val="16"/>
                <w:szCs w:val="16"/>
              </w:rPr>
              <w:t>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9997211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Revenues</w:t>
            </w:r>
            <w:r>
              <w:rPr>
                <w:b/>
                <w:bCs/>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342,35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331,11</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30,14</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20,96</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8,69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9,22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14,10</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397,47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375,40</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Operating income (loss)</w:t>
            </w:r>
            <w:r>
              <w:rPr>
                <w:b/>
                <w:bCs/>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94,40</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66,57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2,08</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5,77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5,79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29,49</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26,89</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500"/>
              <w:rPr>
                <w:sz w:val="20"/>
                <w:szCs w:val="20"/>
              </w:rPr>
            </w:pPr>
            <w:r>
              <w:rPr>
                <w:sz w:val="20"/>
                <w:szCs w:val="20"/>
              </w:rPr>
              <w:t>Total operating incom</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62,31</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37,25</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blCellSpacing w:w="15" w:type="dxa"/>
        </w:trPr>
        <w:tc>
          <w:tcPr>
            <w:tcW w:w="0" w:type="auto"/>
            <w:hideMark/>
          </w:tcPr>
          <w:p w:rsidR="00000000" w:rsidRDefault="00BC3404">
            <w:pPr>
              <w:pStyle w:val="a3"/>
              <w:spacing w:before="0" w:beforeAutospacing="0" w:after="0" w:afterAutospacing="0"/>
              <w:ind w:left="50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Reconciliation to net income</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Interest expense, ne</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15,99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15,29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Other, ne</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(Benefit from) income taxe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r>
              <w:rPr>
                <w:sz w:val="20"/>
                <w:szCs w:val="20"/>
              </w:rPr>
              <w:t>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Net incom</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vAlign w:val="bottom"/>
            <w:hideMark/>
          </w:tcPr>
          <w:p w:rsidR="00000000" w:rsidRDefault="00BC3404">
            <w:pPr>
              <w:pStyle w:val="a3"/>
              <w:spacing w:before="0" w:beforeAutospacing="0" w:after="0" w:afterAutospacing="0"/>
              <w:rPr>
                <w:sz w:val="20"/>
                <w:szCs w:val="20"/>
              </w:rPr>
            </w:pPr>
            <w:r>
              <w:rPr>
                <w:b/>
                <w:bCs/>
                <w:sz w:val="20"/>
                <w:szCs w:val="20"/>
              </w:rPr>
              <w:t>Depreciation and amortization</w:t>
            </w:r>
            <w:r>
              <w:rPr>
                <w:b/>
                <w:bCs/>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11,89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40</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42</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2,07</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depreciation and amortizatio</w:t>
            </w:r>
            <w:r>
              <w:rPr>
                <w:sz w:val="20"/>
                <w:szCs w:val="20"/>
              </w:rPr>
              <w:t>n</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13,77</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divId w:val="1999721113"/>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4"/>
        <w:gridCol w:w="116"/>
        <w:gridCol w:w="160"/>
        <w:gridCol w:w="929"/>
        <w:gridCol w:w="110"/>
        <w:gridCol w:w="119"/>
        <w:gridCol w:w="161"/>
        <w:gridCol w:w="951"/>
        <w:gridCol w:w="125"/>
      </w:tblGrid>
      <w:tr w:rsidR="00000000">
        <w:trPr>
          <w:divId w:val="1999721113"/>
          <w:tblCellSpacing w:w="15" w:type="dxa"/>
        </w:trPr>
        <w:tc>
          <w:tcPr>
            <w:tcW w:w="3334" w:type="pct"/>
            <w:vAlign w:val="center"/>
            <w:hideMark/>
          </w:tcPr>
          <w:p w:rsidR="00000000" w:rsidRDefault="00BC3404">
            <w:pPr>
              <w:rPr>
                <w:sz w:val="20"/>
                <w:szCs w:val="20"/>
              </w:rPr>
            </w:pPr>
          </w:p>
        </w:tc>
        <w:tc>
          <w:tcPr>
            <w:tcW w:w="7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4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divId w:val="19997211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9997211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Septembe</w:t>
            </w:r>
            <w:r>
              <w:rPr>
                <w:b/>
                <w:bCs/>
                <w:sz w:val="16"/>
                <w:szCs w:val="16"/>
              </w:rPr>
              <w:t>r</w:t>
            </w:r>
            <w:r>
              <w:rPr>
                <w:rFonts w:ascii="Calibri" w:hAnsi="Calibri" w:cs="Calibri"/>
                <w:b/>
                <w:bCs/>
                <w:sz w:val="16"/>
                <w:szCs w:val="16"/>
              </w:rPr>
              <w:t> 2</w:t>
            </w:r>
            <w:r>
              <w:rPr>
                <w:rFonts w:ascii="Calibri" w:hAnsi="Calibri" w:cs="Calibri"/>
                <w:b/>
                <w:bCs/>
                <w:sz w:val="16"/>
                <w:szCs w:val="16"/>
              </w:rPr>
              <w:t>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999721113"/>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rPr>
                <w:sz w:val="20"/>
                <w:szCs w:val="20"/>
              </w:rPr>
            </w:pPr>
            <w:r>
              <w:rPr>
                <w:b/>
                <w:bCs/>
                <w:sz w:val="20"/>
                <w:szCs w:val="20"/>
              </w:rPr>
              <w:t>Assets</w:t>
            </w:r>
            <w:r>
              <w:rPr>
                <w:b/>
                <w:bCs/>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1,994,78</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1,957,25</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58,42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49,68</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13,94</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12,50</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51,65</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47,85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47,22</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36,42</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divId w:val="1999721113"/>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asset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2,166,02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160" w:beforeAutospacing="0" w:after="0" w:afterAutospacing="0"/>
        <w:ind w:hanging="581"/>
        <w:jc w:val="both"/>
        <w:divId w:val="714894711"/>
        <w:rPr>
          <w:sz w:val="20"/>
          <w:szCs w:val="20"/>
        </w:rPr>
      </w:pPr>
      <w:r>
        <w:rPr>
          <w:b/>
          <w:bCs/>
          <w:sz w:val="20"/>
          <w:szCs w:val="20"/>
        </w:rPr>
        <w:t>19. Subsequent Event</w:t>
      </w:r>
      <w:r>
        <w:rPr>
          <w:b/>
          <w:bCs/>
          <w:sz w:val="20"/>
          <w:szCs w:val="20"/>
        </w:rPr>
        <w:t>s</w:t>
      </w:r>
    </w:p>
    <w:p w:rsidR="00000000" w:rsidRDefault="00BC3404">
      <w:pPr>
        <w:pStyle w:val="a3"/>
        <w:spacing w:before="240" w:beforeAutospacing="0" w:after="0" w:afterAutospacing="0"/>
        <w:jc w:val="both"/>
        <w:divId w:val="714894711"/>
        <w:rPr>
          <w:sz w:val="20"/>
          <w:szCs w:val="20"/>
        </w:rPr>
      </w:pPr>
      <w:r>
        <w:rPr>
          <w:b/>
          <w:bCs/>
          <w:sz w:val="20"/>
          <w:szCs w:val="20"/>
        </w:rPr>
        <w:t>Acquisition of RNG Production Assets and Formation of Joint Venture.</w:t>
      </w:r>
      <w:r>
        <w:rPr>
          <w:b/>
          <w:bCs/>
          <w:sz w:val="20"/>
          <w:szCs w:val="20"/>
        </w:rPr>
        <w:t xml:space="preserve"> </w:t>
      </w:r>
      <w:r>
        <w:rPr>
          <w:sz w:val="20"/>
          <w:szCs w:val="20"/>
        </w:rPr>
        <w:t>On December 28, 2022, the Partnership announced that its wholly owned subsidiary, Suburban Renewable Energy, acquired a platform of RNG production assets from Equilibrium Capital Group (“</w:t>
      </w:r>
      <w:r>
        <w:rPr>
          <w:sz w:val="20"/>
          <w:szCs w:val="20"/>
        </w:rPr>
        <w:t xml:space="preserve">Equilibrium”), a leading sustainability-driven asset management firm. In addition, the parties formed a partnership to serve as a long-term growth platform for the identification, development and operation of additional RNG projects, including an existing </w:t>
      </w:r>
      <w:r>
        <w:rPr>
          <w:sz w:val="20"/>
          <w:szCs w:val="20"/>
        </w:rPr>
        <w:t>pipeline of identified RNG projects that are in various stages of development</w:t>
      </w:r>
      <w:r>
        <w:rPr>
          <w:sz w:val="20"/>
          <w:szCs w:val="20"/>
        </w:rPr>
        <w:t>.</w:t>
      </w:r>
    </w:p>
    <w:p w:rsidR="00000000" w:rsidRDefault="00BC3404">
      <w:pPr>
        <w:pStyle w:val="a3"/>
        <w:spacing w:before="240" w:beforeAutospacing="0" w:after="0" w:afterAutospacing="0"/>
        <w:jc w:val="both"/>
        <w:divId w:val="714894711"/>
        <w:rPr>
          <w:sz w:val="20"/>
          <w:szCs w:val="20"/>
        </w:rPr>
      </w:pPr>
      <w:r>
        <w:rPr>
          <w:sz w:val="20"/>
          <w:szCs w:val="20"/>
        </w:rPr>
        <w:t xml:space="preserve">The purchase price of </w:t>
      </w:r>
      <w:r>
        <w:rPr>
          <w:sz w:val="20"/>
          <w:szCs w:val="20"/>
        </w:rPr>
        <w:t>$</w:t>
      </w:r>
      <w:r>
        <w:rPr>
          <w:sz w:val="20"/>
          <w:szCs w:val="20"/>
        </w:rPr>
        <w:t>190,00</w:t>
      </w:r>
      <w:r>
        <w:rPr>
          <w:sz w:val="20"/>
          <w:szCs w:val="20"/>
        </w:rPr>
        <w:t>0</w:t>
      </w:r>
      <w:r>
        <w:rPr>
          <w:sz w:val="20"/>
          <w:szCs w:val="20"/>
        </w:rPr>
        <w:t xml:space="preserve"> for the</w:t>
      </w:r>
      <w:r>
        <w:rPr>
          <w:sz w:val="20"/>
          <w:szCs w:val="20"/>
        </w:rPr>
        <w:t xml:space="preserve"> </w:t>
      </w:r>
      <w:r>
        <w:rPr>
          <w:sz w:val="20"/>
          <w:szCs w:val="20"/>
        </w:rPr>
        <w:t>tw</w:t>
      </w:r>
      <w:r>
        <w:rPr>
          <w:sz w:val="20"/>
          <w:szCs w:val="20"/>
        </w:rPr>
        <w:t>o</w:t>
      </w:r>
      <w:r>
        <w:rPr>
          <w:sz w:val="20"/>
          <w:szCs w:val="20"/>
        </w:rPr>
        <w:t xml:space="preserve"> operating facilities, along with transaction fees and expenses, was funded with borrowings of approximately </w:t>
      </w:r>
      <w:r>
        <w:rPr>
          <w:sz w:val="20"/>
          <w:szCs w:val="20"/>
        </w:rPr>
        <w:t>$</w:t>
      </w:r>
      <w:r>
        <w:rPr>
          <w:sz w:val="20"/>
          <w:szCs w:val="20"/>
        </w:rPr>
        <w:t>112,00</w:t>
      </w:r>
      <w:r>
        <w:rPr>
          <w:sz w:val="20"/>
          <w:szCs w:val="20"/>
        </w:rPr>
        <w:t>0</w:t>
      </w:r>
      <w:r>
        <w:rPr>
          <w:sz w:val="20"/>
          <w:szCs w:val="20"/>
        </w:rPr>
        <w:t xml:space="preserve"> under the Revolvi</w:t>
      </w:r>
      <w:r>
        <w:rPr>
          <w:sz w:val="20"/>
          <w:szCs w:val="20"/>
        </w:rPr>
        <w:t xml:space="preserve">ng Credit Facility, and the assumption of approximately </w:t>
      </w:r>
      <w:r>
        <w:rPr>
          <w:sz w:val="20"/>
          <w:szCs w:val="20"/>
        </w:rPr>
        <w:t>$</w:t>
      </w:r>
      <w:r>
        <w:rPr>
          <w:sz w:val="20"/>
          <w:szCs w:val="20"/>
        </w:rPr>
        <w:t>80,00</w:t>
      </w:r>
      <w:r>
        <w:rPr>
          <w:sz w:val="20"/>
          <w:szCs w:val="20"/>
        </w:rPr>
        <w:t>0</w:t>
      </w:r>
      <w:r>
        <w:rPr>
          <w:sz w:val="20"/>
          <w:szCs w:val="20"/>
        </w:rPr>
        <w:t xml:space="preserve"> of</w:t>
      </w:r>
      <w:r>
        <w:rPr>
          <w:sz w:val="20"/>
          <w:szCs w:val="20"/>
        </w:rPr>
        <w:t xml:space="preserve"> </w:t>
      </w:r>
      <w:r>
        <w:rPr>
          <w:sz w:val="20"/>
          <w:szCs w:val="20"/>
        </w:rPr>
        <w:t>outstanding green bonds, as well as potential contingent consideration primarily based upon the future economic performance of the acquired RN</w:t>
      </w:r>
      <w:r>
        <w:rPr>
          <w:sz w:val="20"/>
          <w:szCs w:val="20"/>
        </w:rPr>
        <w:t>G</w:t>
      </w:r>
      <w:r>
        <w:rPr>
          <w:sz w:val="20"/>
          <w:szCs w:val="20"/>
        </w:rPr>
        <w:t xml:space="preserve"> </w:t>
      </w:r>
    </w:p>
    <w:p w:rsidR="00000000" w:rsidRDefault="00BC3404">
      <w:pPr>
        <w:pStyle w:val="a3"/>
        <w:spacing w:before="0" w:beforeAutospacing="0" w:after="0" w:afterAutospacing="0"/>
        <w:jc w:val="center"/>
        <w:divId w:val="714894711"/>
        <w:rPr>
          <w:sz w:val="20"/>
          <w:szCs w:val="20"/>
        </w:rPr>
      </w:pPr>
      <w:r>
        <w:rPr>
          <w:sz w:val="20"/>
          <w:szCs w:val="20"/>
        </w:rPr>
        <w:t> </w:t>
      </w:r>
    </w:p>
    <w:p w:rsidR="00000000" w:rsidRDefault="00BC3404">
      <w:pPr>
        <w:pStyle w:val="a3"/>
        <w:spacing w:before="0" w:beforeAutospacing="0" w:after="0" w:afterAutospacing="0"/>
        <w:jc w:val="center"/>
        <w:divId w:val="714894711"/>
        <w:rPr>
          <w:sz w:val="20"/>
          <w:szCs w:val="20"/>
        </w:rPr>
      </w:pPr>
      <w:r>
        <w:rPr>
          <w:sz w:val="20"/>
          <w:szCs w:val="20"/>
        </w:rPr>
        <w:t>2</w:t>
      </w:r>
      <w:r>
        <w:rPr>
          <w:sz w:val="20"/>
          <w:szCs w:val="20"/>
        </w:rPr>
        <w:t>0</w:t>
      </w:r>
    </w:p>
    <w:p w:rsidR="00000000" w:rsidRDefault="00BC3404">
      <w:pPr>
        <w:divId w:val="714894711"/>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BC3404">
      <w:pPr>
        <w:pStyle w:val="a3"/>
        <w:spacing w:before="0" w:beforeAutospacing="0" w:after="0" w:afterAutospacing="0"/>
        <w:divId w:val="714894711"/>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divId w:val="714894711"/>
        <w:rPr>
          <w:sz w:val="20"/>
          <w:szCs w:val="20"/>
        </w:rPr>
      </w:pPr>
      <w:r>
        <w:rPr>
          <w:sz w:val="20"/>
          <w:szCs w:val="20"/>
        </w:rPr>
        <w:t>facilities.</w:t>
      </w:r>
      <w:r>
        <w:rPr>
          <w:sz w:val="20"/>
          <w:szCs w:val="20"/>
        </w:rPr>
        <w:t xml:space="preserve"> </w:t>
      </w:r>
      <w:r>
        <w:rPr>
          <w:sz w:val="20"/>
          <w:szCs w:val="20"/>
        </w:rPr>
        <w:t>The RNG platform will include the following: (1) a large-scale RNG production facility in Stanfield, Arizona that is currently o</w:t>
      </w:r>
      <w:r>
        <w:rPr>
          <w:sz w:val="20"/>
          <w:szCs w:val="20"/>
        </w:rPr>
        <w:t>perating and includes</w:t>
      </w:r>
      <w:r>
        <w:rPr>
          <w:sz w:val="20"/>
          <w:szCs w:val="20"/>
        </w:rPr>
        <w:t xml:space="preserve"> </w:t>
      </w:r>
      <w:r>
        <w:rPr>
          <w:sz w:val="20"/>
          <w:szCs w:val="20"/>
        </w:rPr>
        <w:t>seve</w:t>
      </w:r>
      <w:r>
        <w:rPr>
          <w:sz w:val="20"/>
          <w:szCs w:val="20"/>
        </w:rPr>
        <w:t>n</w:t>
      </w:r>
      <w:r>
        <w:rPr>
          <w:sz w:val="20"/>
          <w:szCs w:val="20"/>
        </w:rPr>
        <w:t xml:space="preserve"> anaerobic digesters, manure rights from approximately</w:t>
      </w:r>
      <w:r>
        <w:rPr>
          <w:sz w:val="20"/>
          <w:szCs w:val="20"/>
        </w:rPr>
        <w:t xml:space="preserve"> </w:t>
      </w:r>
      <w:r>
        <w:rPr>
          <w:sz w:val="20"/>
          <w:szCs w:val="20"/>
        </w:rPr>
        <w:t>55,00</w:t>
      </w:r>
      <w:r>
        <w:rPr>
          <w:sz w:val="20"/>
          <w:szCs w:val="20"/>
        </w:rPr>
        <w:t>0</w:t>
      </w:r>
      <w:r>
        <w:rPr>
          <w:sz w:val="20"/>
          <w:szCs w:val="20"/>
        </w:rPr>
        <w:t xml:space="preserve"> dairy cattle and an interconnect with an interstate pipeline; (2) an operating facility in Columbus, Ohio that is currently receiving tipping fees from several large f</w:t>
      </w:r>
      <w:r>
        <w:rPr>
          <w:sz w:val="20"/>
          <w:szCs w:val="20"/>
        </w:rPr>
        <w:t>ood and beverage providers for processing food waste into fertilizer and biogas, and has an active development project to upgrade the biogas into RNG for use in the transportation sector; (3) rights of first offer for a third RNG facility in the Midwest th</w:t>
      </w:r>
      <w:r>
        <w:rPr>
          <w:sz w:val="20"/>
          <w:szCs w:val="20"/>
        </w:rPr>
        <w:t xml:space="preserve">at is currently being developed by Equilibrium; and (4) the creation of a joint venture to invest in and develop approximately </w:t>
      </w:r>
      <w:r>
        <w:rPr>
          <w:sz w:val="20"/>
          <w:szCs w:val="20"/>
        </w:rPr>
        <w:t>$</w:t>
      </w:r>
      <w:r>
        <w:rPr>
          <w:sz w:val="20"/>
          <w:szCs w:val="20"/>
        </w:rPr>
        <w:t>155,00</w:t>
      </w:r>
      <w:r>
        <w:rPr>
          <w:sz w:val="20"/>
          <w:szCs w:val="20"/>
        </w:rPr>
        <w:t>0</w:t>
      </w:r>
      <w:r>
        <w:rPr>
          <w:sz w:val="20"/>
          <w:szCs w:val="20"/>
        </w:rPr>
        <w:t xml:space="preserve"> of future RNG projects, of which Suburban Renewable Energy will own approximately</w:t>
      </w:r>
      <w:r>
        <w:rPr>
          <w:sz w:val="20"/>
          <w:szCs w:val="20"/>
        </w:rPr>
        <w:t xml:space="preserve"> </w:t>
      </w:r>
      <w:r>
        <w:rPr>
          <w:sz w:val="20"/>
          <w:szCs w:val="20"/>
        </w:rPr>
        <w:t>7</w:t>
      </w:r>
      <w:r>
        <w:rPr>
          <w:sz w:val="20"/>
          <w:szCs w:val="20"/>
        </w:rPr>
        <w:t>0</w:t>
      </w:r>
      <w:r>
        <w:rPr>
          <w:sz w:val="20"/>
          <w:szCs w:val="20"/>
        </w:rPr>
        <w:t>% and Equilibrium will own approxima</w:t>
      </w:r>
      <w:r>
        <w:rPr>
          <w:sz w:val="20"/>
          <w:szCs w:val="20"/>
        </w:rPr>
        <w:t>tely</w:t>
      </w:r>
      <w:r>
        <w:rPr>
          <w:sz w:val="20"/>
          <w:szCs w:val="20"/>
        </w:rPr>
        <w:t xml:space="preserve"> </w:t>
      </w:r>
      <w:r>
        <w:rPr>
          <w:sz w:val="20"/>
          <w:szCs w:val="20"/>
        </w:rPr>
        <w:t>3</w:t>
      </w:r>
      <w:r>
        <w:rPr>
          <w:sz w:val="20"/>
          <w:szCs w:val="20"/>
        </w:rPr>
        <w:t>0</w:t>
      </w:r>
      <w:r>
        <w:rPr>
          <w:sz w:val="20"/>
          <w:szCs w:val="20"/>
        </w:rPr>
        <w:t>% once such projects are fully funded</w:t>
      </w:r>
      <w:r>
        <w:rPr>
          <w:sz w:val="20"/>
          <w:szCs w:val="20"/>
        </w:rPr>
        <w:t>.</w:t>
      </w:r>
    </w:p>
    <w:p w:rsidR="00000000" w:rsidRDefault="00BC3404">
      <w:pPr>
        <w:pStyle w:val="a3"/>
        <w:spacing w:before="240" w:beforeAutospacing="0" w:after="0" w:afterAutospacing="0"/>
        <w:jc w:val="both"/>
        <w:divId w:val="714894711"/>
        <w:rPr>
          <w:sz w:val="20"/>
          <w:szCs w:val="20"/>
        </w:rPr>
      </w:pPr>
      <w:r>
        <w:rPr>
          <w:b/>
          <w:bCs/>
          <w:sz w:val="20"/>
          <w:szCs w:val="20"/>
        </w:rPr>
        <w:t>Amendment to the Credit Agreement.</w:t>
      </w:r>
      <w:r>
        <w:rPr>
          <w:b/>
          <w:bCs/>
          <w:sz w:val="20"/>
          <w:szCs w:val="20"/>
        </w:rPr>
        <w:t xml:space="preserve"> </w:t>
      </w:r>
      <w:r>
        <w:rPr>
          <w:sz w:val="20"/>
          <w:szCs w:val="20"/>
        </w:rPr>
        <w:t>On December 28, 2022, the Operating Partnership amended the Credit Agreement to, among other things, modify certain restrictive and affirmative covenants applicable to the Ope</w:t>
      </w:r>
      <w:r>
        <w:rPr>
          <w:sz w:val="20"/>
          <w:szCs w:val="20"/>
        </w:rPr>
        <w:t>rating Partnership and its subsidiaries, and replaced the LIBOR component of the borrowing rate based on SOFR, provide for additional investment capacity to allow for future investments by Suburban Renewable Energy and to permit the assumption of debt in c</w:t>
      </w:r>
      <w:r>
        <w:rPr>
          <w:sz w:val="20"/>
          <w:szCs w:val="20"/>
        </w:rPr>
        <w:t>onnection with the acquisition of the RNG platform from Equilibrium</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1</w:t>
      </w:r>
    </w:p>
    <w:p w:rsidR="00000000" w:rsidRDefault="00BC3404">
      <w:pPr>
        <w:rPr>
          <w:rFonts w:eastAsia="Times New Roman"/>
        </w:rPr>
      </w:pPr>
      <w:r>
        <w:rPr>
          <w:rFonts w:eastAsia="Times New Roman"/>
        </w:rPr>
        <w:pict>
          <v:rect id="_x0000_i1049"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rPr>
          <w:sz w:val="20"/>
          <w:szCs w:val="20"/>
        </w:rPr>
      </w:pPr>
      <w:r>
        <w:rPr>
          <w:b/>
          <w:bCs/>
          <w:sz w:val="20"/>
          <w:szCs w:val="20"/>
        </w:rPr>
        <w:t>ITEM 2. MANAGEMENT’S</w:t>
      </w:r>
      <w:r>
        <w:rPr>
          <w:b/>
          <w:bCs/>
          <w:sz w:val="20"/>
          <w:szCs w:val="20"/>
        </w:rPr>
        <w:t xml:space="preserve"> </w:t>
      </w:r>
      <w:r>
        <w:rPr>
          <w:b/>
          <w:bCs/>
          <w:sz w:val="20"/>
          <w:szCs w:val="20"/>
        </w:rPr>
        <w:t>DISCUSSION AND ANALYSIS OF FINANCIAL CONDITIO</w:t>
      </w:r>
      <w:r>
        <w:rPr>
          <w:b/>
          <w:bCs/>
          <w:sz w:val="20"/>
          <w:szCs w:val="20"/>
        </w:rPr>
        <w:t>N AND RESULTS OF OPERATION</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The following is a discussion of the financial condition and results of operations of the Partnership as of and for the three months ended December 24, 2022, seen from our perspective. The discussion should be read in conjunctio</w:t>
      </w:r>
      <w:r>
        <w:rPr>
          <w:sz w:val="20"/>
          <w:szCs w:val="20"/>
        </w:rPr>
        <w:t>n with Management’s Discussion and Analysis of Financial Condition and Results of Operations and the historical consolidated financial statements and notes thereto included in the Annual Report on Form 10-K for the fiscal year ended September 24, 2022</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Exe</w:t>
      </w:r>
      <w:r>
        <w:rPr>
          <w:b/>
          <w:bCs/>
          <w:sz w:val="20"/>
          <w:szCs w:val="20"/>
        </w:rPr>
        <w:t>cutive Overvie</w:t>
      </w:r>
      <w:r>
        <w:rPr>
          <w:b/>
          <w:bCs/>
          <w:sz w:val="20"/>
          <w:szCs w:val="20"/>
        </w:rPr>
        <w:t>w</w:t>
      </w:r>
    </w:p>
    <w:p w:rsidR="00000000" w:rsidRDefault="00BC3404">
      <w:pPr>
        <w:pStyle w:val="a3"/>
        <w:spacing w:before="120" w:beforeAutospacing="0" w:after="0" w:afterAutospacing="0"/>
        <w:ind w:firstLine="555"/>
        <w:jc w:val="both"/>
        <w:rPr>
          <w:sz w:val="20"/>
          <w:szCs w:val="20"/>
        </w:rPr>
      </w:pPr>
      <w:r>
        <w:rPr>
          <w:sz w:val="20"/>
          <w:szCs w:val="20"/>
        </w:rPr>
        <w:t xml:space="preserve">The following are factors that regularly affect our operating results and financial condition. Our business is subject to the risks and uncertainties described in Item 1A included in the Annual Report on Form 10-K for the fiscal year ended </w:t>
      </w:r>
      <w:r>
        <w:rPr>
          <w:sz w:val="20"/>
          <w:szCs w:val="20"/>
        </w:rPr>
        <w:t>September 24, 2022 and in this Quarterly Report. Management currently considers the following events, trends, and uncertainties to be most important to understanding our financial condition and operating performance</w:t>
      </w:r>
      <w:r>
        <w:rPr>
          <w:sz w:val="20"/>
          <w:szCs w:val="20"/>
        </w:rPr>
        <w:t>:</w:t>
      </w:r>
      <w:r>
        <w:rPr>
          <w:sz w:val="20"/>
          <w:szCs w:val="20"/>
        </w:rPr>
        <w:t xml:space="preserve"> </w:t>
      </w:r>
    </w:p>
    <w:p w:rsidR="00000000" w:rsidRDefault="00BC3404">
      <w:pPr>
        <w:pStyle w:val="a3"/>
        <w:spacing w:before="360" w:beforeAutospacing="0" w:after="0" w:afterAutospacing="0"/>
        <w:jc w:val="both"/>
        <w:rPr>
          <w:sz w:val="20"/>
          <w:szCs w:val="20"/>
        </w:rPr>
      </w:pPr>
      <w:r>
        <w:rPr>
          <w:b/>
          <w:bCs/>
          <w:i/>
          <w:iCs/>
          <w:sz w:val="20"/>
          <w:szCs w:val="20"/>
        </w:rPr>
        <w:t>Product Costs and Suppl</w:t>
      </w:r>
      <w:r>
        <w:rPr>
          <w:b/>
          <w:bCs/>
          <w:i/>
          <w:iCs/>
          <w:sz w:val="20"/>
          <w:szCs w:val="20"/>
        </w:rPr>
        <w:t>y</w:t>
      </w:r>
    </w:p>
    <w:p w:rsidR="00000000" w:rsidRDefault="00BC3404">
      <w:pPr>
        <w:pStyle w:val="a3"/>
        <w:spacing w:before="120" w:beforeAutospacing="0" w:after="0" w:afterAutospacing="0"/>
        <w:ind w:firstLine="555"/>
        <w:jc w:val="both"/>
        <w:rPr>
          <w:sz w:val="20"/>
          <w:szCs w:val="20"/>
        </w:rPr>
      </w:pPr>
      <w:r>
        <w:rPr>
          <w:sz w:val="20"/>
          <w:szCs w:val="20"/>
        </w:rPr>
        <w:t xml:space="preserve">The level of </w:t>
      </w:r>
      <w:r>
        <w:rPr>
          <w:sz w:val="20"/>
          <w:szCs w:val="20"/>
        </w:rPr>
        <w:t>profitability in the retail propane, fuel oil, natural gas and electricity businesses is largely dependent on the difference between retail sales price and our costs to acquire and transport products. The unit cost of our products, particularly propane, fu</w:t>
      </w:r>
      <w:r>
        <w:rPr>
          <w:sz w:val="20"/>
          <w:szCs w:val="20"/>
        </w:rPr>
        <w:t>el oil and natural gas, is subject to volatility as a result of supply and demand dynamics or other market conditions, including, but not limited to, economic and political factors impacting crude oil and natural gas supply or pricing. We enter into produc</w:t>
      </w:r>
      <w:r>
        <w:rPr>
          <w:sz w:val="20"/>
          <w:szCs w:val="20"/>
        </w:rPr>
        <w:t xml:space="preserve">t supply contracts that are generally one-year agreements subject to annual renewal, and also purchase product on the open market. We attempt to reduce price risk by pricing product on a short-term basis. Our propane supply contracts typically provide for </w:t>
      </w:r>
      <w:r>
        <w:rPr>
          <w:sz w:val="20"/>
          <w:szCs w:val="20"/>
        </w:rPr>
        <w:t>pricing based upon index formulas using the posted prices established at major supply points such as Mont Belvieu, Texas, or Conway, Kansas (plus transportation costs) at the time of delivery</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 xml:space="preserve">To supplement our annual purchase requirements, we may utilize </w:t>
      </w:r>
      <w:r>
        <w:rPr>
          <w:sz w:val="20"/>
          <w:szCs w:val="20"/>
        </w:rPr>
        <w:t>forward fixed price purchase contracts to acquire a portion of the propane that we resell to our customers, which allows us to manage our exposure to unfavorable changes in commodity prices and to assure adequate physical supply. The percentage of contract</w:t>
      </w:r>
      <w:r>
        <w:rPr>
          <w:sz w:val="20"/>
          <w:szCs w:val="20"/>
        </w:rPr>
        <w:t xml:space="preserve"> purchases, and the amount of supply contracted for under forward contracts at fixed prices, will vary from year to year based on market conditions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Changes in our costs to acquire and transport products can occur rapidly over a short period of time and ca</w:t>
      </w:r>
      <w:r>
        <w:rPr>
          <w:sz w:val="20"/>
          <w:szCs w:val="20"/>
        </w:rPr>
        <w:t>n impact profitability. There is no assurance that we will be able to pass on product acquisition and transportation cost increases fully or immediately, particularly when such costs increase rapidly. Therefore, average retail sales prices can vary signifi</w:t>
      </w:r>
      <w:r>
        <w:rPr>
          <w:sz w:val="20"/>
          <w:szCs w:val="20"/>
        </w:rPr>
        <w:t>cantly from year to year as our costs fluctuate with the propane, fuel oil, crude oil and natural gas commodity markets and infrastructure conditions. In addition, periods of sustained higher commodity and/or transportation prices can lead to customer cons</w:t>
      </w:r>
      <w:r>
        <w:rPr>
          <w:sz w:val="20"/>
          <w:szCs w:val="20"/>
        </w:rPr>
        <w:t>ervation, resulting in reduced demand for our product</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According to the Energy Information Administration, U.S. propane inventory levels at the end of December 2022 were 80.7 million barrels, which was 22.7% higher than December 2021 levels and 7% higher t</w:t>
      </w:r>
      <w:r>
        <w:rPr>
          <w:sz w:val="20"/>
          <w:szCs w:val="20"/>
        </w:rPr>
        <w:t>han the five-year average for December. These higher inventory levels led to declines in average posted propane prices (basis Mont Belvieu, Texas) of 35.9% compared to the prior year first quarter</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Seasonalit</w:t>
      </w:r>
      <w:r>
        <w:rPr>
          <w:b/>
          <w:bCs/>
          <w:i/>
          <w:iCs/>
          <w:sz w:val="20"/>
          <w:szCs w:val="20"/>
        </w:rPr>
        <w:t>y</w:t>
      </w:r>
    </w:p>
    <w:p w:rsidR="00000000" w:rsidRDefault="00BC3404">
      <w:pPr>
        <w:pStyle w:val="a3"/>
        <w:spacing w:before="120" w:beforeAutospacing="0" w:after="0" w:afterAutospacing="0"/>
        <w:ind w:firstLine="555"/>
        <w:jc w:val="both"/>
        <w:rPr>
          <w:sz w:val="20"/>
          <w:szCs w:val="20"/>
        </w:rPr>
      </w:pPr>
      <w:r>
        <w:rPr>
          <w:sz w:val="20"/>
          <w:szCs w:val="20"/>
        </w:rPr>
        <w:t>The retail propane and fuel oil distribution b</w:t>
      </w:r>
      <w:r>
        <w:rPr>
          <w:sz w:val="20"/>
          <w:szCs w:val="20"/>
        </w:rPr>
        <w:t>usinesses, as well as the retail natural gas marketing business, are seasonal because these fuels are primarily used for heating in residential and commercial buildings. Historically, approximately two</w:t>
      </w:r>
      <w:r>
        <w:rPr>
          <w:sz w:val="20"/>
          <w:szCs w:val="20"/>
        </w:rPr>
        <w:noBreakHyphen/>
        <w:t>thirds of our retail propane volume is sold during the</w:t>
      </w:r>
      <w:r>
        <w:rPr>
          <w:sz w:val="20"/>
          <w:szCs w:val="20"/>
        </w:rPr>
        <w:t xml:space="preserve"> six-month peak heating season from October through March. The fuel oil business tends to experience greater seasonality given its more limited use for space heating and approximately three-fourths of our fuel oil volumes are sold between October and March</w:t>
      </w:r>
      <w:r>
        <w:rPr>
          <w:sz w:val="20"/>
          <w:szCs w:val="20"/>
        </w:rPr>
        <w:t>. Consequently, sales and operating profits are concentrated in our first and second fiscal quarters. Cash flows from operations, therefore, are greatest during the second and third fiscal quarters when customers pay for product purchased during the winter</w:t>
      </w:r>
      <w:r>
        <w:rPr>
          <w:sz w:val="20"/>
          <w:szCs w:val="20"/>
        </w:rPr>
        <w:t xml:space="preserve"> heating season. We expect lower operating profits and either net losses or lower net income during the period from April through September (our third and fourth fiscal quarters). To the extent necessary, we will reserve cash from the second and first quar</w:t>
      </w:r>
      <w:r>
        <w:rPr>
          <w:sz w:val="20"/>
          <w:szCs w:val="20"/>
        </w:rPr>
        <w:t>ters for distribution to holders of our Common Units in the fourth quarter and the following fiscal year first quarter</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2</w:t>
      </w:r>
    </w:p>
    <w:p w:rsidR="00000000" w:rsidRDefault="00BC3404">
      <w:pPr>
        <w:rPr>
          <w:rFonts w:eastAsia="Times New Roman"/>
        </w:rPr>
      </w:pPr>
      <w:r>
        <w:rPr>
          <w:rFonts w:eastAsia="Times New Roman"/>
        </w:rPr>
        <w:pict>
          <v:rect id="_x0000_i1050"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rPr>
          <w:sz w:val="20"/>
          <w:szCs w:val="20"/>
        </w:rPr>
      </w:pPr>
      <w:r>
        <w:rPr>
          <w:b/>
          <w:bCs/>
          <w:i/>
          <w:iCs/>
          <w:sz w:val="20"/>
          <w:szCs w:val="20"/>
        </w:rPr>
        <w:t>Weathe</w:t>
      </w:r>
      <w:r>
        <w:rPr>
          <w:b/>
          <w:bCs/>
          <w:i/>
          <w:iCs/>
          <w:sz w:val="20"/>
          <w:szCs w:val="20"/>
        </w:rPr>
        <w:t>r</w:t>
      </w:r>
    </w:p>
    <w:p w:rsidR="00000000" w:rsidRDefault="00BC3404">
      <w:pPr>
        <w:pStyle w:val="a3"/>
        <w:spacing w:before="120" w:beforeAutospacing="0" w:after="0" w:afterAutospacing="0"/>
        <w:ind w:firstLine="555"/>
        <w:jc w:val="both"/>
        <w:rPr>
          <w:sz w:val="20"/>
          <w:szCs w:val="20"/>
        </w:rPr>
      </w:pPr>
      <w:r>
        <w:rPr>
          <w:sz w:val="20"/>
          <w:szCs w:val="20"/>
        </w:rPr>
        <w:t>Weather conditions have a significant impact on the demand for our products, in particular propane, fuel oil and natural gas, for bo</w:t>
      </w:r>
      <w:r>
        <w:rPr>
          <w:sz w:val="20"/>
          <w:szCs w:val="20"/>
        </w:rPr>
        <w:t>th heating and agricultural purposes. Many of our customers rely heavily on propane, fuel oil or natural gas as a heating source. Accordingly, the volume sold is directly affected by the severity of the winter weather in our service areas, which can vary s</w:t>
      </w:r>
      <w:r>
        <w:rPr>
          <w:sz w:val="20"/>
          <w:szCs w:val="20"/>
        </w:rPr>
        <w:t>ubstantially from year to year. In any given area, sustained warmer than normal temperatures will tend to result in reduced propane, fuel oil and natural gas consumption, while sustained colder than normal temperatures will tend to result in greater consum</w:t>
      </w:r>
      <w:r>
        <w:rPr>
          <w:sz w:val="20"/>
          <w:szCs w:val="20"/>
        </w:rPr>
        <w:t>ption</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Hedging and Risk Management Activitie</w:t>
      </w:r>
      <w:r>
        <w:rPr>
          <w:b/>
          <w:bCs/>
          <w:i/>
          <w:i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 xml:space="preserve">We engage in hedging and risk management activities to reduce the effect of price volatility on our product costs and to ensure the availability of product during periods of short supply. We enter into propane </w:t>
      </w:r>
      <w:r>
        <w:rPr>
          <w:sz w:val="20"/>
          <w:szCs w:val="20"/>
        </w:rPr>
        <w:t>forward, options and swap agreements with third parties, and use futures and options contracts traded on the New York Mercantile Exchange (“NYMEX”) to purchase and sell propane, fuel oil, crude oil and natural gas at fixed prices in the future. The majorit</w:t>
      </w:r>
      <w:r>
        <w:rPr>
          <w:sz w:val="20"/>
          <w:szCs w:val="20"/>
        </w:rPr>
        <w:t xml:space="preserve">y of the futures, forward and options agreements are used to hedge price risk associated with propane and fuel oil physical inventory, as well as, in certain instances, forecasted purchases of propane or fuel oil. In addition, we sell propane and fuel oil </w:t>
      </w:r>
      <w:r>
        <w:rPr>
          <w:sz w:val="20"/>
          <w:szCs w:val="20"/>
        </w:rPr>
        <w:t>to customers at fixed prices, and enter into derivative instruments to hedge a portion of our exposure to fluctuations in commodity prices as a result of selling the fixed price contracts. Forward contracts are generally settled physically at the expiratio</w:t>
      </w:r>
      <w:r>
        <w:rPr>
          <w:sz w:val="20"/>
          <w:szCs w:val="20"/>
        </w:rPr>
        <w:t>n of the contract whereas futures, options and swap contracts are generally settled at the expiration of the contract through a net settlement mechanism. Although we use derivative instruments to reduce the effect of price volatility associated with priced</w:t>
      </w:r>
      <w:r>
        <w:rPr>
          <w:sz w:val="20"/>
          <w:szCs w:val="20"/>
        </w:rPr>
        <w:t xml:space="preserve"> physical inventory and forecasted transactions, we do not use derivative instruments for speculative trading purposes. Risk management activities are monitored by an internal Commodity Risk Management Committee, made up of six members of management and re</w:t>
      </w:r>
      <w:r>
        <w:rPr>
          <w:sz w:val="20"/>
          <w:szCs w:val="20"/>
        </w:rPr>
        <w:t>porting to our Audit Committee, through enforcement of our Hedging and Risk Management Policy</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Inflation and Other Cost Increase</w:t>
      </w:r>
      <w:r>
        <w:rPr>
          <w:b/>
          <w:bCs/>
          <w:i/>
          <w:i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We are experiencing increased inflation in the costs of various goods and services we use to operate our business, including v</w:t>
      </w:r>
      <w:r>
        <w:rPr>
          <w:sz w:val="20"/>
          <w:szCs w:val="20"/>
        </w:rPr>
        <w:t xml:space="preserve">olatile wholesale costs for the products we distribute. Although we have not experienced significant disruptions with securing the products we sell, inflationary factors and competition for resources across the supply chain has resulted in increased costs </w:t>
      </w:r>
      <w:r>
        <w:rPr>
          <w:sz w:val="20"/>
          <w:szCs w:val="20"/>
        </w:rPr>
        <w:t>in a wide variety of areas, including labor, transportation costs and the cost of tanks and other equipment. These and other factors may continue to impact our product costs, expenses, and capital expenditures, and could continue to have an impact on consu</w:t>
      </w:r>
      <w:r>
        <w:rPr>
          <w:sz w:val="20"/>
          <w:szCs w:val="20"/>
        </w:rPr>
        <w:t>mer demand as consumers manage the impact of inflation on their resources</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Critical Accounting Policies and Estimate</w:t>
      </w:r>
      <w:r>
        <w:rPr>
          <w:b/>
          <w:bCs/>
          <w:i/>
          <w:i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Our significant accounting policies are summarized in Note 2, “Summary of Significant Accounting Policies,” included within the Notes to C</w:t>
      </w:r>
      <w:r>
        <w:rPr>
          <w:sz w:val="20"/>
          <w:szCs w:val="20"/>
        </w:rPr>
        <w:t>onsolidated Financial Statements section of our Annual Report on Form 10-K for the fiscal year ended September 24, 2022</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Certain amounts included in or affecting our consolidated financial statements and related disclosures must be estimated, requiring man</w:t>
      </w:r>
      <w:r>
        <w:rPr>
          <w:sz w:val="20"/>
          <w:szCs w:val="20"/>
        </w:rPr>
        <w:t>agement to make certain assumptions with respect to values or conditions that cannot be known with certainty at the time the financial statements are prepared. The preparation of financial statements in conformity with accounting principles generally accep</w:t>
      </w:r>
      <w:r>
        <w:rPr>
          <w:sz w:val="20"/>
          <w:szCs w:val="20"/>
        </w:rPr>
        <w:t>ted in the United States of America (“US GAAP”) requires management to make estimates and assumptions that affect the reported amounts of assets and liabilities and disclosure of contingent assets and liabilities at the date of the financial statements and</w:t>
      </w:r>
      <w:r>
        <w:rPr>
          <w:sz w:val="20"/>
          <w:szCs w:val="20"/>
        </w:rPr>
        <w:t xml:space="preserve"> the reported amounts of revenues and expenses during the reporting period. We are also subject to risks and uncertainties that may cause actual results to differ from estimated results. Estimates are used when accounting for depreciation and amortization </w:t>
      </w:r>
      <w:r>
        <w:rPr>
          <w:sz w:val="20"/>
          <w:szCs w:val="20"/>
        </w:rPr>
        <w:t>of long-lived assets, employee benefit plans, self-insurance and litigation reserves, environmental reserves, allowances for doubtful accounts, asset valuation assessments and valuation of derivative instruments. We base our estimates on historical experie</w:t>
      </w:r>
      <w:r>
        <w:rPr>
          <w:sz w:val="20"/>
          <w:szCs w:val="20"/>
        </w:rPr>
        <w:t xml:space="preserve">nce and on various other assumptions that are believed to be reasonable under the circumstances, the results of which form the basis for making judgments about the carrying values of assets and liabilities that are not readily apparent from other sources. </w:t>
      </w:r>
      <w:r>
        <w:rPr>
          <w:sz w:val="20"/>
          <w:szCs w:val="20"/>
        </w:rPr>
        <w:t>Any effects on our business, financial position or results of operations resulting from revisions to these estimates are recorded in the period in which the facts that give rise to the revision become known to us. Management has reviewed these critical acc</w:t>
      </w:r>
      <w:r>
        <w:rPr>
          <w:sz w:val="20"/>
          <w:szCs w:val="20"/>
        </w:rPr>
        <w:t>ounting estimates and related disclosures with the Audit Committee of our Board of Supervisors</w:t>
      </w:r>
      <w:r>
        <w:rPr>
          <w:sz w:val="20"/>
          <w:szCs w:val="20"/>
        </w:rPr>
        <w:t>.</w:t>
      </w:r>
      <w:r>
        <w:rPr>
          <w:sz w:val="20"/>
          <w:szCs w:val="20"/>
        </w:rPr>
        <w:t xml:space="preserve"> </w:t>
      </w:r>
    </w:p>
    <w:p w:rsidR="00000000" w:rsidRDefault="00BC3404">
      <w:pPr>
        <w:pStyle w:val="a3"/>
        <w:spacing w:before="360" w:beforeAutospacing="0" w:after="0" w:afterAutospacing="0"/>
        <w:jc w:val="both"/>
        <w:rPr>
          <w:sz w:val="20"/>
          <w:szCs w:val="20"/>
        </w:rPr>
      </w:pPr>
      <w:r>
        <w:rPr>
          <w:b/>
          <w:bCs/>
          <w:i/>
          <w:iCs/>
          <w:sz w:val="20"/>
          <w:szCs w:val="20"/>
        </w:rPr>
        <w:t>Results of Operations and Financial Conditio</w:t>
      </w:r>
      <w:r>
        <w:rPr>
          <w:b/>
          <w:bCs/>
          <w:i/>
          <w:iCs/>
          <w:sz w:val="20"/>
          <w:szCs w:val="20"/>
        </w:rPr>
        <w:t>n</w:t>
      </w:r>
      <w:r>
        <w:rPr>
          <w:b/>
          <w:bCs/>
          <w:i/>
          <w:iCs/>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Net income for the first quarter of fiscal 2023 improved to $45.4 million, or $0.71 per Common Unit, compared to</w:t>
      </w:r>
      <w:r>
        <w:rPr>
          <w:sz w:val="20"/>
          <w:szCs w:val="20"/>
        </w:rPr>
        <w:t xml:space="preserve"> a net income of $21.3 million, or $0.34 per Common Unit, in the fiscal 2022 first quarter. Adjusted earnings before interest, taxes, depreciation and amortization (Adjusted EBITDA, as defined and reconciled below) increased $3.5 million, or 4.1%, to $90.0</w:t>
      </w:r>
      <w:r>
        <w:rPr>
          <w:sz w:val="20"/>
          <w:szCs w:val="20"/>
        </w:rPr>
        <w:t xml:space="preserve"> million for the first quarter of fiscal 2023, compared to $86.5 million in the prior year first quarter</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3</w:t>
      </w:r>
    </w:p>
    <w:p w:rsidR="00000000" w:rsidRDefault="00BC3404">
      <w:pPr>
        <w:rPr>
          <w:rFonts w:eastAsia="Times New Roman"/>
        </w:rPr>
      </w:pPr>
      <w:r>
        <w:rPr>
          <w:rFonts w:eastAsia="Times New Roman"/>
        </w:rPr>
        <w:pict>
          <v:rect id="_x0000_i1051"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ind w:firstLine="555"/>
        <w:jc w:val="both"/>
        <w:rPr>
          <w:sz w:val="20"/>
          <w:szCs w:val="20"/>
        </w:rPr>
      </w:pPr>
      <w:r>
        <w:rPr>
          <w:sz w:val="20"/>
          <w:szCs w:val="20"/>
        </w:rPr>
        <w:t>Retail propane gallons sold in the first quarter of fiscal 2023 of 108.8 million gallons increased 3.3% compared to the prior year, primarily due to cooler weather and favorable customer base trends. Average temperatures (as measured by heating degree days</w:t>
      </w:r>
      <w:r>
        <w:rPr>
          <w:sz w:val="20"/>
          <w:szCs w:val="20"/>
        </w:rPr>
        <w:t>) across all of our service territories during the first quarter were 3% warmer than normal and 13% cooler than the prior year first quarter, with the majority of the heating degree days coming in the latter half of December 2022</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Average propane prices (basis Mont Belvieu, Texas) for the first quarter of fiscal 2023 decreased 35.9% compared to the prior year first quarter. Total gross margin of $214.8 million in the fiscal 2023 first quarter increased $35.7 million, or 20.0%, compa</w:t>
      </w:r>
      <w:r>
        <w:rPr>
          <w:sz w:val="20"/>
          <w:szCs w:val="20"/>
        </w:rPr>
        <w:t>red to the prior year first quarter. Gross margin for the first quarter of fiscal 2023 included a $13.7 million unrealized loss attributable to the mark-to-market adjustment for derivative instruments used in risk management activities, compared to a $33.5</w:t>
      </w:r>
      <w:r>
        <w:rPr>
          <w:sz w:val="20"/>
          <w:szCs w:val="20"/>
        </w:rPr>
        <w:t xml:space="preserve"> million unrealized loss in the prior year first quarter. These non-cash adjustments, which were reported in cost of products sold, were excluded from Adjusted EBITDA for both periods. Excluding the impact of the mark-to-market adjustments, total gross mar</w:t>
      </w:r>
      <w:r>
        <w:rPr>
          <w:sz w:val="20"/>
          <w:szCs w:val="20"/>
        </w:rPr>
        <w:t>gin increased $15.9 million, or 7.5%, compared to the prior year first quarter, primarily due to higher volumes sold and higher unit margins. Excluding the impact of the unrealized mark-to-market adjustments, propane unit margins for the first quarter of f</w:t>
      </w:r>
      <w:r>
        <w:rPr>
          <w:sz w:val="20"/>
          <w:szCs w:val="20"/>
        </w:rPr>
        <w:t>iscal 2023 increased $0.06, or 3.2%, per gallon compared to the prior year</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Combined operating and general and administrative expenses of $138.7 million for the first quarter of fiscal 2023 increased 10.5% compared to the prior year first quarter, primaril</w:t>
      </w:r>
      <w:r>
        <w:rPr>
          <w:sz w:val="20"/>
          <w:szCs w:val="20"/>
        </w:rPr>
        <w:t>y due to higher payroll and benefit-related expenses, higher vehicle lease and fuel costs, as well as other inflationary effects on our operating costs. Included in general and administrative expenses for the first quarter of fiscal 2023 were fees and expe</w:t>
      </w:r>
      <w:r>
        <w:rPr>
          <w:sz w:val="20"/>
          <w:szCs w:val="20"/>
        </w:rPr>
        <w:t xml:space="preserve">nses of $0.9 million associated with the acquisition of the renewable natural gas (“RNG”) production facilities from Equilibrium Capital Group (“Equilibrium”) which closed at the beginning of our fiscal 2023 second quarter. These acquisition-related costs </w:t>
      </w:r>
      <w:r>
        <w:rPr>
          <w:sz w:val="20"/>
          <w:szCs w:val="20"/>
        </w:rPr>
        <w:t>were excluded from Adjusted EBITDA</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Total debt outstanding as of December 2022 was $52.9 million lower than at the end of the prior year first quarter, and our consolidated leverage ratio, as defined in our credit agreement, for the twelve-month period end</w:t>
      </w:r>
      <w:r>
        <w:rPr>
          <w:sz w:val="20"/>
          <w:szCs w:val="20"/>
        </w:rPr>
        <w:t>ing December 24, 2022 was 3.68x</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As previously announced on January 19, 2023, the Partnership’s Board of Supervisors declared a quarterly distribution of $0.325 per Common Unit effective for the distribution payable in respect of the first quarter of fisc</w:t>
      </w:r>
      <w:r>
        <w:rPr>
          <w:sz w:val="20"/>
          <w:szCs w:val="20"/>
        </w:rPr>
        <w:t>al 2023. This distribution is payable on February 7, 2023 to Common Unitholders of record as of January 31, 2023</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 xml:space="preserve">Our anticipated cash requirements for the remainder of fiscal 2023 include: (i) acquisition of a platform of RNG assets from Equilibrium for </w:t>
      </w:r>
      <w:r>
        <w:rPr>
          <w:sz w:val="20"/>
          <w:szCs w:val="20"/>
        </w:rPr>
        <w:t>$190.0 million that was funded at the beginning of the second quarter of fiscal 2023 with borrowings of approximately $112.0 million under our revolving credit facility and the assumption of approximately $80.0 million of outstanding green bonds; (ii) main</w:t>
      </w:r>
      <w:r>
        <w:rPr>
          <w:sz w:val="20"/>
          <w:szCs w:val="20"/>
        </w:rPr>
        <w:t>tenance and growth capital expenditures of approximately $14.3 million and $42.6 million, respectively; (iii) interest and income tax payments of approximately $55.1 million; and (iv) cash distributions of approximately $61.9 million to our Common Unithold</w:t>
      </w:r>
      <w:r>
        <w:rPr>
          <w:sz w:val="20"/>
          <w:szCs w:val="20"/>
        </w:rPr>
        <w:t>ers based on the quarterly distribution rate of $0.325 per Common Unit. Based on our liquidity position, which includes cash on hand, availability of funds under our revolving credit facility and expected cash flow from operating activities, we expect to h</w:t>
      </w:r>
      <w:r>
        <w:rPr>
          <w:sz w:val="20"/>
          <w:szCs w:val="20"/>
        </w:rPr>
        <w:t>ave sufficient funds to meet our current and future obligations</w:t>
      </w:r>
      <w:r>
        <w:rPr>
          <w:sz w:val="20"/>
          <w:szCs w:val="20"/>
        </w:rPr>
        <w:t>.</w:t>
      </w:r>
    </w:p>
    <w:p w:rsidR="00000000" w:rsidRDefault="00BC3404">
      <w:pPr>
        <w:pStyle w:val="a3"/>
        <w:spacing w:before="240" w:beforeAutospacing="0" w:after="0" w:afterAutospacing="0"/>
        <w:jc w:val="both"/>
        <w:rPr>
          <w:sz w:val="20"/>
          <w:szCs w:val="20"/>
        </w:rPr>
      </w:pPr>
      <w:r>
        <w:rPr>
          <w:b/>
          <w:bCs/>
          <w:i/>
          <w:iCs/>
          <w:sz w:val="20"/>
          <w:szCs w:val="20"/>
        </w:rPr>
        <w:t>Recent Development</w:t>
      </w:r>
      <w:r>
        <w:rPr>
          <w:b/>
          <w:bCs/>
          <w:i/>
          <w:iCs/>
          <w:sz w:val="20"/>
          <w:szCs w:val="20"/>
        </w:rPr>
        <w:t>s</w:t>
      </w:r>
    </w:p>
    <w:p w:rsidR="00000000" w:rsidRDefault="00BC3404">
      <w:pPr>
        <w:pStyle w:val="a3"/>
        <w:spacing w:before="240" w:beforeAutospacing="0" w:after="0" w:afterAutospacing="0"/>
        <w:ind w:firstLine="555"/>
        <w:jc w:val="both"/>
        <w:rPr>
          <w:sz w:val="20"/>
          <w:szCs w:val="20"/>
        </w:rPr>
      </w:pPr>
      <w:r>
        <w:rPr>
          <w:sz w:val="20"/>
          <w:szCs w:val="20"/>
        </w:rPr>
        <w:t xml:space="preserve">As referenced above and in Item 1, Note 19 of this Quarterly Report, we made meaningful progress in the expansion of our renewable energy platform subsequent to the first </w:t>
      </w:r>
      <w:r>
        <w:rPr>
          <w:sz w:val="20"/>
          <w:szCs w:val="20"/>
        </w:rPr>
        <w:t>quarter of 2023. On December 28, 2022, we announced that our wholly owned subsidiary, Suburban Renewable Energy, LLC (“Suburban Renewable Energy”), acquired a platform of two operating RNG production assets from Equilibrium, a leading sustainability-driven</w:t>
      </w:r>
      <w:r>
        <w:rPr>
          <w:sz w:val="20"/>
          <w:szCs w:val="20"/>
        </w:rPr>
        <w:t xml:space="preserve"> asset management firm. In addition, the parties formed a partnership to serve as a long-term growth platform for the identification, development and operation of additional RNG projects, including an existing pipeline of identified RNG projects that are i</w:t>
      </w:r>
      <w:r>
        <w:rPr>
          <w:sz w:val="20"/>
          <w:szCs w:val="20"/>
        </w:rPr>
        <w:t>n various stages of development. The RNG platform will include the following: (1) a large-scale RNG facility in Stanfield, Arizona, one of the largest agricultural waste RNG production facilities currently operating in the United States, which includes sev</w:t>
      </w:r>
      <w:r>
        <w:rPr>
          <w:sz w:val="20"/>
          <w:szCs w:val="20"/>
        </w:rPr>
        <w:t>en anaerobic digesters, manure rights from approximately 55,000 dairy cattle and an interconnect with an interstate pipeline; (2) an operating facility in Columbus, Ohio that is currently receiving tipping fees from several large food and beverage provider</w:t>
      </w:r>
      <w:r>
        <w:rPr>
          <w:sz w:val="20"/>
          <w:szCs w:val="20"/>
        </w:rPr>
        <w:t>s for processing food waste into fertilizer and biogas, and has an active development project to upgrade the biogas into RNG for use in the transportation sector; (3) rights of first offer for a third RNG facility in the Midwest that is currently being dev</w:t>
      </w:r>
      <w:r>
        <w:rPr>
          <w:sz w:val="20"/>
          <w:szCs w:val="20"/>
        </w:rPr>
        <w:t>eloped by Equilibrium; and (4) the creation of a joint venture, called Suburban EQ RNG, LLC, to invest in and develop approximately $155.0 million of future RNG projects, of which Suburban Renewable Energy will own approximately 70% and Equilibrium will ow</w:t>
      </w:r>
      <w:r>
        <w:rPr>
          <w:sz w:val="20"/>
          <w:szCs w:val="20"/>
        </w:rPr>
        <w:t>n approximately 30% once such projects are fully funded. The RNG platform acquired is diversified across feedstocks, geographies and revenue streams, and complements Suburban Renewable Energy’s ongoing activity to construct, own and operate an RNG facility</w:t>
      </w:r>
      <w:r>
        <w:rPr>
          <w:sz w:val="20"/>
          <w:szCs w:val="20"/>
        </w:rPr>
        <w:t xml:space="preserve"> at Adirondack Farms in Clinton County, New York. While the acquisition will immediately enhance and increase Suburban Renewable Energy’s presence in RNG production and distribution, the partnership with Equilibrium through the joint venture arrangement wi</w:t>
      </w:r>
      <w:r>
        <w:rPr>
          <w:sz w:val="20"/>
          <w:szCs w:val="20"/>
        </w:rPr>
        <w:t>ll provide visible growth and experienced management in the rapidly developing waste-to-energy economy. RNG can be produced from multiple organic waste streams, including agricultural and food waste, helping to reduce methane emissions, while offering a lo</w:t>
      </w:r>
      <w:r>
        <w:rPr>
          <w:sz w:val="20"/>
          <w:szCs w:val="20"/>
        </w:rPr>
        <w:t>we</w:t>
      </w:r>
      <w:r>
        <w:rPr>
          <w:sz w:val="20"/>
          <w:szCs w:val="20"/>
        </w:rPr>
        <w:t>r</w:t>
      </w:r>
      <w:r>
        <w:rPr>
          <w:sz w:val="20"/>
          <w:szCs w:val="20"/>
        </w:rPr>
        <w:t xml:space="preserve">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4</w:t>
      </w:r>
    </w:p>
    <w:p w:rsidR="00000000" w:rsidRDefault="00BC3404">
      <w:pPr>
        <w:rPr>
          <w:rFonts w:eastAsia="Times New Roman"/>
        </w:rPr>
      </w:pPr>
      <w:r>
        <w:rPr>
          <w:rFonts w:eastAsia="Times New Roman"/>
        </w:rPr>
        <w:pict>
          <v:rect id="_x0000_i1052"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rPr>
          <w:sz w:val="20"/>
          <w:szCs w:val="20"/>
        </w:rPr>
      </w:pPr>
      <w:r>
        <w:rPr>
          <w:sz w:val="20"/>
          <w:szCs w:val="20"/>
        </w:rPr>
        <w:t xml:space="preserve">carbon solution as a drop-in replacement for traditional natural gas. The scalable platform complements our existing portfolio of </w:t>
      </w:r>
      <w:r>
        <w:rPr>
          <w:sz w:val="20"/>
          <w:szCs w:val="20"/>
        </w:rPr>
        <w:t xml:space="preserve">renewable energy assets, either as a stand-alone RNG distributor, or as a pathway to hydrogen or rDME production. Suburban Propane has a proud 95-year legacy of being a trusted provider of energy to local communities. Leveraging the strength and stability </w:t>
      </w:r>
      <w:r>
        <w:rPr>
          <w:sz w:val="20"/>
          <w:szCs w:val="20"/>
        </w:rPr>
        <w:t>of our core propane business, we are investing in the clean energy economy of the future as society transitions to lower carbon alternatives, and positioning us for long-term growth</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Three Months Ended December 24, 2022 Compared to Three Months Ended Decem</w:t>
      </w:r>
      <w:r>
        <w:rPr>
          <w:b/>
          <w:bCs/>
          <w:sz w:val="20"/>
          <w:szCs w:val="20"/>
        </w:rPr>
        <w:t>ber 25, 202</w:t>
      </w:r>
      <w:r>
        <w:rPr>
          <w:b/>
          <w:bCs/>
          <w:sz w:val="20"/>
          <w:szCs w:val="20"/>
        </w:rPr>
        <w:t>1</w:t>
      </w:r>
    </w:p>
    <w:p w:rsidR="00000000" w:rsidRDefault="00BC3404">
      <w:pPr>
        <w:pStyle w:val="a3"/>
        <w:spacing w:before="120" w:beforeAutospacing="0" w:after="0" w:afterAutospacing="0"/>
        <w:jc w:val="both"/>
        <w:rPr>
          <w:sz w:val="20"/>
          <w:szCs w:val="20"/>
        </w:rPr>
      </w:pPr>
      <w:r>
        <w:rPr>
          <w:i/>
          <w:iCs/>
          <w:sz w:val="20"/>
          <w:szCs w:val="20"/>
        </w:rPr>
        <w:t>Revenue</w:t>
      </w:r>
      <w:r>
        <w:rPr>
          <w:i/>
          <w:iCs/>
          <w:sz w:val="20"/>
          <w:szCs w:val="20"/>
        </w:rPr>
        <w:t>s</w:t>
      </w:r>
    </w:p>
    <w:p w:rsidR="00000000" w:rsidRDefault="00BC3404">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98"/>
        <w:gridCol w:w="110"/>
        <w:gridCol w:w="160"/>
        <w:gridCol w:w="710"/>
        <w:gridCol w:w="110"/>
        <w:gridCol w:w="110"/>
        <w:gridCol w:w="160"/>
        <w:gridCol w:w="710"/>
        <w:gridCol w:w="110"/>
        <w:gridCol w:w="110"/>
        <w:gridCol w:w="161"/>
        <w:gridCol w:w="679"/>
        <w:gridCol w:w="127"/>
        <w:gridCol w:w="115"/>
        <w:gridCol w:w="113"/>
        <w:gridCol w:w="683"/>
        <w:gridCol w:w="309"/>
      </w:tblGrid>
      <w:tr w:rsidR="00000000">
        <w:trPr>
          <w:tblCellSpacing w:w="15" w:type="dxa"/>
        </w:trPr>
        <w:tc>
          <w:tcPr>
            <w:tcW w:w="2484" w:type="pct"/>
            <w:vAlign w:val="center"/>
            <w:hideMark/>
          </w:tcPr>
          <w:p w:rsidR="00000000" w:rsidRDefault="00BC3404">
            <w:pPr>
              <w:rPr>
                <w:sz w:val="20"/>
                <w:szCs w:val="20"/>
              </w:rPr>
            </w:pPr>
          </w:p>
        </w:tc>
        <w:tc>
          <w:tcPr>
            <w:tcW w:w="5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5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6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9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and gallons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rPr>
                <w:sz w:val="22"/>
                <w:szCs w:val="22"/>
              </w:rPr>
            </w:pPr>
            <w:r>
              <w:rPr>
                <w:sz w:val="22"/>
                <w:szCs w:val="22"/>
              </w:rPr>
              <w:t> </w:t>
            </w:r>
          </w:p>
        </w:tc>
        <w:tc>
          <w:tcPr>
            <w:tcW w:w="0" w:type="auto"/>
            <w:vAlign w:val="bottom"/>
            <w:hideMark/>
          </w:tcPr>
          <w:p w:rsidR="00000000" w:rsidRDefault="00BC3404">
            <w:pPr>
              <w:pStyle w:val="a3"/>
              <w:spacing w:before="0" w:beforeAutospacing="0" w:after="0" w:afterAutospacing="0"/>
              <w:rPr>
                <w:sz w:val="22"/>
                <w:szCs w:val="22"/>
              </w:rPr>
            </w:pPr>
            <w:r>
              <w:rPr>
                <w:sz w:val="22"/>
                <w:szCs w:val="22"/>
              </w:rPr>
              <w:t> </w:t>
            </w:r>
          </w:p>
        </w:tc>
        <w:tc>
          <w:tcPr>
            <w:tcW w:w="0" w:type="auto"/>
            <w:hideMark/>
          </w:tcPr>
          <w:p w:rsidR="00000000" w:rsidRDefault="00BC3404">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342,35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331,11</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11,23</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30,14</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20,96</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9,17</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8,69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9,22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(53</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14,10</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2,18</w:t>
            </w:r>
            <w:r>
              <w:rPr>
                <w:sz w:val="20"/>
                <w:szCs w:val="20"/>
              </w:rPr>
              <w:t>5</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397,47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375,40</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22,06</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Retail gallons sol</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108,76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105,26</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3,49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5,56</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r>
              <w:rPr>
                <w:sz w:val="20"/>
                <w:szCs w:val="20"/>
              </w:rPr>
              <w:t>%</w:t>
            </w:r>
          </w:p>
        </w:tc>
      </w:tr>
    </w:tbl>
    <w:p w:rsidR="00000000" w:rsidRDefault="00BC3404">
      <w:pPr>
        <w:pStyle w:val="a3"/>
        <w:spacing w:before="0" w:beforeAutospacing="0" w:after="0" w:afterAutospacing="0"/>
        <w:jc w:val="both"/>
        <w:rPr>
          <w:sz w:val="20"/>
          <w:szCs w:val="20"/>
        </w:rPr>
      </w:pPr>
      <w:r>
        <w:t> </w:t>
      </w:r>
    </w:p>
    <w:p w:rsidR="00000000" w:rsidRDefault="00BC3404">
      <w:pPr>
        <w:pStyle w:val="a3"/>
        <w:spacing w:before="0" w:beforeAutospacing="0" w:after="0" w:afterAutospacing="0"/>
        <w:ind w:firstLine="555"/>
        <w:jc w:val="both"/>
        <w:rPr>
          <w:sz w:val="20"/>
          <w:szCs w:val="20"/>
        </w:rPr>
      </w:pPr>
      <w:r>
        <w:rPr>
          <w:sz w:val="20"/>
          <w:szCs w:val="20"/>
        </w:rPr>
        <w:t>As discussed above, average temperatures (as measured by heating degree days) across all of our service territories during the first quarter of fiscal 2023 were 3% warmer than normal and 13% cooler than the prior year first quarter. While there was an over</w:t>
      </w:r>
      <w:r>
        <w:rPr>
          <w:sz w:val="20"/>
          <w:szCs w:val="20"/>
        </w:rPr>
        <w:t>all increase in heating degree days compared to the prior year, seven of the nine weeks in the November and December period were negatively impacted by milder temperatures, particularly in our East and Midwest operating territories</w:t>
      </w:r>
      <w:r>
        <w:rPr>
          <w:sz w:val="20"/>
          <w:szCs w:val="20"/>
        </w:rPr>
        <w:t>.</w:t>
      </w:r>
    </w:p>
    <w:p w:rsidR="00000000" w:rsidRDefault="00BC3404">
      <w:pPr>
        <w:pStyle w:val="a3"/>
        <w:spacing w:before="0" w:beforeAutospacing="0" w:after="0" w:afterAutospacing="0"/>
        <w:ind w:firstLine="555"/>
        <w:jc w:val="both"/>
        <w:rPr>
          <w:sz w:val="20"/>
          <w:szCs w:val="20"/>
        </w:rPr>
      </w:pPr>
      <w:r>
        <w:rPr>
          <w:sz w:val="20"/>
          <w:szCs w:val="20"/>
        </w:rPr>
        <w:t> </w:t>
      </w:r>
    </w:p>
    <w:p w:rsidR="00000000" w:rsidRDefault="00BC3404">
      <w:pPr>
        <w:pStyle w:val="a3"/>
        <w:spacing w:before="0" w:beforeAutospacing="0" w:after="0" w:afterAutospacing="0"/>
        <w:ind w:firstLine="555"/>
        <w:jc w:val="both"/>
        <w:rPr>
          <w:sz w:val="20"/>
          <w:szCs w:val="20"/>
        </w:rPr>
      </w:pPr>
      <w:r>
        <w:rPr>
          <w:sz w:val="20"/>
          <w:szCs w:val="20"/>
        </w:rPr>
        <w:t>Revenues from the distribution of propane and related activities of $342.4 million increased $11.2 million, or 3.4%, compared to the prior year, primarily due to higher volumes sold, which were nominally offset by lower average retail selling prices compar</w:t>
      </w:r>
      <w:r>
        <w:rPr>
          <w:sz w:val="20"/>
          <w:szCs w:val="20"/>
        </w:rPr>
        <w:t xml:space="preserve">ed to the prior year. Retail propane gallons sold increased 3.5 million gallons, or 3.3%, compared to the prior year, primarily due to cooler weather, resulting in a $10.9 million increase in revenues. Included within the propane segment are revenues from </w:t>
      </w:r>
      <w:r>
        <w:rPr>
          <w:sz w:val="20"/>
          <w:szCs w:val="20"/>
        </w:rPr>
        <w:t>other propane activities, which increased $0.3 million primarily due to a higher notional amount of hedging contracts used in risk management activities that were settled physically</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Revenues from the distribution of fuel oil and refined fuels of $30.1 mil</w:t>
      </w:r>
      <w:r>
        <w:rPr>
          <w:sz w:val="20"/>
          <w:szCs w:val="20"/>
        </w:rPr>
        <w:t>lion were $9.2 million, or 43.8%, higher than the prior year, primarily due to higher average retail selling prices associated with higher wholesale costs, offset to an extent by a decrease in volumes sold. Average fuel oil and refined fuels selling prices</w:t>
      </w:r>
      <w:r>
        <w:rPr>
          <w:sz w:val="20"/>
          <w:szCs w:val="20"/>
        </w:rPr>
        <w:t xml:space="preserve"> increased 58.0% compared to the prior year, reflecting higher average wholesale costs, resulting in a $10.9 million increase in revenues. Fuel oil and refined fuels gallons sold decreased 0.6 million gallons, or 9.3%, primarily due to customer conservatio</w:t>
      </w:r>
      <w:r>
        <w:rPr>
          <w:sz w:val="20"/>
          <w:szCs w:val="20"/>
        </w:rPr>
        <w:t>n, resulting in a $1.7 million decrease in revenues</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Revenues in our natural gas and electricity segment of $8.7 million were $0.5 million, or 5.8%, lower than the prior year, primarily due to lower usage resulting from a lower customer base, nominally of</w:t>
      </w:r>
      <w:r>
        <w:rPr>
          <w:sz w:val="20"/>
          <w:szCs w:val="20"/>
        </w:rPr>
        <w:t>fset by higher average selling prices</w:t>
      </w:r>
      <w:r>
        <w:rPr>
          <w:sz w:val="20"/>
          <w:szCs w:val="20"/>
        </w:rPr>
        <w:t>.</w:t>
      </w:r>
    </w:p>
    <w:p w:rsidR="00000000" w:rsidRDefault="00BC3404">
      <w:pPr>
        <w:pStyle w:val="a3"/>
        <w:spacing w:before="360" w:beforeAutospacing="0" w:after="0" w:afterAutospacing="0"/>
        <w:jc w:val="both"/>
        <w:rPr>
          <w:sz w:val="20"/>
          <w:szCs w:val="20"/>
        </w:rPr>
      </w:pPr>
      <w:r>
        <w:rPr>
          <w:i/>
          <w:iCs/>
          <w:sz w:val="20"/>
          <w:szCs w:val="20"/>
        </w:rPr>
        <w:t>Cost of Products Sol</w:t>
      </w:r>
      <w:r>
        <w:rPr>
          <w:i/>
          <w:iCs/>
          <w:sz w:val="20"/>
          <w:szCs w:val="20"/>
        </w:rPr>
        <w:t>d</w:t>
      </w:r>
    </w:p>
    <w:p w:rsidR="00000000" w:rsidRDefault="00BC3404">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70"/>
        <w:gridCol w:w="110"/>
        <w:gridCol w:w="160"/>
        <w:gridCol w:w="710"/>
        <w:gridCol w:w="227"/>
        <w:gridCol w:w="110"/>
        <w:gridCol w:w="160"/>
        <w:gridCol w:w="710"/>
        <w:gridCol w:w="227"/>
        <w:gridCol w:w="110"/>
        <w:gridCol w:w="160"/>
        <w:gridCol w:w="677"/>
        <w:gridCol w:w="127"/>
        <w:gridCol w:w="115"/>
        <w:gridCol w:w="112"/>
        <w:gridCol w:w="681"/>
        <w:gridCol w:w="309"/>
      </w:tblGrid>
      <w:tr w:rsidR="00000000">
        <w:trPr>
          <w:tblCellSpacing w:w="15" w:type="dxa"/>
        </w:trPr>
        <w:tc>
          <w:tcPr>
            <w:tcW w:w="2550" w:type="pct"/>
            <w:vAlign w:val="center"/>
            <w:hideMark/>
          </w:tcPr>
          <w:p w:rsidR="00000000" w:rsidRDefault="00BC3404">
            <w:pPr>
              <w:rPr>
                <w:sz w:val="20"/>
                <w:szCs w:val="20"/>
              </w:rPr>
            </w:pPr>
          </w:p>
        </w:tc>
        <w:tc>
          <w:tcPr>
            <w:tcW w:w="4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9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2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3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rPr>
                <w:sz w:val="22"/>
                <w:szCs w:val="22"/>
              </w:rPr>
            </w:pPr>
            <w:r>
              <w:rPr>
                <w:sz w:val="22"/>
                <w:szCs w:val="22"/>
              </w:rPr>
              <w:t> </w:t>
            </w:r>
          </w:p>
        </w:tc>
        <w:tc>
          <w:tcPr>
            <w:tcW w:w="0" w:type="auto"/>
            <w:vAlign w:val="bottom"/>
            <w:hideMark/>
          </w:tcPr>
          <w:p w:rsidR="00000000" w:rsidRDefault="00BC3404">
            <w:pPr>
              <w:pStyle w:val="a3"/>
              <w:spacing w:before="0" w:beforeAutospacing="0" w:after="0" w:afterAutospacing="0"/>
              <w:rPr>
                <w:sz w:val="22"/>
                <w:szCs w:val="22"/>
              </w:rPr>
            </w:pPr>
            <w:r>
              <w:rPr>
                <w:sz w:val="22"/>
                <w:szCs w:val="22"/>
              </w:rPr>
              <w:t> </w:t>
            </w:r>
          </w:p>
        </w:tc>
        <w:tc>
          <w:tcPr>
            <w:tcW w:w="0" w:type="auto"/>
            <w:hideMark/>
          </w:tcPr>
          <w:p w:rsidR="00000000" w:rsidRDefault="00BC3404">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Cost of products sol</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149,84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171,27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(21,43</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(12.</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22,37</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14,64</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7,73</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5,94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6,18</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(24</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4,50</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4,23</w:t>
            </w:r>
            <w:r>
              <w:rPr>
                <w:sz w:val="20"/>
                <w:szCs w:val="20"/>
              </w:rPr>
              <w:t>7</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26</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400"/>
              <w:rPr>
                <w:sz w:val="20"/>
                <w:szCs w:val="20"/>
              </w:rPr>
            </w:pPr>
            <w:r>
              <w:rPr>
                <w:sz w:val="20"/>
                <w:szCs w:val="20"/>
              </w:rPr>
              <w:t>Total cost of products sol</w:t>
            </w:r>
            <w:r>
              <w:rPr>
                <w:sz w:val="20"/>
                <w:szCs w:val="20"/>
              </w:rPr>
              <w:t>d</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182,65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196,33</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(13,68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46.</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bl>
    <w:p w:rsidR="00000000" w:rsidRDefault="00BC3404">
      <w:pPr>
        <w:pStyle w:val="a3"/>
        <w:spacing w:before="0" w:beforeAutospacing="0" w:after="0" w:afterAutospacing="0"/>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5</w:t>
      </w:r>
    </w:p>
    <w:p w:rsidR="00000000" w:rsidRDefault="00BC3404">
      <w:pPr>
        <w:rPr>
          <w:rFonts w:eastAsia="Times New Roman"/>
        </w:rPr>
      </w:pPr>
      <w:r>
        <w:rPr>
          <w:rFonts w:eastAsia="Times New Roman"/>
        </w:rPr>
        <w:pict>
          <v:rect id="_x0000_i1053"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rPr>
          <w:sz w:val="20"/>
          <w:szCs w:val="20"/>
        </w:rPr>
      </w:pPr>
      <w:r>
        <w:t> </w:t>
      </w:r>
    </w:p>
    <w:p w:rsidR="00000000" w:rsidRDefault="00BC3404">
      <w:pPr>
        <w:pStyle w:val="a3"/>
        <w:spacing w:before="0" w:beforeAutospacing="0" w:after="0" w:afterAutospacing="0"/>
        <w:ind w:firstLine="555"/>
        <w:jc w:val="both"/>
        <w:rPr>
          <w:sz w:val="20"/>
          <w:szCs w:val="20"/>
        </w:rPr>
      </w:pPr>
      <w:r>
        <w:rPr>
          <w:sz w:val="20"/>
          <w:szCs w:val="20"/>
        </w:rPr>
        <w:t>The cost of products sold reported in the condensed consolidated statements of operations represents the weighted average unit cost of pro</w:t>
      </w:r>
      <w:r>
        <w:rPr>
          <w:sz w:val="20"/>
          <w:szCs w:val="20"/>
        </w:rPr>
        <w:t>pane, fuel oil and refined fuels, and natural gas and electricity sold, including transportation costs to deliver product from our supply points to storage or to our customer service centers. Cost of products sold also includes the cost of appliances and r</w:t>
      </w:r>
      <w:r>
        <w:rPr>
          <w:sz w:val="20"/>
          <w:szCs w:val="20"/>
        </w:rPr>
        <w:t>elated parts sold or installed by our customer service centers computed on a basis that approximates the average cost of the products</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 xml:space="preserve">Given the retail nature of our operations, we maintain a certain level of priced physical inventory to help ensure that </w:t>
      </w:r>
      <w:r>
        <w:rPr>
          <w:sz w:val="20"/>
          <w:szCs w:val="20"/>
        </w:rPr>
        <w:t>our field operations have adequate supply commensurate with the time of year. Our strategy has been, and will continue to be, to keep our physical inventory priced relatively close to market for our field operations. Consistent with past practices, we prin</w:t>
      </w:r>
      <w:r>
        <w:rPr>
          <w:sz w:val="20"/>
          <w:szCs w:val="20"/>
        </w:rPr>
        <w:t>cipally utilize futures and/or options contracts traded on the NYMEX to mitigate the price risk associated with our priced physical inventory, as well as, in certain instances, forecasted purchases of propane or fuel oil. In addition, we sell propane and f</w:t>
      </w:r>
      <w:r>
        <w:rPr>
          <w:sz w:val="20"/>
          <w:szCs w:val="20"/>
        </w:rPr>
        <w:t xml:space="preserve">uel oil to customers at fixed prices, and enter into derivative instruments to hedge a portion of our exposure to fluctuations in commodity prices as a result of selling the fixed price contracts. At expiration, the derivative contracts are settled by the </w:t>
      </w:r>
      <w:r>
        <w:rPr>
          <w:sz w:val="20"/>
          <w:szCs w:val="20"/>
        </w:rPr>
        <w:t>delivery of the product to the respective party or are settled by the payment to the respective party of a net amount equal to the difference between the then market price and the fixed contract price or option exercise price. Under this risk management st</w:t>
      </w:r>
      <w:r>
        <w:rPr>
          <w:sz w:val="20"/>
          <w:szCs w:val="20"/>
        </w:rPr>
        <w:t>rategy, realized gains or losses on futures or options contracts, which are reported in cost of products sold, will typically offset losses or gains on the physical inventory once the product is sold or delivered as it pertains to fixed price contracts (wh</w:t>
      </w:r>
      <w:r>
        <w:rPr>
          <w:sz w:val="20"/>
          <w:szCs w:val="20"/>
        </w:rPr>
        <w:t>ich may or may not occur in the same accounting period). We do not use futures or options contracts, or other derivative instruments, for speculative trading purposes. Unrealized non-cash gains or losses from changes in the fair value of derivative instrum</w:t>
      </w:r>
      <w:r>
        <w:rPr>
          <w:sz w:val="20"/>
          <w:szCs w:val="20"/>
        </w:rPr>
        <w:t>ents that are not designated as cash flow hedges are recorded within cost of products sold. Cost of products sold excludes depreciation and amortization; these amounts are reported separately within the condensed consolidated statements of operations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In t</w:t>
      </w:r>
      <w:r>
        <w:rPr>
          <w:sz w:val="20"/>
          <w:szCs w:val="20"/>
        </w:rPr>
        <w:t xml:space="preserve">he commodities markets, average posted propane prices (basis Mont Belvieu, Texas) and fuel oil prices were 35.9% lower and 49.2% higher than the prior year first quarter, respectively. The net change in the fair value of derivative instruments resulted in </w:t>
      </w:r>
      <w:r>
        <w:rPr>
          <w:sz w:val="20"/>
          <w:szCs w:val="20"/>
        </w:rPr>
        <w:t xml:space="preserve">a $13.7 million unrealized non-cash loss in the first quarter of fiscal 2023 compared to a $33.5 million unrealized non-cash loss in the prior year first quarter, resulting in a net decrease of $19.8 million in cost of products sold year-over-year, all of </w:t>
      </w:r>
      <w:r>
        <w:rPr>
          <w:sz w:val="20"/>
          <w:szCs w:val="20"/>
        </w:rPr>
        <w:t>which was reported within the propane segment. These unrealized mark-to-market adjustments are excluded from Adjusted EBITDA for both periods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Cost of products sold associated with the distribution of propane and related activities of $149.8 million decrea</w:t>
      </w:r>
      <w:r>
        <w:rPr>
          <w:sz w:val="20"/>
          <w:szCs w:val="20"/>
        </w:rPr>
        <w:t>sed $21.4 million, or 12.5%, compared to the prior year first quarter. Lower average wholesale costs, net of realized gains on commodity hedges, contributed to a decrease in cost of products sold of $10.3 million, while higher volumes sold contributed to a</w:t>
      </w:r>
      <w:r>
        <w:rPr>
          <w:sz w:val="20"/>
          <w:szCs w:val="20"/>
        </w:rPr>
        <w:t>n increase of $5.3 million. Included within the propane segment are costs from other propane activities, which increased $3.4 million compared to the prior year due to a higher notional amount of hedging contracts that were settled physically, as well as t</w:t>
      </w:r>
      <w:r>
        <w:rPr>
          <w:sz w:val="20"/>
          <w:szCs w:val="20"/>
        </w:rPr>
        <w:t>he net decrease in cost of products sold of $19.8 million resulting from the mark-to-market adjustments on derivative instruments in both periods discussed above</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Cost of products sold associated with our fuel oil and refined fuels segment of $22.4 million increased $7.7 million, or 52.8%, compared to the prior year first quarter. Higher average wholesale costs led to an increase of $9.1 million, which was offset to</w:t>
      </w:r>
      <w:r>
        <w:rPr>
          <w:sz w:val="20"/>
          <w:szCs w:val="20"/>
        </w:rPr>
        <w:t xml:space="preserve"> an extent by a $1.4 million decrease associated with lower volumes sold</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Cost of products sold in our natural gas and electricity segment of $5.9 million decreased $0.2 million, or 4.0%, compared to the prior year primarily due to lower usage, partially o</w:t>
      </w:r>
      <w:r>
        <w:rPr>
          <w:sz w:val="20"/>
          <w:szCs w:val="20"/>
        </w:rPr>
        <w:t>ffset by higher natural gas and electricity wholesale costs</w:t>
      </w:r>
      <w:r>
        <w:rPr>
          <w:sz w:val="20"/>
          <w:szCs w:val="20"/>
        </w:rPr>
        <w:t>.</w:t>
      </w:r>
    </w:p>
    <w:p w:rsidR="00000000" w:rsidRDefault="00BC3404">
      <w:pPr>
        <w:pStyle w:val="a3"/>
        <w:spacing w:before="240" w:beforeAutospacing="0" w:after="0" w:afterAutospacing="0"/>
        <w:jc w:val="both"/>
        <w:rPr>
          <w:sz w:val="20"/>
          <w:szCs w:val="20"/>
        </w:rPr>
      </w:pPr>
      <w:r>
        <w:rPr>
          <w:i/>
          <w:iCs/>
          <w:sz w:val="20"/>
          <w:szCs w:val="20"/>
        </w:rPr>
        <w:t>Operating Expense</w:t>
      </w:r>
      <w:r>
        <w:rPr>
          <w:i/>
          <w:iCs/>
          <w:sz w:val="20"/>
          <w:szCs w:val="20"/>
        </w:rPr>
        <w:t>s</w:t>
      </w:r>
    </w:p>
    <w:p w:rsidR="00000000" w:rsidRDefault="00BC3404">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56"/>
        <w:gridCol w:w="110"/>
        <w:gridCol w:w="160"/>
        <w:gridCol w:w="710"/>
        <w:gridCol w:w="227"/>
        <w:gridCol w:w="110"/>
        <w:gridCol w:w="160"/>
        <w:gridCol w:w="710"/>
        <w:gridCol w:w="227"/>
        <w:gridCol w:w="110"/>
        <w:gridCol w:w="160"/>
        <w:gridCol w:w="510"/>
        <w:gridCol w:w="110"/>
        <w:gridCol w:w="110"/>
        <w:gridCol w:w="112"/>
        <w:gridCol w:w="551"/>
        <w:gridCol w:w="242"/>
      </w:tblGrid>
      <w:tr w:rsidR="00000000">
        <w:trPr>
          <w:tblCellSpacing w:w="15" w:type="dxa"/>
        </w:trPr>
        <w:tc>
          <w:tcPr>
            <w:tcW w:w="2653" w:type="pct"/>
            <w:vAlign w:val="center"/>
            <w:hideMark/>
          </w:tcPr>
          <w:p w:rsidR="00000000" w:rsidRDefault="00BC3404">
            <w:pPr>
              <w:rPr>
                <w:sz w:val="20"/>
                <w:szCs w:val="20"/>
              </w:rPr>
            </w:pPr>
          </w:p>
        </w:tc>
        <w:tc>
          <w:tcPr>
            <w:tcW w:w="2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0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2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6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Operating expense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115,71</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105,73</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9,98</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29.</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28.</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t> </w:t>
      </w:r>
    </w:p>
    <w:p w:rsidR="00000000" w:rsidRDefault="00BC3404">
      <w:pPr>
        <w:pStyle w:val="a3"/>
        <w:spacing w:before="40" w:beforeAutospacing="0" w:after="0" w:afterAutospacing="0"/>
        <w:ind w:firstLine="555"/>
        <w:jc w:val="both"/>
        <w:rPr>
          <w:sz w:val="20"/>
          <w:szCs w:val="20"/>
        </w:rPr>
      </w:pPr>
      <w:r>
        <w:rPr>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field</w:t>
      </w:r>
      <w:r>
        <w:rPr>
          <w:sz w:val="20"/>
          <w:szCs w:val="20"/>
        </w:rPr>
        <w:t xml:space="preserve"> and direct operating support personnel, costs of operating and maintaining our vehicle fleet, overhead and other costs of our purchasing, training and safety departments and other direct and indirect costs of operating our customer service centers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Operating expenses of $115.7 million for the first quarter of fiscal 2023 increased $10.0 million, or 9.4%, compared to the prior year first quarter, primarily due to higher payroll and benefit-related costs, higher vehicle lease and fuel costs, higher pro</w:t>
      </w:r>
      <w:r>
        <w:rPr>
          <w:sz w:val="20"/>
          <w:szCs w:val="20"/>
        </w:rPr>
        <w:t>visions for doubtful accounts, as well as other inflationary effects on our operating costs</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6</w:t>
      </w:r>
    </w:p>
    <w:p w:rsidR="00000000" w:rsidRDefault="00BC3404">
      <w:pPr>
        <w:rPr>
          <w:rFonts w:eastAsia="Times New Roman"/>
        </w:rPr>
      </w:pPr>
      <w:r>
        <w:rPr>
          <w:rFonts w:eastAsia="Times New Roman"/>
        </w:rPr>
        <w:pict>
          <v:rect id="_x0000_i1054"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360" w:beforeAutospacing="0" w:after="0" w:afterAutospacing="0"/>
        <w:jc w:val="both"/>
        <w:rPr>
          <w:sz w:val="20"/>
          <w:szCs w:val="20"/>
        </w:rPr>
      </w:pPr>
      <w:r>
        <w:rPr>
          <w:i/>
          <w:iCs/>
          <w:sz w:val="20"/>
          <w:szCs w:val="20"/>
        </w:rPr>
        <w:t>General and Administrative Expense</w:t>
      </w:r>
      <w:r>
        <w:rPr>
          <w:i/>
          <w:iCs/>
          <w:sz w:val="20"/>
          <w:szCs w:val="20"/>
        </w:rPr>
        <w:t>s</w:t>
      </w:r>
    </w:p>
    <w:p w:rsidR="00000000" w:rsidRDefault="00BC3404">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54"/>
        <w:gridCol w:w="110"/>
        <w:gridCol w:w="160"/>
        <w:gridCol w:w="610"/>
        <w:gridCol w:w="227"/>
        <w:gridCol w:w="110"/>
        <w:gridCol w:w="160"/>
        <w:gridCol w:w="610"/>
        <w:gridCol w:w="227"/>
        <w:gridCol w:w="110"/>
        <w:gridCol w:w="160"/>
        <w:gridCol w:w="510"/>
        <w:gridCol w:w="110"/>
        <w:gridCol w:w="110"/>
        <w:gridCol w:w="112"/>
        <w:gridCol w:w="553"/>
        <w:gridCol w:w="242"/>
      </w:tblGrid>
      <w:tr w:rsidR="00000000">
        <w:trPr>
          <w:tblCellSpacing w:w="15" w:type="dxa"/>
        </w:trPr>
        <w:tc>
          <w:tcPr>
            <w:tcW w:w="2657" w:type="pct"/>
            <w:vAlign w:val="center"/>
            <w:hideMark/>
          </w:tcPr>
          <w:p w:rsidR="00000000" w:rsidRDefault="00BC3404">
            <w:pPr>
              <w:rPr>
                <w:sz w:val="20"/>
                <w:szCs w:val="20"/>
              </w:rPr>
            </w:pPr>
          </w:p>
        </w:tc>
        <w:tc>
          <w:tcPr>
            <w:tcW w:w="1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1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0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General and administrative expense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23,01</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19,79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3,21</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t> </w:t>
      </w:r>
    </w:p>
    <w:p w:rsidR="00000000" w:rsidRDefault="00BC3404">
      <w:pPr>
        <w:pStyle w:val="a3"/>
        <w:spacing w:before="40" w:beforeAutospacing="0" w:after="0" w:afterAutospacing="0"/>
        <w:ind w:firstLine="555"/>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condensed consolidated statements of operations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 xml:space="preserve">General and administrative expenses of $23.0 million for the first quarter of fiscal 2023 increased $3.2 million, or 16.2%, compared to the prior year first quarter, primarily due to higher payroll and benefit-related costs, professional fees and expenses </w:t>
      </w:r>
      <w:r>
        <w:rPr>
          <w:sz w:val="20"/>
          <w:szCs w:val="20"/>
        </w:rPr>
        <w:t>of $0.9 million related to our RNG acquisition described above, as well as other inflationary increases</w:t>
      </w:r>
      <w:r>
        <w:rPr>
          <w:sz w:val="20"/>
          <w:szCs w:val="20"/>
        </w:rPr>
        <w:t>.</w:t>
      </w:r>
      <w:r>
        <w:rPr>
          <w:sz w:val="20"/>
          <w:szCs w:val="20"/>
        </w:rPr>
        <w:t xml:space="preserve"> </w:t>
      </w:r>
    </w:p>
    <w:p w:rsidR="00000000" w:rsidRDefault="00BC3404">
      <w:pPr>
        <w:pStyle w:val="a3"/>
        <w:spacing w:before="360" w:beforeAutospacing="0" w:after="0" w:afterAutospacing="0"/>
        <w:jc w:val="both"/>
        <w:rPr>
          <w:sz w:val="20"/>
          <w:szCs w:val="20"/>
        </w:rPr>
      </w:pPr>
      <w:r>
        <w:rPr>
          <w:i/>
          <w:iCs/>
          <w:sz w:val="20"/>
          <w:szCs w:val="20"/>
        </w:rPr>
        <w:t>Depreciation and Amortizatio</w:t>
      </w:r>
      <w:r>
        <w:rPr>
          <w:i/>
          <w:iCs/>
          <w:sz w:val="20"/>
          <w:szCs w:val="20"/>
        </w:rPr>
        <w:t>n</w:t>
      </w:r>
    </w:p>
    <w:p w:rsidR="00000000" w:rsidRDefault="00BC3404">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73"/>
        <w:gridCol w:w="110"/>
        <w:gridCol w:w="160"/>
        <w:gridCol w:w="610"/>
        <w:gridCol w:w="227"/>
        <w:gridCol w:w="110"/>
        <w:gridCol w:w="160"/>
        <w:gridCol w:w="610"/>
        <w:gridCol w:w="227"/>
        <w:gridCol w:w="110"/>
        <w:gridCol w:w="160"/>
        <w:gridCol w:w="577"/>
        <w:gridCol w:w="127"/>
        <w:gridCol w:w="110"/>
        <w:gridCol w:w="111"/>
        <w:gridCol w:w="584"/>
        <w:gridCol w:w="309"/>
      </w:tblGrid>
      <w:tr w:rsidR="00000000">
        <w:trPr>
          <w:tblCellSpacing w:w="15" w:type="dxa"/>
        </w:trPr>
        <w:tc>
          <w:tcPr>
            <w:tcW w:w="2543" w:type="pct"/>
            <w:vAlign w:val="center"/>
            <w:hideMark/>
          </w:tcPr>
          <w:p w:rsidR="00000000" w:rsidRDefault="00BC3404">
            <w:pPr>
              <w:rPr>
                <w:sz w:val="20"/>
                <w:szCs w:val="20"/>
              </w:rPr>
            </w:pPr>
          </w:p>
        </w:tc>
        <w:tc>
          <w:tcPr>
            <w:tcW w:w="4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1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1"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3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4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2"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13,77</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(2,50</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3</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t> </w:t>
      </w:r>
    </w:p>
    <w:p w:rsidR="00000000" w:rsidRDefault="00BC3404">
      <w:pPr>
        <w:pStyle w:val="a3"/>
        <w:spacing w:before="0" w:beforeAutospacing="0" w:after="0" w:afterAutospacing="0"/>
        <w:ind w:firstLine="555"/>
        <w:jc w:val="both"/>
        <w:rPr>
          <w:sz w:val="20"/>
          <w:szCs w:val="20"/>
        </w:rPr>
      </w:pPr>
      <w:r>
        <w:rPr>
          <w:sz w:val="20"/>
          <w:szCs w:val="20"/>
        </w:rPr>
        <w:t xml:space="preserve">Depreciation and amortization expense of $13.8 million for the first quarter of fiscal 2023 decreased $2.5 million, or 15.4%, compared to the prior year first quarter, primarily as a result of accelerated depreciation recorded in the prior year on certain </w:t>
      </w:r>
      <w:r>
        <w:rPr>
          <w:sz w:val="20"/>
          <w:szCs w:val="20"/>
        </w:rPr>
        <w:t>assets taken out of service</w:t>
      </w:r>
      <w:r>
        <w:rPr>
          <w:sz w:val="20"/>
          <w:szCs w:val="20"/>
        </w:rPr>
        <w:t>.</w:t>
      </w:r>
      <w:r>
        <w:rPr>
          <w:sz w:val="20"/>
          <w:szCs w:val="20"/>
        </w:rPr>
        <w:t xml:space="preserve"> </w:t>
      </w:r>
    </w:p>
    <w:p w:rsidR="00000000" w:rsidRDefault="00BC3404">
      <w:pPr>
        <w:pStyle w:val="a3"/>
        <w:spacing w:before="360" w:beforeAutospacing="0" w:after="0" w:afterAutospacing="0"/>
        <w:jc w:val="both"/>
        <w:rPr>
          <w:sz w:val="20"/>
          <w:szCs w:val="20"/>
        </w:rPr>
      </w:pPr>
      <w:r>
        <w:rPr>
          <w:i/>
          <w:iCs/>
          <w:sz w:val="20"/>
          <w:szCs w:val="20"/>
        </w:rPr>
        <w:t>Interest Expense, ne</w:t>
      </w:r>
      <w:r>
        <w:rPr>
          <w:i/>
          <w:iCs/>
          <w:sz w:val="20"/>
          <w:szCs w:val="20"/>
        </w:rPr>
        <w:t>t</w:t>
      </w:r>
    </w:p>
    <w:p w:rsidR="00000000" w:rsidRDefault="00BC3404">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18"/>
        <w:gridCol w:w="110"/>
        <w:gridCol w:w="160"/>
        <w:gridCol w:w="610"/>
        <w:gridCol w:w="227"/>
        <w:gridCol w:w="110"/>
        <w:gridCol w:w="160"/>
        <w:gridCol w:w="610"/>
        <w:gridCol w:w="227"/>
        <w:gridCol w:w="110"/>
        <w:gridCol w:w="161"/>
        <w:gridCol w:w="545"/>
        <w:gridCol w:w="110"/>
        <w:gridCol w:w="110"/>
        <w:gridCol w:w="112"/>
        <w:gridCol w:w="553"/>
        <w:gridCol w:w="242"/>
      </w:tblGrid>
      <w:tr w:rsidR="00000000">
        <w:trPr>
          <w:tblCellSpacing w:w="15" w:type="dxa"/>
        </w:trPr>
        <w:tc>
          <w:tcPr>
            <w:tcW w:w="2657" w:type="pct"/>
            <w:vAlign w:val="center"/>
            <w:hideMark/>
          </w:tcPr>
          <w:p w:rsidR="00000000" w:rsidRDefault="00BC3404">
            <w:pPr>
              <w:rPr>
                <w:sz w:val="20"/>
                <w:szCs w:val="20"/>
              </w:rPr>
            </w:pPr>
          </w:p>
        </w:tc>
        <w:tc>
          <w:tcPr>
            <w:tcW w:w="1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1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1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8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09"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76"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Interest expense, ne</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15,99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15,29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69</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bl>
    <w:p w:rsidR="00000000" w:rsidRDefault="00BC3404">
      <w:pPr>
        <w:pStyle w:val="a3"/>
        <w:spacing w:before="0" w:beforeAutospacing="0" w:after="0" w:afterAutospacing="0"/>
        <w:jc w:val="both"/>
        <w:rPr>
          <w:sz w:val="20"/>
          <w:szCs w:val="20"/>
        </w:rPr>
      </w:pPr>
      <w:r>
        <w:t> </w:t>
      </w:r>
    </w:p>
    <w:p w:rsidR="00000000" w:rsidRDefault="00BC3404">
      <w:pPr>
        <w:pStyle w:val="a3"/>
        <w:spacing w:before="0" w:beforeAutospacing="0" w:after="0" w:afterAutospacing="0"/>
        <w:ind w:firstLine="555"/>
        <w:jc w:val="both"/>
        <w:rPr>
          <w:sz w:val="20"/>
          <w:szCs w:val="20"/>
        </w:rPr>
      </w:pPr>
      <w:r>
        <w:rPr>
          <w:sz w:val="20"/>
          <w:szCs w:val="20"/>
        </w:rPr>
        <w:t>Net interest expense of $16.0 million for the first quarter of fiscal 2023 increased $0.7 million, or 4.5%, compared to the prior year first quarter, due to the impact of the higher benchmark interest rates for borrowings under our revolving credit facilit</w:t>
      </w:r>
      <w:r>
        <w:rPr>
          <w:sz w:val="20"/>
          <w:szCs w:val="20"/>
        </w:rPr>
        <w:t>y, offset to an extent by lower average levels of outstanding debt. See Liquidity and Capital Resources below for additional discussion</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7</w:t>
      </w:r>
    </w:p>
    <w:p w:rsidR="00000000" w:rsidRDefault="00BC3404">
      <w:pPr>
        <w:rPr>
          <w:rFonts w:eastAsia="Times New Roman"/>
        </w:rPr>
      </w:pPr>
      <w:r>
        <w:rPr>
          <w:rFonts w:eastAsia="Times New Roman"/>
        </w:rPr>
        <w:pict>
          <v:rect id="_x0000_i1055"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360" w:beforeAutospacing="0" w:after="0" w:afterAutospacing="0"/>
        <w:jc w:val="both"/>
        <w:rPr>
          <w:sz w:val="20"/>
          <w:szCs w:val="20"/>
        </w:rPr>
      </w:pPr>
      <w:r>
        <w:rPr>
          <w:i/>
          <w:iCs/>
          <w:sz w:val="20"/>
          <w:szCs w:val="20"/>
        </w:rPr>
        <w:t>EBITDA and Adjusted EBITD</w:t>
      </w:r>
      <w:r>
        <w:rPr>
          <w:i/>
          <w:iCs/>
          <w:sz w:val="20"/>
          <w:szCs w:val="20"/>
        </w:rPr>
        <w:t>A</w:t>
      </w:r>
    </w:p>
    <w:p w:rsidR="00000000" w:rsidRDefault="00BC3404">
      <w:pPr>
        <w:pStyle w:val="a3"/>
        <w:spacing w:before="120" w:beforeAutospacing="0" w:after="0" w:afterAutospacing="0"/>
        <w:ind w:firstLine="555"/>
        <w:jc w:val="both"/>
        <w:rPr>
          <w:sz w:val="20"/>
          <w:szCs w:val="20"/>
        </w:rPr>
      </w:pPr>
      <w:r>
        <w:rPr>
          <w:sz w:val="20"/>
          <w:szCs w:val="20"/>
        </w:rPr>
        <w:t>EBITDA represents net income before deducting interest expense, income taxes, depreciation and amortization. Adju</w:t>
      </w:r>
      <w:r>
        <w:rPr>
          <w:sz w:val="20"/>
          <w:szCs w:val="20"/>
        </w:rPr>
        <w:t>sted EBITDA represents EBITDA excluding the unrealized net gain or loss on mark-to-market activity for derivative instruments and other items, as applicable, as provided in the table below. Our management uses EBITDA and Adjusted EBITDA as supplemental mea</w:t>
      </w:r>
      <w:r>
        <w:rPr>
          <w:sz w:val="20"/>
          <w:szCs w:val="20"/>
        </w:rPr>
        <w:t>sures of operating performance and we are including them because we believe that they provide our investors and industry analysts with additional information that we determined is useful to evaluate our operating results. EBITDA and Adjusted EBITDA are not</w:t>
      </w:r>
      <w:r>
        <w:rPr>
          <w:sz w:val="20"/>
          <w:szCs w:val="20"/>
        </w:rPr>
        <w:t xml:space="preserve"> recognized terms under US GAAP and should not be considered as an alternative to net income or net cash provided by operating activities determined in accordance with US GAAP. Because EBITDA and Adjusted EBITDA as determined by us excludes some, but not a</w:t>
      </w:r>
      <w:r>
        <w:rPr>
          <w:sz w:val="20"/>
          <w:szCs w:val="20"/>
        </w:rPr>
        <w:t>ll, items that affect net income, they may not be comparable to EBITDA and Adjusted EBITDA or similarly titled measures used by other companies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The following table sets forth our calculations of EBITDA and Adjusted EBITDA</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47"/>
        <w:gridCol w:w="142"/>
        <w:gridCol w:w="160"/>
        <w:gridCol w:w="1138"/>
        <w:gridCol w:w="127"/>
        <w:gridCol w:w="143"/>
        <w:gridCol w:w="160"/>
        <w:gridCol w:w="1147"/>
        <w:gridCol w:w="142"/>
      </w:tblGrid>
      <w:tr w:rsidR="00000000">
        <w:trPr>
          <w:tblCellSpacing w:w="15" w:type="dxa"/>
        </w:trPr>
        <w:tc>
          <w:tcPr>
            <w:tcW w:w="3201" w:type="pct"/>
            <w:vAlign w:val="center"/>
            <w:hideMark/>
          </w:tcPr>
          <w:p w:rsidR="00000000" w:rsidRDefault="00BC3404">
            <w:pPr>
              <w:rPr>
                <w:sz w:val="20"/>
                <w:szCs w:val="20"/>
              </w:rPr>
            </w:pPr>
          </w:p>
        </w:tc>
        <w:tc>
          <w:tcPr>
            <w:tcW w:w="8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08"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8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714"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BC3404">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24</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December 25</w:t>
            </w:r>
            <w:r>
              <w:rPr>
                <w:b/>
                <w:bCs/>
                <w:sz w:val="16"/>
                <w:szCs w:val="16"/>
              </w:rPr>
              <w:t>,</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hideMark/>
          </w:tcPr>
          <w:p w:rsidR="00000000" w:rsidRDefault="00BC3404">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BC3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Net incom</w:t>
            </w:r>
            <w:r>
              <w:rPr>
                <w:sz w:val="20"/>
                <w:szCs w:val="20"/>
              </w:rPr>
              <w:t>e</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45,39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21,29</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Add</w:t>
            </w: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BC3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(Benefit from) income taxe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(47</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15,99</w:t>
            </w:r>
            <w:r>
              <w:rPr>
                <w:sz w:val="20"/>
                <w:szCs w:val="20"/>
              </w:rPr>
              <w:t>4</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15,29</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13,77</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16,28</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EBITD</w:t>
            </w:r>
            <w:r>
              <w:rPr>
                <w:sz w:val="20"/>
                <w:szCs w:val="20"/>
              </w:rPr>
              <w:t>A</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75,11</w:t>
            </w:r>
            <w:r>
              <w:rPr>
                <w:sz w:val="20"/>
                <w:szCs w:val="20"/>
              </w:rPr>
              <w:t>9</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52,41</w:t>
            </w:r>
            <w:r>
              <w:rPr>
                <w:sz w:val="20"/>
                <w:szCs w:val="20"/>
              </w:rPr>
              <w:t>1</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Unrealized non-cash losses on changes in fair value of derivative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13,70</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33,50</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28</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61</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Acquisition-related cost</w:t>
            </w:r>
            <w:r>
              <w:rPr>
                <w:sz w:val="20"/>
                <w:szCs w:val="20"/>
              </w:rPr>
              <w:t>s</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93</w:t>
            </w:r>
            <w:r>
              <w:rPr>
                <w:sz w:val="20"/>
                <w:szCs w:val="20"/>
              </w:rPr>
              <w:t>5</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90,04</w:t>
            </w:r>
            <w:r>
              <w:rPr>
                <w:sz w:val="20"/>
                <w:szCs w:val="20"/>
              </w:rPr>
              <w:t>2</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86,52</w:t>
            </w:r>
            <w:r>
              <w:rPr>
                <w:sz w:val="20"/>
                <w:szCs w:val="20"/>
              </w:rPr>
              <w:t>6</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r>
    </w:tbl>
    <w:p w:rsidR="00000000" w:rsidRDefault="00BC3404">
      <w:pPr>
        <w:pStyle w:val="a3"/>
        <w:spacing w:before="240" w:beforeAutospacing="0" w:after="0" w:afterAutospacing="0"/>
        <w:ind w:firstLine="555"/>
        <w:jc w:val="both"/>
        <w:rPr>
          <w:sz w:val="20"/>
          <w:szCs w:val="20"/>
        </w:rPr>
      </w:pPr>
      <w:r>
        <w:rPr>
          <w:sz w:val="20"/>
          <w:szCs w:val="20"/>
        </w:rPr>
        <w:t>We also reference gross margins, computed as revenues less cost of products sold as those amounts are reported on the condensed consolidated financial statements. Our management uses gross margin as a supplemental measure of operating performance and we ar</w:t>
      </w:r>
      <w:r>
        <w:rPr>
          <w:sz w:val="20"/>
          <w:szCs w:val="20"/>
        </w:rPr>
        <w:t>e including it as we believe that it provides our investors and industry analysts with additional information that we determined is useful to evaluate our operating results. As cost of products sold does not include depreciation and amortization expense, t</w:t>
      </w:r>
      <w:r>
        <w:rPr>
          <w:sz w:val="20"/>
          <w:szCs w:val="20"/>
        </w:rPr>
        <w:t>he gross margin we reference is considered a non-GAAP financial measure</w:t>
      </w:r>
      <w:r>
        <w:rPr>
          <w:sz w:val="20"/>
          <w:szCs w:val="20"/>
        </w:rPr>
        <w:t>.</w:t>
      </w:r>
      <w:r>
        <w:rPr>
          <w:sz w:val="20"/>
          <w:szCs w:val="20"/>
        </w:rPr>
        <w:t xml:space="preserve"> </w:t>
      </w:r>
    </w:p>
    <w:p w:rsidR="00000000" w:rsidRDefault="00BC3404">
      <w:pPr>
        <w:pStyle w:val="a3"/>
        <w:spacing w:before="360" w:beforeAutospacing="0" w:after="0" w:afterAutospacing="0"/>
        <w:jc w:val="both"/>
        <w:rPr>
          <w:sz w:val="20"/>
          <w:szCs w:val="20"/>
        </w:rPr>
      </w:pPr>
      <w:r>
        <w:rPr>
          <w:b/>
          <w:bCs/>
          <w:sz w:val="20"/>
          <w:szCs w:val="20"/>
        </w:rPr>
        <w:t>Liquidity and Capital Resource</w:t>
      </w:r>
      <w:r>
        <w:rPr>
          <w:b/>
          <w:bCs/>
          <w:sz w:val="20"/>
          <w:szCs w:val="20"/>
        </w:rPr>
        <w:t>s</w:t>
      </w:r>
    </w:p>
    <w:p w:rsidR="00000000" w:rsidRDefault="00BC3404">
      <w:pPr>
        <w:pStyle w:val="a3"/>
        <w:spacing w:before="120" w:beforeAutospacing="0" w:after="0" w:afterAutospacing="0"/>
        <w:jc w:val="both"/>
        <w:rPr>
          <w:sz w:val="20"/>
          <w:szCs w:val="20"/>
        </w:rPr>
      </w:pPr>
      <w:r>
        <w:rPr>
          <w:b/>
          <w:bCs/>
          <w:i/>
          <w:iCs/>
          <w:sz w:val="20"/>
          <w:szCs w:val="20"/>
        </w:rPr>
        <w:t>Analysis of Cash Flow</w:t>
      </w:r>
      <w:r>
        <w:rPr>
          <w:b/>
          <w:bCs/>
          <w:i/>
          <w:iCs/>
          <w:sz w:val="20"/>
          <w:szCs w:val="20"/>
        </w:rPr>
        <w:t>s</w:t>
      </w:r>
    </w:p>
    <w:p w:rsidR="00000000" w:rsidRDefault="00BC3404">
      <w:pPr>
        <w:pStyle w:val="a3"/>
        <w:spacing w:before="120" w:beforeAutospacing="0" w:after="0" w:afterAutospacing="0"/>
        <w:ind w:firstLine="555"/>
        <w:jc w:val="both"/>
        <w:rPr>
          <w:sz w:val="20"/>
          <w:szCs w:val="20"/>
        </w:rPr>
      </w:pPr>
      <w:r>
        <w:rPr>
          <w:i/>
          <w:iCs/>
          <w:sz w:val="20"/>
          <w:szCs w:val="20"/>
        </w:rPr>
        <w:t>Operating Activities.</w:t>
      </w:r>
      <w:r>
        <w:rPr>
          <w:i/>
          <w:iCs/>
          <w:sz w:val="20"/>
          <w:szCs w:val="20"/>
        </w:rPr>
        <w:t xml:space="preserve"> </w:t>
      </w:r>
      <w:r>
        <w:rPr>
          <w:sz w:val="20"/>
          <w:szCs w:val="20"/>
        </w:rPr>
        <w:t xml:space="preserve">Net cash provided by operating activities for the first quarter of fiscal 2023 of $6.3 million increased </w:t>
      </w:r>
      <w:r>
        <w:rPr>
          <w:sz w:val="20"/>
          <w:szCs w:val="20"/>
        </w:rPr>
        <w:t>$19.6 million compared to the corresponding prior year period. The increase was primarily due to higher earnings and lower working capital needs compared to the prior year, given the general decline in commodity prices</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i/>
          <w:iCs/>
          <w:sz w:val="20"/>
          <w:szCs w:val="20"/>
        </w:rPr>
        <w:t>Investing Activities</w:t>
      </w:r>
      <w:r>
        <w:rPr>
          <w:i/>
          <w:iCs/>
          <w:sz w:val="20"/>
          <w:szCs w:val="20"/>
        </w:rPr>
        <w:t>.</w:t>
      </w:r>
      <w:r>
        <w:rPr>
          <w:sz w:val="20"/>
          <w:szCs w:val="20"/>
        </w:rPr>
        <w:t xml:space="preserve"> Net cash used</w:t>
      </w:r>
      <w:r>
        <w:rPr>
          <w:sz w:val="20"/>
          <w:szCs w:val="20"/>
        </w:rPr>
        <w:t xml:space="preserve"> in investing activities of $14.4 million for the first quarter of fiscal 2023 consisted of capital expenditures of $10.8 million (including approximately $5.1 million to support the growth of operations and $5.7 million for maintenance expenditures), a $3</w:t>
      </w:r>
      <w:r>
        <w:rPr>
          <w:sz w:val="20"/>
          <w:szCs w:val="20"/>
        </w:rPr>
        <w:t>.0 million investment in a privately held start-up entity (plus direct transactions costs) and an additional investment in Oberon, partially offset by approximately $0.7 million in proceeds from the sale of property, plant and equipment</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Net cash used in i</w:t>
      </w:r>
      <w:r>
        <w:rPr>
          <w:sz w:val="20"/>
          <w:szCs w:val="20"/>
        </w:rPr>
        <w:t>nvesting activities of $10.4 million for the first quarter of fiscal 2022 consisted of capital expenditures of $10.7 million (including approximately $6.3 million to support the growth of operations and $4.4 million for maintenance expenditures), $0.9 mill</w:t>
      </w:r>
      <w:r>
        <w:rPr>
          <w:sz w:val="20"/>
          <w:szCs w:val="20"/>
        </w:rPr>
        <w:t>ion used to fund the acquisition of certain assets of a retail propane business and an additional investment in Oberon, partially offset by approximately $1.2 million in proceeds from the sale of property, plant and equipment</w:t>
      </w:r>
      <w:r>
        <w:rPr>
          <w:sz w:val="20"/>
          <w:szCs w:val="20"/>
        </w:rPr>
        <w:t>.</w:t>
      </w:r>
    </w:p>
    <w:p w:rsidR="00000000" w:rsidRDefault="00BC3404">
      <w:pPr>
        <w:pStyle w:val="a3"/>
        <w:spacing w:before="240" w:beforeAutospacing="0" w:after="0" w:afterAutospacing="0"/>
        <w:ind w:firstLine="555"/>
        <w:jc w:val="both"/>
        <w:rPr>
          <w:sz w:val="20"/>
          <w:szCs w:val="20"/>
        </w:rPr>
      </w:pPr>
      <w:r>
        <w:rPr>
          <w:i/>
          <w:iCs/>
          <w:sz w:val="20"/>
          <w:szCs w:val="20"/>
        </w:rPr>
        <w:t>Financing Activities</w:t>
      </w:r>
      <w:r>
        <w:rPr>
          <w:i/>
          <w:iCs/>
          <w:sz w:val="20"/>
          <w:szCs w:val="20"/>
        </w:rPr>
        <w:t>.</w:t>
      </w:r>
      <w:r>
        <w:rPr>
          <w:sz w:val="20"/>
          <w:szCs w:val="20"/>
        </w:rPr>
        <w:t xml:space="preserve"> Net cas</w:t>
      </w:r>
      <w:r>
        <w:rPr>
          <w:sz w:val="20"/>
          <w:szCs w:val="20"/>
        </w:rPr>
        <w:t>h provided by financing activities of $10.1 million for the first quarter of fiscal 2023 reflected $33.9 million in net borrowings under our credit agreement’s revolving credit facility which were used to fund a portion of our seasonal working capital need</w:t>
      </w:r>
      <w:r>
        <w:rPr>
          <w:sz w:val="20"/>
          <w:szCs w:val="20"/>
        </w:rPr>
        <w:t>s and the investments noted above, offset to an extent by $20.5 million paid for the quarterly distributions to Common Unitholders at a rate of $0.325 per Common Unit paid in respect of the fourth quarter of fiscal 2022 and other financing activities of $3</w:t>
      </w:r>
      <w:r>
        <w:rPr>
          <w:sz w:val="20"/>
          <w:szCs w:val="20"/>
        </w:rPr>
        <w:t>.3 million</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Net cash provided by financing activities for the first quarter of fiscal 2022 reflected $44.4 million in net borrowings under our credit agreement’s revolving credit facility which were used to fund a portion of our seasonal working capital n</w:t>
      </w:r>
      <w:r>
        <w:rPr>
          <w:sz w:val="20"/>
          <w:szCs w:val="20"/>
        </w:rPr>
        <w:t>eeds and the acquisitio</w:t>
      </w:r>
      <w:r>
        <w:rPr>
          <w:sz w:val="20"/>
          <w:szCs w:val="20"/>
        </w:rPr>
        <w:t>n</w:t>
      </w:r>
      <w:r>
        <w:rPr>
          <w:sz w:val="20"/>
          <w:szCs w:val="20"/>
        </w:rPr>
        <w:t xml:space="preserve">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8</w:t>
      </w:r>
    </w:p>
    <w:p w:rsidR="00000000" w:rsidRDefault="00BC3404">
      <w:pPr>
        <w:rPr>
          <w:rFonts w:eastAsia="Times New Roman"/>
        </w:rPr>
      </w:pPr>
      <w:r>
        <w:rPr>
          <w:rFonts w:eastAsia="Times New Roman"/>
        </w:rPr>
        <w:pict>
          <v:rect id="_x0000_i1056"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240" w:beforeAutospacing="0" w:after="0" w:afterAutospacing="0"/>
        <w:jc w:val="both"/>
        <w:rPr>
          <w:sz w:val="20"/>
          <w:szCs w:val="20"/>
        </w:rPr>
      </w:pPr>
      <w:r>
        <w:rPr>
          <w:sz w:val="20"/>
          <w:szCs w:val="20"/>
        </w:rPr>
        <w:t>spending and investment noted above, offset to an extent by $20.3 million paid for the quarterly distributions to Common Unitholders at a rate of $0.325 per Common Unit paid in respect of the fourth quarter of fiscal 2021, and other financing activities of</w:t>
      </w:r>
      <w:r>
        <w:rPr>
          <w:sz w:val="20"/>
          <w:szCs w:val="20"/>
        </w:rPr>
        <w:t xml:space="preserve"> $2.6 million</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Summary of Long-Term Debt Obligations and Revolving Credit Facilit</w:t>
      </w:r>
      <w:r>
        <w:rPr>
          <w:b/>
          <w:bCs/>
          <w:i/>
          <w:iCs/>
          <w:sz w:val="20"/>
          <w:szCs w:val="20"/>
        </w:rPr>
        <w:t>y</w:t>
      </w:r>
    </w:p>
    <w:p w:rsidR="00000000" w:rsidRDefault="00BC3404">
      <w:pPr>
        <w:pStyle w:val="a3"/>
        <w:spacing w:before="120" w:beforeAutospacing="0" w:after="0" w:afterAutospacing="0"/>
        <w:ind w:firstLine="555"/>
        <w:jc w:val="both"/>
        <w:rPr>
          <w:sz w:val="20"/>
          <w:szCs w:val="20"/>
        </w:rPr>
      </w:pPr>
      <w:r>
        <w:rPr>
          <w:sz w:val="20"/>
          <w:szCs w:val="20"/>
        </w:rPr>
        <w:t>As of December 24, 2022, our long-term debt consisted of $350.0 million in aggregate principal amount of 5.875% senior notes due March 1, 2027, $650.0 million in aggregate p</w:t>
      </w:r>
      <w:r>
        <w:rPr>
          <w:sz w:val="20"/>
          <w:szCs w:val="20"/>
        </w:rPr>
        <w:t>rincipal amount of 5.0% senior notes due June 1, 2031 and $123.5 million outstanding under our $500.0 million senior secured revolving credit facility (“Revolving Credit Facility”) provided by our credit agreement. On December 28, 2022, we amended the cred</w:t>
      </w:r>
      <w:r>
        <w:rPr>
          <w:sz w:val="20"/>
          <w:szCs w:val="20"/>
        </w:rPr>
        <w:t>it agreement to modify certain restrictive and affirmative covenants set forth in the credit agreement and replace the LIBOR component of the borrowing rate based on SOFR. Total long-term borrowings as of December 24, 2022 and December 25, 2021 was $1,123.</w:t>
      </w:r>
      <w:r>
        <w:rPr>
          <w:sz w:val="20"/>
          <w:szCs w:val="20"/>
        </w:rPr>
        <w:t>5 million and $1,176.4 million, respectively. See Item 1, Note 10 of this Quarterly Report</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Based upon our Consolidated EBITDA, as defined in the credit agreement, for the trailing twelve-month period ended December 24, 2022, and outstanding borrowings and</w:t>
      </w:r>
      <w:r>
        <w:rPr>
          <w:sz w:val="20"/>
          <w:szCs w:val="20"/>
        </w:rPr>
        <w:t xml:space="preserve"> letters of credits issued under the Revolving Credit Facility as of December 24, 2022, our borrowing capacity under the Revolving Credit Facility was $325.6 million</w:t>
      </w:r>
      <w:r>
        <w:rPr>
          <w:sz w:val="20"/>
          <w:szCs w:val="20"/>
        </w:rPr>
        <w:t>.</w:t>
      </w:r>
      <w:r>
        <w:rPr>
          <w:sz w:val="20"/>
          <w:szCs w:val="20"/>
        </w:rPr>
        <w:t xml:space="preserve"> </w:t>
      </w:r>
    </w:p>
    <w:p w:rsidR="00000000" w:rsidRDefault="00BC3404">
      <w:pPr>
        <w:pStyle w:val="a3"/>
        <w:spacing w:before="240" w:beforeAutospacing="0" w:after="0" w:afterAutospacing="0"/>
        <w:ind w:firstLine="555"/>
        <w:jc w:val="both"/>
        <w:rPr>
          <w:sz w:val="20"/>
          <w:szCs w:val="20"/>
        </w:rPr>
      </w:pPr>
      <w:r>
        <w:rPr>
          <w:sz w:val="20"/>
          <w:szCs w:val="20"/>
        </w:rPr>
        <w:t>The aggregate amounts of long-term debt maturities subsequent to December 24, 2022 are a</w:t>
      </w:r>
      <w:r>
        <w:rPr>
          <w:sz w:val="20"/>
          <w:szCs w:val="20"/>
        </w:rPr>
        <w:t>s follows: fiscal 2023: $-0-; fiscal 2024: $-0-; fiscal 2025: $123.5 million; fiscal 2026: $-0-; fiscal 2027: $350.0 million; and thereafter: $650.0 million</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Partnership Distribution</w:t>
      </w:r>
      <w:r>
        <w:rPr>
          <w:b/>
          <w:bCs/>
          <w:i/>
          <w:i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We are required to make distributions in an amount equal to all of our A</w:t>
      </w:r>
      <w:r>
        <w:rPr>
          <w:sz w:val="20"/>
          <w:szCs w:val="20"/>
        </w:rPr>
        <w:t>vailable Cash, as defined in our Third Amended and Restated Partnership Agreement, as amended (the “Partnership Agreement”), no more than 45 days after the end of each fiscal quarter to holders of record on the applicable record dates. Available Cash, as d</w:t>
      </w:r>
      <w:r>
        <w:rPr>
          <w:sz w:val="20"/>
          <w:szCs w:val="20"/>
        </w:rPr>
        <w:t>efined in the Partnership Agreement, generally means all cash on hand at the end of the respective fiscal quarter less the amount of cash reserves established by the Board of Supervisors in its reasonable discretion for future cash requirements. These rese</w:t>
      </w:r>
      <w:r>
        <w:rPr>
          <w:sz w:val="20"/>
          <w:szCs w:val="20"/>
        </w:rPr>
        <w:t>rves are retained for the proper conduct of our business, the payment of debt principal and interest and for distributions during the next four quarters. The Board of Supervisors reviews the level of Available Cash on a quarterly basis based upon informati</w:t>
      </w:r>
      <w:r>
        <w:rPr>
          <w:sz w:val="20"/>
          <w:szCs w:val="20"/>
        </w:rPr>
        <w:t>on provided by management</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On January 19, 2023, we announced a quarterly distribution of $0.325 per Common Unit, or $1.30 on an annualized basis, in respect of the first quarter of fiscal 2023, payable on February 7, 2023 to holders of record on January 31</w:t>
      </w:r>
      <w:r>
        <w:rPr>
          <w:sz w:val="20"/>
          <w:szCs w:val="20"/>
        </w:rPr>
        <w:t>, 2023</w:t>
      </w:r>
      <w:r>
        <w:rPr>
          <w:sz w:val="20"/>
          <w:szCs w:val="20"/>
        </w:rPr>
        <w:t>.</w:t>
      </w:r>
      <w:r>
        <w:rPr>
          <w:sz w:val="20"/>
          <w:szCs w:val="20"/>
        </w:rPr>
        <w:t xml:space="preserve"> </w:t>
      </w:r>
    </w:p>
    <w:p w:rsidR="00000000" w:rsidRDefault="00BC3404">
      <w:pPr>
        <w:pStyle w:val="a3"/>
        <w:spacing w:before="360" w:beforeAutospacing="0" w:after="0" w:afterAutospacing="0"/>
        <w:jc w:val="both"/>
        <w:rPr>
          <w:sz w:val="20"/>
          <w:szCs w:val="20"/>
        </w:rPr>
      </w:pPr>
      <w:r>
        <w:rPr>
          <w:b/>
          <w:bCs/>
          <w:i/>
          <w:iCs/>
          <w:sz w:val="20"/>
          <w:szCs w:val="20"/>
        </w:rPr>
        <w:t>Other Commitment</w:t>
      </w:r>
      <w:r>
        <w:rPr>
          <w:b/>
          <w:bCs/>
          <w:i/>
          <w:i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We have a noncontributory, cash balance format, defined benefit pension plan which was frozen to new participants effective January 1, 2000. Effective January 1, 2003, the defined benefit pension plan was amended such that future service credits ceased and</w:t>
      </w:r>
      <w:r>
        <w:rPr>
          <w:sz w:val="20"/>
          <w:szCs w:val="20"/>
        </w:rPr>
        <w:t xml:space="preserve"> eligible employees would receive interest credits only toward their ultimate retirement benefit. We also provide postretirement health care and life insurance benefits for certain retired employees under a plan that was frozen to new participants effectiv</w:t>
      </w:r>
      <w:r>
        <w:rPr>
          <w:sz w:val="20"/>
          <w:szCs w:val="20"/>
        </w:rPr>
        <w:t>e March 31, 1998. At December 24, 2022, we had a liability for the defined benefit pension plan and accrued retiree health and life benefits of $20.2 million and $5.4 million, respectively</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We are self-insured for general and product, workers’ compensation</w:t>
      </w:r>
      <w:r>
        <w:rPr>
          <w:sz w:val="20"/>
          <w:szCs w:val="20"/>
        </w:rPr>
        <w:t xml:space="preserve"> and automobile liabilities up to predetermined thresholds above which third party insurance applies. At December 24, 2022, we had accrued insurance liabilities of $64.4 million, and a receivable of $15.7 million related to the amount of the liability expe</w:t>
      </w:r>
      <w:r>
        <w:rPr>
          <w:sz w:val="20"/>
          <w:szCs w:val="20"/>
        </w:rPr>
        <w:t>cted to be covered by insurance</w:t>
      </w:r>
      <w:r>
        <w:rPr>
          <w:sz w:val="20"/>
          <w:szCs w:val="20"/>
        </w:rPr>
        <w:t>.</w:t>
      </w:r>
    </w:p>
    <w:p w:rsidR="00000000" w:rsidRDefault="00BC3404">
      <w:pPr>
        <w:pStyle w:val="a3"/>
        <w:spacing w:before="360" w:beforeAutospacing="0" w:after="0" w:afterAutospacing="0"/>
        <w:jc w:val="both"/>
        <w:rPr>
          <w:sz w:val="20"/>
          <w:szCs w:val="20"/>
        </w:rPr>
      </w:pPr>
      <w:r>
        <w:rPr>
          <w:b/>
          <w:bCs/>
          <w:i/>
          <w:iCs/>
          <w:sz w:val="20"/>
          <w:szCs w:val="20"/>
        </w:rPr>
        <w:t>Legal Matter</w:t>
      </w:r>
      <w:r>
        <w:rPr>
          <w:b/>
          <w:bCs/>
          <w:i/>
          <w:i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See Item 1, Note 13, Legal Matters subsection of this Quarterly Report</w:t>
      </w:r>
      <w:r>
        <w:rPr>
          <w:sz w:val="20"/>
          <w:szCs w:val="20"/>
        </w:rPr>
        <w:t>.</w:t>
      </w:r>
    </w:p>
    <w:p w:rsidR="00000000" w:rsidRDefault="00BC3404">
      <w:pPr>
        <w:pStyle w:val="a3"/>
        <w:spacing w:before="12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2</w:t>
      </w:r>
      <w:r>
        <w:rPr>
          <w:sz w:val="20"/>
          <w:szCs w:val="20"/>
        </w:rPr>
        <w:t>9</w:t>
      </w:r>
    </w:p>
    <w:p w:rsidR="00000000" w:rsidRDefault="00BC3404">
      <w:pPr>
        <w:rPr>
          <w:rFonts w:eastAsia="Times New Roman"/>
        </w:rPr>
      </w:pPr>
      <w:r>
        <w:rPr>
          <w:rFonts w:eastAsia="Times New Roman"/>
        </w:rPr>
        <w:pict>
          <v:rect id="_x0000_i1057"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120" w:beforeAutospacing="0" w:after="0" w:afterAutospacing="0"/>
        <w:jc w:val="both"/>
        <w:rPr>
          <w:sz w:val="20"/>
          <w:szCs w:val="20"/>
        </w:rPr>
      </w:pPr>
      <w:r>
        <w:rPr>
          <w:b/>
          <w:bCs/>
          <w:sz w:val="20"/>
          <w:szCs w:val="20"/>
        </w:rPr>
        <w:t>ITEM 3. QUANTI</w:t>
      </w:r>
      <w:r>
        <w:rPr>
          <w:b/>
          <w:bCs/>
          <w:sz w:val="20"/>
          <w:szCs w:val="20"/>
        </w:rPr>
        <w:t>TATIVE AND QUALITA</w:t>
      </w:r>
      <w:r>
        <w:rPr>
          <w:b/>
          <w:bCs/>
          <w:sz w:val="20"/>
          <w:szCs w:val="20"/>
        </w:rPr>
        <w:t>T</w:t>
      </w:r>
      <w:r>
        <w:rPr>
          <w:b/>
          <w:bCs/>
          <w:sz w:val="20"/>
          <w:szCs w:val="20"/>
        </w:rPr>
        <w:t>IVE DISCLOSURES ABOUT MARKET RIS</w:t>
      </w:r>
      <w:r>
        <w:rPr>
          <w:b/>
          <w:bCs/>
          <w:sz w:val="20"/>
          <w:szCs w:val="20"/>
        </w:rPr>
        <w:t>K</w:t>
      </w:r>
    </w:p>
    <w:p w:rsidR="00000000" w:rsidRDefault="00BC3404">
      <w:pPr>
        <w:pStyle w:val="a3"/>
        <w:spacing w:before="120" w:beforeAutospacing="0" w:after="0" w:afterAutospacing="0"/>
        <w:jc w:val="both"/>
        <w:rPr>
          <w:sz w:val="20"/>
          <w:szCs w:val="20"/>
        </w:rPr>
      </w:pPr>
      <w:r>
        <w:rPr>
          <w:b/>
          <w:bCs/>
          <w:sz w:val="20"/>
          <w:szCs w:val="20"/>
        </w:rPr>
        <w:t>Commodity Price Ris</w:t>
      </w:r>
      <w:r>
        <w:rPr>
          <w:b/>
          <w:bCs/>
          <w:sz w:val="20"/>
          <w:szCs w:val="20"/>
        </w:rPr>
        <w:t>k</w:t>
      </w:r>
    </w:p>
    <w:p w:rsidR="00000000" w:rsidRDefault="00BC3404">
      <w:pPr>
        <w:pStyle w:val="a3"/>
        <w:spacing w:before="120" w:beforeAutospacing="0" w:after="0" w:afterAutospacing="0"/>
        <w:ind w:firstLine="555"/>
        <w:jc w:val="both"/>
        <w:rPr>
          <w:sz w:val="20"/>
          <w:szCs w:val="20"/>
        </w:rPr>
      </w:pPr>
      <w:r>
        <w:rPr>
          <w:sz w:val="20"/>
          <w:szCs w:val="20"/>
        </w:rPr>
        <w:t>We enter into product supply contracts that are generally one-year agreements subject to annual renewal, and also purchase product on the open market. Our propane supply contracts typically provide for pricing based upon index formulas using the posted pri</w:t>
      </w:r>
      <w:r>
        <w:rPr>
          <w:sz w:val="20"/>
          <w:szCs w:val="20"/>
        </w:rPr>
        <w:t>ces established at major supply points such as Mont Belvieu, Texas, or Conway, Kansas (plus transportation costs) at the time of delivery. In addition, to supplement our annual purchase requirements, we may utilize forward fixed price purchase contracts to</w:t>
      </w:r>
      <w:r>
        <w:rPr>
          <w:sz w:val="20"/>
          <w:szCs w:val="20"/>
        </w:rPr>
        <w:t xml:space="preserve"> acquire a portion of the propane that we resell to our customers, which allows us to manage our exposure to unfavorable changes in commodity prices and to ensure adequate physical supply. The percentage of contract purchases, and the amount of supply cont</w:t>
      </w:r>
      <w:r>
        <w:rPr>
          <w:sz w:val="20"/>
          <w:szCs w:val="20"/>
        </w:rPr>
        <w:t>racted for under forward contracts at fixed prices, will vary from year to year based on market conditions. In certain instances, and when market conditions are favorable, we are able to purchase product under our supply arrangements at a discount to the m</w:t>
      </w:r>
      <w:r>
        <w:rPr>
          <w:sz w:val="20"/>
          <w:szCs w:val="20"/>
        </w:rPr>
        <w:t>arket</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Product cost changes can occur rapidly over a short period of time and can impact profitability. We attempt to reduce commodity price risk by pricing product on a short-term basis. The level of priced, physical product maintained in storage faciliti</w:t>
      </w:r>
      <w:r>
        <w:rPr>
          <w:sz w:val="20"/>
          <w:szCs w:val="20"/>
        </w:rPr>
        <w:t>es and at our customer service centers for immediate sale to our customers will vary depending on several factors, including, but not limited to, price, supply and demand dynamics for a given time of the year. Typically, our on hand priced position does no</w:t>
      </w:r>
      <w:r>
        <w:rPr>
          <w:sz w:val="20"/>
          <w:szCs w:val="20"/>
        </w:rPr>
        <w:t xml:space="preserve">t exceed more than four to eight weeks of our supply needs, depending on the time of the year. In the course of normal operations, we routinely enter into contracts such as forward priced physical contracts for the purchase or sale of propane and fuel oil </w:t>
      </w:r>
      <w:r>
        <w:rPr>
          <w:sz w:val="20"/>
          <w:szCs w:val="20"/>
        </w:rPr>
        <w:t xml:space="preserve">that, under accounting rules for derivative instruments and hedging activities, qualify for and are designated as normal purchase or normal sale contracts. Such contracts are exempted from fair value accounting and are accounted for at the time product is </w:t>
      </w:r>
      <w:r>
        <w:rPr>
          <w:sz w:val="20"/>
          <w:szCs w:val="20"/>
        </w:rPr>
        <w:t>purchased or sold under the related contract</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Under our hedging and risk management strategies, we enter into a combination of exchange-traded futures and options contracts and, in certain instances, over-the-counter options and swap contracts (collectivel</w:t>
      </w:r>
      <w:r>
        <w:rPr>
          <w:sz w:val="20"/>
          <w:szCs w:val="20"/>
        </w:rPr>
        <w:t>y, “derivative instruments”) to manage the price risk associated with physical product and with future purchases of the commodities used in our operations, principally propane and fuel oil, as well as to help ensure the availability of product during perio</w:t>
      </w:r>
      <w:r>
        <w:rPr>
          <w:sz w:val="20"/>
          <w:szCs w:val="20"/>
        </w:rPr>
        <w:t xml:space="preserve">ds of high demand. In addition, we sell propane and fuel oil to customers at fixed prices, and enter into derivative instruments to hedge a portion of our exposure to fluctuations in commodity prices as a result of selling the fixed price contracts. We do </w:t>
      </w:r>
      <w:r>
        <w:rPr>
          <w:sz w:val="20"/>
          <w:szCs w:val="20"/>
        </w:rPr>
        <w:t>not use derivative instruments for speculative or trading purposes. Futures and swap contracts require that we sell or acquire propane or fuel oil at a fixed price for delivery at fixed future dates. An option contract allows, but does not require, its hol</w:t>
      </w:r>
      <w:r>
        <w:rPr>
          <w:sz w:val="20"/>
          <w:szCs w:val="20"/>
        </w:rPr>
        <w:t>der to buy or sell propane or fuel oil at a specified price during a specified time period. However, the writer of an option contract must fulfill the obligation of the option contract, should the holder choose to exercise the option. At expiration, the co</w:t>
      </w:r>
      <w:r>
        <w:rPr>
          <w:sz w:val="20"/>
          <w:szCs w:val="20"/>
        </w:rPr>
        <w:t>ntracts are settled by the delivery of the product to the respective party or are settled by the payment of a net amount equal to the difference between the then market price and the fixed contract price or option exercise price. To the extent that we util</w:t>
      </w:r>
      <w:r>
        <w:rPr>
          <w:sz w:val="20"/>
          <w:szCs w:val="20"/>
        </w:rPr>
        <w:t>ize derivative instruments to manage exposure to commodity price risk and commodity prices move adversely in relation to the contracts, we could suffer losses on those derivative instruments when settled. Conversely, if prices move favorably, we could real</w:t>
      </w:r>
      <w:r>
        <w:rPr>
          <w:sz w:val="20"/>
          <w:szCs w:val="20"/>
        </w:rPr>
        <w:t xml:space="preserve">ize gains. Under our hedging and risk management strategy, realized gains or losses on derivative instruments will typically offset losses or gains on the physical inventory once the product is sold to customers at market prices, or delivered to customers </w:t>
      </w:r>
      <w:r>
        <w:rPr>
          <w:sz w:val="20"/>
          <w:szCs w:val="20"/>
        </w:rPr>
        <w:t>as it pertains to fixed price contracts</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Futures are traded with brokers of the NYMEX and require daily cash settlements in margin accounts. Forward contracts are generally settled at the expiration of the contract term by physical delivery, and swap and o</w:t>
      </w:r>
      <w:r>
        <w:rPr>
          <w:sz w:val="20"/>
          <w:szCs w:val="20"/>
        </w:rPr>
        <w:t>ptions contracts are generally settled at expiration through a net settlement mechanism. Market risks associated with our derivative instruments are monitored daily for compliance with our Hedging and Risk Management Policy which includes volume limits for</w:t>
      </w:r>
      <w:r>
        <w:rPr>
          <w:sz w:val="20"/>
          <w:szCs w:val="20"/>
        </w:rPr>
        <w:t xml:space="preserve"> open positions. Open inventory positions are reviewed and managed daily as to exposures to changing market prices</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Credit Ris</w:t>
      </w:r>
      <w:r>
        <w:rPr>
          <w:b/>
          <w:bCs/>
          <w:sz w:val="20"/>
          <w:szCs w:val="20"/>
        </w:rPr>
        <w:t>k</w:t>
      </w:r>
    </w:p>
    <w:p w:rsidR="00000000" w:rsidRDefault="00BC3404">
      <w:pPr>
        <w:pStyle w:val="a3"/>
        <w:spacing w:before="120" w:beforeAutospacing="0" w:after="0" w:afterAutospacing="0"/>
        <w:ind w:firstLine="555"/>
        <w:jc w:val="both"/>
        <w:rPr>
          <w:sz w:val="20"/>
          <w:szCs w:val="20"/>
        </w:rPr>
      </w:pPr>
      <w:r>
        <w:rPr>
          <w:sz w:val="20"/>
          <w:szCs w:val="20"/>
        </w:rPr>
        <w:t>Exchange-traded futures and options contracts are guaranteed by the NYMEX and, as a result, have minimal credit risk. We are sub</w:t>
      </w:r>
      <w:r>
        <w:rPr>
          <w:sz w:val="20"/>
          <w:szCs w:val="20"/>
        </w:rPr>
        <w:t>ject to credit risk with over-the-counter forward, swap and options contracts to the extent the counterparties do not perform. We evaluate the financial condition of each counterparty with which we conduct business and establish credit limits to reduce exp</w:t>
      </w:r>
      <w:r>
        <w:rPr>
          <w:sz w:val="20"/>
          <w:szCs w:val="20"/>
        </w:rPr>
        <w:t>osure to the risk of non-performance by our counterparties</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Interest Rate Ris</w:t>
      </w:r>
      <w:r>
        <w:rPr>
          <w:b/>
          <w:bCs/>
          <w:sz w:val="20"/>
          <w:szCs w:val="20"/>
        </w:rPr>
        <w:t>k</w:t>
      </w:r>
    </w:p>
    <w:p w:rsidR="00000000" w:rsidRDefault="00BC3404">
      <w:pPr>
        <w:pStyle w:val="a3"/>
        <w:spacing w:before="120" w:beforeAutospacing="0" w:after="0" w:afterAutospacing="0"/>
        <w:ind w:firstLine="555"/>
        <w:jc w:val="both"/>
        <w:rPr>
          <w:sz w:val="20"/>
          <w:szCs w:val="20"/>
        </w:rPr>
      </w:pPr>
      <w:r>
        <w:rPr>
          <w:sz w:val="20"/>
          <w:szCs w:val="20"/>
        </w:rPr>
        <w:t>A portion of our borrowings bear interest at prevailing interest rates based upon, at the Operating Partnership’s option, LIBOR, plus an applicable margin or the base rate, defi</w:t>
      </w:r>
      <w:r>
        <w:rPr>
          <w:sz w:val="20"/>
          <w:szCs w:val="20"/>
        </w:rPr>
        <w:t>ned as the higher of the Federal Funds Rate plus ½ of 1% or the agent bank’s prime rate, or LIBOR plus 1%, plus the applicable margin. The applicable margin is dependent on the level of our total consolidated leverage (the total ratio of debt to consolidat</w:t>
      </w:r>
      <w:r>
        <w:rPr>
          <w:sz w:val="20"/>
          <w:szCs w:val="20"/>
        </w:rPr>
        <w:t>ed EBITDA). Therefore, we are subject to interest rate risk on the variable component of the interest rate. From time to time, we enter into interest rate swap agreements to manage a part of our variable interest rate risk. The interest rate swaps are desi</w:t>
      </w:r>
      <w:r>
        <w:rPr>
          <w:sz w:val="20"/>
          <w:szCs w:val="20"/>
        </w:rPr>
        <w:t>gnated as cash flow hedges. Changes in the fair value of the interest rate swaps are recognized in other comprehensive income (“OCI”) until the hedged item is recognized in earnings. At December 24, 2022, we were not party to an interest rate swap agreemen</w:t>
      </w:r>
      <w:r>
        <w:rPr>
          <w:sz w:val="20"/>
          <w:szCs w:val="20"/>
        </w:rPr>
        <w:t>t</w:t>
      </w:r>
      <w:r>
        <w:rPr>
          <w:sz w:val="20"/>
          <w:szCs w:val="20"/>
        </w:rPr>
        <w:t>.</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3</w:t>
      </w:r>
      <w:r>
        <w:rPr>
          <w:sz w:val="20"/>
          <w:szCs w:val="20"/>
        </w:rPr>
        <w:t>0</w:t>
      </w:r>
    </w:p>
    <w:p w:rsidR="00000000" w:rsidRDefault="00BC3404">
      <w:pPr>
        <w:rPr>
          <w:rFonts w:eastAsia="Times New Roman"/>
        </w:rPr>
      </w:pPr>
      <w:r>
        <w:rPr>
          <w:rFonts w:eastAsia="Times New Roman"/>
        </w:rPr>
        <w:pict>
          <v:rect id="_x0000_i1058"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360" w:beforeAutospacing="0" w:after="0" w:afterAutospacing="0"/>
        <w:jc w:val="both"/>
        <w:rPr>
          <w:sz w:val="20"/>
          <w:szCs w:val="20"/>
        </w:rPr>
      </w:pPr>
      <w:r>
        <w:rPr>
          <w:b/>
          <w:bCs/>
          <w:sz w:val="20"/>
          <w:szCs w:val="20"/>
        </w:rPr>
        <w:t>Derivative Instruments and Hedging Activitie</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All of our derivative instruments are reported on the balance sheet at their fair valu</w:t>
      </w:r>
      <w:r>
        <w:rPr>
          <w:sz w:val="20"/>
          <w:szCs w:val="20"/>
        </w:rPr>
        <w:t>es. On the date that derivative instruments are entered into, we make a determination as to whether the derivative instrument qualifies for designation as a hedge. Changes in the fair value of derivative instruments are recorded each period in current peri</w:t>
      </w:r>
      <w:r>
        <w:rPr>
          <w:sz w:val="20"/>
          <w:szCs w:val="20"/>
        </w:rPr>
        <w:t>od earnings or OCI, depending on whether a derivative instrument is designated as a hedge and, if so, the type of hedge. For derivative instruments designated as cash flow hedges, we formally assess, both at the hedge contract’s inception and on an ongoing</w:t>
      </w:r>
      <w:r>
        <w:rPr>
          <w:sz w:val="20"/>
          <w:szCs w:val="20"/>
        </w:rPr>
        <w:t xml:space="preserve"> basis, whether the hedge contract is highly effective in offsetting changes in cash flows of hedged items. Changes in the fair value of derivative instruments designated as cash flow hedges are reported in OCI to the extent effective and reclassified into</w:t>
      </w:r>
      <w:r>
        <w:rPr>
          <w:sz w:val="20"/>
          <w:szCs w:val="20"/>
        </w:rPr>
        <w:t xml:space="preserve"> earnings during the same period in which the hedged item affects earnings. The mark-to-market gains or losses on ineffective portions of cash flow hedges are immediately recognized in earnings. Changes in the fair value of derivative instruments that are </w:t>
      </w:r>
      <w:r>
        <w:rPr>
          <w:sz w:val="20"/>
          <w:szCs w:val="20"/>
        </w:rPr>
        <w:t>not designated as cash flow hedges, and that do not meet the normal purchase and normal sale exemption, are recorded in earnings as they occur. Cash flows associated with derivative instruments are reported as operating activities within the condensed cons</w:t>
      </w:r>
      <w:r>
        <w:rPr>
          <w:sz w:val="20"/>
          <w:szCs w:val="20"/>
        </w:rPr>
        <w:t>olidated statement of cash flows</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Sensitivity Analysi</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In an effort to estimate our exposure to unfavorable market price changes in commodities related to our open positions under derivative instruments, we developed a model that incorporates the following</w:t>
      </w:r>
      <w:r>
        <w:rPr>
          <w:sz w:val="20"/>
          <w:szCs w:val="20"/>
        </w:rPr>
        <w:t xml:space="preserve"> data and assumptions</w:t>
      </w:r>
      <w:r>
        <w:rPr>
          <w:sz w:val="20"/>
          <w:szCs w:val="20"/>
        </w:rPr>
        <w:t>:</w:t>
      </w:r>
    </w:p>
    <w:p w:rsidR="00000000" w:rsidRDefault="00BC3404">
      <w:pPr>
        <w:jc w:val="both"/>
        <w:divId w:val="1229264454"/>
        <w:rPr>
          <w:rFonts w:eastAsia="Times New Roman"/>
        </w:rPr>
      </w:pPr>
      <w:r>
        <w:rPr>
          <w:rFonts w:eastAsia="Times New Roman"/>
          <w:sz w:val="20"/>
          <w:szCs w:val="20"/>
        </w:rPr>
        <w:t>A</w:t>
      </w:r>
      <w:r>
        <w:rPr>
          <w:rFonts w:eastAsia="Times New Roman"/>
          <w:sz w:val="20"/>
          <w:szCs w:val="20"/>
        </w:rPr>
        <w:t>.</w:t>
      </w:r>
    </w:p>
    <w:p w:rsidR="00000000" w:rsidRDefault="00BC3404">
      <w:pPr>
        <w:jc w:val="both"/>
        <w:divId w:val="465664654"/>
        <w:rPr>
          <w:rFonts w:eastAsia="Times New Roman"/>
        </w:rPr>
      </w:pPr>
      <w:r>
        <w:rPr>
          <w:rFonts w:eastAsia="Times New Roman"/>
          <w:sz w:val="20"/>
          <w:szCs w:val="20"/>
        </w:rPr>
        <w:t>The fair value of open positions as of December 24, 2022</w:t>
      </w:r>
      <w:r>
        <w:rPr>
          <w:rFonts w:eastAsia="Times New Roman"/>
          <w:sz w:val="20"/>
          <w:szCs w:val="20"/>
        </w:rPr>
        <w:t>.</w:t>
      </w:r>
    </w:p>
    <w:p w:rsidR="00000000" w:rsidRDefault="00BC3404">
      <w:pPr>
        <w:jc w:val="both"/>
        <w:divId w:val="1655599037"/>
        <w:rPr>
          <w:rFonts w:eastAsia="Times New Roman"/>
        </w:rPr>
      </w:pPr>
      <w:r>
        <w:rPr>
          <w:rFonts w:eastAsia="Times New Roman"/>
          <w:sz w:val="20"/>
          <w:szCs w:val="20"/>
        </w:rPr>
        <w:t>B</w:t>
      </w:r>
      <w:r>
        <w:rPr>
          <w:rFonts w:eastAsia="Times New Roman"/>
          <w:sz w:val="20"/>
          <w:szCs w:val="20"/>
        </w:rPr>
        <w:t>.</w:t>
      </w:r>
    </w:p>
    <w:p w:rsidR="00000000" w:rsidRDefault="00BC3404">
      <w:pPr>
        <w:jc w:val="both"/>
        <w:divId w:val="138694434"/>
        <w:rPr>
          <w:rFonts w:eastAsia="Times New Roman"/>
        </w:rPr>
      </w:pPr>
      <w:r>
        <w:rPr>
          <w:rFonts w:eastAsia="Times New Roman"/>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rFonts w:eastAsia="Times New Roman"/>
          <w:sz w:val="20"/>
          <w:szCs w:val="20"/>
        </w:rPr>
        <w:t>d for the respective scenario</w:t>
      </w:r>
      <w:r>
        <w:rPr>
          <w:rFonts w:eastAsia="Times New Roman"/>
          <w:sz w:val="20"/>
          <w:szCs w:val="20"/>
        </w:rPr>
        <w:t>.</w:t>
      </w:r>
    </w:p>
    <w:p w:rsidR="00000000" w:rsidRDefault="00BC3404">
      <w:pPr>
        <w:pStyle w:val="a3"/>
        <w:spacing w:before="240" w:beforeAutospacing="0" w:after="0" w:afterAutospacing="0"/>
        <w:ind w:firstLine="555"/>
        <w:jc w:val="both"/>
        <w:rPr>
          <w:sz w:val="20"/>
          <w:szCs w:val="20"/>
        </w:rPr>
      </w:pPr>
      <w:r>
        <w:rPr>
          <w:sz w:val="20"/>
          <w:szCs w:val="20"/>
        </w:rPr>
        <w:t>Based on the sensitivity analysis described above, the hypothetical 10% adverse change in market prices for open derivative instruments as of December 24, 2022 indicates a decrease in potential future net gains of $5.1 millio</w:t>
      </w:r>
      <w:r>
        <w:rPr>
          <w:sz w:val="20"/>
          <w:szCs w:val="20"/>
        </w:rPr>
        <w:t>n. See also Item 7A of our Annual Report on Form 10-K for the fiscal year ended September 24, 2022. The above hypothetical change does not reflect the worst case scenario. Actual results may be significantly different depending on market conditions and the</w:t>
      </w:r>
      <w:r>
        <w:rPr>
          <w:sz w:val="20"/>
          <w:szCs w:val="20"/>
        </w:rPr>
        <w:t xml:space="preserve"> composition of the open position portfolio</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To date, the COVID-19 pandemic and the Russia-Ukraine war have not materially adversely affected our product supply agreements or our hedging strategies, and we currently believe that we will continue to have ac</w:t>
      </w:r>
      <w:r>
        <w:rPr>
          <w:sz w:val="20"/>
          <w:szCs w:val="20"/>
        </w:rPr>
        <w:t>cess to sufficient supply to meet customer demand</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ITEM 4. CONTROL</w:t>
      </w:r>
      <w:r>
        <w:rPr>
          <w:b/>
          <w:bCs/>
          <w:sz w:val="20"/>
          <w:szCs w:val="20"/>
        </w:rPr>
        <w:t>S</w:t>
      </w:r>
      <w:r>
        <w:rPr>
          <w:b/>
          <w:bCs/>
          <w:sz w:val="20"/>
          <w:szCs w:val="20"/>
        </w:rPr>
        <w:t xml:space="preserve"> AND PROCEDURE</w:t>
      </w:r>
      <w:r>
        <w:rPr>
          <w:b/>
          <w:bCs/>
          <w:sz w:val="20"/>
          <w:szCs w:val="20"/>
        </w:rPr>
        <w:t>S</w:t>
      </w:r>
    </w:p>
    <w:p w:rsidR="00000000" w:rsidRDefault="00BC3404">
      <w:pPr>
        <w:pStyle w:val="a3"/>
        <w:spacing w:before="120" w:beforeAutospacing="0" w:after="0" w:afterAutospacing="0"/>
        <w:jc w:val="both"/>
        <w:rPr>
          <w:sz w:val="20"/>
          <w:szCs w:val="20"/>
        </w:rPr>
      </w:pPr>
      <w:r>
        <w:rPr>
          <w:b/>
          <w:bCs/>
          <w:sz w:val="20"/>
          <w:szCs w:val="20"/>
        </w:rPr>
        <w:t>Evaluation of Disclosure Controls and Procedure</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 xml:space="preserve">The Partnership maintains disclosure controls and procedures (as defined in Rules 13a-15(e) and 15d-15(e) of the Securities </w:t>
      </w:r>
      <w:r>
        <w:rPr>
          <w:sz w:val="20"/>
          <w:szCs w:val="20"/>
        </w:rPr>
        <w:t>Exchange Act of 1934, as amended (the “Exchange Act”)) that are designed to provide reasonable assurance that information required to be disclosed in the Partnership’s filings and submissions under the Exchange Act is recorded, processed, summarized and re</w:t>
      </w:r>
      <w:r>
        <w:rPr>
          <w:sz w:val="20"/>
          <w:szCs w:val="20"/>
        </w:rPr>
        <w:t>ported within the periods specified in the rules and forms of the SEC and that such information is accumulated and communicated to the Partnership’s management, including its principal executive officer and principal financial officer, as appropriate, to a</w:t>
      </w:r>
      <w:r>
        <w:rPr>
          <w:sz w:val="20"/>
          <w:szCs w:val="20"/>
        </w:rPr>
        <w:t>llow timely decisions regarding required disclosure</w:t>
      </w:r>
      <w:r>
        <w:rPr>
          <w:sz w:val="20"/>
          <w:szCs w:val="20"/>
        </w:rPr>
        <w:t>.</w:t>
      </w:r>
    </w:p>
    <w:p w:rsidR="00000000" w:rsidRDefault="00BC3404">
      <w:pPr>
        <w:pStyle w:val="a3"/>
        <w:spacing w:before="240" w:beforeAutospacing="0" w:after="0" w:afterAutospacing="0"/>
        <w:ind w:firstLine="555"/>
        <w:jc w:val="both"/>
        <w:rPr>
          <w:sz w:val="20"/>
          <w:szCs w:val="20"/>
        </w:rPr>
      </w:pPr>
      <w:r>
        <w:rPr>
          <w:sz w:val="20"/>
          <w:szCs w:val="20"/>
        </w:rPr>
        <w:t>The Partnership completed an evaluation under the supervision and with participation of the Partnership’s management, including the Partnership’s principal executive officer and principal financial offic</w:t>
      </w:r>
      <w:r>
        <w:rPr>
          <w:sz w:val="20"/>
          <w:szCs w:val="20"/>
        </w:rPr>
        <w:t>er, of the effectiveness of the design and operation of the Partnership’s disclosure controls and procedures as of December 24, 2022. Based on this evaluation, the Partnership’s principal executive officer and principal financial officer have concluded tha</w:t>
      </w:r>
      <w:r>
        <w:rPr>
          <w:sz w:val="20"/>
          <w:szCs w:val="20"/>
        </w:rPr>
        <w:t>t, as of December 24, 2022, such disclosure controls and procedures were effective to provide the reasonable assurance described above</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Changes in Internal Control Over Financial Reportin</w:t>
      </w:r>
      <w:r>
        <w:rPr>
          <w:b/>
          <w:bCs/>
          <w:sz w:val="20"/>
          <w:szCs w:val="20"/>
        </w:rPr>
        <w:t>g</w:t>
      </w:r>
    </w:p>
    <w:p w:rsidR="00000000" w:rsidRDefault="00BC3404">
      <w:pPr>
        <w:pStyle w:val="a3"/>
        <w:spacing w:before="120" w:beforeAutospacing="0" w:after="0" w:afterAutospacing="0"/>
        <w:ind w:firstLine="555"/>
        <w:jc w:val="both"/>
        <w:rPr>
          <w:sz w:val="20"/>
          <w:szCs w:val="20"/>
        </w:rPr>
      </w:pPr>
      <w:r>
        <w:rPr>
          <w:sz w:val="20"/>
          <w:szCs w:val="20"/>
        </w:rPr>
        <w:t>There have not been any changes in the Partnership’s internal contr</w:t>
      </w:r>
      <w:r>
        <w:rPr>
          <w:sz w:val="20"/>
          <w:szCs w:val="20"/>
        </w:rPr>
        <w:t>ol over financial reporting (as defined in Rules 13a-15(f) and 15d-15(f) of the Exchange Act) during the quarter ended December 24, 2022 that have materially affected or are reasonably likely to materially affect its internal control over financial reporti</w:t>
      </w:r>
      <w:r>
        <w:rPr>
          <w:sz w:val="20"/>
          <w:szCs w:val="20"/>
        </w:rPr>
        <w:t>ng</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3</w:t>
      </w:r>
      <w:r>
        <w:rPr>
          <w:sz w:val="20"/>
          <w:szCs w:val="20"/>
        </w:rPr>
        <w:t>1</w:t>
      </w:r>
    </w:p>
    <w:p w:rsidR="00000000" w:rsidRDefault="00BC3404">
      <w:pPr>
        <w:rPr>
          <w:rFonts w:eastAsia="Times New Roman"/>
        </w:rPr>
      </w:pPr>
      <w:r>
        <w:rPr>
          <w:rFonts w:eastAsia="Times New Roman"/>
        </w:rPr>
        <w:pict>
          <v:rect id="_x0000_i1059"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center"/>
        <w:rPr>
          <w:sz w:val="20"/>
          <w:szCs w:val="20"/>
        </w:rPr>
      </w:pPr>
      <w:r>
        <w:rPr>
          <w:b/>
          <w:bCs/>
          <w:sz w:val="20"/>
          <w:szCs w:val="20"/>
        </w:rPr>
        <w:t>PART II. OTH</w:t>
      </w:r>
      <w:r>
        <w:rPr>
          <w:b/>
          <w:bCs/>
          <w:sz w:val="20"/>
          <w:szCs w:val="20"/>
        </w:rPr>
        <w:t>E</w:t>
      </w:r>
      <w:r>
        <w:rPr>
          <w:b/>
          <w:bCs/>
          <w:sz w:val="20"/>
          <w:szCs w:val="20"/>
        </w:rPr>
        <w:t>R INFORMATIO</w:t>
      </w:r>
      <w:r>
        <w:rPr>
          <w:b/>
          <w:bCs/>
          <w:sz w:val="20"/>
          <w:szCs w:val="20"/>
        </w:rPr>
        <w:t>N</w:t>
      </w:r>
    </w:p>
    <w:p w:rsidR="00000000" w:rsidRDefault="00BC3404">
      <w:pPr>
        <w:pStyle w:val="a3"/>
        <w:spacing w:before="240" w:beforeAutospacing="0" w:after="0" w:afterAutospacing="0"/>
        <w:jc w:val="both"/>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In addition to the other information set forth in this report, you should carefully consider the factors discussed in Item 1A. “Risk Factors” in the Partnership’s Annual Report on Form 10-K for the fiscal year ended September 24, 2022</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ITEM 2. UNREGISTERED</w:t>
      </w:r>
      <w:r>
        <w:rPr>
          <w:b/>
          <w:bCs/>
          <w:sz w:val="20"/>
          <w:szCs w:val="20"/>
        </w:rPr>
        <w:t xml:space="preserve"> SALES OF EQU</w:t>
      </w:r>
      <w:r>
        <w:rPr>
          <w:b/>
          <w:bCs/>
          <w:sz w:val="20"/>
          <w:szCs w:val="20"/>
        </w:rPr>
        <w:t>I</w:t>
      </w:r>
      <w:r>
        <w:rPr>
          <w:b/>
          <w:bCs/>
          <w:sz w:val="20"/>
          <w:szCs w:val="20"/>
        </w:rPr>
        <w:t>TY SECURITIES AND USE OF PROCEED</w:t>
      </w:r>
      <w:r>
        <w:rPr>
          <w:b/>
          <w:bCs/>
          <w:sz w:val="20"/>
          <w:szCs w:val="20"/>
        </w:rPr>
        <w:t>S</w:t>
      </w:r>
    </w:p>
    <w:p w:rsidR="00000000" w:rsidRDefault="00BC3404">
      <w:pPr>
        <w:jc w:val="both"/>
        <w:divId w:val="411582843"/>
        <w:rPr>
          <w:rFonts w:eastAsia="Times New Roman"/>
        </w:rPr>
      </w:pPr>
      <w:r>
        <w:rPr>
          <w:rFonts w:eastAsia="Times New Roman"/>
          <w:sz w:val="20"/>
          <w:szCs w:val="20"/>
        </w:rPr>
        <w:t>(c</w:t>
      </w:r>
      <w:r>
        <w:rPr>
          <w:rFonts w:eastAsia="Times New Roman"/>
          <w:sz w:val="20"/>
          <w:szCs w:val="20"/>
        </w:rPr>
        <w:t>)</w:t>
      </w:r>
    </w:p>
    <w:p w:rsidR="00000000" w:rsidRDefault="00BC3404">
      <w:pPr>
        <w:jc w:val="both"/>
        <w:divId w:val="1140537288"/>
        <w:rPr>
          <w:rFonts w:eastAsia="Times New Roman"/>
        </w:rPr>
      </w:pPr>
      <w:r>
        <w:rPr>
          <w:rFonts w:eastAsia="Times New Roman"/>
          <w:sz w:val="20"/>
          <w:szCs w:val="20"/>
        </w:rPr>
        <w:t>The following table provides information about deemed purchases by the Partnership during the three months ended December 24, 2022 of its Common Units</w:t>
      </w:r>
      <w:r>
        <w:rPr>
          <w:rFonts w:eastAsia="Times New Roman"/>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1"/>
        <w:gridCol w:w="110"/>
        <w:gridCol w:w="110"/>
        <w:gridCol w:w="710"/>
        <w:gridCol w:w="110"/>
        <w:gridCol w:w="110"/>
        <w:gridCol w:w="160"/>
        <w:gridCol w:w="663"/>
        <w:gridCol w:w="110"/>
        <w:gridCol w:w="110"/>
        <w:gridCol w:w="1067"/>
        <w:gridCol w:w="110"/>
        <w:gridCol w:w="1335"/>
      </w:tblGrid>
      <w:tr w:rsidR="00000000">
        <w:trPr>
          <w:tblCellSpacing w:w="15" w:type="dxa"/>
        </w:trPr>
        <w:tc>
          <w:tcPr>
            <w:tcW w:w="2262" w:type="pct"/>
            <w:vAlign w:val="center"/>
            <w:hideMark/>
          </w:tcPr>
          <w:p w:rsidR="00000000" w:rsidRDefault="00BC3404">
            <w:pPr>
              <w:jc w:val="both"/>
              <w:rPr>
                <w:rFonts w:eastAsia="Times New Roman"/>
              </w:rPr>
            </w:pPr>
          </w:p>
        </w:tc>
        <w:tc>
          <w:tcPr>
            <w:tcW w:w="5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10"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5"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413"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55" w:type="pct"/>
            <w:vAlign w:val="center"/>
            <w:hideMark/>
          </w:tcPr>
          <w:p w:rsidR="00000000" w:rsidRDefault="00BC3404">
            <w:pPr>
              <w:rPr>
                <w:rFonts w:eastAsia="Times New Roman"/>
                <w:sz w:val="20"/>
                <w:szCs w:val="20"/>
              </w:rPr>
            </w:pPr>
          </w:p>
        </w:tc>
        <w:tc>
          <w:tcPr>
            <w:tcW w:w="668" w:type="pct"/>
            <w:vAlign w:val="center"/>
            <w:hideMark/>
          </w:tcPr>
          <w:p w:rsidR="00000000" w:rsidRDefault="00BC3404">
            <w:pPr>
              <w:rPr>
                <w:rFonts w:eastAsia="Times New Roman"/>
                <w:sz w:val="20"/>
                <w:szCs w:val="20"/>
              </w:rPr>
            </w:pPr>
          </w:p>
        </w:tc>
        <w:tc>
          <w:tcPr>
            <w:tcW w:w="55" w:type="pct"/>
            <w:vAlign w:val="center"/>
            <w:hideMark/>
          </w:tcPr>
          <w:p w:rsidR="00000000" w:rsidRDefault="00BC3404">
            <w:pPr>
              <w:rPr>
                <w:rFonts w:eastAsia="Times New Roman"/>
                <w:sz w:val="20"/>
                <w:szCs w:val="20"/>
              </w:rPr>
            </w:pPr>
          </w:p>
        </w:tc>
        <w:tc>
          <w:tcPr>
            <w:tcW w:w="829" w:type="pct"/>
            <w:vAlign w:val="center"/>
            <w:hideMark/>
          </w:tcPr>
          <w:p w:rsidR="00000000" w:rsidRDefault="00BC3404">
            <w:pPr>
              <w:rPr>
                <w:rFonts w:eastAsia="Times New Roman"/>
                <w:sz w:val="20"/>
                <w:szCs w:val="20"/>
              </w:rPr>
            </w:pPr>
          </w:p>
        </w:tc>
      </w:tr>
      <w:tr w:rsidR="00000000">
        <w:trPr>
          <w:trHeight w:val="140"/>
          <w:tblCellSpacing w:w="15" w:type="dxa"/>
        </w:trPr>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gridSpan w:val="2"/>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gridSpan w:val="2"/>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Number of Share</w:t>
            </w:r>
            <w:r>
              <w:rPr>
                <w:b/>
                <w:bCs/>
                <w:sz w:val="14"/>
                <w:szCs w:val="14"/>
              </w:rPr>
              <w:t>s</w:t>
            </w:r>
          </w:p>
        </w:tc>
        <w:tc>
          <w:tcPr>
            <w:tcW w:w="0" w:type="auto"/>
            <w:vAlign w:val="bottom"/>
            <w:hideMark/>
          </w:tcPr>
          <w:p w:rsidR="00000000" w:rsidRDefault="00BC3404">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Approximate Dollar Valu</w:t>
            </w:r>
            <w:r>
              <w:rPr>
                <w:b/>
                <w:bCs/>
                <w:sz w:val="14"/>
                <w:szCs w:val="14"/>
              </w:rPr>
              <w:t>e</w:t>
            </w:r>
          </w:p>
        </w:tc>
      </w:tr>
      <w:tr w:rsidR="00000000">
        <w:trPr>
          <w:trHeight w:val="140"/>
          <w:tblCellSpacing w:w="15" w:type="dxa"/>
        </w:trPr>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BC3404">
            <w:pPr>
              <w:pStyle w:val="a3"/>
              <w:spacing w:before="0" w:beforeAutospacing="0" w:after="0" w:afterAutospacing="0"/>
              <w:jc w:val="center"/>
              <w:rPr>
                <w:sz w:val="14"/>
                <w:szCs w:val="14"/>
              </w:rPr>
            </w:pPr>
            <w:r>
              <w:rPr>
                <w:b/>
                <w:bCs/>
                <w:sz w:val="14"/>
                <w:szCs w:val="14"/>
              </w:rPr>
              <w:t>Total Numbe</w:t>
            </w:r>
            <w:r>
              <w:rPr>
                <w:b/>
                <w:bCs/>
                <w:sz w:val="14"/>
                <w:szCs w:val="14"/>
              </w:rPr>
              <w:t>r</w:t>
            </w:r>
          </w:p>
        </w:tc>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BC3404">
            <w:pPr>
              <w:pStyle w:val="a3"/>
              <w:spacing w:before="0" w:beforeAutospacing="0" w:after="0" w:afterAutospacing="0"/>
              <w:jc w:val="center"/>
              <w:rPr>
                <w:sz w:val="14"/>
                <w:szCs w:val="14"/>
              </w:rPr>
            </w:pPr>
            <w:r>
              <w:rPr>
                <w:b/>
                <w:bCs/>
                <w:sz w:val="14"/>
                <w:szCs w:val="14"/>
              </w:rPr>
              <w:t>Averag</w:t>
            </w:r>
            <w:r>
              <w:rPr>
                <w:b/>
                <w:bCs/>
                <w:sz w:val="14"/>
                <w:szCs w:val="14"/>
              </w:rPr>
              <w:t>e</w:t>
            </w:r>
          </w:p>
        </w:tc>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Purchased as Part o</w:t>
            </w:r>
            <w:r>
              <w:rPr>
                <w:b/>
                <w:bCs/>
                <w:sz w:val="14"/>
                <w:szCs w:val="14"/>
              </w:rPr>
              <w:t>f</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of Shares that Ma</w:t>
            </w:r>
            <w:r>
              <w:rPr>
                <w:b/>
                <w:bCs/>
                <w:sz w:val="14"/>
                <w:szCs w:val="14"/>
              </w:rPr>
              <w:t>y</w:t>
            </w:r>
          </w:p>
        </w:tc>
      </w:tr>
      <w:tr w:rsidR="00000000">
        <w:trPr>
          <w:trHeight w:val="140"/>
          <w:tblCellSpacing w:w="15" w:type="dxa"/>
        </w:trPr>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BC3404">
            <w:pPr>
              <w:pStyle w:val="a3"/>
              <w:spacing w:before="0" w:beforeAutospacing="0" w:after="0" w:afterAutospacing="0"/>
              <w:jc w:val="center"/>
              <w:rPr>
                <w:sz w:val="14"/>
                <w:szCs w:val="14"/>
              </w:rPr>
            </w:pPr>
            <w:r>
              <w:rPr>
                <w:b/>
                <w:bCs/>
                <w:sz w:val="14"/>
                <w:szCs w:val="14"/>
              </w:rPr>
              <w:t>of Share</w:t>
            </w:r>
            <w:r>
              <w:rPr>
                <w:b/>
                <w:bCs/>
                <w:sz w:val="14"/>
                <w:szCs w:val="14"/>
              </w:rPr>
              <w:t>s</w:t>
            </w:r>
          </w:p>
        </w:tc>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BC3404">
            <w:pPr>
              <w:pStyle w:val="a3"/>
              <w:spacing w:before="0" w:beforeAutospacing="0" w:after="0" w:afterAutospacing="0"/>
              <w:jc w:val="center"/>
              <w:rPr>
                <w:sz w:val="14"/>
                <w:szCs w:val="14"/>
              </w:rPr>
            </w:pPr>
            <w:r>
              <w:rPr>
                <w:b/>
                <w:bCs/>
                <w:sz w:val="14"/>
                <w:szCs w:val="14"/>
              </w:rPr>
              <w:t>Price Pai</w:t>
            </w:r>
            <w:r>
              <w:rPr>
                <w:b/>
                <w:bCs/>
                <w:sz w:val="14"/>
                <w:szCs w:val="14"/>
              </w:rPr>
              <w:t>d</w:t>
            </w:r>
          </w:p>
        </w:tc>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Publicly Announce</w:t>
            </w:r>
            <w:r>
              <w:rPr>
                <w:b/>
                <w:bCs/>
                <w:sz w:val="14"/>
                <w:szCs w:val="14"/>
              </w:rPr>
              <w:t>d</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Yet be Purchase</w:t>
            </w:r>
            <w:r>
              <w:rPr>
                <w:b/>
                <w:bCs/>
                <w:sz w:val="14"/>
                <w:szCs w:val="14"/>
              </w:rPr>
              <w:t>d</w:t>
            </w:r>
          </w:p>
        </w:tc>
      </w:tr>
      <w:tr w:rsidR="00000000">
        <w:trPr>
          <w:trHeight w:val="140"/>
          <w:tblCellSpacing w:w="15" w:type="dxa"/>
        </w:trPr>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Perio</w:t>
            </w:r>
            <w:r>
              <w:rPr>
                <w:b/>
                <w:bCs/>
                <w:sz w:val="14"/>
                <w:szCs w:val="14"/>
              </w:rPr>
              <w:t>d</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BC3404">
            <w:pPr>
              <w:pStyle w:val="a3"/>
              <w:spacing w:before="0" w:beforeAutospacing="0" w:after="0" w:afterAutospacing="0"/>
              <w:jc w:val="center"/>
              <w:rPr>
                <w:sz w:val="14"/>
                <w:szCs w:val="14"/>
              </w:rPr>
            </w:pPr>
            <w:r>
              <w:rPr>
                <w:b/>
                <w:bCs/>
                <w:sz w:val="14"/>
                <w:szCs w:val="14"/>
              </w:rPr>
              <w:t>Purchased (1</w:t>
            </w:r>
            <w:r>
              <w:rPr>
                <w:b/>
                <w:bCs/>
                <w:sz w:val="14"/>
                <w:szCs w:val="14"/>
              </w:rPr>
              <w:t>)</w:t>
            </w:r>
          </w:p>
        </w:tc>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BC3404">
            <w:pPr>
              <w:pStyle w:val="a3"/>
              <w:spacing w:before="0" w:beforeAutospacing="0" w:after="0" w:afterAutospacing="0"/>
              <w:jc w:val="center"/>
              <w:rPr>
                <w:sz w:val="14"/>
                <w:szCs w:val="14"/>
              </w:rPr>
            </w:pPr>
            <w:r>
              <w:rPr>
                <w:b/>
                <w:bCs/>
                <w:sz w:val="14"/>
                <w:szCs w:val="14"/>
              </w:rPr>
              <w:t>per Shar</w:t>
            </w:r>
            <w:r>
              <w:rPr>
                <w:b/>
                <w:bCs/>
                <w:sz w:val="14"/>
                <w:szCs w:val="14"/>
              </w:rPr>
              <w:t>e</w:t>
            </w:r>
          </w:p>
        </w:tc>
        <w:tc>
          <w:tcPr>
            <w:tcW w:w="0" w:type="auto"/>
            <w:vAlign w:val="bottom"/>
            <w:hideMark/>
          </w:tcPr>
          <w:p w:rsidR="00000000" w:rsidRDefault="00BC3404">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Progra</w:t>
            </w:r>
            <w:r>
              <w:rPr>
                <w:b/>
                <w:bCs/>
                <w:sz w:val="14"/>
                <w:szCs w:val="14"/>
              </w:rPr>
              <w:t>m</w:t>
            </w:r>
          </w:p>
        </w:tc>
        <w:tc>
          <w:tcPr>
            <w:tcW w:w="0" w:type="auto"/>
            <w:vAlign w:val="bottom"/>
            <w:hideMark/>
          </w:tcPr>
          <w:p w:rsidR="00000000" w:rsidRDefault="00BC3404">
            <w:pPr>
              <w:pStyle w:val="a3"/>
              <w:spacing w:before="0" w:beforeAutospacing="0" w:after="0" w:afterAutospacing="0"/>
              <w:rPr>
                <w:sz w:val="14"/>
                <w:szCs w:val="14"/>
              </w:rPr>
            </w:pPr>
            <w:r>
              <w:rPr>
                <w:sz w:val="14"/>
                <w:szCs w:val="14"/>
              </w:rPr>
              <w:t> </w:t>
            </w:r>
          </w:p>
        </w:tc>
        <w:tc>
          <w:tcPr>
            <w:tcW w:w="0" w:type="auto"/>
            <w:vAlign w:val="bottom"/>
            <w:hideMark/>
          </w:tcPr>
          <w:p w:rsidR="00000000" w:rsidRDefault="00BC3404">
            <w:pPr>
              <w:pStyle w:val="a3"/>
              <w:spacing w:before="0" w:beforeAutospacing="0" w:after="0" w:afterAutospacing="0"/>
              <w:jc w:val="center"/>
              <w:rPr>
                <w:sz w:val="14"/>
                <w:szCs w:val="14"/>
              </w:rPr>
            </w:pPr>
            <w:r>
              <w:rPr>
                <w:b/>
                <w:bCs/>
                <w:sz w:val="14"/>
                <w:szCs w:val="14"/>
              </w:rPr>
              <w:t>under the Progra</w:t>
            </w:r>
            <w:r>
              <w:rPr>
                <w:b/>
                <w:bCs/>
                <w:sz w:val="14"/>
                <w:szCs w:val="14"/>
              </w:rPr>
              <w:t>m</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September 25, 2022 through October 22, 202</w:t>
            </w:r>
            <w:r>
              <w:rPr>
                <w:sz w:val="20"/>
                <w:szCs w:val="20"/>
              </w:rPr>
              <w:t>2</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October 23, 2022 through November 19, 202</w:t>
            </w:r>
            <w:r>
              <w:rPr>
                <w:sz w:val="20"/>
                <w:szCs w:val="20"/>
              </w:rPr>
              <w:t>2</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171,84</w:t>
            </w:r>
            <w:r>
              <w:rPr>
                <w:sz w:val="20"/>
                <w:szCs w:val="20"/>
              </w:rPr>
              <w:t>0</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15.9</w:t>
            </w:r>
            <w:r>
              <w:rPr>
                <w:sz w:val="20"/>
                <w:szCs w:val="20"/>
              </w:rPr>
              <w:t>0</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November 20, 2022 through December 24, 202</w:t>
            </w:r>
            <w:r>
              <w:rPr>
                <w:sz w:val="20"/>
                <w:szCs w:val="20"/>
              </w:rPr>
              <w:t>2</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right"/>
              <w:rPr>
                <w:sz w:val="20"/>
                <w:szCs w:val="20"/>
              </w:rPr>
            </w:pPr>
            <w:r>
              <w:rPr>
                <w:sz w:val="20"/>
                <w:szCs w:val="20"/>
              </w:rPr>
              <w:t>—</w:t>
            </w:r>
          </w:p>
        </w:tc>
        <w:tc>
          <w:tcPr>
            <w:tcW w:w="0" w:type="auto"/>
            <w:noWrap/>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Tota</w:t>
            </w:r>
            <w:r>
              <w:rPr>
                <w:sz w:val="20"/>
                <w:szCs w:val="20"/>
              </w:rPr>
              <w:t>l</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171,84</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w:t>
            </w:r>
          </w:p>
        </w:tc>
        <w:tc>
          <w:tcPr>
            <w:tcW w:w="0" w:type="auto"/>
            <w:vAlign w:val="bottom"/>
            <w:hideMark/>
          </w:tcPr>
          <w:p w:rsidR="00000000" w:rsidRDefault="00BC3404">
            <w:pPr>
              <w:pStyle w:val="a3"/>
              <w:spacing w:before="0" w:beforeAutospacing="0" w:after="0" w:afterAutospacing="0"/>
              <w:jc w:val="right"/>
              <w:rPr>
                <w:sz w:val="20"/>
                <w:szCs w:val="20"/>
              </w:rPr>
            </w:pPr>
            <w:r>
              <w:rPr>
                <w:sz w:val="20"/>
                <w:szCs w:val="20"/>
              </w:rPr>
              <w:t>15.9</w:t>
            </w:r>
            <w:r>
              <w:rPr>
                <w:sz w:val="20"/>
                <w:szCs w:val="20"/>
              </w:rPr>
              <w:t>0</w:t>
            </w:r>
          </w:p>
        </w:tc>
        <w:tc>
          <w:tcPr>
            <w:tcW w:w="0" w:type="auto"/>
            <w:noWrap/>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jc w:val="center"/>
              <w:rPr>
                <w:sz w:val="20"/>
                <w:szCs w:val="20"/>
              </w:rPr>
            </w:pPr>
            <w:r>
              <w:rPr>
                <w:sz w:val="20"/>
                <w:szCs w:val="20"/>
              </w:rPr>
              <w:t>N/</w:t>
            </w:r>
            <w:r>
              <w:rPr>
                <w:sz w:val="20"/>
                <w:szCs w:val="20"/>
              </w:rPr>
              <w:t>A</w:t>
            </w:r>
          </w:p>
        </w:tc>
      </w:tr>
    </w:tbl>
    <w:p w:rsidR="00000000" w:rsidRDefault="00BC3404">
      <w:pPr>
        <w:jc w:val="both"/>
        <w:divId w:val="7098677"/>
        <w:rPr>
          <w:rFonts w:eastAsia="Times New Roman"/>
        </w:rPr>
      </w:pPr>
      <w:r>
        <w:rPr>
          <w:rFonts w:eastAsia="Times New Roman"/>
          <w:sz w:val="20"/>
          <w:szCs w:val="20"/>
        </w:rPr>
        <w:t>(1</w:t>
      </w:r>
      <w:r>
        <w:rPr>
          <w:rFonts w:eastAsia="Times New Roman"/>
          <w:sz w:val="20"/>
          <w:szCs w:val="20"/>
        </w:rPr>
        <w:t>)</w:t>
      </w:r>
    </w:p>
    <w:p w:rsidR="00000000" w:rsidRDefault="00BC3404">
      <w:pPr>
        <w:jc w:val="both"/>
        <w:divId w:val="1229804643"/>
        <w:rPr>
          <w:rFonts w:eastAsia="Times New Roman"/>
        </w:rPr>
      </w:pPr>
      <w:r>
        <w:rPr>
          <w:rFonts w:eastAsia="Times New Roman"/>
          <w:sz w:val="20"/>
          <w:szCs w:val="20"/>
        </w:rPr>
        <w:t>This represents the number of Common Units withheld from participants for income tax withholding purposes for those executive officers of the Partnership whose shares of restricted units vested during the period. Such restricted units were issued to partic</w:t>
      </w:r>
      <w:r>
        <w:rPr>
          <w:rFonts w:eastAsia="Times New Roman"/>
          <w:sz w:val="20"/>
          <w:szCs w:val="20"/>
        </w:rPr>
        <w:t>ipants pursuant to the Suburban Propane Partners, L.P. 2018 Restricted Unit Plan that was adopted by the Partnership on June 1, 2018</w:t>
      </w:r>
      <w:r>
        <w:rPr>
          <w:rFonts w:eastAsia="Times New Roman"/>
          <w:sz w:val="20"/>
          <w:szCs w:val="20"/>
        </w:rPr>
        <w:t>.</w:t>
      </w:r>
    </w:p>
    <w:p w:rsidR="00000000" w:rsidRDefault="00BC3404">
      <w:pPr>
        <w:pStyle w:val="a3"/>
        <w:spacing w:before="360" w:beforeAutospacing="0" w:after="0" w:afterAutospacing="0"/>
        <w:jc w:val="both"/>
        <w:rPr>
          <w:sz w:val="20"/>
          <w:szCs w:val="20"/>
        </w:rPr>
      </w:pPr>
      <w:r>
        <w:rPr>
          <w:b/>
          <w:bCs/>
          <w:sz w:val="20"/>
          <w:szCs w:val="20"/>
        </w:rPr>
        <w:t>ITEM 3. DEFAULTS UP</w:t>
      </w:r>
      <w:r>
        <w:rPr>
          <w:b/>
          <w:bCs/>
          <w:sz w:val="20"/>
          <w:szCs w:val="20"/>
        </w:rPr>
        <w:t>O</w:t>
      </w:r>
      <w:r>
        <w:rPr>
          <w:b/>
          <w:bCs/>
          <w:sz w:val="20"/>
          <w:szCs w:val="20"/>
        </w:rPr>
        <w:t>N SENIOR SECURITIE</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Not applicable</w:t>
      </w:r>
      <w:r>
        <w:rPr>
          <w:sz w:val="20"/>
          <w:szCs w:val="20"/>
        </w:rPr>
        <w:t>.</w:t>
      </w:r>
    </w:p>
    <w:p w:rsidR="00000000" w:rsidRDefault="00BC3404">
      <w:pPr>
        <w:pStyle w:val="a3"/>
        <w:spacing w:before="360" w:beforeAutospacing="0" w:after="0" w:afterAutospacing="0"/>
        <w:jc w:val="both"/>
        <w:rPr>
          <w:sz w:val="20"/>
          <w:szCs w:val="20"/>
        </w:rPr>
      </w:pPr>
      <w:r>
        <w:rPr>
          <w:b/>
          <w:bCs/>
          <w:sz w:val="20"/>
          <w:szCs w:val="20"/>
        </w:rPr>
        <w:t>ITEM 5. OTHER</w:t>
      </w:r>
      <w:r>
        <w:rPr>
          <w:b/>
          <w:bCs/>
          <w:sz w:val="20"/>
          <w:szCs w:val="20"/>
        </w:rPr>
        <w:t xml:space="preserve"> </w:t>
      </w:r>
      <w:r>
        <w:rPr>
          <w:b/>
          <w:bCs/>
          <w:sz w:val="20"/>
          <w:szCs w:val="20"/>
        </w:rPr>
        <w:t>INFORMATIO</w:t>
      </w:r>
      <w:r>
        <w:rPr>
          <w:b/>
          <w:bCs/>
          <w:sz w:val="20"/>
          <w:szCs w:val="20"/>
        </w:rPr>
        <w:t>N</w:t>
      </w:r>
    </w:p>
    <w:p w:rsidR="00000000" w:rsidRDefault="00BC3404">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BC3404">
      <w:pPr>
        <w:pStyle w:val="a3"/>
        <w:spacing w:before="120" w:beforeAutospacing="0" w:after="0" w:afterAutospacing="0"/>
        <w:ind w:firstLine="555"/>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3</w:t>
      </w:r>
      <w:r>
        <w:rPr>
          <w:sz w:val="20"/>
          <w:szCs w:val="20"/>
        </w:rPr>
        <w:t>2</w:t>
      </w:r>
    </w:p>
    <w:p w:rsidR="00000000" w:rsidRDefault="00BC3404">
      <w:pPr>
        <w:rPr>
          <w:rFonts w:eastAsia="Times New Roman"/>
        </w:rPr>
      </w:pPr>
      <w:r>
        <w:rPr>
          <w:rFonts w:eastAsia="Times New Roman"/>
        </w:rPr>
        <w:pict>
          <v:rect id="_x0000_i1060"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rPr>
          <w:sz w:val="20"/>
          <w:szCs w:val="20"/>
        </w:rPr>
      </w:pPr>
      <w:r>
        <w:rPr>
          <w:b/>
          <w:bCs/>
          <w:sz w:val="20"/>
          <w:szCs w:val="20"/>
        </w:rPr>
        <w:t xml:space="preserve">ITEM 6. </w:t>
      </w:r>
      <w:r>
        <w:rPr>
          <w:b/>
          <w:bCs/>
          <w:sz w:val="20"/>
          <w:szCs w:val="20"/>
        </w:rPr>
        <w:t>E</w:t>
      </w:r>
      <w:r>
        <w:rPr>
          <w:b/>
          <w:bCs/>
          <w:sz w:val="20"/>
          <w:szCs w:val="20"/>
        </w:rPr>
        <w:t>XHIBIT</w:t>
      </w:r>
      <w:r>
        <w:rPr>
          <w:b/>
          <w:bCs/>
          <w:sz w:val="20"/>
          <w:szCs w:val="20"/>
        </w:rPr>
        <w:t>S</w:t>
      </w:r>
    </w:p>
    <w:p w:rsidR="00000000" w:rsidRDefault="00BC3404">
      <w:pPr>
        <w:jc w:val="both"/>
        <w:divId w:val="1940599030"/>
        <w:rPr>
          <w:rFonts w:eastAsia="Times New Roman"/>
        </w:rPr>
      </w:pPr>
      <w:r>
        <w:rPr>
          <w:rFonts w:eastAsia="Times New Roman"/>
          <w:sz w:val="20"/>
          <w:szCs w:val="20"/>
        </w:rPr>
        <w:t>(a</w:t>
      </w:r>
      <w:r>
        <w:rPr>
          <w:rFonts w:eastAsia="Times New Roman"/>
          <w:sz w:val="20"/>
          <w:szCs w:val="20"/>
        </w:rPr>
        <w:t>)</w:t>
      </w:r>
    </w:p>
    <w:p w:rsidR="00000000" w:rsidRDefault="00BC3404">
      <w:pPr>
        <w:jc w:val="both"/>
        <w:divId w:val="222373096"/>
        <w:rPr>
          <w:rFonts w:eastAsia="Times New Roman"/>
        </w:rPr>
      </w:pPr>
      <w:r>
        <w:rPr>
          <w:rFonts w:eastAsia="Times New Roman"/>
          <w:sz w:val="20"/>
          <w:szCs w:val="20"/>
        </w:rPr>
        <w:t>Exhibit</w:t>
      </w:r>
      <w:r>
        <w:rPr>
          <w:rFonts w:eastAsia="Times New Roman"/>
          <w:sz w:val="20"/>
          <w:szCs w:val="20"/>
        </w:rPr>
        <w:t>s</w:t>
      </w:r>
    </w:p>
    <w:p w:rsidR="00000000" w:rsidRDefault="00BC3404">
      <w:pPr>
        <w:pStyle w:val="a3"/>
        <w:spacing w:before="240" w:beforeAutospacing="0" w:after="0" w:afterAutospacing="0"/>
        <w:jc w:val="center"/>
        <w:rPr>
          <w:sz w:val="20"/>
          <w:szCs w:val="20"/>
        </w:rPr>
      </w:pPr>
      <w:r>
        <w:rPr>
          <w:b/>
          <w:bCs/>
          <w:sz w:val="20"/>
          <w:szCs w:val="20"/>
        </w:rPr>
        <w:t>INDEX TO EXHIBIT</w:t>
      </w:r>
      <w:r>
        <w:rPr>
          <w:b/>
          <w:bCs/>
          <w:sz w:val="20"/>
          <w:szCs w:val="20"/>
        </w:rPr>
        <w:t>S</w:t>
      </w:r>
    </w:p>
    <w:p w:rsidR="00000000" w:rsidRDefault="00BC3404">
      <w:pPr>
        <w:pStyle w:val="a3"/>
        <w:spacing w:before="240" w:beforeAutospacing="0" w:after="0" w:afterAutospacing="0"/>
        <w:ind w:firstLine="555"/>
        <w:jc w:val="both"/>
        <w:rPr>
          <w:sz w:val="20"/>
          <w:szCs w:val="20"/>
        </w:rPr>
      </w:pPr>
      <w:r>
        <w:rPr>
          <w:sz w:val="20"/>
          <w:szCs w:val="20"/>
        </w:rPr>
        <w:t>The exhibits listed on this Exhibit Index are filed as part of thi</w:t>
      </w:r>
      <w:r>
        <w:rPr>
          <w:sz w:val="20"/>
          <w:szCs w:val="20"/>
        </w:rPr>
        <w:t>s Quarterly Report. Exhibits required to be filed by Item 601 of Regulation S-K, which are not listed below, are not applicable</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5"/>
        <w:gridCol w:w="110"/>
        <w:gridCol w:w="7371"/>
      </w:tblGrid>
      <w:tr w:rsidR="00000000">
        <w:trPr>
          <w:tblCellSpacing w:w="15" w:type="dxa"/>
        </w:trPr>
        <w:tc>
          <w:tcPr>
            <w:tcW w:w="400" w:type="pct"/>
            <w:vAlign w:val="center"/>
            <w:hideMark/>
          </w:tcPr>
          <w:p w:rsidR="00000000" w:rsidRDefault="00BC3404">
            <w:pPr>
              <w:rPr>
                <w:sz w:val="20"/>
                <w:szCs w:val="20"/>
              </w:rPr>
            </w:pPr>
          </w:p>
        </w:tc>
        <w:tc>
          <w:tcPr>
            <w:tcW w:w="50" w:type="pct"/>
            <w:vAlign w:val="center"/>
            <w:hideMark/>
          </w:tcPr>
          <w:p w:rsidR="00000000" w:rsidRDefault="00BC3404">
            <w:pPr>
              <w:rPr>
                <w:rFonts w:eastAsia="Times New Roman"/>
                <w:sz w:val="20"/>
                <w:szCs w:val="20"/>
              </w:rPr>
            </w:pPr>
          </w:p>
        </w:tc>
        <w:tc>
          <w:tcPr>
            <w:tcW w:w="4550" w:type="pct"/>
            <w:vAlign w:val="center"/>
            <w:hideMark/>
          </w:tcPr>
          <w:p w:rsidR="00000000" w:rsidRDefault="00BC3404">
            <w:pPr>
              <w:rPr>
                <w:rFonts w:eastAsia="Times New Roman"/>
                <w:sz w:val="20"/>
                <w:szCs w:val="20"/>
              </w:rPr>
            </w:pPr>
          </w:p>
        </w:tc>
      </w:tr>
      <w:tr w:rsidR="00000000">
        <w:trPr>
          <w:trHeight w:val="160"/>
          <w:tblCellSpacing w:w="15" w:type="dxa"/>
        </w:trPr>
        <w:tc>
          <w:tcPr>
            <w:tcW w:w="0" w:type="auto"/>
            <w:tcBorders>
              <w:bottom w:val="single" w:sz="4" w:space="0" w:color="auto"/>
            </w:tcBorders>
            <w:hideMark/>
          </w:tcPr>
          <w:p w:rsidR="00000000" w:rsidRDefault="00BC3404">
            <w:pPr>
              <w:pStyle w:val="a3"/>
              <w:spacing w:before="0" w:beforeAutospacing="0" w:after="0" w:afterAutospacing="0"/>
              <w:rPr>
                <w:sz w:val="16"/>
                <w:szCs w:val="16"/>
              </w:rPr>
            </w:pPr>
            <w:r>
              <w:rPr>
                <w:b/>
                <w:bCs/>
                <w:sz w:val="16"/>
                <w:szCs w:val="16"/>
              </w:rPr>
              <w:t>Exhibi</w:t>
            </w:r>
            <w:r>
              <w:rPr>
                <w:b/>
                <w:bCs/>
                <w:sz w:val="16"/>
                <w:szCs w:val="16"/>
              </w:rPr>
              <w:t>t</w:t>
            </w:r>
          </w:p>
          <w:p w:rsidR="00000000" w:rsidRDefault="00BC3404">
            <w:pPr>
              <w:pStyle w:val="a3"/>
              <w:spacing w:before="0" w:beforeAutospacing="0" w:after="0" w:afterAutospacing="0"/>
              <w:rPr>
                <w:sz w:val="16"/>
                <w:szCs w:val="16"/>
              </w:rPr>
            </w:pPr>
            <w:r>
              <w:rPr>
                <w:b/>
                <w:bCs/>
                <w:sz w:val="16"/>
                <w:szCs w:val="16"/>
              </w:rPr>
              <w:t>Numbe</w:t>
            </w:r>
            <w:r>
              <w:rPr>
                <w:b/>
                <w:bCs/>
                <w:sz w:val="16"/>
                <w:szCs w:val="16"/>
              </w:rPr>
              <w:t>r</w:t>
            </w:r>
          </w:p>
        </w:tc>
        <w:tc>
          <w:tcPr>
            <w:tcW w:w="0" w:type="auto"/>
            <w:vAlign w:val="bottom"/>
            <w:hideMark/>
          </w:tcPr>
          <w:p w:rsidR="00000000" w:rsidRDefault="00BC3404">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BC3404">
            <w:pPr>
              <w:pStyle w:val="a3"/>
              <w:spacing w:before="0" w:beforeAutospacing="0" w:after="0" w:afterAutospacing="0"/>
              <w:rPr>
                <w:sz w:val="16"/>
                <w:szCs w:val="16"/>
              </w:rPr>
            </w:pPr>
            <w:r>
              <w:rPr>
                <w:b/>
                <w:bCs/>
                <w:sz w:val="16"/>
                <w:szCs w:val="16"/>
              </w:rPr>
              <w:t>Descriptio</w:t>
            </w:r>
            <w:r>
              <w:rPr>
                <w:b/>
                <w:bCs/>
                <w:sz w:val="16"/>
                <w:szCs w:val="16"/>
              </w:rPr>
              <w:t>n</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10.</w:t>
            </w:r>
            <w:r>
              <w:rPr>
                <w:sz w:val="20"/>
                <w:szCs w:val="20"/>
              </w:rPr>
              <w:t>1</w:t>
            </w:r>
          </w:p>
        </w:tc>
        <w:tc>
          <w:tcPr>
            <w:tcW w:w="0" w:type="auto"/>
            <w:hideMark/>
          </w:tcPr>
          <w:p w:rsidR="00000000" w:rsidRDefault="00BC3404">
            <w:pPr>
              <w:pStyle w:val="a3"/>
              <w:spacing w:before="0" w:beforeAutospacing="0" w:after="0" w:afterAutospacing="0"/>
              <w:rPr>
                <w:sz w:val="20"/>
                <w:szCs w:val="20"/>
              </w:rPr>
            </w:pPr>
            <w:r>
              <w:rPr>
                <w:sz w:val="20"/>
                <w:szCs w:val="20"/>
              </w:rPr>
              <w:t> </w:t>
            </w:r>
          </w:p>
        </w:tc>
        <w:tc>
          <w:tcPr>
            <w:tcW w:w="0" w:type="auto"/>
            <w:hideMark/>
          </w:tcPr>
          <w:p w:rsidR="00000000" w:rsidRDefault="00BC3404">
            <w:pPr>
              <w:pStyle w:val="a3"/>
              <w:spacing w:before="0" w:beforeAutospacing="0" w:after="0" w:afterAutospacing="0"/>
              <w:jc w:val="both"/>
              <w:rPr>
                <w:sz w:val="20"/>
                <w:szCs w:val="20"/>
              </w:rPr>
            </w:pPr>
            <w:hyperlink r:id="rId4" w:history="1">
              <w:r>
                <w:rPr>
                  <w:rStyle w:val="a4"/>
                  <w:sz w:val="20"/>
                  <w:szCs w:val="20"/>
                </w:rPr>
                <w:t>First Amendment to Third Amended and Restated Credit Agreement (Filed herewith)</w:t>
              </w:r>
              <w:r>
                <w:rPr>
                  <w:rStyle w:val="a4"/>
                  <w:sz w:val="20"/>
                  <w:szCs w:val="20"/>
                </w:rPr>
                <w:t>.</w:t>
              </w:r>
            </w:hyperlink>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31.</w:t>
            </w:r>
            <w:r>
              <w:rPr>
                <w:sz w:val="20"/>
                <w:szCs w:val="20"/>
              </w:rPr>
              <w:t>1</w:t>
            </w:r>
          </w:p>
        </w:tc>
        <w:tc>
          <w:tcPr>
            <w:tcW w:w="0" w:type="auto"/>
            <w:hideMark/>
          </w:tcPr>
          <w:p w:rsidR="00000000" w:rsidRDefault="00BC3404">
            <w:pPr>
              <w:pStyle w:val="a3"/>
              <w:spacing w:before="0" w:beforeAutospacing="0" w:after="0" w:afterAutospacing="0"/>
              <w:rPr>
                <w:sz w:val="12"/>
                <w:szCs w:val="12"/>
              </w:rPr>
            </w:pPr>
            <w:r>
              <w:rPr>
                <w:sz w:val="8"/>
                <w:szCs w:val="8"/>
              </w:rPr>
              <w:t> </w:t>
            </w:r>
          </w:p>
        </w:tc>
        <w:tc>
          <w:tcPr>
            <w:tcW w:w="0" w:type="auto"/>
            <w:hideMark/>
          </w:tcPr>
          <w:p w:rsidR="00000000" w:rsidRDefault="00BC3404">
            <w:pPr>
              <w:pStyle w:val="a3"/>
              <w:spacing w:before="0" w:beforeAutospacing="0" w:after="0" w:afterAutospacing="0"/>
              <w:rPr>
                <w:sz w:val="20"/>
                <w:szCs w:val="20"/>
              </w:rPr>
            </w:pPr>
            <w:hyperlink r:id="rId5" w:history="1">
              <w:r>
                <w:rPr>
                  <w:rStyle w:val="a4"/>
                  <w:sz w:val="20"/>
                  <w:szCs w:val="20"/>
                </w:rPr>
                <w:t>Certification of the President and Chief Executive Officer Pursuant to Section 302 of the Sarbanes-Oxley Act of 2002. (Filed herewith)</w:t>
              </w:r>
              <w:r>
                <w:rPr>
                  <w:rStyle w:val="a4"/>
                  <w:sz w:val="20"/>
                  <w:szCs w:val="20"/>
                </w:rPr>
                <w:t>.</w:t>
              </w:r>
            </w:hyperlink>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31.</w:t>
            </w:r>
            <w:r>
              <w:rPr>
                <w:sz w:val="20"/>
                <w:szCs w:val="20"/>
              </w:rPr>
              <w:t>2</w:t>
            </w:r>
          </w:p>
        </w:tc>
        <w:tc>
          <w:tcPr>
            <w:tcW w:w="0" w:type="auto"/>
            <w:hideMark/>
          </w:tcPr>
          <w:p w:rsidR="00000000" w:rsidRDefault="00BC3404">
            <w:pPr>
              <w:pStyle w:val="a3"/>
              <w:spacing w:before="0" w:beforeAutospacing="0" w:after="0" w:afterAutospacing="0"/>
              <w:rPr>
                <w:sz w:val="12"/>
                <w:szCs w:val="12"/>
              </w:rPr>
            </w:pPr>
            <w:r>
              <w:rPr>
                <w:sz w:val="8"/>
                <w:szCs w:val="8"/>
              </w:rPr>
              <w:t> </w:t>
            </w:r>
          </w:p>
        </w:tc>
        <w:tc>
          <w:tcPr>
            <w:tcW w:w="0" w:type="auto"/>
            <w:hideMark/>
          </w:tcPr>
          <w:p w:rsidR="00000000" w:rsidRDefault="00BC3404">
            <w:pPr>
              <w:pStyle w:val="a3"/>
              <w:spacing w:before="0" w:beforeAutospacing="0" w:after="0" w:afterAutospacing="0"/>
              <w:rPr>
                <w:sz w:val="20"/>
                <w:szCs w:val="20"/>
              </w:rPr>
            </w:pPr>
            <w:hyperlink r:id="rId6" w:history="1">
              <w:r>
                <w:rPr>
                  <w:rStyle w:val="a4"/>
                  <w:sz w:val="20"/>
                  <w:szCs w:val="20"/>
                </w:rPr>
                <w:t>Certification of the Chief Financial Officer and Chief Accounting Office</w:t>
              </w:r>
              <w:r>
                <w:rPr>
                  <w:rStyle w:val="a4"/>
                  <w:sz w:val="20"/>
                  <w:szCs w:val="20"/>
                </w:rPr>
                <w:t>r Pursuant to Section 302 of the Sarbanes-Oxley Act of 2002. (Filed herewith)</w:t>
              </w:r>
              <w:r>
                <w:rPr>
                  <w:rStyle w:val="a4"/>
                  <w:sz w:val="20"/>
                  <w:szCs w:val="20"/>
                </w:rPr>
                <w:t>.</w:t>
              </w:r>
            </w:hyperlink>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32.</w:t>
            </w:r>
            <w:r>
              <w:rPr>
                <w:sz w:val="20"/>
                <w:szCs w:val="20"/>
              </w:rPr>
              <w:t>1</w:t>
            </w:r>
          </w:p>
        </w:tc>
        <w:tc>
          <w:tcPr>
            <w:tcW w:w="0" w:type="auto"/>
            <w:hideMark/>
          </w:tcPr>
          <w:p w:rsidR="00000000" w:rsidRDefault="00BC3404">
            <w:pPr>
              <w:pStyle w:val="a3"/>
              <w:spacing w:before="0" w:beforeAutospacing="0" w:after="0" w:afterAutospacing="0"/>
              <w:rPr>
                <w:sz w:val="12"/>
                <w:szCs w:val="12"/>
              </w:rPr>
            </w:pPr>
            <w:r>
              <w:rPr>
                <w:sz w:val="8"/>
                <w:szCs w:val="8"/>
              </w:rPr>
              <w:t> </w:t>
            </w:r>
          </w:p>
        </w:tc>
        <w:tc>
          <w:tcPr>
            <w:tcW w:w="0" w:type="auto"/>
            <w:hideMark/>
          </w:tcPr>
          <w:p w:rsidR="00000000" w:rsidRDefault="00BC3404">
            <w:pPr>
              <w:pStyle w:val="a3"/>
              <w:spacing w:before="0" w:beforeAutospacing="0" w:after="0" w:afterAutospacing="0"/>
              <w:rPr>
                <w:sz w:val="20"/>
                <w:szCs w:val="20"/>
              </w:rPr>
            </w:pPr>
            <w:hyperlink r:id="rId7" w:history="1">
              <w:r>
                <w:rPr>
                  <w:rStyle w:val="a4"/>
                  <w:sz w:val="20"/>
                  <w:szCs w:val="20"/>
                </w:rPr>
                <w:t>Certification of the President and Chief Executive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  32.</w:t>
            </w:r>
            <w:r>
              <w:rPr>
                <w:sz w:val="20"/>
                <w:szCs w:val="20"/>
              </w:rPr>
              <w:t>2</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hyperlink r:id="rId8" w:history="1">
              <w:r>
                <w:rPr>
                  <w:rStyle w:val="a4"/>
                  <w:sz w:val="20"/>
                  <w:szCs w:val="20"/>
                </w:rPr>
                <w:t>Certification of the Chief Financial Officer and Chief Accounting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101.IN</w:t>
            </w:r>
            <w:r>
              <w:rPr>
                <w:sz w:val="20"/>
                <w:szCs w:val="20"/>
              </w:rPr>
              <w:t>S</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XBRL Instance Document – the instanc</w:t>
            </w:r>
            <w:r>
              <w:rPr>
                <w:sz w:val="20"/>
                <w:szCs w:val="20"/>
              </w:rPr>
              <w:t>e document does not appear in the Interactive Data File because its XBRL tags are embedded within the Inline XBRL document</w:t>
            </w:r>
            <w:r>
              <w:rPr>
                <w:sz w:val="20"/>
                <w:szCs w:val="20"/>
              </w:rPr>
              <w:t>.</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101.SC</w:t>
            </w:r>
            <w:r>
              <w:rPr>
                <w:sz w:val="20"/>
                <w:szCs w:val="20"/>
              </w:rPr>
              <w:t>H</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101.CA</w:t>
            </w:r>
            <w:r>
              <w:rPr>
                <w:sz w:val="20"/>
                <w:szCs w:val="20"/>
              </w:rPr>
              <w:t>L</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101.DE</w:t>
            </w:r>
            <w:r>
              <w:rPr>
                <w:sz w:val="20"/>
                <w:szCs w:val="20"/>
              </w:rPr>
              <w:t>F</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101.LA</w:t>
            </w:r>
            <w:r>
              <w:rPr>
                <w:sz w:val="20"/>
                <w:szCs w:val="20"/>
              </w:rPr>
              <w:t>B</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101.PR</w:t>
            </w:r>
            <w:r>
              <w:rPr>
                <w:sz w:val="20"/>
                <w:szCs w:val="20"/>
              </w:rPr>
              <w:t>E</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BC3404">
            <w:pPr>
              <w:pStyle w:val="a3"/>
              <w:spacing w:before="0" w:beforeAutospacing="0" w:after="0" w:afterAutospacing="0"/>
              <w:rPr>
                <w:sz w:val="20"/>
                <w:szCs w:val="20"/>
              </w:rPr>
            </w:pPr>
            <w:r>
              <w:rPr>
                <w:sz w:val="20"/>
                <w:szCs w:val="20"/>
              </w:rPr>
              <w:t>10</w:t>
            </w:r>
            <w:r>
              <w:rPr>
                <w:sz w:val="20"/>
                <w:szCs w:val="20"/>
              </w:rPr>
              <w:t>4</w:t>
            </w:r>
          </w:p>
        </w:tc>
        <w:tc>
          <w:tcPr>
            <w:tcW w:w="0" w:type="auto"/>
            <w:hideMark/>
          </w:tcPr>
          <w:p w:rsidR="00000000" w:rsidRDefault="00BC3404">
            <w:pPr>
              <w:pStyle w:val="a3"/>
              <w:spacing w:before="0" w:beforeAutospacing="0" w:after="0" w:afterAutospacing="0"/>
              <w:rPr>
                <w:sz w:val="12"/>
                <w:szCs w:val="12"/>
              </w:rPr>
            </w:pPr>
            <w:r>
              <w:rPr>
                <w:sz w:val="12"/>
                <w:szCs w:val="12"/>
              </w:rPr>
              <w:t> </w:t>
            </w:r>
          </w:p>
        </w:tc>
        <w:tc>
          <w:tcPr>
            <w:tcW w:w="0" w:type="auto"/>
            <w:hideMark/>
          </w:tcPr>
          <w:p w:rsidR="00000000" w:rsidRDefault="00BC3404">
            <w:pPr>
              <w:pStyle w:val="a3"/>
              <w:spacing w:before="0" w:beforeAutospacing="0" w:after="0" w:afterAutospacing="0"/>
              <w:rPr>
                <w:sz w:val="20"/>
                <w:szCs w:val="20"/>
              </w:rPr>
            </w:pPr>
            <w:r>
              <w:rPr>
                <w:sz w:val="20"/>
                <w:szCs w:val="20"/>
              </w:rPr>
              <w:t xml:space="preserve">Cover Page Interactive Data File – the cover page interactive data file does not appear in the Interactive </w:t>
            </w:r>
            <w:r>
              <w:rPr>
                <w:sz w:val="20"/>
                <w:szCs w:val="20"/>
              </w:rPr>
              <w:t>Data File because its XBRL tags are embedded within the Inline XBRL document</w:t>
            </w:r>
            <w:r>
              <w:rPr>
                <w:sz w:val="20"/>
                <w:szCs w:val="20"/>
              </w:rPr>
              <w:t>.</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3</w:t>
      </w:r>
      <w:r>
        <w:rPr>
          <w:sz w:val="20"/>
          <w:szCs w:val="20"/>
        </w:rPr>
        <w:t>3</w:t>
      </w:r>
    </w:p>
    <w:p w:rsidR="00000000" w:rsidRDefault="00BC3404">
      <w:pPr>
        <w:rPr>
          <w:rFonts w:eastAsia="Times New Roman"/>
        </w:rPr>
      </w:pPr>
      <w:r>
        <w:rPr>
          <w:rFonts w:eastAsia="Times New Roman"/>
        </w:rPr>
        <w:pict>
          <v:rect id="_x0000_i1061" style="width:0;height:1.5pt" o:hralign="center" o:hrstd="t" o:hr="t" fillcolor="#a0a0a0" stroked="f"/>
        </w:pict>
      </w:r>
    </w:p>
    <w:p w:rsidR="00000000" w:rsidRDefault="00BC3404">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BC3404">
      <w:pPr>
        <w:pStyle w:val="a3"/>
        <w:spacing w:before="0" w:beforeAutospacing="0" w:after="0" w:afterAutospacing="0"/>
        <w:jc w:val="both"/>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BC3404">
      <w:pPr>
        <w:pStyle w:val="a3"/>
        <w:spacing w:before="120" w:beforeAutospacing="0" w:after="0" w:afterAutospacing="0"/>
        <w:ind w:firstLine="555"/>
        <w:jc w:val="both"/>
        <w:rPr>
          <w:sz w:val="20"/>
          <w:szCs w:val="20"/>
        </w:rPr>
      </w:pPr>
      <w:r>
        <w:rPr>
          <w:sz w:val="20"/>
          <w:szCs w:val="20"/>
        </w:rPr>
        <w:t>Pursuant to the requirements of the Securities Exchange Act of 1934, the registrant has duly caused this report to be signed on i</w:t>
      </w:r>
      <w:r>
        <w:rPr>
          <w:sz w:val="20"/>
          <w:szCs w:val="20"/>
        </w:rPr>
        <w:t>ts behalf by the undersigned thereunto duly authorized</w:t>
      </w:r>
      <w:r>
        <w:rPr>
          <w:sz w:val="20"/>
          <w:szCs w:val="20"/>
        </w:rPr>
        <w:t>.</w:t>
      </w:r>
    </w:p>
    <w:p w:rsidR="00000000" w:rsidRDefault="00BC3404">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9"/>
        <w:gridCol w:w="349"/>
        <w:gridCol w:w="120"/>
        <w:gridCol w:w="3288"/>
      </w:tblGrid>
      <w:tr w:rsidR="00000000">
        <w:trPr>
          <w:tblCellSpacing w:w="15" w:type="dxa"/>
        </w:trPr>
        <w:tc>
          <w:tcPr>
            <w:tcW w:w="2772" w:type="pct"/>
            <w:vAlign w:val="center"/>
            <w:hideMark/>
          </w:tcPr>
          <w:p w:rsidR="00000000" w:rsidRDefault="00BC3404">
            <w:pPr>
              <w:rPr>
                <w:sz w:val="20"/>
                <w:szCs w:val="20"/>
              </w:rPr>
            </w:pPr>
          </w:p>
        </w:tc>
        <w:tc>
          <w:tcPr>
            <w:tcW w:w="177" w:type="pct"/>
            <w:vAlign w:val="center"/>
            <w:hideMark/>
          </w:tcPr>
          <w:p w:rsidR="00000000" w:rsidRDefault="00BC3404">
            <w:pPr>
              <w:rPr>
                <w:rFonts w:eastAsia="Times New Roman"/>
                <w:sz w:val="20"/>
                <w:szCs w:val="20"/>
              </w:rPr>
            </w:pPr>
          </w:p>
        </w:tc>
        <w:tc>
          <w:tcPr>
            <w:tcW w:w="50" w:type="pct"/>
            <w:vAlign w:val="center"/>
            <w:hideMark/>
          </w:tcPr>
          <w:p w:rsidR="00000000" w:rsidRDefault="00BC3404">
            <w:pPr>
              <w:rPr>
                <w:rFonts w:eastAsia="Times New Roman"/>
                <w:sz w:val="20"/>
                <w:szCs w:val="20"/>
              </w:rPr>
            </w:pPr>
          </w:p>
        </w:tc>
        <w:tc>
          <w:tcPr>
            <w:tcW w:w="2000" w:type="pct"/>
            <w:vAlign w:val="center"/>
            <w:hideMark/>
          </w:tcPr>
          <w:p w:rsidR="00000000" w:rsidRDefault="00BC3404">
            <w:pPr>
              <w:rPr>
                <w:rFonts w:eastAsia="Times New Roman"/>
                <w:sz w:val="20"/>
                <w:szCs w:val="20"/>
              </w:rPr>
            </w:pP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gridSpan w:val="3"/>
            <w:vAlign w:val="bottom"/>
            <w:hideMark/>
          </w:tcPr>
          <w:p w:rsidR="00000000" w:rsidRDefault="00BC3404">
            <w:pPr>
              <w:pStyle w:val="a3"/>
              <w:spacing w:before="0" w:beforeAutospacing="0" w:after="0" w:afterAutospacing="0"/>
              <w:rPr>
                <w:sz w:val="20"/>
                <w:szCs w:val="20"/>
              </w:rPr>
            </w:pPr>
            <w:r>
              <w:rPr>
                <w:sz w:val="20"/>
                <w:szCs w:val="20"/>
              </w:rPr>
              <w:t>SUBURBAN PROPANE PARTNERS, L.P</w:t>
            </w:r>
            <w:r>
              <w:rPr>
                <w:sz w:val="20"/>
                <w:szCs w:val="20"/>
              </w:rPr>
              <w:t>.</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t> </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February 2, 202</w:t>
            </w:r>
            <w:r>
              <w:rPr>
                <w:sz w:val="20"/>
                <w:szCs w:val="20"/>
              </w:rPr>
              <w:t>3</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BC3404">
            <w:pPr>
              <w:pStyle w:val="a3"/>
              <w:spacing w:before="0" w:beforeAutospacing="0" w:after="0" w:afterAutospacing="0"/>
              <w:rPr>
                <w:sz w:val="20"/>
                <w:szCs w:val="20"/>
              </w:rPr>
            </w:pPr>
            <w:r>
              <w:rPr>
                <w:sz w:val="20"/>
                <w:szCs w:val="20"/>
              </w:rPr>
              <w:t>/s/ MICHAEL A. KUGLI</w:t>
            </w:r>
            <w:r>
              <w:rPr>
                <w:sz w:val="20"/>
                <w:szCs w:val="20"/>
              </w:rPr>
              <w:t>N</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Dat</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Michael A. Kugli</w:t>
            </w:r>
            <w:r>
              <w:rPr>
                <w:sz w:val="20"/>
                <w:szCs w:val="20"/>
              </w:rPr>
              <w:t>n</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Chief Financial Officer and Chief Accounting Office</w:t>
            </w:r>
            <w:r>
              <w:rPr>
                <w:sz w:val="20"/>
                <w:szCs w:val="20"/>
              </w:rPr>
              <w:t>r</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t> </w:t>
            </w:r>
          </w:p>
        </w:tc>
        <w:tc>
          <w:tcPr>
            <w:tcW w:w="0" w:type="auto"/>
            <w:vAlign w:val="bottom"/>
            <w:hideMark/>
          </w:tcPr>
          <w:p w:rsidR="00000000" w:rsidRDefault="00BC3404">
            <w:pPr>
              <w:pStyle w:val="a3"/>
              <w:spacing w:before="0" w:beforeAutospacing="0" w:after="0" w:afterAutospacing="0"/>
            </w:pPr>
            <w:r>
              <w:t> </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February 2, 202</w:t>
            </w:r>
            <w:r>
              <w:rPr>
                <w:sz w:val="20"/>
                <w:szCs w:val="20"/>
              </w:rPr>
              <w:t>3</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BC3404">
            <w:pPr>
              <w:pStyle w:val="a3"/>
              <w:spacing w:before="0" w:beforeAutospacing="0" w:after="0" w:afterAutospacing="0"/>
              <w:rPr>
                <w:sz w:val="20"/>
                <w:szCs w:val="20"/>
              </w:rPr>
            </w:pPr>
            <w:r>
              <w:rPr>
                <w:sz w:val="20"/>
                <w:szCs w:val="20"/>
              </w:rPr>
              <w:t>/s/ DANIEL S. BLOOMSTEI</w:t>
            </w:r>
            <w:r>
              <w:rPr>
                <w:sz w:val="20"/>
                <w:szCs w:val="20"/>
              </w:rPr>
              <w:t>N</w:t>
            </w:r>
          </w:p>
        </w:tc>
      </w:tr>
      <w:tr w:rsidR="00000000">
        <w:trPr>
          <w:trHeight w:val="14"/>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Dat</w:t>
            </w:r>
            <w:r>
              <w:rPr>
                <w:sz w:val="20"/>
                <w:szCs w:val="20"/>
              </w:rPr>
              <w:t>e</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Daniel S. Bloomstei</w:t>
            </w:r>
            <w:r>
              <w:rPr>
                <w:sz w:val="20"/>
                <w:szCs w:val="20"/>
              </w:rPr>
              <w:t>n</w:t>
            </w:r>
          </w:p>
        </w:tc>
      </w:tr>
      <w:tr w:rsidR="00000000">
        <w:trPr>
          <w:trHeight w:val="158"/>
          <w:tblCellSpacing w:w="15" w:type="dxa"/>
        </w:trPr>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 </w:t>
            </w:r>
          </w:p>
        </w:tc>
        <w:tc>
          <w:tcPr>
            <w:tcW w:w="0" w:type="auto"/>
            <w:vAlign w:val="bottom"/>
            <w:hideMark/>
          </w:tcPr>
          <w:p w:rsidR="00000000" w:rsidRDefault="00BC3404">
            <w:pPr>
              <w:pStyle w:val="a3"/>
              <w:spacing w:before="0" w:beforeAutospacing="0" w:after="0" w:afterAutospacing="0"/>
              <w:rPr>
                <w:sz w:val="20"/>
                <w:szCs w:val="20"/>
              </w:rPr>
            </w:pPr>
            <w:r>
              <w:rPr>
                <w:sz w:val="20"/>
                <w:szCs w:val="20"/>
              </w:rPr>
              <w:t>Vice President and Controlle</w:t>
            </w:r>
            <w:r>
              <w:rPr>
                <w:sz w:val="20"/>
                <w:szCs w:val="20"/>
              </w:rPr>
              <w:t>r</w:t>
            </w:r>
          </w:p>
        </w:tc>
      </w:tr>
    </w:tbl>
    <w:p w:rsidR="00000000" w:rsidRDefault="00BC3404">
      <w:pPr>
        <w:pStyle w:val="a3"/>
        <w:spacing w:before="0" w:beforeAutospacing="0" w:after="0" w:afterAutospacing="0"/>
        <w:jc w:val="both"/>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 </w:t>
      </w:r>
    </w:p>
    <w:p w:rsidR="00000000" w:rsidRDefault="00BC3404">
      <w:pPr>
        <w:pStyle w:val="a3"/>
        <w:spacing w:before="0" w:beforeAutospacing="0" w:after="0" w:afterAutospacing="0"/>
        <w:jc w:val="center"/>
        <w:rPr>
          <w:sz w:val="20"/>
          <w:szCs w:val="20"/>
        </w:rPr>
      </w:pPr>
      <w:r>
        <w:rPr>
          <w:sz w:val="20"/>
          <w:szCs w:val="20"/>
        </w:rPr>
        <w:t>3</w:t>
      </w:r>
      <w:r>
        <w:rPr>
          <w:sz w:val="20"/>
          <w:szCs w:val="20"/>
        </w:rPr>
        <w:t>4</w:t>
      </w:r>
    </w:p>
    <w:p w:rsidR="00BC3404" w:rsidRDefault="00BC3404">
      <w:pPr>
        <w:rPr>
          <w:rFonts w:eastAsia="Times New Roman"/>
        </w:rPr>
      </w:pPr>
      <w:r>
        <w:rPr>
          <w:rFonts w:eastAsia="Times New Roman"/>
        </w:rPr>
        <w:pict>
          <v:rect id="_x0000_i1062" style="width:0;height:1.5pt" o:hralign="center" o:hrstd="t" o:hr="t" fillcolor="#a0a0a0" stroked="f"/>
        </w:pict>
      </w:r>
    </w:p>
    <w:sectPr w:rsidR="00BC340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3404"/>
    <w:rsid w:val="00BC3404"/>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www.suburbanpropane.com/20221224"/>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677">
      <w:marLeft w:val="0"/>
      <w:marRight w:val="0"/>
      <w:marTop w:val="360"/>
      <w:marBottom w:val="0"/>
      <w:divBdr>
        <w:top w:val="none" w:sz="0" w:space="0" w:color="auto"/>
        <w:left w:val="none" w:sz="0" w:space="0" w:color="auto"/>
        <w:bottom w:val="none" w:sz="0" w:space="0" w:color="auto"/>
        <w:right w:val="none" w:sz="0" w:space="0" w:color="auto"/>
      </w:divBdr>
      <w:divsChild>
        <w:div w:id="1229804643">
          <w:marLeft w:val="0"/>
          <w:marRight w:val="0"/>
          <w:marTop w:val="0"/>
          <w:marBottom w:val="0"/>
          <w:divBdr>
            <w:top w:val="none" w:sz="0" w:space="0" w:color="auto"/>
            <w:left w:val="none" w:sz="0" w:space="0" w:color="auto"/>
            <w:bottom w:val="none" w:sz="0" w:space="0" w:color="auto"/>
            <w:right w:val="none" w:sz="0" w:space="0" w:color="auto"/>
          </w:divBdr>
        </w:div>
      </w:divsChild>
    </w:div>
    <w:div w:id="15008149">
      <w:marLeft w:val="0"/>
      <w:marRight w:val="0"/>
      <w:marTop w:val="100"/>
      <w:marBottom w:val="0"/>
      <w:divBdr>
        <w:top w:val="none" w:sz="0" w:space="0" w:color="auto"/>
        <w:left w:val="none" w:sz="0" w:space="0" w:color="auto"/>
        <w:bottom w:val="none" w:sz="0" w:space="0" w:color="auto"/>
        <w:right w:val="none" w:sz="0" w:space="0" w:color="auto"/>
      </w:divBdr>
      <w:divsChild>
        <w:div w:id="1112096312">
          <w:marLeft w:val="0"/>
          <w:marRight w:val="0"/>
          <w:marTop w:val="0"/>
          <w:marBottom w:val="0"/>
          <w:divBdr>
            <w:top w:val="none" w:sz="0" w:space="0" w:color="auto"/>
            <w:left w:val="none" w:sz="0" w:space="0" w:color="auto"/>
            <w:bottom w:val="none" w:sz="0" w:space="0" w:color="auto"/>
            <w:right w:val="none" w:sz="0" w:space="0" w:color="auto"/>
          </w:divBdr>
        </w:div>
      </w:divsChild>
    </w:div>
    <w:div w:id="98917907">
      <w:marLeft w:val="0"/>
      <w:marRight w:val="0"/>
      <w:marTop w:val="100"/>
      <w:marBottom w:val="0"/>
      <w:divBdr>
        <w:top w:val="none" w:sz="0" w:space="0" w:color="auto"/>
        <w:left w:val="none" w:sz="0" w:space="0" w:color="auto"/>
        <w:bottom w:val="none" w:sz="0" w:space="0" w:color="auto"/>
        <w:right w:val="none" w:sz="0" w:space="0" w:color="auto"/>
      </w:divBdr>
      <w:divsChild>
        <w:div w:id="1724283749">
          <w:marLeft w:val="0"/>
          <w:marRight w:val="0"/>
          <w:marTop w:val="0"/>
          <w:marBottom w:val="0"/>
          <w:divBdr>
            <w:top w:val="none" w:sz="0" w:space="0" w:color="auto"/>
            <w:left w:val="none" w:sz="0" w:space="0" w:color="auto"/>
            <w:bottom w:val="none" w:sz="0" w:space="0" w:color="auto"/>
            <w:right w:val="none" w:sz="0" w:space="0" w:color="auto"/>
          </w:divBdr>
        </w:div>
      </w:divsChild>
    </w:div>
    <w:div w:id="124810810">
      <w:marLeft w:val="0"/>
      <w:marRight w:val="0"/>
      <w:marTop w:val="100"/>
      <w:marBottom w:val="0"/>
      <w:divBdr>
        <w:top w:val="none" w:sz="0" w:space="0" w:color="auto"/>
        <w:left w:val="none" w:sz="0" w:space="0" w:color="auto"/>
        <w:bottom w:val="none" w:sz="0" w:space="0" w:color="auto"/>
        <w:right w:val="none" w:sz="0" w:space="0" w:color="auto"/>
      </w:divBdr>
      <w:divsChild>
        <w:div w:id="1525707604">
          <w:marLeft w:val="0"/>
          <w:marRight w:val="0"/>
          <w:marTop w:val="0"/>
          <w:marBottom w:val="0"/>
          <w:divBdr>
            <w:top w:val="none" w:sz="0" w:space="0" w:color="auto"/>
            <w:left w:val="none" w:sz="0" w:space="0" w:color="auto"/>
            <w:bottom w:val="none" w:sz="0" w:space="0" w:color="auto"/>
            <w:right w:val="none" w:sz="0" w:space="0" w:color="auto"/>
          </w:divBdr>
        </w:div>
      </w:divsChild>
    </w:div>
    <w:div w:id="165948759">
      <w:marLeft w:val="0"/>
      <w:marRight w:val="0"/>
      <w:marTop w:val="100"/>
      <w:marBottom w:val="0"/>
      <w:divBdr>
        <w:top w:val="none" w:sz="0" w:space="0" w:color="auto"/>
        <w:left w:val="none" w:sz="0" w:space="0" w:color="auto"/>
        <w:bottom w:val="none" w:sz="0" w:space="0" w:color="auto"/>
        <w:right w:val="none" w:sz="0" w:space="0" w:color="auto"/>
      </w:divBdr>
      <w:divsChild>
        <w:div w:id="998113931">
          <w:marLeft w:val="0"/>
          <w:marRight w:val="0"/>
          <w:marTop w:val="0"/>
          <w:marBottom w:val="0"/>
          <w:divBdr>
            <w:top w:val="none" w:sz="0" w:space="0" w:color="auto"/>
            <w:left w:val="none" w:sz="0" w:space="0" w:color="auto"/>
            <w:bottom w:val="none" w:sz="0" w:space="0" w:color="auto"/>
            <w:right w:val="none" w:sz="0" w:space="0" w:color="auto"/>
          </w:divBdr>
        </w:div>
      </w:divsChild>
    </w:div>
    <w:div w:id="229461735">
      <w:marLeft w:val="0"/>
      <w:marRight w:val="0"/>
      <w:marTop w:val="0"/>
      <w:marBottom w:val="0"/>
      <w:divBdr>
        <w:top w:val="none" w:sz="0" w:space="0" w:color="auto"/>
        <w:left w:val="none" w:sz="0" w:space="0" w:color="auto"/>
        <w:bottom w:val="none" w:sz="0" w:space="0" w:color="auto"/>
        <w:right w:val="none" w:sz="0" w:space="0" w:color="auto"/>
      </w:divBdr>
      <w:divsChild>
        <w:div w:id="756943251">
          <w:marLeft w:val="0"/>
          <w:marRight w:val="0"/>
          <w:marTop w:val="160"/>
          <w:marBottom w:val="0"/>
          <w:divBdr>
            <w:top w:val="none" w:sz="0" w:space="0" w:color="auto"/>
            <w:left w:val="none" w:sz="0" w:space="0" w:color="auto"/>
            <w:bottom w:val="none" w:sz="0" w:space="0" w:color="auto"/>
            <w:right w:val="none" w:sz="0" w:space="0" w:color="auto"/>
          </w:divBdr>
          <w:divsChild>
            <w:div w:id="1676151012">
              <w:marLeft w:val="0"/>
              <w:marRight w:val="0"/>
              <w:marTop w:val="0"/>
              <w:marBottom w:val="0"/>
              <w:divBdr>
                <w:top w:val="none" w:sz="0" w:space="0" w:color="auto"/>
                <w:left w:val="none" w:sz="0" w:space="0" w:color="auto"/>
                <w:bottom w:val="none" w:sz="0" w:space="0" w:color="auto"/>
                <w:right w:val="none" w:sz="0" w:space="0" w:color="auto"/>
              </w:divBdr>
            </w:div>
          </w:divsChild>
        </w:div>
        <w:div w:id="340396994">
          <w:marLeft w:val="0"/>
          <w:marRight w:val="0"/>
          <w:marTop w:val="0"/>
          <w:marBottom w:val="0"/>
          <w:divBdr>
            <w:top w:val="none" w:sz="0" w:space="0" w:color="auto"/>
            <w:left w:val="none" w:sz="0" w:space="0" w:color="auto"/>
            <w:bottom w:val="none" w:sz="0" w:space="0" w:color="auto"/>
            <w:right w:val="none" w:sz="0" w:space="0" w:color="auto"/>
          </w:divBdr>
        </w:div>
      </w:divsChild>
    </w:div>
    <w:div w:id="241838280">
      <w:marLeft w:val="0"/>
      <w:marRight w:val="0"/>
      <w:marTop w:val="0"/>
      <w:marBottom w:val="0"/>
      <w:divBdr>
        <w:top w:val="none" w:sz="0" w:space="0" w:color="auto"/>
        <w:left w:val="none" w:sz="0" w:space="0" w:color="auto"/>
        <w:bottom w:val="none" w:sz="0" w:space="0" w:color="auto"/>
        <w:right w:val="none" w:sz="0" w:space="0" w:color="auto"/>
      </w:divBdr>
      <w:divsChild>
        <w:div w:id="1617053895">
          <w:marLeft w:val="0"/>
          <w:marRight w:val="0"/>
          <w:marTop w:val="160"/>
          <w:marBottom w:val="0"/>
          <w:divBdr>
            <w:top w:val="none" w:sz="0" w:space="0" w:color="auto"/>
            <w:left w:val="none" w:sz="0" w:space="0" w:color="auto"/>
            <w:bottom w:val="none" w:sz="0" w:space="0" w:color="auto"/>
            <w:right w:val="none" w:sz="0" w:space="0" w:color="auto"/>
          </w:divBdr>
          <w:divsChild>
            <w:div w:id="1654485943">
              <w:marLeft w:val="0"/>
              <w:marRight w:val="0"/>
              <w:marTop w:val="0"/>
              <w:marBottom w:val="0"/>
              <w:divBdr>
                <w:top w:val="none" w:sz="0" w:space="0" w:color="auto"/>
                <w:left w:val="none" w:sz="0" w:space="0" w:color="auto"/>
                <w:bottom w:val="none" w:sz="0" w:space="0" w:color="auto"/>
                <w:right w:val="none" w:sz="0" w:space="0" w:color="auto"/>
              </w:divBdr>
            </w:div>
          </w:divsChild>
        </w:div>
        <w:div w:id="653603100">
          <w:marLeft w:val="0"/>
          <w:marRight w:val="0"/>
          <w:marTop w:val="0"/>
          <w:marBottom w:val="0"/>
          <w:divBdr>
            <w:top w:val="none" w:sz="0" w:space="0" w:color="auto"/>
            <w:left w:val="none" w:sz="0" w:space="0" w:color="auto"/>
            <w:bottom w:val="none" w:sz="0" w:space="0" w:color="auto"/>
            <w:right w:val="none" w:sz="0" w:space="0" w:color="auto"/>
          </w:divBdr>
        </w:div>
        <w:div w:id="90971966">
          <w:marLeft w:val="0"/>
          <w:marRight w:val="0"/>
          <w:marTop w:val="0"/>
          <w:marBottom w:val="0"/>
          <w:divBdr>
            <w:top w:val="none" w:sz="0" w:space="0" w:color="auto"/>
            <w:left w:val="none" w:sz="0" w:space="0" w:color="auto"/>
            <w:bottom w:val="none" w:sz="0" w:space="0" w:color="auto"/>
            <w:right w:val="none" w:sz="0" w:space="0" w:color="auto"/>
          </w:divBdr>
        </w:div>
        <w:div w:id="831871458">
          <w:marLeft w:val="0"/>
          <w:marRight w:val="0"/>
          <w:marTop w:val="0"/>
          <w:marBottom w:val="0"/>
          <w:divBdr>
            <w:top w:val="none" w:sz="0" w:space="0" w:color="auto"/>
            <w:left w:val="none" w:sz="0" w:space="0" w:color="auto"/>
            <w:bottom w:val="none" w:sz="0" w:space="0" w:color="auto"/>
            <w:right w:val="none" w:sz="0" w:space="0" w:color="auto"/>
          </w:divBdr>
        </w:div>
        <w:div w:id="2009287338">
          <w:marLeft w:val="0"/>
          <w:marRight w:val="0"/>
          <w:marTop w:val="0"/>
          <w:marBottom w:val="0"/>
          <w:divBdr>
            <w:top w:val="none" w:sz="0" w:space="0" w:color="auto"/>
            <w:left w:val="none" w:sz="0" w:space="0" w:color="auto"/>
            <w:bottom w:val="none" w:sz="0" w:space="0" w:color="auto"/>
            <w:right w:val="none" w:sz="0" w:space="0" w:color="auto"/>
          </w:divBdr>
          <w:divsChild>
            <w:div w:id="385103285">
              <w:marLeft w:val="0"/>
              <w:marRight w:val="0"/>
              <w:marTop w:val="120"/>
              <w:marBottom w:val="0"/>
              <w:divBdr>
                <w:top w:val="none" w:sz="0" w:space="0" w:color="auto"/>
                <w:left w:val="none" w:sz="0" w:space="0" w:color="auto"/>
                <w:bottom w:val="none" w:sz="0" w:space="0" w:color="auto"/>
                <w:right w:val="none" w:sz="0" w:space="0" w:color="auto"/>
              </w:divBdr>
              <w:divsChild>
                <w:div w:id="1154300409">
                  <w:marLeft w:val="0"/>
                  <w:marRight w:val="0"/>
                  <w:marTop w:val="0"/>
                  <w:marBottom w:val="0"/>
                  <w:divBdr>
                    <w:top w:val="none" w:sz="0" w:space="0" w:color="auto"/>
                    <w:left w:val="none" w:sz="0" w:space="0" w:color="auto"/>
                    <w:bottom w:val="none" w:sz="0" w:space="0" w:color="auto"/>
                    <w:right w:val="none" w:sz="0" w:space="0" w:color="auto"/>
                  </w:divBdr>
                </w:div>
              </w:divsChild>
            </w:div>
            <w:div w:id="848102374">
              <w:marLeft w:val="0"/>
              <w:marRight w:val="0"/>
              <w:marTop w:val="120"/>
              <w:marBottom w:val="0"/>
              <w:divBdr>
                <w:top w:val="none" w:sz="0" w:space="0" w:color="auto"/>
                <w:left w:val="none" w:sz="0" w:space="0" w:color="auto"/>
                <w:bottom w:val="none" w:sz="0" w:space="0" w:color="auto"/>
                <w:right w:val="none" w:sz="0" w:space="0" w:color="auto"/>
              </w:divBdr>
              <w:divsChild>
                <w:div w:id="2065330679">
                  <w:marLeft w:val="0"/>
                  <w:marRight w:val="0"/>
                  <w:marTop w:val="0"/>
                  <w:marBottom w:val="0"/>
                  <w:divBdr>
                    <w:top w:val="none" w:sz="0" w:space="0" w:color="auto"/>
                    <w:left w:val="none" w:sz="0" w:space="0" w:color="auto"/>
                    <w:bottom w:val="none" w:sz="0" w:space="0" w:color="auto"/>
                    <w:right w:val="none" w:sz="0" w:space="0" w:color="auto"/>
                  </w:divBdr>
                </w:div>
              </w:divsChild>
            </w:div>
            <w:div w:id="1234001172">
              <w:marLeft w:val="0"/>
              <w:marRight w:val="0"/>
              <w:marTop w:val="120"/>
              <w:marBottom w:val="0"/>
              <w:divBdr>
                <w:top w:val="none" w:sz="0" w:space="0" w:color="auto"/>
                <w:left w:val="none" w:sz="0" w:space="0" w:color="auto"/>
                <w:bottom w:val="none" w:sz="0" w:space="0" w:color="auto"/>
                <w:right w:val="none" w:sz="0" w:space="0" w:color="auto"/>
              </w:divBdr>
              <w:divsChild>
                <w:div w:id="46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897">
          <w:marLeft w:val="0"/>
          <w:marRight w:val="0"/>
          <w:marTop w:val="0"/>
          <w:marBottom w:val="0"/>
          <w:divBdr>
            <w:top w:val="none" w:sz="0" w:space="0" w:color="auto"/>
            <w:left w:val="none" w:sz="0" w:space="0" w:color="auto"/>
            <w:bottom w:val="none" w:sz="0" w:space="0" w:color="auto"/>
            <w:right w:val="none" w:sz="0" w:space="0" w:color="auto"/>
          </w:divBdr>
        </w:div>
        <w:div w:id="1020934427">
          <w:marLeft w:val="0"/>
          <w:marRight w:val="0"/>
          <w:marTop w:val="0"/>
          <w:marBottom w:val="0"/>
          <w:divBdr>
            <w:top w:val="none" w:sz="0" w:space="0" w:color="auto"/>
            <w:left w:val="none" w:sz="0" w:space="0" w:color="auto"/>
            <w:bottom w:val="none" w:sz="0" w:space="0" w:color="auto"/>
            <w:right w:val="none" w:sz="0" w:space="0" w:color="auto"/>
          </w:divBdr>
        </w:div>
        <w:div w:id="1380858484">
          <w:marLeft w:val="0"/>
          <w:marRight w:val="0"/>
          <w:marTop w:val="0"/>
          <w:marBottom w:val="0"/>
          <w:divBdr>
            <w:top w:val="none" w:sz="0" w:space="0" w:color="auto"/>
            <w:left w:val="none" w:sz="0" w:space="0" w:color="auto"/>
            <w:bottom w:val="none" w:sz="0" w:space="0" w:color="auto"/>
            <w:right w:val="none" w:sz="0" w:space="0" w:color="auto"/>
          </w:divBdr>
        </w:div>
      </w:divsChild>
    </w:div>
    <w:div w:id="284627145">
      <w:marLeft w:val="0"/>
      <w:marRight w:val="0"/>
      <w:marTop w:val="100"/>
      <w:marBottom w:val="0"/>
      <w:divBdr>
        <w:top w:val="none" w:sz="0" w:space="0" w:color="auto"/>
        <w:left w:val="none" w:sz="0" w:space="0" w:color="auto"/>
        <w:bottom w:val="none" w:sz="0" w:space="0" w:color="auto"/>
        <w:right w:val="none" w:sz="0" w:space="0" w:color="auto"/>
      </w:divBdr>
      <w:divsChild>
        <w:div w:id="1856385752">
          <w:marLeft w:val="0"/>
          <w:marRight w:val="0"/>
          <w:marTop w:val="0"/>
          <w:marBottom w:val="0"/>
          <w:divBdr>
            <w:top w:val="none" w:sz="0" w:space="0" w:color="auto"/>
            <w:left w:val="none" w:sz="0" w:space="0" w:color="auto"/>
            <w:bottom w:val="none" w:sz="0" w:space="0" w:color="auto"/>
            <w:right w:val="none" w:sz="0" w:space="0" w:color="auto"/>
          </w:divBdr>
        </w:div>
      </w:divsChild>
    </w:div>
    <w:div w:id="292643237">
      <w:marLeft w:val="0"/>
      <w:marRight w:val="0"/>
      <w:marTop w:val="0"/>
      <w:marBottom w:val="0"/>
      <w:divBdr>
        <w:top w:val="none" w:sz="0" w:space="0" w:color="auto"/>
        <w:left w:val="none" w:sz="0" w:space="0" w:color="auto"/>
        <w:bottom w:val="none" w:sz="0" w:space="0" w:color="auto"/>
        <w:right w:val="none" w:sz="0" w:space="0" w:color="auto"/>
      </w:divBdr>
      <w:divsChild>
        <w:div w:id="1217475613">
          <w:marLeft w:val="0"/>
          <w:marRight w:val="0"/>
          <w:marTop w:val="160"/>
          <w:marBottom w:val="0"/>
          <w:divBdr>
            <w:top w:val="none" w:sz="0" w:space="0" w:color="auto"/>
            <w:left w:val="none" w:sz="0" w:space="0" w:color="auto"/>
            <w:bottom w:val="none" w:sz="0" w:space="0" w:color="auto"/>
            <w:right w:val="none" w:sz="0" w:space="0" w:color="auto"/>
          </w:divBdr>
          <w:divsChild>
            <w:div w:id="1327901884">
              <w:marLeft w:val="0"/>
              <w:marRight w:val="0"/>
              <w:marTop w:val="0"/>
              <w:marBottom w:val="0"/>
              <w:divBdr>
                <w:top w:val="none" w:sz="0" w:space="0" w:color="auto"/>
                <w:left w:val="none" w:sz="0" w:space="0" w:color="auto"/>
                <w:bottom w:val="none" w:sz="0" w:space="0" w:color="auto"/>
                <w:right w:val="none" w:sz="0" w:space="0" w:color="auto"/>
              </w:divBdr>
            </w:div>
          </w:divsChild>
        </w:div>
        <w:div w:id="1382942701">
          <w:marLeft w:val="0"/>
          <w:marRight w:val="0"/>
          <w:marTop w:val="0"/>
          <w:marBottom w:val="0"/>
          <w:divBdr>
            <w:top w:val="none" w:sz="0" w:space="0" w:color="auto"/>
            <w:left w:val="none" w:sz="0" w:space="0" w:color="auto"/>
            <w:bottom w:val="none" w:sz="0" w:space="0" w:color="auto"/>
            <w:right w:val="none" w:sz="0" w:space="0" w:color="auto"/>
          </w:divBdr>
        </w:div>
      </w:divsChild>
    </w:div>
    <w:div w:id="395932449">
      <w:marLeft w:val="0"/>
      <w:marRight w:val="0"/>
      <w:marTop w:val="100"/>
      <w:marBottom w:val="0"/>
      <w:divBdr>
        <w:top w:val="none" w:sz="0" w:space="0" w:color="auto"/>
        <w:left w:val="none" w:sz="0" w:space="0" w:color="auto"/>
        <w:bottom w:val="none" w:sz="0" w:space="0" w:color="auto"/>
        <w:right w:val="none" w:sz="0" w:space="0" w:color="auto"/>
      </w:divBdr>
      <w:divsChild>
        <w:div w:id="974801162">
          <w:marLeft w:val="0"/>
          <w:marRight w:val="0"/>
          <w:marTop w:val="0"/>
          <w:marBottom w:val="0"/>
          <w:divBdr>
            <w:top w:val="none" w:sz="0" w:space="0" w:color="auto"/>
            <w:left w:val="none" w:sz="0" w:space="0" w:color="auto"/>
            <w:bottom w:val="none" w:sz="0" w:space="0" w:color="auto"/>
            <w:right w:val="none" w:sz="0" w:space="0" w:color="auto"/>
          </w:divBdr>
        </w:div>
      </w:divsChild>
    </w:div>
    <w:div w:id="406464549">
      <w:marLeft w:val="0"/>
      <w:marRight w:val="0"/>
      <w:marTop w:val="0"/>
      <w:marBottom w:val="0"/>
      <w:divBdr>
        <w:top w:val="none" w:sz="0" w:space="0" w:color="auto"/>
        <w:left w:val="none" w:sz="0" w:space="0" w:color="auto"/>
        <w:bottom w:val="none" w:sz="0" w:space="0" w:color="auto"/>
        <w:right w:val="none" w:sz="0" w:space="0" w:color="auto"/>
      </w:divBdr>
      <w:divsChild>
        <w:div w:id="434908083">
          <w:marLeft w:val="0"/>
          <w:marRight w:val="0"/>
          <w:marTop w:val="0"/>
          <w:marBottom w:val="0"/>
          <w:divBdr>
            <w:top w:val="none" w:sz="0" w:space="0" w:color="auto"/>
            <w:left w:val="none" w:sz="0" w:space="0" w:color="auto"/>
            <w:bottom w:val="none" w:sz="0" w:space="0" w:color="auto"/>
            <w:right w:val="none" w:sz="0" w:space="0" w:color="auto"/>
          </w:divBdr>
        </w:div>
      </w:divsChild>
    </w:div>
    <w:div w:id="411582843">
      <w:marLeft w:val="0"/>
      <w:marRight w:val="0"/>
      <w:marTop w:val="120"/>
      <w:marBottom w:val="0"/>
      <w:divBdr>
        <w:top w:val="none" w:sz="0" w:space="0" w:color="auto"/>
        <w:left w:val="none" w:sz="0" w:space="0" w:color="auto"/>
        <w:bottom w:val="none" w:sz="0" w:space="0" w:color="auto"/>
        <w:right w:val="none" w:sz="0" w:space="0" w:color="auto"/>
      </w:divBdr>
      <w:divsChild>
        <w:div w:id="1140537288">
          <w:marLeft w:val="0"/>
          <w:marRight w:val="0"/>
          <w:marTop w:val="0"/>
          <w:marBottom w:val="0"/>
          <w:divBdr>
            <w:top w:val="none" w:sz="0" w:space="0" w:color="auto"/>
            <w:left w:val="none" w:sz="0" w:space="0" w:color="auto"/>
            <w:bottom w:val="none" w:sz="0" w:space="0" w:color="auto"/>
            <w:right w:val="none" w:sz="0" w:space="0" w:color="auto"/>
          </w:divBdr>
        </w:div>
      </w:divsChild>
    </w:div>
    <w:div w:id="578715415">
      <w:marLeft w:val="0"/>
      <w:marRight w:val="0"/>
      <w:marTop w:val="0"/>
      <w:marBottom w:val="0"/>
      <w:divBdr>
        <w:top w:val="none" w:sz="0" w:space="0" w:color="auto"/>
        <w:left w:val="none" w:sz="0" w:space="0" w:color="auto"/>
        <w:bottom w:val="none" w:sz="0" w:space="0" w:color="auto"/>
        <w:right w:val="none" w:sz="0" w:space="0" w:color="auto"/>
      </w:divBdr>
      <w:divsChild>
        <w:div w:id="1241257896">
          <w:marLeft w:val="0"/>
          <w:marRight w:val="0"/>
          <w:marTop w:val="160"/>
          <w:marBottom w:val="0"/>
          <w:divBdr>
            <w:top w:val="none" w:sz="0" w:space="0" w:color="auto"/>
            <w:left w:val="none" w:sz="0" w:space="0" w:color="auto"/>
            <w:bottom w:val="none" w:sz="0" w:space="0" w:color="auto"/>
            <w:right w:val="none" w:sz="0" w:space="0" w:color="auto"/>
          </w:divBdr>
          <w:divsChild>
            <w:div w:id="1064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6125">
      <w:marLeft w:val="0"/>
      <w:marRight w:val="0"/>
      <w:marTop w:val="0"/>
      <w:marBottom w:val="0"/>
      <w:divBdr>
        <w:top w:val="none" w:sz="0" w:space="0" w:color="auto"/>
        <w:left w:val="none" w:sz="0" w:space="0" w:color="auto"/>
        <w:bottom w:val="none" w:sz="0" w:space="0" w:color="auto"/>
        <w:right w:val="none" w:sz="0" w:space="0" w:color="auto"/>
      </w:divBdr>
      <w:divsChild>
        <w:div w:id="682441486">
          <w:marLeft w:val="0"/>
          <w:marRight w:val="0"/>
          <w:marTop w:val="240"/>
          <w:marBottom w:val="0"/>
          <w:divBdr>
            <w:top w:val="none" w:sz="0" w:space="0" w:color="auto"/>
            <w:left w:val="none" w:sz="0" w:space="0" w:color="auto"/>
            <w:bottom w:val="none" w:sz="0" w:space="0" w:color="auto"/>
            <w:right w:val="none" w:sz="0" w:space="0" w:color="auto"/>
          </w:divBdr>
          <w:divsChild>
            <w:div w:id="10729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2888">
      <w:marLeft w:val="0"/>
      <w:marRight w:val="0"/>
      <w:marTop w:val="100"/>
      <w:marBottom w:val="0"/>
      <w:divBdr>
        <w:top w:val="none" w:sz="0" w:space="0" w:color="auto"/>
        <w:left w:val="none" w:sz="0" w:space="0" w:color="auto"/>
        <w:bottom w:val="none" w:sz="0" w:space="0" w:color="auto"/>
        <w:right w:val="none" w:sz="0" w:space="0" w:color="auto"/>
      </w:divBdr>
      <w:divsChild>
        <w:div w:id="455754130">
          <w:marLeft w:val="0"/>
          <w:marRight w:val="0"/>
          <w:marTop w:val="0"/>
          <w:marBottom w:val="0"/>
          <w:divBdr>
            <w:top w:val="none" w:sz="0" w:space="0" w:color="auto"/>
            <w:left w:val="none" w:sz="0" w:space="0" w:color="auto"/>
            <w:bottom w:val="none" w:sz="0" w:space="0" w:color="auto"/>
            <w:right w:val="none" w:sz="0" w:space="0" w:color="auto"/>
          </w:divBdr>
        </w:div>
      </w:divsChild>
    </w:div>
    <w:div w:id="658734802">
      <w:marLeft w:val="0"/>
      <w:marRight w:val="0"/>
      <w:marTop w:val="0"/>
      <w:marBottom w:val="0"/>
      <w:divBdr>
        <w:top w:val="none" w:sz="0" w:space="0" w:color="auto"/>
        <w:left w:val="none" w:sz="0" w:space="0" w:color="auto"/>
        <w:bottom w:val="none" w:sz="0" w:space="0" w:color="auto"/>
        <w:right w:val="none" w:sz="0" w:space="0" w:color="auto"/>
      </w:divBdr>
      <w:divsChild>
        <w:div w:id="986008070">
          <w:marLeft w:val="0"/>
          <w:marRight w:val="0"/>
          <w:marTop w:val="160"/>
          <w:marBottom w:val="0"/>
          <w:divBdr>
            <w:top w:val="none" w:sz="0" w:space="0" w:color="auto"/>
            <w:left w:val="none" w:sz="0" w:space="0" w:color="auto"/>
            <w:bottom w:val="none" w:sz="0" w:space="0" w:color="auto"/>
            <w:right w:val="none" w:sz="0" w:space="0" w:color="auto"/>
          </w:divBdr>
          <w:divsChild>
            <w:div w:id="549192038">
              <w:marLeft w:val="0"/>
              <w:marRight w:val="0"/>
              <w:marTop w:val="0"/>
              <w:marBottom w:val="0"/>
              <w:divBdr>
                <w:top w:val="none" w:sz="0" w:space="0" w:color="auto"/>
                <w:left w:val="none" w:sz="0" w:space="0" w:color="auto"/>
                <w:bottom w:val="none" w:sz="0" w:space="0" w:color="auto"/>
                <w:right w:val="none" w:sz="0" w:space="0" w:color="auto"/>
              </w:divBdr>
            </w:div>
          </w:divsChild>
        </w:div>
        <w:div w:id="41950001">
          <w:marLeft w:val="0"/>
          <w:marRight w:val="0"/>
          <w:marTop w:val="0"/>
          <w:marBottom w:val="0"/>
          <w:divBdr>
            <w:top w:val="none" w:sz="0" w:space="0" w:color="auto"/>
            <w:left w:val="none" w:sz="0" w:space="0" w:color="auto"/>
            <w:bottom w:val="none" w:sz="0" w:space="0" w:color="auto"/>
            <w:right w:val="none" w:sz="0" w:space="0" w:color="auto"/>
          </w:divBdr>
        </w:div>
      </w:divsChild>
    </w:div>
    <w:div w:id="660424230">
      <w:marLeft w:val="0"/>
      <w:marRight w:val="0"/>
      <w:marTop w:val="100"/>
      <w:marBottom w:val="0"/>
      <w:divBdr>
        <w:top w:val="none" w:sz="0" w:space="0" w:color="auto"/>
        <w:left w:val="none" w:sz="0" w:space="0" w:color="auto"/>
        <w:bottom w:val="none" w:sz="0" w:space="0" w:color="auto"/>
        <w:right w:val="none" w:sz="0" w:space="0" w:color="auto"/>
      </w:divBdr>
      <w:divsChild>
        <w:div w:id="485247669">
          <w:marLeft w:val="0"/>
          <w:marRight w:val="0"/>
          <w:marTop w:val="0"/>
          <w:marBottom w:val="0"/>
          <w:divBdr>
            <w:top w:val="none" w:sz="0" w:space="0" w:color="auto"/>
            <w:left w:val="none" w:sz="0" w:space="0" w:color="auto"/>
            <w:bottom w:val="none" w:sz="0" w:space="0" w:color="auto"/>
            <w:right w:val="none" w:sz="0" w:space="0" w:color="auto"/>
          </w:divBdr>
        </w:div>
      </w:divsChild>
    </w:div>
    <w:div w:id="678049170">
      <w:marLeft w:val="0"/>
      <w:marRight w:val="0"/>
      <w:marTop w:val="100"/>
      <w:marBottom w:val="0"/>
      <w:divBdr>
        <w:top w:val="none" w:sz="0" w:space="0" w:color="auto"/>
        <w:left w:val="none" w:sz="0" w:space="0" w:color="auto"/>
        <w:bottom w:val="none" w:sz="0" w:space="0" w:color="auto"/>
        <w:right w:val="none" w:sz="0" w:space="0" w:color="auto"/>
      </w:divBdr>
      <w:divsChild>
        <w:div w:id="1237475332">
          <w:marLeft w:val="0"/>
          <w:marRight w:val="0"/>
          <w:marTop w:val="0"/>
          <w:marBottom w:val="0"/>
          <w:divBdr>
            <w:top w:val="none" w:sz="0" w:space="0" w:color="auto"/>
            <w:left w:val="none" w:sz="0" w:space="0" w:color="auto"/>
            <w:bottom w:val="none" w:sz="0" w:space="0" w:color="auto"/>
            <w:right w:val="none" w:sz="0" w:space="0" w:color="auto"/>
          </w:divBdr>
        </w:div>
      </w:divsChild>
    </w:div>
    <w:div w:id="714894711">
      <w:marLeft w:val="0"/>
      <w:marRight w:val="0"/>
      <w:marTop w:val="0"/>
      <w:marBottom w:val="0"/>
      <w:divBdr>
        <w:top w:val="none" w:sz="0" w:space="0" w:color="auto"/>
        <w:left w:val="none" w:sz="0" w:space="0" w:color="auto"/>
        <w:bottom w:val="none" w:sz="0" w:space="0" w:color="auto"/>
        <w:right w:val="none" w:sz="0" w:space="0" w:color="auto"/>
      </w:divBdr>
    </w:div>
    <w:div w:id="784616848">
      <w:marLeft w:val="0"/>
      <w:marRight w:val="0"/>
      <w:marTop w:val="100"/>
      <w:marBottom w:val="0"/>
      <w:divBdr>
        <w:top w:val="none" w:sz="0" w:space="0" w:color="auto"/>
        <w:left w:val="none" w:sz="0" w:space="0" w:color="auto"/>
        <w:bottom w:val="none" w:sz="0" w:space="0" w:color="auto"/>
        <w:right w:val="none" w:sz="0" w:space="0" w:color="auto"/>
      </w:divBdr>
      <w:divsChild>
        <w:div w:id="1046682800">
          <w:marLeft w:val="0"/>
          <w:marRight w:val="0"/>
          <w:marTop w:val="0"/>
          <w:marBottom w:val="0"/>
          <w:divBdr>
            <w:top w:val="none" w:sz="0" w:space="0" w:color="auto"/>
            <w:left w:val="none" w:sz="0" w:space="0" w:color="auto"/>
            <w:bottom w:val="none" w:sz="0" w:space="0" w:color="auto"/>
            <w:right w:val="none" w:sz="0" w:space="0" w:color="auto"/>
          </w:divBdr>
        </w:div>
      </w:divsChild>
    </w:div>
    <w:div w:id="839085405">
      <w:marLeft w:val="0"/>
      <w:marRight w:val="0"/>
      <w:marTop w:val="100"/>
      <w:marBottom w:val="0"/>
      <w:divBdr>
        <w:top w:val="none" w:sz="0" w:space="0" w:color="auto"/>
        <w:left w:val="none" w:sz="0" w:space="0" w:color="auto"/>
        <w:bottom w:val="none" w:sz="0" w:space="0" w:color="auto"/>
        <w:right w:val="none" w:sz="0" w:space="0" w:color="auto"/>
      </w:divBdr>
      <w:divsChild>
        <w:div w:id="1339037769">
          <w:marLeft w:val="0"/>
          <w:marRight w:val="0"/>
          <w:marTop w:val="0"/>
          <w:marBottom w:val="0"/>
          <w:divBdr>
            <w:top w:val="none" w:sz="0" w:space="0" w:color="auto"/>
            <w:left w:val="none" w:sz="0" w:space="0" w:color="auto"/>
            <w:bottom w:val="none" w:sz="0" w:space="0" w:color="auto"/>
            <w:right w:val="none" w:sz="0" w:space="0" w:color="auto"/>
          </w:divBdr>
        </w:div>
      </w:divsChild>
    </w:div>
    <w:div w:id="913005063">
      <w:marLeft w:val="0"/>
      <w:marRight w:val="0"/>
      <w:marTop w:val="0"/>
      <w:marBottom w:val="0"/>
      <w:divBdr>
        <w:top w:val="none" w:sz="0" w:space="0" w:color="auto"/>
        <w:left w:val="none" w:sz="0" w:space="0" w:color="auto"/>
        <w:bottom w:val="none" w:sz="0" w:space="0" w:color="auto"/>
        <w:right w:val="none" w:sz="0" w:space="0" w:color="auto"/>
      </w:divBdr>
      <w:divsChild>
        <w:div w:id="2141268506">
          <w:marLeft w:val="0"/>
          <w:marRight w:val="0"/>
          <w:marTop w:val="160"/>
          <w:marBottom w:val="0"/>
          <w:divBdr>
            <w:top w:val="none" w:sz="0" w:space="0" w:color="auto"/>
            <w:left w:val="none" w:sz="0" w:space="0" w:color="auto"/>
            <w:bottom w:val="none" w:sz="0" w:space="0" w:color="auto"/>
            <w:right w:val="none" w:sz="0" w:space="0" w:color="auto"/>
          </w:divBdr>
          <w:divsChild>
            <w:div w:id="19582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249">
      <w:marLeft w:val="0"/>
      <w:marRight w:val="0"/>
      <w:marTop w:val="0"/>
      <w:marBottom w:val="0"/>
      <w:divBdr>
        <w:top w:val="none" w:sz="0" w:space="0" w:color="auto"/>
        <w:left w:val="none" w:sz="0" w:space="0" w:color="auto"/>
        <w:bottom w:val="none" w:sz="0" w:space="0" w:color="auto"/>
        <w:right w:val="none" w:sz="0" w:space="0" w:color="auto"/>
      </w:divBdr>
      <w:divsChild>
        <w:div w:id="266893178">
          <w:marLeft w:val="0"/>
          <w:marRight w:val="0"/>
          <w:marTop w:val="160"/>
          <w:marBottom w:val="0"/>
          <w:divBdr>
            <w:top w:val="none" w:sz="0" w:space="0" w:color="auto"/>
            <w:left w:val="none" w:sz="0" w:space="0" w:color="auto"/>
            <w:bottom w:val="none" w:sz="0" w:space="0" w:color="auto"/>
            <w:right w:val="none" w:sz="0" w:space="0" w:color="auto"/>
          </w:divBdr>
          <w:divsChild>
            <w:div w:id="1672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031">
      <w:marLeft w:val="0"/>
      <w:marRight w:val="0"/>
      <w:marTop w:val="100"/>
      <w:marBottom w:val="0"/>
      <w:divBdr>
        <w:top w:val="none" w:sz="0" w:space="0" w:color="auto"/>
        <w:left w:val="none" w:sz="0" w:space="0" w:color="auto"/>
        <w:bottom w:val="none" w:sz="0" w:space="0" w:color="auto"/>
        <w:right w:val="none" w:sz="0" w:space="0" w:color="auto"/>
      </w:divBdr>
      <w:divsChild>
        <w:div w:id="47186325">
          <w:marLeft w:val="0"/>
          <w:marRight w:val="0"/>
          <w:marTop w:val="0"/>
          <w:marBottom w:val="0"/>
          <w:divBdr>
            <w:top w:val="none" w:sz="0" w:space="0" w:color="auto"/>
            <w:left w:val="none" w:sz="0" w:space="0" w:color="auto"/>
            <w:bottom w:val="none" w:sz="0" w:space="0" w:color="auto"/>
            <w:right w:val="none" w:sz="0" w:space="0" w:color="auto"/>
          </w:divBdr>
        </w:div>
      </w:divsChild>
    </w:div>
    <w:div w:id="946809837">
      <w:marLeft w:val="0"/>
      <w:marRight w:val="0"/>
      <w:marTop w:val="0"/>
      <w:marBottom w:val="0"/>
      <w:divBdr>
        <w:top w:val="none" w:sz="0" w:space="0" w:color="auto"/>
        <w:left w:val="none" w:sz="0" w:space="0" w:color="auto"/>
        <w:bottom w:val="none" w:sz="0" w:space="0" w:color="auto"/>
        <w:right w:val="none" w:sz="0" w:space="0" w:color="auto"/>
      </w:divBdr>
      <w:divsChild>
        <w:div w:id="1547062096">
          <w:marLeft w:val="0"/>
          <w:marRight w:val="0"/>
          <w:marTop w:val="160"/>
          <w:marBottom w:val="0"/>
          <w:divBdr>
            <w:top w:val="none" w:sz="0" w:space="0" w:color="auto"/>
            <w:left w:val="none" w:sz="0" w:space="0" w:color="auto"/>
            <w:bottom w:val="none" w:sz="0" w:space="0" w:color="auto"/>
            <w:right w:val="none" w:sz="0" w:space="0" w:color="auto"/>
          </w:divBdr>
          <w:divsChild>
            <w:div w:id="298146157">
              <w:marLeft w:val="0"/>
              <w:marRight w:val="0"/>
              <w:marTop w:val="0"/>
              <w:marBottom w:val="0"/>
              <w:divBdr>
                <w:top w:val="none" w:sz="0" w:space="0" w:color="auto"/>
                <w:left w:val="none" w:sz="0" w:space="0" w:color="auto"/>
                <w:bottom w:val="none" w:sz="0" w:space="0" w:color="auto"/>
                <w:right w:val="none" w:sz="0" w:space="0" w:color="auto"/>
              </w:divBdr>
            </w:div>
          </w:divsChild>
        </w:div>
        <w:div w:id="1797674015">
          <w:marLeft w:val="0"/>
          <w:marRight w:val="0"/>
          <w:marTop w:val="0"/>
          <w:marBottom w:val="0"/>
          <w:divBdr>
            <w:top w:val="none" w:sz="0" w:space="0" w:color="auto"/>
            <w:left w:val="none" w:sz="0" w:space="0" w:color="auto"/>
            <w:bottom w:val="none" w:sz="0" w:space="0" w:color="auto"/>
            <w:right w:val="none" w:sz="0" w:space="0" w:color="auto"/>
          </w:divBdr>
          <w:divsChild>
            <w:div w:id="745568307">
              <w:marLeft w:val="0"/>
              <w:marRight w:val="0"/>
              <w:marTop w:val="40"/>
              <w:marBottom w:val="0"/>
              <w:divBdr>
                <w:top w:val="none" w:sz="0" w:space="0" w:color="auto"/>
                <w:left w:val="none" w:sz="0" w:space="0" w:color="auto"/>
                <w:bottom w:val="none" w:sz="0" w:space="0" w:color="auto"/>
                <w:right w:val="none" w:sz="0" w:space="0" w:color="auto"/>
              </w:divBdr>
              <w:divsChild>
                <w:div w:id="1543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1696">
      <w:marLeft w:val="0"/>
      <w:marRight w:val="0"/>
      <w:marTop w:val="0"/>
      <w:marBottom w:val="0"/>
      <w:divBdr>
        <w:top w:val="none" w:sz="0" w:space="0" w:color="auto"/>
        <w:left w:val="none" w:sz="0" w:space="0" w:color="auto"/>
        <w:bottom w:val="none" w:sz="0" w:space="0" w:color="auto"/>
        <w:right w:val="none" w:sz="0" w:space="0" w:color="auto"/>
      </w:divBdr>
      <w:divsChild>
        <w:div w:id="1703549112">
          <w:marLeft w:val="0"/>
          <w:marRight w:val="0"/>
          <w:marTop w:val="160"/>
          <w:marBottom w:val="0"/>
          <w:divBdr>
            <w:top w:val="none" w:sz="0" w:space="0" w:color="auto"/>
            <w:left w:val="none" w:sz="0" w:space="0" w:color="auto"/>
            <w:bottom w:val="none" w:sz="0" w:space="0" w:color="auto"/>
            <w:right w:val="none" w:sz="0" w:space="0" w:color="auto"/>
          </w:divBdr>
          <w:divsChild>
            <w:div w:id="1809784583">
              <w:marLeft w:val="0"/>
              <w:marRight w:val="0"/>
              <w:marTop w:val="0"/>
              <w:marBottom w:val="0"/>
              <w:divBdr>
                <w:top w:val="none" w:sz="0" w:space="0" w:color="auto"/>
                <w:left w:val="none" w:sz="0" w:space="0" w:color="auto"/>
                <w:bottom w:val="none" w:sz="0" w:space="0" w:color="auto"/>
                <w:right w:val="none" w:sz="0" w:space="0" w:color="auto"/>
              </w:divBdr>
            </w:div>
          </w:divsChild>
        </w:div>
        <w:div w:id="750587086">
          <w:marLeft w:val="0"/>
          <w:marRight w:val="0"/>
          <w:marTop w:val="0"/>
          <w:marBottom w:val="0"/>
          <w:divBdr>
            <w:top w:val="none" w:sz="0" w:space="0" w:color="auto"/>
            <w:left w:val="none" w:sz="0" w:space="0" w:color="auto"/>
            <w:bottom w:val="none" w:sz="0" w:space="0" w:color="auto"/>
            <w:right w:val="none" w:sz="0" w:space="0" w:color="auto"/>
          </w:divBdr>
        </w:div>
        <w:div w:id="406611840">
          <w:marLeft w:val="0"/>
          <w:marRight w:val="0"/>
          <w:marTop w:val="0"/>
          <w:marBottom w:val="0"/>
          <w:divBdr>
            <w:top w:val="none" w:sz="0" w:space="0" w:color="auto"/>
            <w:left w:val="none" w:sz="0" w:space="0" w:color="auto"/>
            <w:bottom w:val="none" w:sz="0" w:space="0" w:color="auto"/>
            <w:right w:val="none" w:sz="0" w:space="0" w:color="auto"/>
          </w:divBdr>
        </w:div>
      </w:divsChild>
    </w:div>
    <w:div w:id="1190990193">
      <w:marLeft w:val="0"/>
      <w:marRight w:val="0"/>
      <w:marTop w:val="100"/>
      <w:marBottom w:val="0"/>
      <w:divBdr>
        <w:top w:val="none" w:sz="0" w:space="0" w:color="auto"/>
        <w:left w:val="none" w:sz="0" w:space="0" w:color="auto"/>
        <w:bottom w:val="none" w:sz="0" w:space="0" w:color="auto"/>
        <w:right w:val="none" w:sz="0" w:space="0" w:color="auto"/>
      </w:divBdr>
      <w:divsChild>
        <w:div w:id="1957519485">
          <w:marLeft w:val="0"/>
          <w:marRight w:val="0"/>
          <w:marTop w:val="0"/>
          <w:marBottom w:val="0"/>
          <w:divBdr>
            <w:top w:val="none" w:sz="0" w:space="0" w:color="auto"/>
            <w:left w:val="none" w:sz="0" w:space="0" w:color="auto"/>
            <w:bottom w:val="none" w:sz="0" w:space="0" w:color="auto"/>
            <w:right w:val="none" w:sz="0" w:space="0" w:color="auto"/>
          </w:divBdr>
        </w:div>
      </w:divsChild>
    </w:div>
    <w:div w:id="1225410000">
      <w:marLeft w:val="0"/>
      <w:marRight w:val="0"/>
      <w:marTop w:val="0"/>
      <w:marBottom w:val="0"/>
      <w:divBdr>
        <w:top w:val="none" w:sz="0" w:space="0" w:color="auto"/>
        <w:left w:val="none" w:sz="0" w:space="0" w:color="auto"/>
        <w:bottom w:val="none" w:sz="0" w:space="0" w:color="auto"/>
        <w:right w:val="none" w:sz="0" w:space="0" w:color="auto"/>
      </w:divBdr>
      <w:divsChild>
        <w:div w:id="886838671">
          <w:marLeft w:val="0"/>
          <w:marRight w:val="0"/>
          <w:marTop w:val="160"/>
          <w:marBottom w:val="0"/>
          <w:divBdr>
            <w:top w:val="none" w:sz="0" w:space="0" w:color="auto"/>
            <w:left w:val="none" w:sz="0" w:space="0" w:color="auto"/>
            <w:bottom w:val="none" w:sz="0" w:space="0" w:color="auto"/>
            <w:right w:val="none" w:sz="0" w:space="0" w:color="auto"/>
          </w:divBdr>
          <w:divsChild>
            <w:div w:id="263264669">
              <w:marLeft w:val="0"/>
              <w:marRight w:val="0"/>
              <w:marTop w:val="0"/>
              <w:marBottom w:val="0"/>
              <w:divBdr>
                <w:top w:val="none" w:sz="0" w:space="0" w:color="auto"/>
                <w:left w:val="none" w:sz="0" w:space="0" w:color="auto"/>
                <w:bottom w:val="none" w:sz="0" w:space="0" w:color="auto"/>
                <w:right w:val="none" w:sz="0" w:space="0" w:color="auto"/>
              </w:divBdr>
            </w:div>
          </w:divsChild>
        </w:div>
        <w:div w:id="1770813193">
          <w:marLeft w:val="0"/>
          <w:marRight w:val="0"/>
          <w:marTop w:val="0"/>
          <w:marBottom w:val="0"/>
          <w:divBdr>
            <w:top w:val="none" w:sz="0" w:space="0" w:color="auto"/>
            <w:left w:val="none" w:sz="0" w:space="0" w:color="auto"/>
            <w:bottom w:val="none" w:sz="0" w:space="0" w:color="auto"/>
            <w:right w:val="none" w:sz="0" w:space="0" w:color="auto"/>
          </w:divBdr>
        </w:div>
        <w:div w:id="1852404219">
          <w:marLeft w:val="0"/>
          <w:marRight w:val="0"/>
          <w:marTop w:val="0"/>
          <w:marBottom w:val="0"/>
          <w:divBdr>
            <w:top w:val="none" w:sz="0" w:space="0" w:color="auto"/>
            <w:left w:val="none" w:sz="0" w:space="0" w:color="auto"/>
            <w:bottom w:val="none" w:sz="0" w:space="0" w:color="auto"/>
            <w:right w:val="none" w:sz="0" w:space="0" w:color="auto"/>
          </w:divBdr>
        </w:div>
      </w:divsChild>
    </w:div>
    <w:div w:id="1229264454">
      <w:marLeft w:val="4"/>
      <w:marRight w:val="0"/>
      <w:marTop w:val="120"/>
      <w:marBottom w:val="0"/>
      <w:divBdr>
        <w:top w:val="none" w:sz="0" w:space="0" w:color="auto"/>
        <w:left w:val="none" w:sz="0" w:space="0" w:color="auto"/>
        <w:bottom w:val="none" w:sz="0" w:space="0" w:color="auto"/>
        <w:right w:val="none" w:sz="0" w:space="0" w:color="auto"/>
      </w:divBdr>
      <w:divsChild>
        <w:div w:id="465664654">
          <w:marLeft w:val="0"/>
          <w:marRight w:val="0"/>
          <w:marTop w:val="0"/>
          <w:marBottom w:val="0"/>
          <w:divBdr>
            <w:top w:val="none" w:sz="0" w:space="0" w:color="auto"/>
            <w:left w:val="none" w:sz="0" w:space="0" w:color="auto"/>
            <w:bottom w:val="none" w:sz="0" w:space="0" w:color="auto"/>
            <w:right w:val="none" w:sz="0" w:space="0" w:color="auto"/>
          </w:divBdr>
        </w:div>
      </w:divsChild>
    </w:div>
    <w:div w:id="1235046756">
      <w:marLeft w:val="0"/>
      <w:marRight w:val="0"/>
      <w:marTop w:val="100"/>
      <w:marBottom w:val="0"/>
      <w:divBdr>
        <w:top w:val="none" w:sz="0" w:space="0" w:color="auto"/>
        <w:left w:val="none" w:sz="0" w:space="0" w:color="auto"/>
        <w:bottom w:val="none" w:sz="0" w:space="0" w:color="auto"/>
        <w:right w:val="none" w:sz="0" w:space="0" w:color="auto"/>
      </w:divBdr>
      <w:divsChild>
        <w:div w:id="1794859030">
          <w:marLeft w:val="0"/>
          <w:marRight w:val="0"/>
          <w:marTop w:val="0"/>
          <w:marBottom w:val="0"/>
          <w:divBdr>
            <w:top w:val="none" w:sz="0" w:space="0" w:color="auto"/>
            <w:left w:val="none" w:sz="0" w:space="0" w:color="auto"/>
            <w:bottom w:val="none" w:sz="0" w:space="0" w:color="auto"/>
            <w:right w:val="none" w:sz="0" w:space="0" w:color="auto"/>
          </w:divBdr>
        </w:div>
      </w:divsChild>
    </w:div>
    <w:div w:id="1271359244">
      <w:marLeft w:val="0"/>
      <w:marRight w:val="0"/>
      <w:marTop w:val="0"/>
      <w:marBottom w:val="0"/>
      <w:divBdr>
        <w:top w:val="none" w:sz="0" w:space="0" w:color="auto"/>
        <w:left w:val="none" w:sz="0" w:space="0" w:color="auto"/>
        <w:bottom w:val="none" w:sz="0" w:space="0" w:color="auto"/>
        <w:right w:val="none" w:sz="0" w:space="0" w:color="auto"/>
      </w:divBdr>
      <w:divsChild>
        <w:div w:id="1443841812">
          <w:marLeft w:val="0"/>
          <w:marRight w:val="0"/>
          <w:marTop w:val="160"/>
          <w:marBottom w:val="0"/>
          <w:divBdr>
            <w:top w:val="none" w:sz="0" w:space="0" w:color="auto"/>
            <w:left w:val="none" w:sz="0" w:space="0" w:color="auto"/>
            <w:bottom w:val="none" w:sz="0" w:space="0" w:color="auto"/>
            <w:right w:val="none" w:sz="0" w:space="0" w:color="auto"/>
          </w:divBdr>
          <w:divsChild>
            <w:div w:id="1699894003">
              <w:marLeft w:val="0"/>
              <w:marRight w:val="0"/>
              <w:marTop w:val="0"/>
              <w:marBottom w:val="0"/>
              <w:divBdr>
                <w:top w:val="none" w:sz="0" w:space="0" w:color="auto"/>
                <w:left w:val="none" w:sz="0" w:space="0" w:color="auto"/>
                <w:bottom w:val="none" w:sz="0" w:space="0" w:color="auto"/>
                <w:right w:val="none" w:sz="0" w:space="0" w:color="auto"/>
              </w:divBdr>
            </w:div>
          </w:divsChild>
        </w:div>
        <w:div w:id="1742873909">
          <w:marLeft w:val="0"/>
          <w:marRight w:val="0"/>
          <w:marTop w:val="0"/>
          <w:marBottom w:val="0"/>
          <w:divBdr>
            <w:top w:val="none" w:sz="0" w:space="0" w:color="auto"/>
            <w:left w:val="none" w:sz="0" w:space="0" w:color="auto"/>
            <w:bottom w:val="none" w:sz="0" w:space="0" w:color="auto"/>
            <w:right w:val="none" w:sz="0" w:space="0" w:color="auto"/>
          </w:divBdr>
        </w:div>
        <w:div w:id="166136885">
          <w:marLeft w:val="0"/>
          <w:marRight w:val="0"/>
          <w:marTop w:val="0"/>
          <w:marBottom w:val="0"/>
          <w:divBdr>
            <w:top w:val="none" w:sz="0" w:space="0" w:color="auto"/>
            <w:left w:val="none" w:sz="0" w:space="0" w:color="auto"/>
            <w:bottom w:val="none" w:sz="0" w:space="0" w:color="auto"/>
            <w:right w:val="none" w:sz="0" w:space="0" w:color="auto"/>
          </w:divBdr>
        </w:div>
        <w:div w:id="16590288">
          <w:marLeft w:val="0"/>
          <w:marRight w:val="0"/>
          <w:marTop w:val="0"/>
          <w:marBottom w:val="0"/>
          <w:divBdr>
            <w:top w:val="none" w:sz="0" w:space="0" w:color="auto"/>
            <w:left w:val="none" w:sz="0" w:space="0" w:color="auto"/>
            <w:bottom w:val="none" w:sz="0" w:space="0" w:color="auto"/>
            <w:right w:val="none" w:sz="0" w:space="0" w:color="auto"/>
          </w:divBdr>
        </w:div>
        <w:div w:id="487019547">
          <w:marLeft w:val="0"/>
          <w:marRight w:val="0"/>
          <w:marTop w:val="0"/>
          <w:marBottom w:val="0"/>
          <w:divBdr>
            <w:top w:val="none" w:sz="0" w:space="0" w:color="auto"/>
            <w:left w:val="none" w:sz="0" w:space="0" w:color="auto"/>
            <w:bottom w:val="none" w:sz="0" w:space="0" w:color="auto"/>
            <w:right w:val="none" w:sz="0" w:space="0" w:color="auto"/>
          </w:divBdr>
        </w:div>
        <w:div w:id="593979074">
          <w:marLeft w:val="0"/>
          <w:marRight w:val="0"/>
          <w:marTop w:val="0"/>
          <w:marBottom w:val="0"/>
          <w:divBdr>
            <w:top w:val="none" w:sz="0" w:space="0" w:color="auto"/>
            <w:left w:val="none" w:sz="0" w:space="0" w:color="auto"/>
            <w:bottom w:val="none" w:sz="0" w:space="0" w:color="auto"/>
            <w:right w:val="none" w:sz="0" w:space="0" w:color="auto"/>
          </w:divBdr>
        </w:div>
      </w:divsChild>
    </w:div>
    <w:div w:id="1295529065">
      <w:marLeft w:val="0"/>
      <w:marRight w:val="0"/>
      <w:marTop w:val="100"/>
      <w:marBottom w:val="0"/>
      <w:divBdr>
        <w:top w:val="none" w:sz="0" w:space="0" w:color="auto"/>
        <w:left w:val="none" w:sz="0" w:space="0" w:color="auto"/>
        <w:bottom w:val="none" w:sz="0" w:space="0" w:color="auto"/>
        <w:right w:val="none" w:sz="0" w:space="0" w:color="auto"/>
      </w:divBdr>
      <w:divsChild>
        <w:div w:id="1900431937">
          <w:marLeft w:val="0"/>
          <w:marRight w:val="0"/>
          <w:marTop w:val="0"/>
          <w:marBottom w:val="0"/>
          <w:divBdr>
            <w:top w:val="none" w:sz="0" w:space="0" w:color="auto"/>
            <w:left w:val="none" w:sz="0" w:space="0" w:color="auto"/>
            <w:bottom w:val="none" w:sz="0" w:space="0" w:color="auto"/>
            <w:right w:val="none" w:sz="0" w:space="0" w:color="auto"/>
          </w:divBdr>
        </w:div>
      </w:divsChild>
    </w:div>
    <w:div w:id="1440415817">
      <w:marLeft w:val="0"/>
      <w:marRight w:val="0"/>
      <w:marTop w:val="100"/>
      <w:marBottom w:val="0"/>
      <w:divBdr>
        <w:top w:val="none" w:sz="0" w:space="0" w:color="auto"/>
        <w:left w:val="none" w:sz="0" w:space="0" w:color="auto"/>
        <w:bottom w:val="none" w:sz="0" w:space="0" w:color="auto"/>
        <w:right w:val="none" w:sz="0" w:space="0" w:color="auto"/>
      </w:divBdr>
      <w:divsChild>
        <w:div w:id="1786339217">
          <w:marLeft w:val="0"/>
          <w:marRight w:val="0"/>
          <w:marTop w:val="0"/>
          <w:marBottom w:val="0"/>
          <w:divBdr>
            <w:top w:val="none" w:sz="0" w:space="0" w:color="auto"/>
            <w:left w:val="none" w:sz="0" w:space="0" w:color="auto"/>
            <w:bottom w:val="none" w:sz="0" w:space="0" w:color="auto"/>
            <w:right w:val="none" w:sz="0" w:space="0" w:color="auto"/>
          </w:divBdr>
        </w:div>
      </w:divsChild>
    </w:div>
    <w:div w:id="1457527249">
      <w:marLeft w:val="0"/>
      <w:marRight w:val="0"/>
      <w:marTop w:val="100"/>
      <w:marBottom w:val="0"/>
      <w:divBdr>
        <w:top w:val="none" w:sz="0" w:space="0" w:color="auto"/>
        <w:left w:val="none" w:sz="0" w:space="0" w:color="auto"/>
        <w:bottom w:val="none" w:sz="0" w:space="0" w:color="auto"/>
        <w:right w:val="none" w:sz="0" w:space="0" w:color="auto"/>
      </w:divBdr>
      <w:divsChild>
        <w:div w:id="431587212">
          <w:marLeft w:val="0"/>
          <w:marRight w:val="0"/>
          <w:marTop w:val="0"/>
          <w:marBottom w:val="0"/>
          <w:divBdr>
            <w:top w:val="none" w:sz="0" w:space="0" w:color="auto"/>
            <w:left w:val="none" w:sz="0" w:space="0" w:color="auto"/>
            <w:bottom w:val="none" w:sz="0" w:space="0" w:color="auto"/>
            <w:right w:val="none" w:sz="0" w:space="0" w:color="auto"/>
          </w:divBdr>
        </w:div>
      </w:divsChild>
    </w:div>
    <w:div w:id="1546870179">
      <w:marLeft w:val="0"/>
      <w:marRight w:val="0"/>
      <w:marTop w:val="100"/>
      <w:marBottom w:val="0"/>
      <w:divBdr>
        <w:top w:val="none" w:sz="0" w:space="0" w:color="auto"/>
        <w:left w:val="none" w:sz="0" w:space="0" w:color="auto"/>
        <w:bottom w:val="none" w:sz="0" w:space="0" w:color="auto"/>
        <w:right w:val="none" w:sz="0" w:space="0" w:color="auto"/>
      </w:divBdr>
      <w:divsChild>
        <w:div w:id="76444035">
          <w:marLeft w:val="0"/>
          <w:marRight w:val="0"/>
          <w:marTop w:val="0"/>
          <w:marBottom w:val="0"/>
          <w:divBdr>
            <w:top w:val="none" w:sz="0" w:space="0" w:color="auto"/>
            <w:left w:val="none" w:sz="0" w:space="0" w:color="auto"/>
            <w:bottom w:val="none" w:sz="0" w:space="0" w:color="auto"/>
            <w:right w:val="none" w:sz="0" w:space="0" w:color="auto"/>
          </w:divBdr>
        </w:div>
      </w:divsChild>
    </w:div>
    <w:div w:id="1564095437">
      <w:marLeft w:val="0"/>
      <w:marRight w:val="0"/>
      <w:marTop w:val="0"/>
      <w:marBottom w:val="0"/>
      <w:divBdr>
        <w:top w:val="none" w:sz="0" w:space="0" w:color="auto"/>
        <w:left w:val="none" w:sz="0" w:space="0" w:color="auto"/>
        <w:bottom w:val="none" w:sz="0" w:space="0" w:color="auto"/>
        <w:right w:val="none" w:sz="0" w:space="0" w:color="auto"/>
      </w:divBdr>
      <w:divsChild>
        <w:div w:id="645360815">
          <w:marLeft w:val="0"/>
          <w:marRight w:val="0"/>
          <w:marTop w:val="160"/>
          <w:marBottom w:val="0"/>
          <w:divBdr>
            <w:top w:val="none" w:sz="0" w:space="0" w:color="auto"/>
            <w:left w:val="none" w:sz="0" w:space="0" w:color="auto"/>
            <w:bottom w:val="none" w:sz="0" w:space="0" w:color="auto"/>
            <w:right w:val="none" w:sz="0" w:space="0" w:color="auto"/>
          </w:divBdr>
          <w:divsChild>
            <w:div w:id="1448770326">
              <w:marLeft w:val="0"/>
              <w:marRight w:val="0"/>
              <w:marTop w:val="0"/>
              <w:marBottom w:val="0"/>
              <w:divBdr>
                <w:top w:val="none" w:sz="0" w:space="0" w:color="auto"/>
                <w:left w:val="none" w:sz="0" w:space="0" w:color="auto"/>
                <w:bottom w:val="none" w:sz="0" w:space="0" w:color="auto"/>
                <w:right w:val="none" w:sz="0" w:space="0" w:color="auto"/>
              </w:divBdr>
            </w:div>
          </w:divsChild>
        </w:div>
        <w:div w:id="469438531">
          <w:marLeft w:val="0"/>
          <w:marRight w:val="0"/>
          <w:marTop w:val="0"/>
          <w:marBottom w:val="0"/>
          <w:divBdr>
            <w:top w:val="none" w:sz="0" w:space="0" w:color="auto"/>
            <w:left w:val="none" w:sz="0" w:space="0" w:color="auto"/>
            <w:bottom w:val="none" w:sz="0" w:space="0" w:color="auto"/>
            <w:right w:val="none" w:sz="0" w:space="0" w:color="auto"/>
          </w:divBdr>
          <w:divsChild>
            <w:div w:id="1546528294">
              <w:marLeft w:val="0"/>
              <w:marRight w:val="0"/>
              <w:marTop w:val="40"/>
              <w:marBottom w:val="0"/>
              <w:divBdr>
                <w:top w:val="none" w:sz="0" w:space="0" w:color="auto"/>
                <w:left w:val="none" w:sz="0" w:space="0" w:color="auto"/>
                <w:bottom w:val="none" w:sz="0" w:space="0" w:color="auto"/>
                <w:right w:val="none" w:sz="0" w:space="0" w:color="auto"/>
              </w:divBdr>
              <w:divsChild>
                <w:div w:id="8935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843">
      <w:marLeft w:val="0"/>
      <w:marRight w:val="0"/>
      <w:marTop w:val="100"/>
      <w:marBottom w:val="0"/>
      <w:divBdr>
        <w:top w:val="none" w:sz="0" w:space="0" w:color="auto"/>
        <w:left w:val="none" w:sz="0" w:space="0" w:color="auto"/>
        <w:bottom w:val="none" w:sz="0" w:space="0" w:color="auto"/>
        <w:right w:val="none" w:sz="0" w:space="0" w:color="auto"/>
      </w:divBdr>
      <w:divsChild>
        <w:div w:id="795024832">
          <w:marLeft w:val="0"/>
          <w:marRight w:val="0"/>
          <w:marTop w:val="0"/>
          <w:marBottom w:val="0"/>
          <w:divBdr>
            <w:top w:val="none" w:sz="0" w:space="0" w:color="auto"/>
            <w:left w:val="none" w:sz="0" w:space="0" w:color="auto"/>
            <w:bottom w:val="none" w:sz="0" w:space="0" w:color="auto"/>
            <w:right w:val="none" w:sz="0" w:space="0" w:color="auto"/>
          </w:divBdr>
        </w:div>
      </w:divsChild>
    </w:div>
    <w:div w:id="1655599037">
      <w:marLeft w:val="4"/>
      <w:marRight w:val="0"/>
      <w:marTop w:val="120"/>
      <w:marBottom w:val="0"/>
      <w:divBdr>
        <w:top w:val="none" w:sz="0" w:space="0" w:color="auto"/>
        <w:left w:val="none" w:sz="0" w:space="0" w:color="auto"/>
        <w:bottom w:val="none" w:sz="0" w:space="0" w:color="auto"/>
        <w:right w:val="none" w:sz="0" w:space="0" w:color="auto"/>
      </w:divBdr>
      <w:divsChild>
        <w:div w:id="138694434">
          <w:marLeft w:val="0"/>
          <w:marRight w:val="0"/>
          <w:marTop w:val="0"/>
          <w:marBottom w:val="0"/>
          <w:divBdr>
            <w:top w:val="none" w:sz="0" w:space="0" w:color="auto"/>
            <w:left w:val="none" w:sz="0" w:space="0" w:color="auto"/>
            <w:bottom w:val="none" w:sz="0" w:space="0" w:color="auto"/>
            <w:right w:val="none" w:sz="0" w:space="0" w:color="auto"/>
          </w:divBdr>
        </w:div>
      </w:divsChild>
    </w:div>
    <w:div w:id="1674531290">
      <w:marLeft w:val="0"/>
      <w:marRight w:val="0"/>
      <w:marTop w:val="0"/>
      <w:marBottom w:val="0"/>
      <w:divBdr>
        <w:top w:val="none" w:sz="0" w:space="0" w:color="auto"/>
        <w:left w:val="none" w:sz="0" w:space="0" w:color="auto"/>
        <w:bottom w:val="none" w:sz="0" w:space="0" w:color="auto"/>
        <w:right w:val="none" w:sz="0" w:space="0" w:color="auto"/>
      </w:divBdr>
      <w:divsChild>
        <w:div w:id="576676053">
          <w:marLeft w:val="0"/>
          <w:marRight w:val="0"/>
          <w:marTop w:val="160"/>
          <w:marBottom w:val="0"/>
          <w:divBdr>
            <w:top w:val="none" w:sz="0" w:space="0" w:color="auto"/>
            <w:left w:val="none" w:sz="0" w:space="0" w:color="auto"/>
            <w:bottom w:val="none" w:sz="0" w:space="0" w:color="auto"/>
            <w:right w:val="none" w:sz="0" w:space="0" w:color="auto"/>
          </w:divBdr>
          <w:divsChild>
            <w:div w:id="54478557">
              <w:marLeft w:val="0"/>
              <w:marRight w:val="0"/>
              <w:marTop w:val="0"/>
              <w:marBottom w:val="0"/>
              <w:divBdr>
                <w:top w:val="none" w:sz="0" w:space="0" w:color="auto"/>
                <w:left w:val="none" w:sz="0" w:space="0" w:color="auto"/>
                <w:bottom w:val="none" w:sz="0" w:space="0" w:color="auto"/>
                <w:right w:val="none" w:sz="0" w:space="0" w:color="auto"/>
              </w:divBdr>
            </w:div>
          </w:divsChild>
        </w:div>
        <w:div w:id="1999721113">
          <w:marLeft w:val="0"/>
          <w:marRight w:val="0"/>
          <w:marTop w:val="0"/>
          <w:marBottom w:val="0"/>
          <w:divBdr>
            <w:top w:val="none" w:sz="0" w:space="0" w:color="auto"/>
            <w:left w:val="none" w:sz="0" w:space="0" w:color="auto"/>
            <w:bottom w:val="none" w:sz="0" w:space="0" w:color="auto"/>
            <w:right w:val="none" w:sz="0" w:space="0" w:color="auto"/>
          </w:divBdr>
        </w:div>
      </w:divsChild>
    </w:div>
    <w:div w:id="1675259012">
      <w:marLeft w:val="0"/>
      <w:marRight w:val="0"/>
      <w:marTop w:val="100"/>
      <w:marBottom w:val="0"/>
      <w:divBdr>
        <w:top w:val="none" w:sz="0" w:space="0" w:color="auto"/>
        <w:left w:val="none" w:sz="0" w:space="0" w:color="auto"/>
        <w:bottom w:val="none" w:sz="0" w:space="0" w:color="auto"/>
        <w:right w:val="none" w:sz="0" w:space="0" w:color="auto"/>
      </w:divBdr>
      <w:divsChild>
        <w:div w:id="657883074">
          <w:marLeft w:val="0"/>
          <w:marRight w:val="0"/>
          <w:marTop w:val="0"/>
          <w:marBottom w:val="0"/>
          <w:divBdr>
            <w:top w:val="none" w:sz="0" w:space="0" w:color="auto"/>
            <w:left w:val="none" w:sz="0" w:space="0" w:color="auto"/>
            <w:bottom w:val="none" w:sz="0" w:space="0" w:color="auto"/>
            <w:right w:val="none" w:sz="0" w:space="0" w:color="auto"/>
          </w:divBdr>
        </w:div>
      </w:divsChild>
    </w:div>
    <w:div w:id="1724333265">
      <w:marLeft w:val="0"/>
      <w:marRight w:val="0"/>
      <w:marTop w:val="100"/>
      <w:marBottom w:val="0"/>
      <w:divBdr>
        <w:top w:val="none" w:sz="0" w:space="0" w:color="auto"/>
        <w:left w:val="none" w:sz="0" w:space="0" w:color="auto"/>
        <w:bottom w:val="none" w:sz="0" w:space="0" w:color="auto"/>
        <w:right w:val="none" w:sz="0" w:space="0" w:color="auto"/>
      </w:divBdr>
      <w:divsChild>
        <w:div w:id="960066981">
          <w:marLeft w:val="0"/>
          <w:marRight w:val="0"/>
          <w:marTop w:val="0"/>
          <w:marBottom w:val="0"/>
          <w:divBdr>
            <w:top w:val="none" w:sz="0" w:space="0" w:color="auto"/>
            <w:left w:val="none" w:sz="0" w:space="0" w:color="auto"/>
            <w:bottom w:val="none" w:sz="0" w:space="0" w:color="auto"/>
            <w:right w:val="none" w:sz="0" w:space="0" w:color="auto"/>
          </w:divBdr>
        </w:div>
      </w:divsChild>
    </w:div>
    <w:div w:id="1727291421">
      <w:marLeft w:val="0"/>
      <w:marRight w:val="0"/>
      <w:marTop w:val="0"/>
      <w:marBottom w:val="0"/>
      <w:divBdr>
        <w:top w:val="none" w:sz="0" w:space="0" w:color="auto"/>
        <w:left w:val="none" w:sz="0" w:space="0" w:color="auto"/>
        <w:bottom w:val="none" w:sz="0" w:space="0" w:color="auto"/>
        <w:right w:val="none" w:sz="0" w:space="0" w:color="auto"/>
      </w:divBdr>
      <w:divsChild>
        <w:div w:id="1334719264">
          <w:marLeft w:val="0"/>
          <w:marRight w:val="0"/>
          <w:marTop w:val="160"/>
          <w:marBottom w:val="0"/>
          <w:divBdr>
            <w:top w:val="none" w:sz="0" w:space="0" w:color="auto"/>
            <w:left w:val="none" w:sz="0" w:space="0" w:color="auto"/>
            <w:bottom w:val="none" w:sz="0" w:space="0" w:color="auto"/>
            <w:right w:val="none" w:sz="0" w:space="0" w:color="auto"/>
          </w:divBdr>
          <w:divsChild>
            <w:div w:id="19743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3263">
      <w:marLeft w:val="0"/>
      <w:marRight w:val="0"/>
      <w:marTop w:val="0"/>
      <w:marBottom w:val="0"/>
      <w:divBdr>
        <w:top w:val="none" w:sz="0" w:space="0" w:color="auto"/>
        <w:left w:val="none" w:sz="0" w:space="0" w:color="auto"/>
        <w:bottom w:val="none" w:sz="0" w:space="0" w:color="auto"/>
        <w:right w:val="none" w:sz="0" w:space="0" w:color="auto"/>
      </w:divBdr>
    </w:div>
    <w:div w:id="1940599030">
      <w:marLeft w:val="0"/>
      <w:marRight w:val="0"/>
      <w:marTop w:val="120"/>
      <w:marBottom w:val="0"/>
      <w:divBdr>
        <w:top w:val="none" w:sz="0" w:space="0" w:color="auto"/>
        <w:left w:val="none" w:sz="0" w:space="0" w:color="auto"/>
        <w:bottom w:val="none" w:sz="0" w:space="0" w:color="auto"/>
        <w:right w:val="none" w:sz="0" w:space="0" w:color="auto"/>
      </w:divBdr>
      <w:divsChild>
        <w:div w:id="222373096">
          <w:marLeft w:val="0"/>
          <w:marRight w:val="0"/>
          <w:marTop w:val="0"/>
          <w:marBottom w:val="0"/>
          <w:divBdr>
            <w:top w:val="none" w:sz="0" w:space="0" w:color="auto"/>
            <w:left w:val="none" w:sz="0" w:space="0" w:color="auto"/>
            <w:bottom w:val="none" w:sz="0" w:space="0" w:color="auto"/>
            <w:right w:val="none" w:sz="0" w:space="0" w:color="auto"/>
          </w:divBdr>
        </w:div>
      </w:divsChild>
    </w:div>
    <w:div w:id="1992757435">
      <w:marLeft w:val="0"/>
      <w:marRight w:val="0"/>
      <w:marTop w:val="0"/>
      <w:marBottom w:val="0"/>
      <w:divBdr>
        <w:top w:val="none" w:sz="0" w:space="0" w:color="auto"/>
        <w:left w:val="none" w:sz="0" w:space="0" w:color="auto"/>
        <w:bottom w:val="none" w:sz="0" w:space="0" w:color="auto"/>
        <w:right w:val="none" w:sz="0" w:space="0" w:color="auto"/>
      </w:divBdr>
      <w:divsChild>
        <w:div w:id="662585040">
          <w:marLeft w:val="0"/>
          <w:marRight w:val="0"/>
          <w:marTop w:val="160"/>
          <w:marBottom w:val="0"/>
          <w:divBdr>
            <w:top w:val="none" w:sz="0" w:space="0" w:color="auto"/>
            <w:left w:val="none" w:sz="0" w:space="0" w:color="auto"/>
            <w:bottom w:val="none" w:sz="0" w:space="0" w:color="auto"/>
            <w:right w:val="none" w:sz="0" w:space="0" w:color="auto"/>
          </w:divBdr>
          <w:divsChild>
            <w:div w:id="861431246">
              <w:marLeft w:val="0"/>
              <w:marRight w:val="0"/>
              <w:marTop w:val="0"/>
              <w:marBottom w:val="0"/>
              <w:divBdr>
                <w:top w:val="none" w:sz="0" w:space="0" w:color="auto"/>
                <w:left w:val="none" w:sz="0" w:space="0" w:color="auto"/>
                <w:bottom w:val="none" w:sz="0" w:space="0" w:color="auto"/>
                <w:right w:val="none" w:sz="0" w:space="0" w:color="auto"/>
              </w:divBdr>
            </w:div>
          </w:divsChild>
        </w:div>
        <w:div w:id="1899589513">
          <w:marLeft w:val="0"/>
          <w:marRight w:val="0"/>
          <w:marTop w:val="0"/>
          <w:marBottom w:val="0"/>
          <w:divBdr>
            <w:top w:val="none" w:sz="0" w:space="0" w:color="auto"/>
            <w:left w:val="none" w:sz="0" w:space="0" w:color="auto"/>
            <w:bottom w:val="none" w:sz="0" w:space="0" w:color="auto"/>
            <w:right w:val="none" w:sz="0" w:space="0" w:color="auto"/>
          </w:divBdr>
        </w:div>
      </w:divsChild>
    </w:div>
    <w:div w:id="2085182600">
      <w:marLeft w:val="0"/>
      <w:marRight w:val="0"/>
      <w:marTop w:val="0"/>
      <w:marBottom w:val="0"/>
      <w:divBdr>
        <w:top w:val="none" w:sz="0" w:space="0" w:color="auto"/>
        <w:left w:val="none" w:sz="0" w:space="0" w:color="auto"/>
        <w:bottom w:val="none" w:sz="0" w:space="0" w:color="auto"/>
        <w:right w:val="none" w:sz="0" w:space="0" w:color="auto"/>
      </w:divBdr>
      <w:divsChild>
        <w:div w:id="1582988920">
          <w:marLeft w:val="0"/>
          <w:marRight w:val="0"/>
          <w:marTop w:val="160"/>
          <w:marBottom w:val="0"/>
          <w:divBdr>
            <w:top w:val="none" w:sz="0" w:space="0" w:color="auto"/>
            <w:left w:val="none" w:sz="0" w:space="0" w:color="auto"/>
            <w:bottom w:val="none" w:sz="0" w:space="0" w:color="auto"/>
            <w:right w:val="none" w:sz="0" w:space="0" w:color="auto"/>
          </w:divBdr>
          <w:divsChild>
            <w:div w:id="9461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2_2.htm" TargetMode="External"/><Relationship Id="rId3" Type="http://schemas.openxmlformats.org/officeDocument/2006/relationships/webSettings" Target="webSettings.xml"/><Relationship Id="rId7" Type="http://schemas.openxmlformats.org/officeDocument/2006/relationships/hyperlink" Target="sph-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x31_2.htm" TargetMode="External"/><Relationship Id="rId5" Type="http://schemas.openxmlformats.org/officeDocument/2006/relationships/hyperlink" Target="sph-ex31_1.htm" TargetMode="External"/><Relationship Id="rId10" Type="http://schemas.openxmlformats.org/officeDocument/2006/relationships/theme" Target="theme/theme1.xml"/><Relationship Id="rId4" Type="http://schemas.openxmlformats.org/officeDocument/2006/relationships/hyperlink" Target="sph-ex10_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23428</Words>
  <Characters>133546</Characters>
  <Application>Microsoft Office Word</Application>
  <DocSecurity>0</DocSecurity>
  <Lines>1112</Lines>
  <Paragraphs>313</Paragraphs>
  <ScaleCrop>false</ScaleCrop>
  <Company/>
  <LinksUpToDate>false</LinksUpToDate>
  <CharactersWithSpaces>156661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